
<file path=[Content_Types].xml><?xml version="1.0" encoding="utf-8"?>
<Types xmlns="http://schemas.openxmlformats.org/package/2006/content-types">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10.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charts/chart11.xml" ContentType="application/vnd.openxmlformats-officedocument.drawingml.chart+xml"/>
  <Override PartName="/word/charts/chart110.xml" ContentType="application/vnd.openxmlformats-officedocument.drawingml.chart+xml"/>
  <Override PartName="/word/charts/chart111.xml" ContentType="application/vnd.openxmlformats-officedocument.drawingml.chart+xml"/>
  <Override PartName="/word/charts/chart112.xml" ContentType="application/vnd.openxmlformats-officedocument.drawingml.chart+xml"/>
  <Override PartName="/word/charts/chart113.xml" ContentType="application/vnd.openxmlformats-officedocument.drawingml.chart+xml"/>
  <Override PartName="/word/charts/chart114.xml" ContentType="application/vnd.openxmlformats-officedocument.drawingml.chart+xml"/>
  <Override PartName="/word/charts/chart115.xml" ContentType="application/vnd.openxmlformats-officedocument.drawingml.chart+xml"/>
  <Override PartName="/word/charts/chart116.xml" ContentType="application/vnd.openxmlformats-officedocument.drawingml.chart+xml"/>
  <Override PartName="/word/charts/chart117.xml" ContentType="application/vnd.openxmlformats-officedocument.drawingml.chart+xml"/>
  <Override PartName="/word/charts/chart118.xml" ContentType="application/vnd.openxmlformats-officedocument.drawingml.chart+xml"/>
  <Override PartName="/word/charts/chart119.xml" ContentType="application/vnd.openxmlformats-officedocument.drawingml.chart+xml"/>
  <Override PartName="/word/charts/chart12.xml" ContentType="application/vnd.openxmlformats-officedocument.drawingml.chart+xml"/>
  <Override PartName="/word/charts/chart120.xml" ContentType="application/vnd.openxmlformats-officedocument.drawingml.chart+xml"/>
  <Override PartName="/word/charts/chart121.xml" ContentType="application/vnd.openxmlformats-officedocument.drawingml.chart+xml"/>
  <Override PartName="/word/charts/chart122.xml" ContentType="application/vnd.openxmlformats-officedocument.drawingml.chart+xml"/>
  <Override PartName="/word/charts/chart123.xml" ContentType="application/vnd.openxmlformats-officedocument.drawingml.chart+xml"/>
  <Override PartName="/word/charts/chart124.xml" ContentType="application/vnd.openxmlformats-officedocument.drawingml.chart+xml"/>
  <Override PartName="/word/charts/chart125.xml" ContentType="application/vnd.openxmlformats-officedocument.drawingml.chart+xml"/>
  <Override PartName="/word/charts/chart126.xml" ContentType="application/vnd.openxmlformats-officedocument.drawingml.chart+xml"/>
  <Override PartName="/word/charts/chart127.xml" ContentType="application/vnd.openxmlformats-officedocument.drawingml.chart+xml"/>
  <Override PartName="/word/charts/chart128.xml" ContentType="application/vnd.openxmlformats-officedocument.drawingml.chart+xml"/>
  <Override PartName="/word/charts/chart129.xml" ContentType="application/vnd.openxmlformats-officedocument.drawingml.chart+xml"/>
  <Override PartName="/word/charts/chart13.xml" ContentType="application/vnd.openxmlformats-officedocument.drawingml.chart+xml"/>
  <Override PartName="/word/charts/chart130.xml" ContentType="application/vnd.openxmlformats-officedocument.drawingml.chart+xml"/>
  <Override PartName="/word/charts/chart131.xml" ContentType="application/vnd.openxmlformats-officedocument.drawingml.chart+xml"/>
  <Override PartName="/word/charts/chart132.xml" ContentType="application/vnd.openxmlformats-officedocument.drawingml.chart+xml"/>
  <Override PartName="/word/charts/chart133.xml" ContentType="application/vnd.openxmlformats-officedocument.drawingml.chart+xml"/>
  <Override PartName="/word/charts/chart134.xml" ContentType="application/vnd.openxmlformats-officedocument.drawingml.chart+xml"/>
  <Override PartName="/word/charts/chart135.xml" ContentType="application/vnd.openxmlformats-officedocument.drawingml.chart+xml"/>
  <Override PartName="/word/charts/chart136.xml" ContentType="application/vnd.openxmlformats-officedocument.drawingml.chart+xml"/>
  <Override PartName="/word/charts/chart137.xml" ContentType="application/vnd.openxmlformats-officedocument.drawingml.chart+xml"/>
  <Override PartName="/word/charts/chart138.xml" ContentType="application/vnd.openxmlformats-officedocument.drawingml.chart+xml"/>
  <Override PartName="/word/charts/chart139.xml" ContentType="application/vnd.openxmlformats-officedocument.drawingml.chart+xml"/>
  <Override PartName="/word/charts/chart14.xml" ContentType="application/vnd.openxmlformats-officedocument.drawingml.chart+xml"/>
  <Override PartName="/word/charts/chart140.xml" ContentType="application/vnd.openxmlformats-officedocument.drawingml.chart+xml"/>
  <Override PartName="/word/charts/chart141.xml" ContentType="application/vnd.openxmlformats-officedocument.drawingml.chart+xml"/>
  <Override PartName="/word/charts/chart142.xml" ContentType="application/vnd.openxmlformats-officedocument.drawingml.chart+xml"/>
  <Override PartName="/word/charts/chart143.xml" ContentType="application/vnd.openxmlformats-officedocument.drawingml.chart+xml"/>
  <Override PartName="/word/charts/chart144.xml" ContentType="application/vnd.openxmlformats-officedocument.drawingml.chart+xml"/>
  <Override PartName="/word/charts/chart145.xml" ContentType="application/vnd.openxmlformats-officedocument.drawingml.chart+xml"/>
  <Override PartName="/word/charts/chart146.xml" ContentType="application/vnd.openxmlformats-officedocument.drawingml.chart+xml"/>
  <Override PartName="/word/charts/chart147.xml" ContentType="application/vnd.openxmlformats-officedocument.drawingml.chart+xml"/>
  <Override PartName="/word/charts/chart148.xml" ContentType="application/vnd.openxmlformats-officedocument.drawingml.chart+xml"/>
  <Override PartName="/word/charts/chart149.xml" ContentType="application/vnd.openxmlformats-officedocument.drawingml.chart+xml"/>
  <Override PartName="/word/charts/chart15.xml" ContentType="application/vnd.openxmlformats-officedocument.drawingml.chart+xml"/>
  <Override PartName="/word/charts/chart150.xml" ContentType="application/vnd.openxmlformats-officedocument.drawingml.chart+xml"/>
  <Override PartName="/word/charts/chart151.xml" ContentType="application/vnd.openxmlformats-officedocument.drawingml.chart+xml"/>
  <Override PartName="/word/charts/chart152.xml" ContentType="application/vnd.openxmlformats-officedocument.drawingml.chart+xml"/>
  <Override PartName="/word/charts/chart153.xml" ContentType="application/vnd.openxmlformats-officedocument.drawingml.chart+xml"/>
  <Override PartName="/word/charts/chart154.xml" ContentType="application/vnd.openxmlformats-officedocument.drawingml.chart+xml"/>
  <Override PartName="/word/charts/chart155.xml" ContentType="application/vnd.openxmlformats-officedocument.drawingml.chart+xml"/>
  <Override PartName="/word/charts/chart156.xml" ContentType="application/vnd.openxmlformats-officedocument.drawingml.chart+xml"/>
  <Override PartName="/word/charts/chart157.xml" ContentType="application/vnd.openxmlformats-officedocument.drawingml.chart+xml"/>
  <Override PartName="/word/charts/chart158.xml" ContentType="application/vnd.openxmlformats-officedocument.drawingml.chart+xml"/>
  <Override PartName="/word/charts/chart159.xml" ContentType="application/vnd.openxmlformats-officedocument.drawingml.chart+xml"/>
  <Override PartName="/word/charts/chart16.xml" ContentType="application/vnd.openxmlformats-officedocument.drawingml.chart+xml"/>
  <Override PartName="/word/charts/chart160.xml" ContentType="application/vnd.openxmlformats-officedocument.drawingml.chart+xml"/>
  <Override PartName="/word/charts/chart161.xml" ContentType="application/vnd.openxmlformats-officedocument.drawingml.chart+xml"/>
  <Override PartName="/word/charts/chart162.xml" ContentType="application/vnd.openxmlformats-officedocument.drawingml.chart+xml"/>
  <Override PartName="/word/charts/chart163.xml" ContentType="application/vnd.openxmlformats-officedocument.drawingml.chart+xml"/>
  <Override PartName="/word/charts/chart164.xml" ContentType="application/vnd.openxmlformats-officedocument.drawingml.chart+xml"/>
  <Override PartName="/word/charts/chart165.xml" ContentType="application/vnd.openxmlformats-officedocument.drawingml.chart+xml"/>
  <Override PartName="/word/charts/chart166.xml" ContentType="application/vnd.openxmlformats-officedocument.drawingml.chart+xml"/>
  <Override PartName="/word/charts/chart167.xml" ContentType="application/vnd.openxmlformats-officedocument.drawingml.chart+xml"/>
  <Override PartName="/word/charts/chart168.xml" ContentType="application/vnd.openxmlformats-officedocument.drawingml.chart+xml"/>
  <Override PartName="/word/charts/chart169.xml" ContentType="application/vnd.openxmlformats-officedocument.drawingml.chart+xml"/>
  <Override PartName="/word/charts/chart17.xml" ContentType="application/vnd.openxmlformats-officedocument.drawingml.chart+xml"/>
  <Override PartName="/word/charts/chart170.xml" ContentType="application/vnd.openxmlformats-officedocument.drawingml.chart+xml"/>
  <Override PartName="/word/charts/chart171.xml" ContentType="application/vnd.openxmlformats-officedocument.drawingml.chart+xml"/>
  <Override PartName="/word/charts/chart172.xml" ContentType="application/vnd.openxmlformats-officedocument.drawingml.chart+xml"/>
  <Override PartName="/word/charts/chart173.xml" ContentType="application/vnd.openxmlformats-officedocument.drawingml.chart+xml"/>
  <Override PartName="/word/charts/chart174.xml" ContentType="application/vnd.openxmlformats-officedocument.drawingml.chart+xml"/>
  <Override PartName="/word/charts/chart175.xml" ContentType="application/vnd.openxmlformats-officedocument.drawingml.chart+xml"/>
  <Override PartName="/word/charts/chart176.xml" ContentType="application/vnd.openxmlformats-officedocument.drawingml.chart+xml"/>
  <Override PartName="/word/charts/chart177.xml" ContentType="application/vnd.openxmlformats-officedocument.drawingml.chart+xml"/>
  <Override PartName="/word/charts/chart178.xml" ContentType="application/vnd.openxmlformats-officedocument.drawingml.chart+xml"/>
  <Override PartName="/word/charts/chart179.xml" ContentType="application/vnd.openxmlformats-officedocument.drawingml.chart+xml"/>
  <Override PartName="/word/charts/chart18.xml" ContentType="application/vnd.openxmlformats-officedocument.drawingml.chart+xml"/>
  <Override PartName="/word/charts/chart180.xml" ContentType="application/vnd.openxmlformats-officedocument.drawingml.chart+xml"/>
  <Override PartName="/word/charts/chart181.xml" ContentType="application/vnd.openxmlformats-officedocument.drawingml.chart+xml"/>
  <Override PartName="/word/charts/chart182.xml" ContentType="application/vnd.openxmlformats-officedocument.drawingml.chart+xml"/>
  <Override PartName="/word/charts/chart183.xml" ContentType="application/vnd.openxmlformats-officedocument.drawingml.chart+xml"/>
  <Override PartName="/word/charts/chart184.xml" ContentType="application/vnd.openxmlformats-officedocument.drawingml.chart+xml"/>
  <Override PartName="/word/charts/chart185.xml" ContentType="application/vnd.openxmlformats-officedocument.drawingml.chart+xml"/>
  <Override PartName="/word/charts/chart186.xml" ContentType="application/vnd.openxmlformats-officedocument.drawingml.chart+xml"/>
  <Override PartName="/word/charts/chart187.xml" ContentType="application/vnd.openxmlformats-officedocument.drawingml.chart+xml"/>
  <Override PartName="/word/charts/chart188.xml" ContentType="application/vnd.openxmlformats-officedocument.drawingml.chart+xml"/>
  <Override PartName="/word/charts/chart189.xml" ContentType="application/vnd.openxmlformats-officedocument.drawingml.chart+xml"/>
  <Override PartName="/word/charts/chart19.xml" ContentType="application/vnd.openxmlformats-officedocument.drawingml.chart+xml"/>
  <Override PartName="/word/charts/chart190.xml" ContentType="application/vnd.openxmlformats-officedocument.drawingml.chart+xml"/>
  <Override PartName="/word/charts/chart191.xml" ContentType="application/vnd.openxmlformats-officedocument.drawingml.chart+xml"/>
  <Override PartName="/word/charts/chart192.xml" ContentType="application/vnd.openxmlformats-officedocument.drawingml.chart+xml"/>
  <Override PartName="/word/charts/chart193.xml" ContentType="application/vnd.openxmlformats-officedocument.drawingml.chart+xml"/>
  <Override PartName="/word/charts/chart194.xml" ContentType="application/vnd.openxmlformats-officedocument.drawingml.chart+xml"/>
  <Override PartName="/word/charts/chart195.xml" ContentType="application/vnd.openxmlformats-officedocument.drawingml.chart+xml"/>
  <Override PartName="/word/charts/chart196.xml" ContentType="application/vnd.openxmlformats-officedocument.drawingml.chart+xml"/>
  <Override PartName="/word/charts/chart197.xml" ContentType="application/vnd.openxmlformats-officedocument.drawingml.chart+xml"/>
  <Override PartName="/word/charts/chart198.xml" ContentType="application/vnd.openxmlformats-officedocument.drawingml.chart+xml"/>
  <Override PartName="/word/charts/chart19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00.xml" ContentType="application/vnd.openxmlformats-officedocument.drawingml.chart+xml"/>
  <Override PartName="/word/charts/chart201.xml" ContentType="application/vnd.openxmlformats-officedocument.drawingml.chart+xml"/>
  <Override PartName="/word/charts/chart202.xml" ContentType="application/vnd.openxmlformats-officedocument.drawingml.chart+xml"/>
  <Override PartName="/word/charts/chart203.xml" ContentType="application/vnd.openxmlformats-officedocument.drawingml.chart+xml"/>
  <Override PartName="/word/charts/chart204.xml" ContentType="application/vnd.openxmlformats-officedocument.drawingml.chart+xml"/>
  <Override PartName="/word/charts/chart205.xml" ContentType="application/vnd.openxmlformats-officedocument.drawingml.chart+xml"/>
  <Override PartName="/word/charts/chart206.xml" ContentType="application/vnd.openxmlformats-officedocument.drawingml.chart+xml"/>
  <Override PartName="/word/charts/chart207.xml" ContentType="application/vnd.openxmlformats-officedocument.drawingml.chart+xml"/>
  <Override PartName="/word/charts/chart208.xml" ContentType="application/vnd.openxmlformats-officedocument.drawingml.chart+xml"/>
  <Override PartName="/word/charts/chart209.xml" ContentType="application/vnd.openxmlformats-officedocument.drawingml.chart+xml"/>
  <Override PartName="/word/charts/chart21.xml" ContentType="application/vnd.openxmlformats-officedocument.drawingml.chart+xml"/>
  <Override PartName="/word/charts/chart210.xml" ContentType="application/vnd.openxmlformats-officedocument.drawingml.chart+xml"/>
  <Override PartName="/word/charts/chart211.xml" ContentType="application/vnd.openxmlformats-officedocument.drawingml.chart+xml"/>
  <Override PartName="/word/charts/chart212.xml" ContentType="application/vnd.openxmlformats-officedocument.drawingml.chart+xml"/>
  <Override PartName="/word/charts/chart213.xml" ContentType="application/vnd.openxmlformats-officedocument.drawingml.chart+xml"/>
  <Override PartName="/word/charts/chart214.xml" ContentType="application/vnd.openxmlformats-officedocument.drawingml.chart+xml"/>
  <Override PartName="/word/charts/chart215.xml" ContentType="application/vnd.openxmlformats-officedocument.drawingml.chart+xml"/>
  <Override PartName="/word/charts/chart216.xml" ContentType="application/vnd.openxmlformats-officedocument.drawingml.chart+xml"/>
  <Override PartName="/word/charts/chart217.xml" ContentType="application/vnd.openxmlformats-officedocument.drawingml.chart+xml"/>
  <Override PartName="/word/charts/chart218.xml" ContentType="application/vnd.openxmlformats-officedocument.drawingml.chart+xml"/>
  <Override PartName="/word/charts/chart219.xml" ContentType="application/vnd.openxmlformats-officedocument.drawingml.chart+xml"/>
  <Override PartName="/word/charts/chart22.xml" ContentType="application/vnd.openxmlformats-officedocument.drawingml.chart+xml"/>
  <Override PartName="/word/charts/chart220.xml" ContentType="application/vnd.openxmlformats-officedocument.drawingml.chart+xml"/>
  <Override PartName="/word/charts/chart221.xml" ContentType="application/vnd.openxmlformats-officedocument.drawingml.chart+xml"/>
  <Override PartName="/word/charts/chart222.xml" ContentType="application/vnd.openxmlformats-officedocument.drawingml.chart+xml"/>
  <Override PartName="/word/charts/chart223.xml" ContentType="application/vnd.openxmlformats-officedocument.drawingml.chart+xml"/>
  <Override PartName="/word/charts/chart224.xml" ContentType="application/vnd.openxmlformats-officedocument.drawingml.chart+xml"/>
  <Override PartName="/word/charts/chart225.xml" ContentType="application/vnd.openxmlformats-officedocument.drawingml.chart+xml"/>
  <Override PartName="/word/charts/chart226.xml" ContentType="application/vnd.openxmlformats-officedocument.drawingml.chart+xml"/>
  <Override PartName="/word/charts/chart227.xml" ContentType="application/vnd.openxmlformats-officedocument.drawingml.chart+xml"/>
  <Override PartName="/word/charts/chart228.xml" ContentType="application/vnd.openxmlformats-officedocument.drawingml.chart+xml"/>
  <Override PartName="/word/charts/chart229.xml" ContentType="application/vnd.openxmlformats-officedocument.drawingml.chart+xml"/>
  <Override PartName="/word/charts/chart23.xml" ContentType="application/vnd.openxmlformats-officedocument.drawingml.chart+xml"/>
  <Override PartName="/word/charts/chart230.xml" ContentType="application/vnd.openxmlformats-officedocument.drawingml.chart+xml"/>
  <Override PartName="/word/charts/chart231.xml" ContentType="application/vnd.openxmlformats-officedocument.drawingml.chart+xml"/>
  <Override PartName="/word/charts/chart232.xml" ContentType="application/vnd.openxmlformats-officedocument.drawingml.chart+xml"/>
  <Override PartName="/word/charts/chart233.xml" ContentType="application/vnd.openxmlformats-officedocument.drawingml.chart+xml"/>
  <Override PartName="/word/charts/chart234.xml" ContentType="application/vnd.openxmlformats-officedocument.drawingml.chart+xml"/>
  <Override PartName="/word/charts/chart235.xml" ContentType="application/vnd.openxmlformats-officedocument.drawingml.chart+xml"/>
  <Override PartName="/word/charts/chart236.xml" ContentType="application/vnd.openxmlformats-officedocument.drawingml.chart+xml"/>
  <Override PartName="/word/charts/chart237.xml" ContentType="application/vnd.openxmlformats-officedocument.drawingml.chart+xml"/>
  <Override PartName="/word/charts/chart238.xml" ContentType="application/vnd.openxmlformats-officedocument.drawingml.chart+xml"/>
  <Override PartName="/word/charts/chart239.xml" ContentType="application/vnd.openxmlformats-officedocument.drawingml.chart+xml"/>
  <Override PartName="/word/charts/chart24.xml" ContentType="application/vnd.openxmlformats-officedocument.drawingml.chart+xml"/>
  <Override PartName="/word/charts/chart240.xml" ContentType="application/vnd.openxmlformats-officedocument.drawingml.chart+xml"/>
  <Override PartName="/word/charts/chart241.xml" ContentType="application/vnd.openxmlformats-officedocument.drawingml.chart+xml"/>
  <Override PartName="/word/charts/chart242.xml" ContentType="application/vnd.openxmlformats-officedocument.drawingml.chart+xml"/>
  <Override PartName="/word/charts/chart243.xml" ContentType="application/vnd.openxmlformats-officedocument.drawingml.chart+xml"/>
  <Override PartName="/word/charts/chart244.xml" ContentType="application/vnd.openxmlformats-officedocument.drawingml.chart+xml"/>
  <Override PartName="/word/charts/chart245.xml" ContentType="application/vnd.openxmlformats-officedocument.drawingml.chart+xml"/>
  <Override PartName="/word/charts/chart246.xml" ContentType="application/vnd.openxmlformats-officedocument.drawingml.chart+xml"/>
  <Override PartName="/word/charts/chart247.xml" ContentType="application/vnd.openxmlformats-officedocument.drawingml.chart+xml"/>
  <Override PartName="/word/charts/chart248.xml" ContentType="application/vnd.openxmlformats-officedocument.drawingml.chart+xml"/>
  <Override PartName="/word/charts/chart249.xml" ContentType="application/vnd.openxmlformats-officedocument.drawingml.chart+xml"/>
  <Override PartName="/word/charts/chart25.xml" ContentType="application/vnd.openxmlformats-officedocument.drawingml.chart+xml"/>
  <Override PartName="/word/charts/chart250.xml" ContentType="application/vnd.openxmlformats-officedocument.drawingml.chart+xml"/>
  <Override PartName="/word/charts/chart251.xml" ContentType="application/vnd.openxmlformats-officedocument.drawingml.chart+xml"/>
  <Override PartName="/word/charts/chart252.xml" ContentType="application/vnd.openxmlformats-officedocument.drawingml.chart+xml"/>
  <Override PartName="/word/charts/chart253.xml" ContentType="application/vnd.openxmlformats-officedocument.drawingml.chart+xml"/>
  <Override PartName="/word/charts/chart254.xml" ContentType="application/vnd.openxmlformats-officedocument.drawingml.chart+xml"/>
  <Override PartName="/word/charts/chart255.xml" ContentType="application/vnd.openxmlformats-officedocument.drawingml.chart+xml"/>
  <Override PartName="/word/charts/chart256.xml" ContentType="application/vnd.openxmlformats-officedocument.drawingml.chart+xml"/>
  <Override PartName="/word/charts/chart257.xml" ContentType="application/vnd.openxmlformats-officedocument.drawingml.chart+xml"/>
  <Override PartName="/word/charts/chart258.xml" ContentType="application/vnd.openxmlformats-officedocument.drawingml.chart+xml"/>
  <Override PartName="/word/charts/chart259.xml" ContentType="application/vnd.openxmlformats-officedocument.drawingml.chart+xml"/>
  <Override PartName="/word/charts/chart26.xml" ContentType="application/vnd.openxmlformats-officedocument.drawingml.chart+xml"/>
  <Override PartName="/word/charts/chart260.xml" ContentType="application/vnd.openxmlformats-officedocument.drawingml.chart+xml"/>
  <Override PartName="/word/charts/chart261.xml" ContentType="application/vnd.openxmlformats-officedocument.drawingml.chart+xml"/>
  <Override PartName="/word/charts/chart262.xml" ContentType="application/vnd.openxmlformats-officedocument.drawingml.chart+xml"/>
  <Override PartName="/word/charts/chart263.xml" ContentType="application/vnd.openxmlformats-officedocument.drawingml.chart+xml"/>
  <Override PartName="/word/charts/chart264.xml" ContentType="application/vnd.openxmlformats-officedocument.drawingml.chart+xml"/>
  <Override PartName="/word/charts/chart265.xml" ContentType="application/vnd.openxmlformats-officedocument.drawingml.chart+xml"/>
  <Override PartName="/word/charts/chart266.xml" ContentType="application/vnd.openxmlformats-officedocument.drawingml.chart+xml"/>
  <Override PartName="/word/charts/chart267.xml" ContentType="application/vnd.openxmlformats-officedocument.drawingml.chart+xml"/>
  <Override PartName="/word/charts/chart268.xml" ContentType="application/vnd.openxmlformats-officedocument.drawingml.chart+xml"/>
  <Override PartName="/word/charts/chart269.xml" ContentType="application/vnd.openxmlformats-officedocument.drawingml.chart+xml"/>
  <Override PartName="/word/charts/chart27.xml" ContentType="application/vnd.openxmlformats-officedocument.drawingml.chart+xml"/>
  <Override PartName="/word/charts/chart270.xml" ContentType="application/vnd.openxmlformats-officedocument.drawingml.chart+xml"/>
  <Override PartName="/word/charts/chart271.xml" ContentType="application/vnd.openxmlformats-officedocument.drawingml.chart+xml"/>
  <Override PartName="/word/charts/chart272.xml" ContentType="application/vnd.openxmlformats-officedocument.drawingml.chart+xml"/>
  <Override PartName="/word/charts/chart273.xml" ContentType="application/vnd.openxmlformats-officedocument.drawingml.chart+xml"/>
  <Override PartName="/word/charts/chart274.xml" ContentType="application/vnd.openxmlformats-officedocument.drawingml.chart+xml"/>
  <Override PartName="/word/charts/chart275.xml" ContentType="application/vnd.openxmlformats-officedocument.drawingml.chart+xml"/>
  <Override PartName="/word/charts/chart276.xml" ContentType="application/vnd.openxmlformats-officedocument.drawingml.chart+xml"/>
  <Override PartName="/word/charts/chart277.xml" ContentType="application/vnd.openxmlformats-officedocument.drawingml.chart+xml"/>
  <Override PartName="/word/charts/chart278.xml" ContentType="application/vnd.openxmlformats-officedocument.drawingml.chart+xml"/>
  <Override PartName="/word/charts/chart279.xml" ContentType="application/vnd.openxmlformats-officedocument.drawingml.chart+xml"/>
  <Override PartName="/word/charts/chart28.xml" ContentType="application/vnd.openxmlformats-officedocument.drawingml.chart+xml"/>
  <Override PartName="/word/charts/chart280.xml" ContentType="application/vnd.openxmlformats-officedocument.drawingml.chart+xml"/>
  <Override PartName="/word/charts/chart281.xml" ContentType="application/vnd.openxmlformats-officedocument.drawingml.chart+xml"/>
  <Override PartName="/word/charts/chart282.xml" ContentType="application/vnd.openxmlformats-officedocument.drawingml.chart+xml"/>
  <Override PartName="/word/charts/chart283.xml" ContentType="application/vnd.openxmlformats-officedocument.drawingml.chart+xml"/>
  <Override PartName="/word/charts/chart284.xml" ContentType="application/vnd.openxmlformats-officedocument.drawingml.chart+xml"/>
  <Override PartName="/word/charts/chart285.xml" ContentType="application/vnd.openxmlformats-officedocument.drawingml.chart+xml"/>
  <Override PartName="/word/charts/chart286.xml" ContentType="application/vnd.openxmlformats-officedocument.drawingml.chart+xml"/>
  <Override PartName="/word/charts/chart287.xml" ContentType="application/vnd.openxmlformats-officedocument.drawingml.chart+xml"/>
  <Override PartName="/word/charts/chart288.xml" ContentType="application/vnd.openxmlformats-officedocument.drawingml.chart+xml"/>
  <Override PartName="/word/charts/chart289.xml" ContentType="application/vnd.openxmlformats-officedocument.drawingml.chart+xml"/>
  <Override PartName="/word/charts/chart29.xml" ContentType="application/vnd.openxmlformats-officedocument.drawingml.chart+xml"/>
  <Override PartName="/word/charts/chart290.xml" ContentType="application/vnd.openxmlformats-officedocument.drawingml.chart+xml"/>
  <Override PartName="/word/charts/chart291.xml" ContentType="application/vnd.openxmlformats-officedocument.drawingml.chart+xml"/>
  <Override PartName="/word/charts/chart292.xml" ContentType="application/vnd.openxmlformats-officedocument.drawingml.chart+xml"/>
  <Override PartName="/word/charts/chart293.xml" ContentType="application/vnd.openxmlformats-officedocument.drawingml.chart+xml"/>
  <Override PartName="/word/charts/chart294.xml" ContentType="application/vnd.openxmlformats-officedocument.drawingml.chart+xml"/>
  <Override PartName="/word/charts/chart295.xml" ContentType="application/vnd.openxmlformats-officedocument.drawingml.chart+xml"/>
  <Override PartName="/word/charts/chart296.xml" ContentType="application/vnd.openxmlformats-officedocument.drawingml.chart+xml"/>
  <Override PartName="/word/charts/chart297.xml" ContentType="application/vnd.openxmlformats-officedocument.drawingml.chart+xml"/>
  <Override PartName="/word/charts/chart298.xml" ContentType="application/vnd.openxmlformats-officedocument.drawingml.chart+xml"/>
  <Override PartName="/word/charts/chart29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00.xml" ContentType="application/vnd.openxmlformats-officedocument.drawingml.chart+xml"/>
  <Override PartName="/word/charts/chart301.xml" ContentType="application/vnd.openxmlformats-officedocument.drawingml.chart+xml"/>
  <Override PartName="/word/charts/chart302.xml" ContentType="application/vnd.openxmlformats-officedocument.drawingml.chart+xml"/>
  <Override PartName="/word/charts/chart303.xml" ContentType="application/vnd.openxmlformats-officedocument.drawingml.chart+xml"/>
  <Override PartName="/word/charts/chart304.xml" ContentType="application/vnd.openxmlformats-officedocument.drawingml.chart+xml"/>
  <Override PartName="/word/charts/chart305.xml" ContentType="application/vnd.openxmlformats-officedocument.drawingml.chart+xml"/>
  <Override PartName="/word/charts/chart306.xml" ContentType="application/vnd.openxmlformats-officedocument.drawingml.chart+xml"/>
  <Override PartName="/word/charts/chart307.xml" ContentType="application/vnd.openxmlformats-officedocument.drawingml.chart+xml"/>
  <Override PartName="/word/charts/chart308.xml" ContentType="application/vnd.openxmlformats-officedocument.drawingml.chart+xml"/>
  <Override PartName="/word/charts/chart309.xml" ContentType="application/vnd.openxmlformats-officedocument.drawingml.chart+xml"/>
  <Override PartName="/word/charts/chart31.xml" ContentType="application/vnd.openxmlformats-officedocument.drawingml.chart+xml"/>
  <Override PartName="/word/charts/chart310.xml" ContentType="application/vnd.openxmlformats-officedocument.drawingml.chart+xml"/>
  <Override PartName="/word/charts/chart311.xml" ContentType="application/vnd.openxmlformats-officedocument.drawingml.chart+xml"/>
  <Override PartName="/word/charts/chart312.xml" ContentType="application/vnd.openxmlformats-officedocument.drawingml.chart+xml"/>
  <Override PartName="/word/charts/chart313.xml" ContentType="application/vnd.openxmlformats-officedocument.drawingml.chart+xml"/>
  <Override PartName="/word/charts/chart314.xml" ContentType="application/vnd.openxmlformats-officedocument.drawingml.chart+xml"/>
  <Override PartName="/word/charts/chart315.xml" ContentType="application/vnd.openxmlformats-officedocument.drawingml.chart+xml"/>
  <Override PartName="/word/charts/chart316.xml" ContentType="application/vnd.openxmlformats-officedocument.drawingml.chart+xml"/>
  <Override PartName="/word/charts/chart317.xml" ContentType="application/vnd.openxmlformats-officedocument.drawingml.chart+xml"/>
  <Override PartName="/word/charts/chart318.xml" ContentType="application/vnd.openxmlformats-officedocument.drawingml.chart+xml"/>
  <Override PartName="/word/charts/chart319.xml" ContentType="application/vnd.openxmlformats-officedocument.drawingml.chart+xml"/>
  <Override PartName="/word/charts/chart32.xml" ContentType="application/vnd.openxmlformats-officedocument.drawingml.chart+xml"/>
  <Override PartName="/word/charts/chart320.xml" ContentType="application/vnd.openxmlformats-officedocument.drawingml.chart+xml"/>
  <Override PartName="/word/charts/chart321.xml" ContentType="application/vnd.openxmlformats-officedocument.drawingml.chart+xml"/>
  <Override PartName="/word/charts/chart322.xml" ContentType="application/vnd.openxmlformats-officedocument.drawingml.chart+xml"/>
  <Override PartName="/word/charts/chart323.xml" ContentType="application/vnd.openxmlformats-officedocument.drawingml.chart+xml"/>
  <Override PartName="/word/charts/chart324.xml" ContentType="application/vnd.openxmlformats-officedocument.drawingml.chart+xml"/>
  <Override PartName="/word/charts/chart325.xml" ContentType="application/vnd.openxmlformats-officedocument.drawingml.chart+xml"/>
  <Override PartName="/word/charts/chart326.xml" ContentType="application/vnd.openxmlformats-officedocument.drawingml.chart+xml"/>
  <Override PartName="/word/charts/chart327.xml" ContentType="application/vnd.openxmlformats-officedocument.drawingml.chart+xml"/>
  <Override PartName="/word/charts/chart328.xml" ContentType="application/vnd.openxmlformats-officedocument.drawingml.chart+xml"/>
  <Override PartName="/word/charts/chart329.xml" ContentType="application/vnd.openxmlformats-officedocument.drawingml.chart+xml"/>
  <Override PartName="/word/charts/chart33.xml" ContentType="application/vnd.openxmlformats-officedocument.drawingml.chart+xml"/>
  <Override PartName="/word/charts/chart330.xml" ContentType="application/vnd.openxmlformats-officedocument.drawingml.chart+xml"/>
  <Override PartName="/word/charts/chart331.xml" ContentType="application/vnd.openxmlformats-officedocument.drawingml.chart+xml"/>
  <Override PartName="/word/charts/chart332.xml" ContentType="application/vnd.openxmlformats-officedocument.drawingml.chart+xml"/>
  <Override PartName="/word/charts/chart333.xml" ContentType="application/vnd.openxmlformats-officedocument.drawingml.chart+xml"/>
  <Override PartName="/word/charts/chart334.xml" ContentType="application/vnd.openxmlformats-officedocument.drawingml.chart+xml"/>
  <Override PartName="/word/charts/chart335.xml" ContentType="application/vnd.openxmlformats-officedocument.drawingml.chart+xml"/>
  <Override PartName="/word/charts/chart336.xml" ContentType="application/vnd.openxmlformats-officedocument.drawingml.chart+xml"/>
  <Override PartName="/word/charts/chart337.xml" ContentType="application/vnd.openxmlformats-officedocument.drawingml.chart+xml"/>
  <Override PartName="/word/charts/chart338.xml" ContentType="application/vnd.openxmlformats-officedocument.drawingml.chart+xml"/>
  <Override PartName="/word/charts/chart339.xml" ContentType="application/vnd.openxmlformats-officedocument.drawingml.chart+xml"/>
  <Override PartName="/word/charts/chart34.xml" ContentType="application/vnd.openxmlformats-officedocument.drawingml.chart+xml"/>
  <Override PartName="/word/charts/chart340.xml" ContentType="application/vnd.openxmlformats-officedocument.drawingml.chart+xml"/>
  <Override PartName="/word/charts/chart341.xml" ContentType="application/vnd.openxmlformats-officedocument.drawingml.chart+xml"/>
  <Override PartName="/word/charts/chart342.xml" ContentType="application/vnd.openxmlformats-officedocument.drawingml.chart+xml"/>
  <Override PartName="/word/charts/chart343.xml" ContentType="application/vnd.openxmlformats-officedocument.drawingml.chart+xml"/>
  <Override PartName="/word/charts/chart344.xml" ContentType="application/vnd.openxmlformats-officedocument.drawingml.chart+xml"/>
  <Override PartName="/word/charts/chart345.xml" ContentType="application/vnd.openxmlformats-officedocument.drawingml.chart+xml"/>
  <Override PartName="/word/charts/chart346.xml" ContentType="application/vnd.openxmlformats-officedocument.drawingml.chart+xml"/>
  <Override PartName="/word/charts/chart347.xml" ContentType="application/vnd.openxmlformats-officedocument.drawingml.chart+xml"/>
  <Override PartName="/word/charts/chart348.xml" ContentType="application/vnd.openxmlformats-officedocument.drawingml.chart+xml"/>
  <Override PartName="/word/charts/chart349.xml" ContentType="application/vnd.openxmlformats-officedocument.drawingml.chart+xml"/>
  <Override PartName="/word/charts/chart35.xml" ContentType="application/vnd.openxmlformats-officedocument.drawingml.chart+xml"/>
  <Override PartName="/word/charts/chart350.xml" ContentType="application/vnd.openxmlformats-officedocument.drawingml.chart+xml"/>
  <Override PartName="/word/charts/chart351.xml" ContentType="application/vnd.openxmlformats-officedocument.drawingml.chart+xml"/>
  <Override PartName="/word/charts/chart352.xml" ContentType="application/vnd.openxmlformats-officedocument.drawingml.chart+xml"/>
  <Override PartName="/word/charts/chart353.xml" ContentType="application/vnd.openxmlformats-officedocument.drawingml.chart+xml"/>
  <Override PartName="/word/charts/chart354.xml" ContentType="application/vnd.openxmlformats-officedocument.drawingml.chart+xml"/>
  <Override PartName="/word/charts/chart355.xml" ContentType="application/vnd.openxmlformats-officedocument.drawingml.chart+xml"/>
  <Override PartName="/word/charts/chart356.xml" ContentType="application/vnd.openxmlformats-officedocument.drawingml.chart+xml"/>
  <Override PartName="/word/charts/chart357.xml" ContentType="application/vnd.openxmlformats-officedocument.drawingml.chart+xml"/>
  <Override PartName="/word/charts/chart358.xml" ContentType="application/vnd.openxmlformats-officedocument.drawingml.chart+xml"/>
  <Override PartName="/word/charts/chart359.xml" ContentType="application/vnd.openxmlformats-officedocument.drawingml.chart+xml"/>
  <Override PartName="/word/charts/chart36.xml" ContentType="application/vnd.openxmlformats-officedocument.drawingml.chart+xml"/>
  <Override PartName="/word/charts/chart360.xml" ContentType="application/vnd.openxmlformats-officedocument.drawingml.chart+xml"/>
  <Override PartName="/word/charts/chart361.xml" ContentType="application/vnd.openxmlformats-officedocument.drawingml.chart+xml"/>
  <Override PartName="/word/charts/chart362.xml" ContentType="application/vnd.openxmlformats-officedocument.drawingml.chart+xml"/>
  <Override PartName="/word/charts/chart363.xml" ContentType="application/vnd.openxmlformats-officedocument.drawingml.chart+xml"/>
  <Override PartName="/word/charts/chart364.xml" ContentType="application/vnd.openxmlformats-officedocument.drawingml.chart+xml"/>
  <Override PartName="/word/charts/chart365.xml" ContentType="application/vnd.openxmlformats-officedocument.drawingml.chart+xml"/>
  <Override PartName="/word/charts/chart366.xml" ContentType="application/vnd.openxmlformats-officedocument.drawingml.chart+xml"/>
  <Override PartName="/word/charts/chart367.xml" ContentType="application/vnd.openxmlformats-officedocument.drawingml.chart+xml"/>
  <Override PartName="/word/charts/chart368.xml" ContentType="application/vnd.openxmlformats-officedocument.drawingml.chart+xml"/>
  <Override PartName="/word/charts/chart369.xml" ContentType="application/vnd.openxmlformats-officedocument.drawingml.chart+xml"/>
  <Override PartName="/word/charts/chart37.xml" ContentType="application/vnd.openxmlformats-officedocument.drawingml.chart+xml"/>
  <Override PartName="/word/charts/chart370.xml" ContentType="application/vnd.openxmlformats-officedocument.drawingml.chart+xml"/>
  <Override PartName="/word/charts/chart371.xml" ContentType="application/vnd.openxmlformats-officedocument.drawingml.chart+xml"/>
  <Override PartName="/word/charts/chart372.xml" ContentType="application/vnd.openxmlformats-officedocument.drawingml.chart+xml"/>
  <Override PartName="/word/charts/chart373.xml" ContentType="application/vnd.openxmlformats-officedocument.drawingml.chart+xml"/>
  <Override PartName="/word/charts/chart374.xml" ContentType="application/vnd.openxmlformats-officedocument.drawingml.chart+xml"/>
  <Override PartName="/word/charts/chart375.xml" ContentType="application/vnd.openxmlformats-officedocument.drawingml.chart+xml"/>
  <Override PartName="/word/charts/chart376.xml" ContentType="application/vnd.openxmlformats-officedocument.drawingml.chart+xml"/>
  <Override PartName="/word/charts/chart377.xml" ContentType="application/vnd.openxmlformats-officedocument.drawingml.chart+xml"/>
  <Override PartName="/word/charts/chart378.xml" ContentType="application/vnd.openxmlformats-officedocument.drawingml.chart+xml"/>
  <Override PartName="/word/charts/chart379.xml" ContentType="application/vnd.openxmlformats-officedocument.drawingml.chart+xml"/>
  <Override PartName="/word/charts/chart38.xml" ContentType="application/vnd.openxmlformats-officedocument.drawingml.chart+xml"/>
  <Override PartName="/word/charts/chart380.xml" ContentType="application/vnd.openxmlformats-officedocument.drawingml.chart+xml"/>
  <Override PartName="/word/charts/chart381.xml" ContentType="application/vnd.openxmlformats-officedocument.drawingml.chart+xml"/>
  <Override PartName="/word/charts/chart382.xml" ContentType="application/vnd.openxmlformats-officedocument.drawingml.chart+xml"/>
  <Override PartName="/word/charts/chart383.xml" ContentType="application/vnd.openxmlformats-officedocument.drawingml.chart+xml"/>
  <Override PartName="/word/charts/chart384.xml" ContentType="application/vnd.openxmlformats-officedocument.drawingml.chart+xml"/>
  <Override PartName="/word/charts/chart385.xml" ContentType="application/vnd.openxmlformats-officedocument.drawingml.chart+xml"/>
  <Override PartName="/word/charts/chart386.xml" ContentType="application/vnd.openxmlformats-officedocument.drawingml.chart+xml"/>
  <Override PartName="/word/charts/chart387.xml" ContentType="application/vnd.openxmlformats-officedocument.drawingml.chart+xml"/>
  <Override PartName="/word/charts/chart388.xml" ContentType="application/vnd.openxmlformats-officedocument.drawingml.chart+xml"/>
  <Override PartName="/word/charts/chart389.xml" ContentType="application/vnd.openxmlformats-officedocument.drawingml.chart+xml"/>
  <Override PartName="/word/charts/chart39.xml" ContentType="application/vnd.openxmlformats-officedocument.drawingml.chart+xml"/>
  <Override PartName="/word/charts/chart390.xml" ContentType="application/vnd.openxmlformats-officedocument.drawingml.chart+xml"/>
  <Override PartName="/word/charts/chart391.xml" ContentType="application/vnd.openxmlformats-officedocument.drawingml.chart+xml"/>
  <Override PartName="/word/charts/chart392.xml" ContentType="application/vnd.openxmlformats-officedocument.drawingml.chart+xml"/>
  <Override PartName="/word/charts/chart393.xml" ContentType="application/vnd.openxmlformats-officedocument.drawingml.chart+xml"/>
  <Override PartName="/word/charts/chart394.xml" ContentType="application/vnd.openxmlformats-officedocument.drawingml.chart+xml"/>
  <Override PartName="/word/charts/chart395.xml" ContentType="application/vnd.openxmlformats-officedocument.drawingml.chart+xml"/>
  <Override PartName="/word/charts/chart396.xml" ContentType="application/vnd.openxmlformats-officedocument.drawingml.chart+xml"/>
  <Override PartName="/word/charts/chart397.xml" ContentType="application/vnd.openxmlformats-officedocument.drawingml.chart+xml"/>
  <Override PartName="/word/charts/chart398.xml" ContentType="application/vnd.openxmlformats-officedocument.drawingml.chart+xml"/>
  <Override PartName="/word/charts/chart399.xml" ContentType="application/vnd.openxmlformats-officedocument.drawingml.chart+xml"/>
  <Override PartName="/word/charts/chart4.xml" ContentType="application/vnd.openxmlformats-officedocument.drawingml.chart+xml"/>
  <Override PartName="/word/charts/chart40.xml" ContentType="application/vnd.openxmlformats-officedocument.drawingml.chart+xml"/>
  <Override PartName="/word/charts/chart400.xml" ContentType="application/vnd.openxmlformats-officedocument.drawingml.chart+xml"/>
  <Override PartName="/word/charts/chart401.xml" ContentType="application/vnd.openxmlformats-officedocument.drawingml.chart+xml"/>
  <Override PartName="/word/charts/chart402.xml" ContentType="application/vnd.openxmlformats-officedocument.drawingml.chart+xml"/>
  <Override PartName="/word/charts/chart403.xml" ContentType="application/vnd.openxmlformats-officedocument.drawingml.chart+xml"/>
  <Override PartName="/word/charts/chart404.xml" ContentType="application/vnd.openxmlformats-officedocument.drawingml.chart+xml"/>
  <Override PartName="/word/charts/chart405.xml" ContentType="application/vnd.openxmlformats-officedocument.drawingml.chart+xml"/>
  <Override PartName="/word/charts/chart406.xml" ContentType="application/vnd.openxmlformats-officedocument.drawingml.chart+xml"/>
  <Override PartName="/word/charts/chart407.xml" ContentType="application/vnd.openxmlformats-officedocument.drawingml.chart+xml"/>
  <Override PartName="/word/charts/chart408.xml" ContentType="application/vnd.openxmlformats-officedocument.drawingml.chart+xml"/>
  <Override PartName="/word/charts/chart409.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drawings/drawing6.xml" ContentType="application/vnd.openxmlformats-officedocument.drawingml.chartshapes+xml"/>
  <Override PartName="/word/embeddings/Microsoft_Excel_Worksheet1.xlsx" ContentType="application/vnd.openxmlformats-officedocument.spreadsheetml.sheet"/>
  <Override PartName="/word/embeddings/Microsoft_Excel_Worksheet10.xlsx" ContentType="application/vnd.openxmlformats-officedocument.spreadsheetml.sheet"/>
  <Override PartName="/word/embeddings/Microsoft_Excel_Worksheet100.xlsx" ContentType="application/vnd.openxmlformats-officedocument.spreadsheetml.sheet"/>
  <Override PartName="/word/embeddings/Microsoft_Excel_Worksheet101.xlsx" ContentType="application/vnd.openxmlformats-officedocument.spreadsheetml.sheet"/>
  <Override PartName="/word/embeddings/Microsoft_Excel_Worksheet102.xlsx" ContentType="application/vnd.openxmlformats-officedocument.spreadsheetml.sheet"/>
  <Override PartName="/word/embeddings/Microsoft_Excel_Worksheet103.xlsx" ContentType="application/vnd.openxmlformats-officedocument.spreadsheetml.sheet"/>
  <Override PartName="/word/embeddings/Microsoft_Excel_Worksheet104.xlsx" ContentType="application/vnd.openxmlformats-officedocument.spreadsheetml.sheet"/>
  <Override PartName="/word/embeddings/Microsoft_Excel_Worksheet105.xlsx" ContentType="application/vnd.openxmlformats-officedocument.spreadsheetml.sheet"/>
  <Override PartName="/word/embeddings/Microsoft_Excel_Worksheet106.xlsx" ContentType="application/vnd.openxmlformats-officedocument.spreadsheetml.sheet"/>
  <Override PartName="/word/embeddings/Microsoft_Excel_Worksheet107.xlsx" ContentType="application/vnd.openxmlformats-officedocument.spreadsheetml.sheet"/>
  <Override PartName="/word/embeddings/Microsoft_Excel_Worksheet108.xlsx" ContentType="application/vnd.openxmlformats-officedocument.spreadsheetml.sheet"/>
  <Override PartName="/word/embeddings/Microsoft_Excel_Worksheet109.xlsx" ContentType="application/vnd.openxmlformats-officedocument.spreadsheetml.sheet"/>
  <Override PartName="/word/embeddings/Microsoft_Excel_Worksheet11.xlsx" ContentType="application/vnd.openxmlformats-officedocument.spreadsheetml.sheet"/>
  <Override PartName="/word/embeddings/Microsoft_Excel_Worksheet110.xlsx" ContentType="application/vnd.openxmlformats-officedocument.spreadsheetml.sheet"/>
  <Override PartName="/word/embeddings/Microsoft_Excel_Worksheet111.xlsx" ContentType="application/vnd.openxmlformats-officedocument.spreadsheetml.sheet"/>
  <Override PartName="/word/embeddings/Microsoft_Excel_Worksheet112.xlsx" ContentType="application/vnd.openxmlformats-officedocument.spreadsheetml.sheet"/>
  <Override PartName="/word/embeddings/Microsoft_Excel_Worksheet113.xlsx" ContentType="application/vnd.openxmlformats-officedocument.spreadsheetml.sheet"/>
  <Override PartName="/word/embeddings/Microsoft_Excel_Worksheet114.xlsx" ContentType="application/vnd.openxmlformats-officedocument.spreadsheetml.sheet"/>
  <Override PartName="/word/embeddings/Microsoft_Excel_Worksheet115.xlsx" ContentType="application/vnd.openxmlformats-officedocument.spreadsheetml.sheet"/>
  <Override PartName="/word/embeddings/Microsoft_Excel_Worksheet116.xlsx" ContentType="application/vnd.openxmlformats-officedocument.spreadsheetml.sheet"/>
  <Override PartName="/word/embeddings/Microsoft_Excel_Worksheet117.xlsx" ContentType="application/vnd.openxmlformats-officedocument.spreadsheetml.sheet"/>
  <Override PartName="/word/embeddings/Microsoft_Excel_Worksheet118.xlsx" ContentType="application/vnd.openxmlformats-officedocument.spreadsheetml.sheet"/>
  <Override PartName="/word/embeddings/Microsoft_Excel_Worksheet119.xlsx" ContentType="application/vnd.openxmlformats-officedocument.spreadsheetml.sheet"/>
  <Override PartName="/word/embeddings/Microsoft_Excel_Worksheet12.xlsx" ContentType="application/vnd.openxmlformats-officedocument.spreadsheetml.sheet"/>
  <Override PartName="/word/embeddings/Microsoft_Excel_Worksheet120.xlsx" ContentType="application/vnd.openxmlformats-officedocument.spreadsheetml.sheet"/>
  <Override PartName="/word/embeddings/Microsoft_Excel_Worksheet121.xlsx" ContentType="application/vnd.openxmlformats-officedocument.spreadsheetml.sheet"/>
  <Override PartName="/word/embeddings/Microsoft_Excel_Worksheet122.xlsx" ContentType="application/vnd.openxmlformats-officedocument.spreadsheetml.sheet"/>
  <Override PartName="/word/embeddings/Microsoft_Excel_Worksheet123.xlsx" ContentType="application/vnd.openxmlformats-officedocument.spreadsheetml.sheet"/>
  <Override PartName="/word/embeddings/Microsoft_Excel_Worksheet124.xlsx" ContentType="application/vnd.openxmlformats-officedocument.spreadsheetml.sheet"/>
  <Override PartName="/word/embeddings/Microsoft_Excel_Worksheet125.xlsx" ContentType="application/vnd.openxmlformats-officedocument.spreadsheetml.sheet"/>
  <Override PartName="/word/embeddings/Microsoft_Excel_Worksheet126.xlsx" ContentType="application/vnd.openxmlformats-officedocument.spreadsheetml.sheet"/>
  <Override PartName="/word/embeddings/Microsoft_Excel_Worksheet127.xlsx" ContentType="application/vnd.openxmlformats-officedocument.spreadsheetml.sheet"/>
  <Override PartName="/word/embeddings/Microsoft_Excel_Worksheet128.xlsx" ContentType="application/vnd.openxmlformats-officedocument.spreadsheetml.sheet"/>
  <Override PartName="/word/embeddings/Microsoft_Excel_Worksheet129.xlsx" ContentType="application/vnd.openxmlformats-officedocument.spreadsheetml.sheet"/>
  <Override PartName="/word/embeddings/Microsoft_Excel_Worksheet13.xlsx" ContentType="application/vnd.openxmlformats-officedocument.spreadsheetml.sheet"/>
  <Override PartName="/word/embeddings/Microsoft_Excel_Worksheet130.xlsx" ContentType="application/vnd.openxmlformats-officedocument.spreadsheetml.sheet"/>
  <Override PartName="/word/embeddings/Microsoft_Excel_Worksheet131.xlsx" ContentType="application/vnd.openxmlformats-officedocument.spreadsheetml.sheet"/>
  <Override PartName="/word/embeddings/Microsoft_Excel_Worksheet132.xlsx" ContentType="application/vnd.openxmlformats-officedocument.spreadsheetml.sheet"/>
  <Override PartName="/word/embeddings/Microsoft_Excel_Worksheet133.xlsx" ContentType="application/vnd.openxmlformats-officedocument.spreadsheetml.sheet"/>
  <Override PartName="/word/embeddings/Microsoft_Excel_Worksheet134.xlsx" ContentType="application/vnd.openxmlformats-officedocument.spreadsheetml.sheet"/>
  <Override PartName="/word/embeddings/Microsoft_Excel_Worksheet135.xlsx" ContentType="application/vnd.openxmlformats-officedocument.spreadsheetml.sheet"/>
  <Override PartName="/word/embeddings/Microsoft_Excel_Worksheet136.xlsx" ContentType="application/vnd.openxmlformats-officedocument.spreadsheetml.sheet"/>
  <Override PartName="/word/embeddings/Microsoft_Excel_Worksheet137.xlsx" ContentType="application/vnd.openxmlformats-officedocument.spreadsheetml.sheet"/>
  <Override PartName="/word/embeddings/Microsoft_Excel_Worksheet138.xlsx" ContentType="application/vnd.openxmlformats-officedocument.spreadsheetml.sheet"/>
  <Override PartName="/word/embeddings/Microsoft_Excel_Worksheet139.xlsx" ContentType="application/vnd.openxmlformats-officedocument.spreadsheetml.sheet"/>
  <Override PartName="/word/embeddings/Microsoft_Excel_Worksheet14.xlsx" ContentType="application/vnd.openxmlformats-officedocument.spreadsheetml.sheet"/>
  <Override PartName="/word/embeddings/Microsoft_Excel_Worksheet140.xlsx" ContentType="application/vnd.openxmlformats-officedocument.spreadsheetml.sheet"/>
  <Override PartName="/word/embeddings/Microsoft_Excel_Worksheet141.xlsx" ContentType="application/vnd.openxmlformats-officedocument.spreadsheetml.sheet"/>
  <Override PartName="/word/embeddings/Microsoft_Excel_Worksheet142.xlsx" ContentType="application/vnd.openxmlformats-officedocument.spreadsheetml.sheet"/>
  <Override PartName="/word/embeddings/Microsoft_Excel_Worksheet143.xlsx" ContentType="application/vnd.openxmlformats-officedocument.spreadsheetml.sheet"/>
  <Override PartName="/word/embeddings/Microsoft_Excel_Worksheet144.xlsx" ContentType="application/vnd.openxmlformats-officedocument.spreadsheetml.sheet"/>
  <Override PartName="/word/embeddings/Microsoft_Excel_Worksheet145.xlsx" ContentType="application/vnd.openxmlformats-officedocument.spreadsheetml.sheet"/>
  <Override PartName="/word/embeddings/Microsoft_Excel_Worksheet146.xlsx" ContentType="application/vnd.openxmlformats-officedocument.spreadsheetml.sheet"/>
  <Override PartName="/word/embeddings/Microsoft_Excel_Worksheet147.xlsx" ContentType="application/vnd.openxmlformats-officedocument.spreadsheetml.sheet"/>
  <Override PartName="/word/embeddings/Microsoft_Excel_Worksheet148.xlsx" ContentType="application/vnd.openxmlformats-officedocument.spreadsheetml.sheet"/>
  <Override PartName="/word/embeddings/Microsoft_Excel_Worksheet149.xlsx" ContentType="application/vnd.openxmlformats-officedocument.spreadsheetml.sheet"/>
  <Override PartName="/word/embeddings/Microsoft_Excel_Worksheet15.xlsx" ContentType="application/vnd.openxmlformats-officedocument.spreadsheetml.sheet"/>
  <Override PartName="/word/embeddings/Microsoft_Excel_Worksheet150.xlsx" ContentType="application/vnd.openxmlformats-officedocument.spreadsheetml.sheet"/>
  <Override PartName="/word/embeddings/Microsoft_Excel_Worksheet151.xlsx" ContentType="application/vnd.openxmlformats-officedocument.spreadsheetml.sheet"/>
  <Override PartName="/word/embeddings/Microsoft_Excel_Worksheet152.xlsx" ContentType="application/vnd.openxmlformats-officedocument.spreadsheetml.sheet"/>
  <Override PartName="/word/embeddings/Microsoft_Excel_Worksheet153.xlsx" ContentType="application/vnd.openxmlformats-officedocument.spreadsheetml.sheet"/>
  <Override PartName="/word/embeddings/Microsoft_Excel_Worksheet154.xlsx" ContentType="application/vnd.openxmlformats-officedocument.spreadsheetml.sheet"/>
  <Override PartName="/word/embeddings/Microsoft_Excel_Worksheet155.xlsx" ContentType="application/vnd.openxmlformats-officedocument.spreadsheetml.sheet"/>
  <Override PartName="/word/embeddings/Microsoft_Excel_Worksheet156.xlsx" ContentType="application/vnd.openxmlformats-officedocument.spreadsheetml.sheet"/>
  <Override PartName="/word/embeddings/Microsoft_Excel_Worksheet157.xlsx" ContentType="application/vnd.openxmlformats-officedocument.spreadsheetml.sheet"/>
  <Override PartName="/word/embeddings/Microsoft_Excel_Worksheet158.xlsx" ContentType="application/vnd.openxmlformats-officedocument.spreadsheetml.sheet"/>
  <Override PartName="/word/embeddings/Microsoft_Excel_Worksheet159.xlsx" ContentType="application/vnd.openxmlformats-officedocument.spreadsheetml.sheet"/>
  <Override PartName="/word/embeddings/Microsoft_Excel_Worksheet16.xlsx" ContentType="application/vnd.openxmlformats-officedocument.spreadsheetml.sheet"/>
  <Override PartName="/word/embeddings/Microsoft_Excel_Worksheet160.xlsx" ContentType="application/vnd.openxmlformats-officedocument.spreadsheetml.sheet"/>
  <Override PartName="/word/embeddings/Microsoft_Excel_Worksheet161.xlsx" ContentType="application/vnd.openxmlformats-officedocument.spreadsheetml.sheet"/>
  <Override PartName="/word/embeddings/Microsoft_Excel_Worksheet162.xlsx" ContentType="application/vnd.openxmlformats-officedocument.spreadsheetml.sheet"/>
  <Override PartName="/word/embeddings/Microsoft_Excel_Worksheet163.xlsx" ContentType="application/vnd.openxmlformats-officedocument.spreadsheetml.sheet"/>
  <Override PartName="/word/embeddings/Microsoft_Excel_Worksheet164.xlsx" ContentType="application/vnd.openxmlformats-officedocument.spreadsheetml.sheet"/>
  <Override PartName="/word/embeddings/Microsoft_Excel_Worksheet165.xlsx" ContentType="application/vnd.openxmlformats-officedocument.spreadsheetml.sheet"/>
  <Override PartName="/word/embeddings/Microsoft_Excel_Worksheet166.xlsx" ContentType="application/vnd.openxmlformats-officedocument.spreadsheetml.sheet"/>
  <Override PartName="/word/embeddings/Microsoft_Excel_Worksheet167.xlsx" ContentType="application/vnd.openxmlformats-officedocument.spreadsheetml.sheet"/>
  <Override PartName="/word/embeddings/Microsoft_Excel_Worksheet168.xlsx" ContentType="application/vnd.openxmlformats-officedocument.spreadsheetml.sheet"/>
  <Override PartName="/word/embeddings/Microsoft_Excel_Worksheet169.xlsx" ContentType="application/vnd.openxmlformats-officedocument.spreadsheetml.sheet"/>
  <Override PartName="/word/embeddings/Microsoft_Excel_Worksheet17.xlsx" ContentType="application/vnd.openxmlformats-officedocument.spreadsheetml.sheet"/>
  <Override PartName="/word/embeddings/Microsoft_Excel_Worksheet170.xlsx" ContentType="application/vnd.openxmlformats-officedocument.spreadsheetml.sheet"/>
  <Override PartName="/word/embeddings/Microsoft_Excel_Worksheet171.xlsx" ContentType="application/vnd.openxmlformats-officedocument.spreadsheetml.sheet"/>
  <Override PartName="/word/embeddings/Microsoft_Excel_Worksheet172.xlsx" ContentType="application/vnd.openxmlformats-officedocument.spreadsheetml.sheet"/>
  <Override PartName="/word/embeddings/Microsoft_Excel_Worksheet173.xlsx" ContentType="application/vnd.openxmlformats-officedocument.spreadsheetml.sheet"/>
  <Override PartName="/word/embeddings/Microsoft_Excel_Worksheet174.xlsx" ContentType="application/vnd.openxmlformats-officedocument.spreadsheetml.sheet"/>
  <Override PartName="/word/embeddings/Microsoft_Excel_Worksheet175.xlsx" ContentType="application/vnd.openxmlformats-officedocument.spreadsheetml.sheet"/>
  <Override PartName="/word/embeddings/Microsoft_Excel_Worksheet176.xlsx" ContentType="application/vnd.openxmlformats-officedocument.spreadsheetml.sheet"/>
  <Override PartName="/word/embeddings/Microsoft_Excel_Worksheet177.xlsx" ContentType="application/vnd.openxmlformats-officedocument.spreadsheetml.sheet"/>
  <Override PartName="/word/embeddings/Microsoft_Excel_Worksheet178.xlsx" ContentType="application/vnd.openxmlformats-officedocument.spreadsheetml.sheet"/>
  <Override PartName="/word/embeddings/Microsoft_Excel_Worksheet179.xlsx" ContentType="application/vnd.openxmlformats-officedocument.spreadsheetml.sheet"/>
  <Override PartName="/word/embeddings/Microsoft_Excel_Worksheet18.xlsx" ContentType="application/vnd.openxmlformats-officedocument.spreadsheetml.sheet"/>
  <Override PartName="/word/embeddings/Microsoft_Excel_Worksheet180.xlsx" ContentType="application/vnd.openxmlformats-officedocument.spreadsheetml.sheet"/>
  <Override PartName="/word/embeddings/Microsoft_Excel_Worksheet181.xlsx" ContentType="application/vnd.openxmlformats-officedocument.spreadsheetml.sheet"/>
  <Override PartName="/word/embeddings/Microsoft_Excel_Worksheet182.xlsx" ContentType="application/vnd.openxmlformats-officedocument.spreadsheetml.sheet"/>
  <Override PartName="/word/embeddings/Microsoft_Excel_Worksheet183.xlsx" ContentType="application/vnd.openxmlformats-officedocument.spreadsheetml.sheet"/>
  <Override PartName="/word/embeddings/Microsoft_Excel_Worksheet184.xlsx" ContentType="application/vnd.openxmlformats-officedocument.spreadsheetml.sheet"/>
  <Override PartName="/word/embeddings/Microsoft_Excel_Worksheet185.xlsx" ContentType="application/vnd.openxmlformats-officedocument.spreadsheetml.sheet"/>
  <Override PartName="/word/embeddings/Microsoft_Excel_Worksheet186.xlsx" ContentType="application/vnd.openxmlformats-officedocument.spreadsheetml.sheet"/>
  <Override PartName="/word/embeddings/Microsoft_Excel_Worksheet187.xlsx" ContentType="application/vnd.openxmlformats-officedocument.spreadsheetml.sheet"/>
  <Override PartName="/word/embeddings/Microsoft_Excel_Worksheet188.xlsx" ContentType="application/vnd.openxmlformats-officedocument.spreadsheetml.sheet"/>
  <Override PartName="/word/embeddings/Microsoft_Excel_Worksheet189.xlsx" ContentType="application/vnd.openxmlformats-officedocument.spreadsheetml.sheet"/>
  <Override PartName="/word/embeddings/Microsoft_Excel_Worksheet19.xlsx" ContentType="application/vnd.openxmlformats-officedocument.spreadsheetml.sheet"/>
  <Override PartName="/word/embeddings/Microsoft_Excel_Worksheet190.xlsx" ContentType="application/vnd.openxmlformats-officedocument.spreadsheetml.sheet"/>
  <Override PartName="/word/embeddings/Microsoft_Excel_Worksheet191.xlsx" ContentType="application/vnd.openxmlformats-officedocument.spreadsheetml.sheet"/>
  <Override PartName="/word/embeddings/Microsoft_Excel_Worksheet192.xlsx" ContentType="application/vnd.openxmlformats-officedocument.spreadsheetml.sheet"/>
  <Override PartName="/word/embeddings/Microsoft_Excel_Worksheet193.xlsx" ContentType="application/vnd.openxmlformats-officedocument.spreadsheetml.sheet"/>
  <Override PartName="/word/embeddings/Microsoft_Excel_Worksheet194.xlsx" ContentType="application/vnd.openxmlformats-officedocument.spreadsheetml.sheet"/>
  <Override PartName="/word/embeddings/Microsoft_Excel_Worksheet195.xlsx" ContentType="application/vnd.openxmlformats-officedocument.spreadsheetml.sheet"/>
  <Override PartName="/word/embeddings/Microsoft_Excel_Worksheet196.xlsx" ContentType="application/vnd.openxmlformats-officedocument.spreadsheetml.sheet"/>
  <Override PartName="/word/embeddings/Microsoft_Excel_Worksheet197.xlsx" ContentType="application/vnd.openxmlformats-officedocument.spreadsheetml.sheet"/>
  <Override PartName="/word/embeddings/Microsoft_Excel_Worksheet198.xlsx" ContentType="application/vnd.openxmlformats-officedocument.spreadsheetml.sheet"/>
  <Override PartName="/word/embeddings/Microsoft_Excel_Worksheet199.xlsx" ContentType="application/vnd.openxmlformats-officedocument.spreadsheetml.sheet"/>
  <Override PartName="/word/embeddings/Microsoft_Excel_Worksheet2.xlsx" ContentType="application/vnd.openxmlformats-officedocument.spreadsheetml.sheet"/>
  <Override PartName="/word/embeddings/Microsoft_Excel_Worksheet20.xlsx" ContentType="application/vnd.openxmlformats-officedocument.spreadsheetml.sheet"/>
  <Override PartName="/word/embeddings/Microsoft_Excel_Worksheet200.xlsx" ContentType="application/vnd.openxmlformats-officedocument.spreadsheetml.sheet"/>
  <Override PartName="/word/embeddings/Microsoft_Excel_Worksheet201.xlsx" ContentType="application/vnd.openxmlformats-officedocument.spreadsheetml.sheet"/>
  <Override PartName="/word/embeddings/Microsoft_Excel_Worksheet202.xlsx" ContentType="application/vnd.openxmlformats-officedocument.spreadsheetml.sheet"/>
  <Override PartName="/word/embeddings/Microsoft_Excel_Worksheet203.xlsx" ContentType="application/vnd.openxmlformats-officedocument.spreadsheetml.sheet"/>
  <Override PartName="/word/embeddings/Microsoft_Excel_Worksheet204.xlsx" ContentType="application/vnd.openxmlformats-officedocument.spreadsheetml.sheet"/>
  <Override PartName="/word/embeddings/Microsoft_Excel_Worksheet205.xlsx" ContentType="application/vnd.openxmlformats-officedocument.spreadsheetml.sheet"/>
  <Override PartName="/word/embeddings/Microsoft_Excel_Worksheet206.xlsx" ContentType="application/vnd.openxmlformats-officedocument.spreadsheetml.sheet"/>
  <Override PartName="/word/embeddings/Microsoft_Excel_Worksheet207.xlsx" ContentType="application/vnd.openxmlformats-officedocument.spreadsheetml.sheet"/>
  <Override PartName="/word/embeddings/Microsoft_Excel_Worksheet208.xlsx" ContentType="application/vnd.openxmlformats-officedocument.spreadsheetml.sheet"/>
  <Override PartName="/word/embeddings/Microsoft_Excel_Worksheet209.xlsx" ContentType="application/vnd.openxmlformats-officedocument.spreadsheetml.sheet"/>
  <Override PartName="/word/embeddings/Microsoft_Excel_Worksheet21.xlsx" ContentType="application/vnd.openxmlformats-officedocument.spreadsheetml.sheet"/>
  <Override PartName="/word/embeddings/Microsoft_Excel_Worksheet210.xlsx" ContentType="application/vnd.openxmlformats-officedocument.spreadsheetml.sheet"/>
  <Override PartName="/word/embeddings/Microsoft_Excel_Worksheet211.xlsx" ContentType="application/vnd.openxmlformats-officedocument.spreadsheetml.sheet"/>
  <Override PartName="/word/embeddings/Microsoft_Excel_Worksheet212.xlsx" ContentType="application/vnd.openxmlformats-officedocument.spreadsheetml.sheet"/>
  <Override PartName="/word/embeddings/Microsoft_Excel_Worksheet213.xlsx" ContentType="application/vnd.openxmlformats-officedocument.spreadsheetml.sheet"/>
  <Override PartName="/word/embeddings/Microsoft_Excel_Worksheet214.xlsx" ContentType="application/vnd.openxmlformats-officedocument.spreadsheetml.sheet"/>
  <Override PartName="/word/embeddings/Microsoft_Excel_Worksheet215.xlsx" ContentType="application/vnd.openxmlformats-officedocument.spreadsheetml.sheet"/>
  <Override PartName="/word/embeddings/Microsoft_Excel_Worksheet216.xlsx" ContentType="application/vnd.openxmlformats-officedocument.spreadsheetml.sheet"/>
  <Override PartName="/word/embeddings/Microsoft_Excel_Worksheet217.xlsx" ContentType="application/vnd.openxmlformats-officedocument.spreadsheetml.sheet"/>
  <Override PartName="/word/embeddings/Microsoft_Excel_Worksheet218.xlsx" ContentType="application/vnd.openxmlformats-officedocument.spreadsheetml.sheet"/>
  <Override PartName="/word/embeddings/Microsoft_Excel_Worksheet219.xlsx" ContentType="application/vnd.openxmlformats-officedocument.spreadsheetml.sheet"/>
  <Override PartName="/word/embeddings/Microsoft_Excel_Worksheet22.xlsx" ContentType="application/vnd.openxmlformats-officedocument.spreadsheetml.sheet"/>
  <Override PartName="/word/embeddings/Microsoft_Excel_Worksheet220.xlsx" ContentType="application/vnd.openxmlformats-officedocument.spreadsheetml.sheet"/>
  <Override PartName="/word/embeddings/Microsoft_Excel_Worksheet221.xlsx" ContentType="application/vnd.openxmlformats-officedocument.spreadsheetml.sheet"/>
  <Override PartName="/word/embeddings/Microsoft_Excel_Worksheet222.xlsx" ContentType="application/vnd.openxmlformats-officedocument.spreadsheetml.sheet"/>
  <Override PartName="/word/embeddings/Microsoft_Excel_Worksheet223.xlsx" ContentType="application/vnd.openxmlformats-officedocument.spreadsheetml.sheet"/>
  <Override PartName="/word/embeddings/Microsoft_Excel_Worksheet224.xlsx" ContentType="application/vnd.openxmlformats-officedocument.spreadsheetml.sheet"/>
  <Override PartName="/word/embeddings/Microsoft_Excel_Worksheet225.xlsx" ContentType="application/vnd.openxmlformats-officedocument.spreadsheetml.sheet"/>
  <Override PartName="/word/embeddings/Microsoft_Excel_Worksheet226.xlsx" ContentType="application/vnd.openxmlformats-officedocument.spreadsheetml.sheet"/>
  <Override PartName="/word/embeddings/Microsoft_Excel_Worksheet227.xlsx" ContentType="application/vnd.openxmlformats-officedocument.spreadsheetml.sheet"/>
  <Override PartName="/word/embeddings/Microsoft_Excel_Worksheet228.xlsx" ContentType="application/vnd.openxmlformats-officedocument.spreadsheetml.sheet"/>
  <Override PartName="/word/embeddings/Microsoft_Excel_Worksheet229.xlsx" ContentType="application/vnd.openxmlformats-officedocument.spreadsheetml.sheet"/>
  <Override PartName="/word/embeddings/Microsoft_Excel_Worksheet23.xlsx" ContentType="application/vnd.openxmlformats-officedocument.spreadsheetml.sheet"/>
  <Override PartName="/word/embeddings/Microsoft_Excel_Worksheet230.xlsx" ContentType="application/vnd.openxmlformats-officedocument.spreadsheetml.sheet"/>
  <Override PartName="/word/embeddings/Microsoft_Excel_Worksheet231.xlsx" ContentType="application/vnd.openxmlformats-officedocument.spreadsheetml.sheet"/>
  <Override PartName="/word/embeddings/Microsoft_Excel_Worksheet232.xlsx" ContentType="application/vnd.openxmlformats-officedocument.spreadsheetml.sheet"/>
  <Override PartName="/word/embeddings/Microsoft_Excel_Worksheet233.xlsx" ContentType="application/vnd.openxmlformats-officedocument.spreadsheetml.sheet"/>
  <Override PartName="/word/embeddings/Microsoft_Excel_Worksheet234.xlsx" ContentType="application/vnd.openxmlformats-officedocument.spreadsheetml.sheet"/>
  <Override PartName="/word/embeddings/Microsoft_Excel_Worksheet235.xlsx" ContentType="application/vnd.openxmlformats-officedocument.spreadsheetml.sheet"/>
  <Override PartName="/word/embeddings/Microsoft_Excel_Worksheet236.xlsx" ContentType="application/vnd.openxmlformats-officedocument.spreadsheetml.sheet"/>
  <Override PartName="/word/embeddings/Microsoft_Excel_Worksheet237.xlsx" ContentType="application/vnd.openxmlformats-officedocument.spreadsheetml.sheet"/>
  <Override PartName="/word/embeddings/Microsoft_Excel_Worksheet238.xlsx" ContentType="application/vnd.openxmlformats-officedocument.spreadsheetml.sheet"/>
  <Override PartName="/word/embeddings/Microsoft_Excel_Worksheet239.xlsx" ContentType="application/vnd.openxmlformats-officedocument.spreadsheetml.sheet"/>
  <Override PartName="/word/embeddings/Microsoft_Excel_Worksheet24.xlsx" ContentType="application/vnd.openxmlformats-officedocument.spreadsheetml.sheet"/>
  <Override PartName="/word/embeddings/Microsoft_Excel_Worksheet240.xlsx" ContentType="application/vnd.openxmlformats-officedocument.spreadsheetml.sheet"/>
  <Override PartName="/word/embeddings/Microsoft_Excel_Worksheet241.xlsx" ContentType="application/vnd.openxmlformats-officedocument.spreadsheetml.sheet"/>
  <Override PartName="/word/embeddings/Microsoft_Excel_Worksheet242.xlsx" ContentType="application/vnd.openxmlformats-officedocument.spreadsheetml.sheet"/>
  <Override PartName="/word/embeddings/Microsoft_Excel_Worksheet243.xlsx" ContentType="application/vnd.openxmlformats-officedocument.spreadsheetml.sheet"/>
  <Override PartName="/word/embeddings/Microsoft_Excel_Worksheet244.xlsx" ContentType="application/vnd.openxmlformats-officedocument.spreadsheetml.sheet"/>
  <Override PartName="/word/embeddings/Microsoft_Excel_Worksheet245.xlsx" ContentType="application/vnd.openxmlformats-officedocument.spreadsheetml.sheet"/>
  <Override PartName="/word/embeddings/Microsoft_Excel_Worksheet246.xlsx" ContentType="application/vnd.openxmlformats-officedocument.spreadsheetml.sheet"/>
  <Override PartName="/word/embeddings/Microsoft_Excel_Worksheet247.xlsx" ContentType="application/vnd.openxmlformats-officedocument.spreadsheetml.sheet"/>
  <Override PartName="/word/embeddings/Microsoft_Excel_Worksheet248.xlsx" ContentType="application/vnd.openxmlformats-officedocument.spreadsheetml.sheet"/>
  <Override PartName="/word/embeddings/Microsoft_Excel_Worksheet249.xlsx" ContentType="application/vnd.openxmlformats-officedocument.spreadsheetml.sheet"/>
  <Override PartName="/word/embeddings/Microsoft_Excel_Worksheet25.xlsx" ContentType="application/vnd.openxmlformats-officedocument.spreadsheetml.sheet"/>
  <Override PartName="/word/embeddings/Microsoft_Excel_Worksheet250.xlsx" ContentType="application/vnd.openxmlformats-officedocument.spreadsheetml.sheet"/>
  <Override PartName="/word/embeddings/Microsoft_Excel_Worksheet251.xlsx" ContentType="application/vnd.openxmlformats-officedocument.spreadsheetml.sheet"/>
  <Override PartName="/word/embeddings/Microsoft_Excel_Worksheet252.xlsx" ContentType="application/vnd.openxmlformats-officedocument.spreadsheetml.sheet"/>
  <Override PartName="/word/embeddings/Microsoft_Excel_Worksheet253.xlsx" ContentType="application/vnd.openxmlformats-officedocument.spreadsheetml.sheet"/>
  <Override PartName="/word/embeddings/Microsoft_Excel_Worksheet254.xlsx" ContentType="application/vnd.openxmlformats-officedocument.spreadsheetml.sheet"/>
  <Override PartName="/word/embeddings/Microsoft_Excel_Worksheet255.xlsx" ContentType="application/vnd.openxmlformats-officedocument.spreadsheetml.sheet"/>
  <Override PartName="/word/embeddings/Microsoft_Excel_Worksheet256.xlsx" ContentType="application/vnd.openxmlformats-officedocument.spreadsheetml.sheet"/>
  <Override PartName="/word/embeddings/Microsoft_Excel_Worksheet257.xlsx" ContentType="application/vnd.openxmlformats-officedocument.spreadsheetml.sheet"/>
  <Override PartName="/word/embeddings/Microsoft_Excel_Worksheet258.xlsx" ContentType="application/vnd.openxmlformats-officedocument.spreadsheetml.sheet"/>
  <Override PartName="/word/embeddings/Microsoft_Excel_Worksheet259.xlsx" ContentType="application/vnd.openxmlformats-officedocument.spreadsheetml.sheet"/>
  <Override PartName="/word/embeddings/Microsoft_Excel_Worksheet26.xlsx" ContentType="application/vnd.openxmlformats-officedocument.spreadsheetml.sheet"/>
  <Override PartName="/word/embeddings/Microsoft_Excel_Worksheet260.xlsx" ContentType="application/vnd.openxmlformats-officedocument.spreadsheetml.sheet"/>
  <Override PartName="/word/embeddings/Microsoft_Excel_Worksheet261.xlsx" ContentType="application/vnd.openxmlformats-officedocument.spreadsheetml.sheet"/>
  <Override PartName="/word/embeddings/Microsoft_Excel_Worksheet262.xlsx" ContentType="application/vnd.openxmlformats-officedocument.spreadsheetml.sheet"/>
  <Override PartName="/word/embeddings/Microsoft_Excel_Worksheet263.xlsx" ContentType="application/vnd.openxmlformats-officedocument.spreadsheetml.sheet"/>
  <Override PartName="/word/embeddings/Microsoft_Excel_Worksheet264.xlsx" ContentType="application/vnd.openxmlformats-officedocument.spreadsheetml.sheet"/>
  <Override PartName="/word/embeddings/Microsoft_Excel_Worksheet265.xlsx" ContentType="application/vnd.openxmlformats-officedocument.spreadsheetml.sheet"/>
  <Override PartName="/word/embeddings/Microsoft_Excel_Worksheet266.xlsx" ContentType="application/vnd.openxmlformats-officedocument.spreadsheetml.sheet"/>
  <Override PartName="/word/embeddings/Microsoft_Excel_Worksheet267.xlsx" ContentType="application/vnd.openxmlformats-officedocument.spreadsheetml.sheet"/>
  <Override PartName="/word/embeddings/Microsoft_Excel_Worksheet268.xlsx" ContentType="application/vnd.openxmlformats-officedocument.spreadsheetml.sheet"/>
  <Override PartName="/word/embeddings/Microsoft_Excel_Worksheet269.xlsx" ContentType="application/vnd.openxmlformats-officedocument.spreadsheetml.sheet"/>
  <Override PartName="/word/embeddings/Microsoft_Excel_Worksheet27.xlsx" ContentType="application/vnd.openxmlformats-officedocument.spreadsheetml.sheet"/>
  <Override PartName="/word/embeddings/Microsoft_Excel_Worksheet270.xlsx" ContentType="application/vnd.openxmlformats-officedocument.spreadsheetml.sheet"/>
  <Override PartName="/word/embeddings/Microsoft_Excel_Worksheet271.xlsx" ContentType="application/vnd.openxmlformats-officedocument.spreadsheetml.sheet"/>
  <Override PartName="/word/embeddings/Microsoft_Excel_Worksheet272.xlsx" ContentType="application/vnd.openxmlformats-officedocument.spreadsheetml.sheet"/>
  <Override PartName="/word/embeddings/Microsoft_Excel_Worksheet273.xlsx" ContentType="application/vnd.openxmlformats-officedocument.spreadsheetml.sheet"/>
  <Override PartName="/word/embeddings/Microsoft_Excel_Worksheet274.xlsx" ContentType="application/vnd.openxmlformats-officedocument.spreadsheetml.sheet"/>
  <Override PartName="/word/embeddings/Microsoft_Excel_Worksheet275.xlsx" ContentType="application/vnd.openxmlformats-officedocument.spreadsheetml.sheet"/>
  <Override PartName="/word/embeddings/Microsoft_Excel_Worksheet276.xlsx" ContentType="application/vnd.openxmlformats-officedocument.spreadsheetml.sheet"/>
  <Override PartName="/word/embeddings/Microsoft_Excel_Worksheet277.xlsx" ContentType="application/vnd.openxmlformats-officedocument.spreadsheetml.sheet"/>
  <Override PartName="/word/embeddings/Microsoft_Excel_Worksheet278.xlsx" ContentType="application/vnd.openxmlformats-officedocument.spreadsheetml.sheet"/>
  <Override PartName="/word/embeddings/Microsoft_Excel_Worksheet279.xlsx" ContentType="application/vnd.openxmlformats-officedocument.spreadsheetml.sheet"/>
  <Override PartName="/word/embeddings/Microsoft_Excel_Worksheet28.xlsx" ContentType="application/vnd.openxmlformats-officedocument.spreadsheetml.sheet"/>
  <Override PartName="/word/embeddings/Microsoft_Excel_Worksheet280.xlsx" ContentType="application/vnd.openxmlformats-officedocument.spreadsheetml.sheet"/>
  <Override PartName="/word/embeddings/Microsoft_Excel_Worksheet281.xlsx" ContentType="application/vnd.openxmlformats-officedocument.spreadsheetml.sheet"/>
  <Override PartName="/word/embeddings/Microsoft_Excel_Worksheet282.xlsx" ContentType="application/vnd.openxmlformats-officedocument.spreadsheetml.sheet"/>
  <Override PartName="/word/embeddings/Microsoft_Excel_Worksheet283.xlsx" ContentType="application/vnd.openxmlformats-officedocument.spreadsheetml.sheet"/>
  <Override PartName="/word/embeddings/Microsoft_Excel_Worksheet284.xlsx" ContentType="application/vnd.openxmlformats-officedocument.spreadsheetml.sheet"/>
  <Override PartName="/word/embeddings/Microsoft_Excel_Worksheet285.xlsx" ContentType="application/vnd.openxmlformats-officedocument.spreadsheetml.sheet"/>
  <Override PartName="/word/embeddings/Microsoft_Excel_Worksheet286.xlsx" ContentType="application/vnd.openxmlformats-officedocument.spreadsheetml.sheet"/>
  <Override PartName="/word/embeddings/Microsoft_Excel_Worksheet287.xlsx" ContentType="application/vnd.openxmlformats-officedocument.spreadsheetml.sheet"/>
  <Override PartName="/word/embeddings/Microsoft_Excel_Worksheet288.xlsx" ContentType="application/vnd.openxmlformats-officedocument.spreadsheetml.sheet"/>
  <Override PartName="/word/embeddings/Microsoft_Excel_Worksheet289.xlsx" ContentType="application/vnd.openxmlformats-officedocument.spreadsheetml.sheet"/>
  <Override PartName="/word/embeddings/Microsoft_Excel_Worksheet29.xlsx" ContentType="application/vnd.openxmlformats-officedocument.spreadsheetml.sheet"/>
  <Override PartName="/word/embeddings/Microsoft_Excel_Worksheet290.xlsx" ContentType="application/vnd.openxmlformats-officedocument.spreadsheetml.sheet"/>
  <Override PartName="/word/embeddings/Microsoft_Excel_Worksheet291.xlsx" ContentType="application/vnd.openxmlformats-officedocument.spreadsheetml.sheet"/>
  <Override PartName="/word/embeddings/Microsoft_Excel_Worksheet292.xlsx" ContentType="application/vnd.openxmlformats-officedocument.spreadsheetml.sheet"/>
  <Override PartName="/word/embeddings/Microsoft_Excel_Worksheet293.xlsx" ContentType="application/vnd.openxmlformats-officedocument.spreadsheetml.sheet"/>
  <Override PartName="/word/embeddings/Microsoft_Excel_Worksheet294.xlsx" ContentType="application/vnd.openxmlformats-officedocument.spreadsheetml.sheet"/>
  <Override PartName="/word/embeddings/Microsoft_Excel_Worksheet295.xlsx" ContentType="application/vnd.openxmlformats-officedocument.spreadsheetml.sheet"/>
  <Override PartName="/word/embeddings/Microsoft_Excel_Worksheet296.xlsx" ContentType="application/vnd.openxmlformats-officedocument.spreadsheetml.sheet"/>
  <Override PartName="/word/embeddings/Microsoft_Excel_Worksheet297.xlsx" ContentType="application/vnd.openxmlformats-officedocument.spreadsheetml.sheet"/>
  <Override PartName="/word/embeddings/Microsoft_Excel_Worksheet298.xlsx" ContentType="application/vnd.openxmlformats-officedocument.spreadsheetml.sheet"/>
  <Override PartName="/word/embeddings/Microsoft_Excel_Worksheet299.xlsx" ContentType="application/vnd.openxmlformats-officedocument.spreadsheetml.sheet"/>
  <Override PartName="/word/embeddings/Microsoft_Excel_Worksheet3.xlsx" ContentType="application/vnd.openxmlformats-officedocument.spreadsheetml.sheet"/>
  <Override PartName="/word/embeddings/Microsoft_Excel_Worksheet30.xlsx" ContentType="application/vnd.openxmlformats-officedocument.spreadsheetml.sheet"/>
  <Override PartName="/word/embeddings/Microsoft_Excel_Worksheet300.xlsx" ContentType="application/vnd.openxmlformats-officedocument.spreadsheetml.sheet"/>
  <Override PartName="/word/embeddings/Microsoft_Excel_Worksheet301.xlsx" ContentType="application/vnd.openxmlformats-officedocument.spreadsheetml.sheet"/>
  <Override PartName="/word/embeddings/Microsoft_Excel_Worksheet302.xlsx" ContentType="application/vnd.openxmlformats-officedocument.spreadsheetml.sheet"/>
  <Override PartName="/word/embeddings/Microsoft_Excel_Worksheet303.xlsx" ContentType="application/vnd.openxmlformats-officedocument.spreadsheetml.sheet"/>
  <Override PartName="/word/embeddings/Microsoft_Excel_Worksheet304.xlsx" ContentType="application/vnd.openxmlformats-officedocument.spreadsheetml.sheet"/>
  <Override PartName="/word/embeddings/Microsoft_Excel_Worksheet305.xlsx" ContentType="application/vnd.openxmlformats-officedocument.spreadsheetml.sheet"/>
  <Override PartName="/word/embeddings/Microsoft_Excel_Worksheet306.xlsx" ContentType="application/vnd.openxmlformats-officedocument.spreadsheetml.sheet"/>
  <Override PartName="/word/embeddings/Microsoft_Excel_Worksheet307.xlsx" ContentType="application/vnd.openxmlformats-officedocument.spreadsheetml.sheet"/>
  <Override PartName="/word/embeddings/Microsoft_Excel_Worksheet308.xlsx" ContentType="application/vnd.openxmlformats-officedocument.spreadsheetml.sheet"/>
  <Override PartName="/word/embeddings/Microsoft_Excel_Worksheet309.xlsx" ContentType="application/vnd.openxmlformats-officedocument.spreadsheetml.sheet"/>
  <Override PartName="/word/embeddings/Microsoft_Excel_Worksheet31.xlsx" ContentType="application/vnd.openxmlformats-officedocument.spreadsheetml.sheet"/>
  <Override PartName="/word/embeddings/Microsoft_Excel_Worksheet310.xlsx" ContentType="application/vnd.openxmlformats-officedocument.spreadsheetml.sheet"/>
  <Override PartName="/word/embeddings/Microsoft_Excel_Worksheet311.xlsx" ContentType="application/vnd.openxmlformats-officedocument.spreadsheetml.sheet"/>
  <Override PartName="/word/embeddings/Microsoft_Excel_Worksheet312.xlsx" ContentType="application/vnd.openxmlformats-officedocument.spreadsheetml.sheet"/>
  <Override PartName="/word/embeddings/Microsoft_Excel_Worksheet313.xlsx" ContentType="application/vnd.openxmlformats-officedocument.spreadsheetml.sheet"/>
  <Override PartName="/word/embeddings/Microsoft_Excel_Worksheet314.xlsx" ContentType="application/vnd.openxmlformats-officedocument.spreadsheetml.sheet"/>
  <Override PartName="/word/embeddings/Microsoft_Excel_Worksheet315.xlsx" ContentType="application/vnd.openxmlformats-officedocument.spreadsheetml.sheet"/>
  <Override PartName="/word/embeddings/Microsoft_Excel_Worksheet316.xlsx" ContentType="application/vnd.openxmlformats-officedocument.spreadsheetml.sheet"/>
  <Override PartName="/word/embeddings/Microsoft_Excel_Worksheet317.xlsx" ContentType="application/vnd.openxmlformats-officedocument.spreadsheetml.sheet"/>
  <Override PartName="/word/embeddings/Microsoft_Excel_Worksheet318.xlsx" ContentType="application/vnd.openxmlformats-officedocument.spreadsheetml.sheet"/>
  <Override PartName="/word/embeddings/Microsoft_Excel_Worksheet319.xlsx" ContentType="application/vnd.openxmlformats-officedocument.spreadsheetml.sheet"/>
  <Override PartName="/word/embeddings/Microsoft_Excel_Worksheet32.xlsx" ContentType="application/vnd.openxmlformats-officedocument.spreadsheetml.sheet"/>
  <Override PartName="/word/embeddings/Microsoft_Excel_Worksheet320.xlsx" ContentType="application/vnd.openxmlformats-officedocument.spreadsheetml.sheet"/>
  <Override PartName="/word/embeddings/Microsoft_Excel_Worksheet321.xlsx" ContentType="application/vnd.openxmlformats-officedocument.spreadsheetml.sheet"/>
  <Override PartName="/word/embeddings/Microsoft_Excel_Worksheet322.xlsx" ContentType="application/vnd.openxmlformats-officedocument.spreadsheetml.sheet"/>
  <Override PartName="/word/embeddings/Microsoft_Excel_Worksheet323.xlsx" ContentType="application/vnd.openxmlformats-officedocument.spreadsheetml.sheet"/>
  <Override PartName="/word/embeddings/Microsoft_Excel_Worksheet324.xlsx" ContentType="application/vnd.openxmlformats-officedocument.spreadsheetml.sheet"/>
  <Override PartName="/word/embeddings/Microsoft_Excel_Worksheet325.xlsx" ContentType="application/vnd.openxmlformats-officedocument.spreadsheetml.sheet"/>
  <Override PartName="/word/embeddings/Microsoft_Excel_Worksheet326.xlsx" ContentType="application/vnd.openxmlformats-officedocument.spreadsheetml.sheet"/>
  <Override PartName="/word/embeddings/Microsoft_Excel_Worksheet327.xlsx" ContentType="application/vnd.openxmlformats-officedocument.spreadsheetml.sheet"/>
  <Override PartName="/word/embeddings/Microsoft_Excel_Worksheet328.xlsx" ContentType="application/vnd.openxmlformats-officedocument.spreadsheetml.sheet"/>
  <Override PartName="/word/embeddings/Microsoft_Excel_Worksheet329.xlsx" ContentType="application/vnd.openxmlformats-officedocument.spreadsheetml.sheet"/>
  <Override PartName="/word/embeddings/Microsoft_Excel_Worksheet33.xlsx" ContentType="application/vnd.openxmlformats-officedocument.spreadsheetml.sheet"/>
  <Override PartName="/word/embeddings/Microsoft_Excel_Worksheet330.xlsx" ContentType="application/vnd.openxmlformats-officedocument.spreadsheetml.sheet"/>
  <Override PartName="/word/embeddings/Microsoft_Excel_Worksheet331.xlsx" ContentType="application/vnd.openxmlformats-officedocument.spreadsheetml.sheet"/>
  <Override PartName="/word/embeddings/Microsoft_Excel_Worksheet332.xlsx" ContentType="application/vnd.openxmlformats-officedocument.spreadsheetml.sheet"/>
  <Override PartName="/word/embeddings/Microsoft_Excel_Worksheet333.xlsx" ContentType="application/vnd.openxmlformats-officedocument.spreadsheetml.sheet"/>
  <Override PartName="/word/embeddings/Microsoft_Excel_Worksheet334.xlsx" ContentType="application/vnd.openxmlformats-officedocument.spreadsheetml.sheet"/>
  <Override PartName="/word/embeddings/Microsoft_Excel_Worksheet335.xlsx" ContentType="application/vnd.openxmlformats-officedocument.spreadsheetml.sheet"/>
  <Override PartName="/word/embeddings/Microsoft_Excel_Worksheet336.xlsx" ContentType="application/vnd.openxmlformats-officedocument.spreadsheetml.sheet"/>
  <Override PartName="/word/embeddings/Microsoft_Excel_Worksheet337.xlsx" ContentType="application/vnd.openxmlformats-officedocument.spreadsheetml.sheet"/>
  <Override PartName="/word/embeddings/Microsoft_Excel_Worksheet338.xlsx" ContentType="application/vnd.openxmlformats-officedocument.spreadsheetml.sheet"/>
  <Override PartName="/word/embeddings/Microsoft_Excel_Worksheet339.xlsx" ContentType="application/vnd.openxmlformats-officedocument.spreadsheetml.sheet"/>
  <Override PartName="/word/embeddings/Microsoft_Excel_Worksheet34.xlsx" ContentType="application/vnd.openxmlformats-officedocument.spreadsheetml.sheet"/>
  <Override PartName="/word/embeddings/Microsoft_Excel_Worksheet340.xlsx" ContentType="application/vnd.openxmlformats-officedocument.spreadsheetml.sheet"/>
  <Override PartName="/word/embeddings/Microsoft_Excel_Worksheet341.xlsx" ContentType="application/vnd.openxmlformats-officedocument.spreadsheetml.sheet"/>
  <Override PartName="/word/embeddings/Microsoft_Excel_Worksheet342.xlsx" ContentType="application/vnd.openxmlformats-officedocument.spreadsheetml.sheet"/>
  <Override PartName="/word/embeddings/Microsoft_Excel_Worksheet343.xlsx" ContentType="application/vnd.openxmlformats-officedocument.spreadsheetml.sheet"/>
  <Override PartName="/word/embeddings/Microsoft_Excel_Worksheet344.xlsx" ContentType="application/vnd.openxmlformats-officedocument.spreadsheetml.sheet"/>
  <Override PartName="/word/embeddings/Microsoft_Excel_Worksheet345.xlsx" ContentType="application/vnd.openxmlformats-officedocument.spreadsheetml.sheet"/>
  <Override PartName="/word/embeddings/Microsoft_Excel_Worksheet346.xlsx" ContentType="application/vnd.openxmlformats-officedocument.spreadsheetml.sheet"/>
  <Override PartName="/word/embeddings/Microsoft_Excel_Worksheet347.xlsx" ContentType="application/vnd.openxmlformats-officedocument.spreadsheetml.sheet"/>
  <Override PartName="/word/embeddings/Microsoft_Excel_Worksheet348.xlsx" ContentType="application/vnd.openxmlformats-officedocument.spreadsheetml.sheet"/>
  <Override PartName="/word/embeddings/Microsoft_Excel_Worksheet349.xlsx" ContentType="application/vnd.openxmlformats-officedocument.spreadsheetml.sheet"/>
  <Override PartName="/word/embeddings/Microsoft_Excel_Worksheet35.xlsx" ContentType="application/vnd.openxmlformats-officedocument.spreadsheetml.sheet"/>
  <Override PartName="/word/embeddings/Microsoft_Excel_Worksheet350.xlsx" ContentType="application/vnd.openxmlformats-officedocument.spreadsheetml.sheet"/>
  <Override PartName="/word/embeddings/Microsoft_Excel_Worksheet351.xlsx" ContentType="application/vnd.openxmlformats-officedocument.spreadsheetml.sheet"/>
  <Override PartName="/word/embeddings/Microsoft_Excel_Worksheet352.xlsx" ContentType="application/vnd.openxmlformats-officedocument.spreadsheetml.sheet"/>
  <Override PartName="/word/embeddings/Microsoft_Excel_Worksheet353.xlsx" ContentType="application/vnd.openxmlformats-officedocument.spreadsheetml.sheet"/>
  <Override PartName="/word/embeddings/Microsoft_Excel_Worksheet354.xlsx" ContentType="application/vnd.openxmlformats-officedocument.spreadsheetml.sheet"/>
  <Override PartName="/word/embeddings/Microsoft_Excel_Worksheet355.xlsx" ContentType="application/vnd.openxmlformats-officedocument.spreadsheetml.sheet"/>
  <Override PartName="/word/embeddings/Microsoft_Excel_Worksheet356.xlsx" ContentType="application/vnd.openxmlformats-officedocument.spreadsheetml.sheet"/>
  <Override PartName="/word/embeddings/Microsoft_Excel_Worksheet357.xlsx" ContentType="application/vnd.openxmlformats-officedocument.spreadsheetml.sheet"/>
  <Override PartName="/word/embeddings/Microsoft_Excel_Worksheet358.xlsx" ContentType="application/vnd.openxmlformats-officedocument.spreadsheetml.sheet"/>
  <Override PartName="/word/embeddings/Microsoft_Excel_Worksheet359.xlsx" ContentType="application/vnd.openxmlformats-officedocument.spreadsheetml.sheet"/>
  <Override PartName="/word/embeddings/Microsoft_Excel_Worksheet36.xlsx" ContentType="application/vnd.openxmlformats-officedocument.spreadsheetml.sheet"/>
  <Override PartName="/word/embeddings/Microsoft_Excel_Worksheet360.xlsx" ContentType="application/vnd.openxmlformats-officedocument.spreadsheetml.sheet"/>
  <Override PartName="/word/embeddings/Microsoft_Excel_Worksheet361.xlsx" ContentType="application/vnd.openxmlformats-officedocument.spreadsheetml.sheet"/>
  <Override PartName="/word/embeddings/Microsoft_Excel_Worksheet362.xlsx" ContentType="application/vnd.openxmlformats-officedocument.spreadsheetml.sheet"/>
  <Override PartName="/word/embeddings/Microsoft_Excel_Worksheet363.xlsx" ContentType="application/vnd.openxmlformats-officedocument.spreadsheetml.sheet"/>
  <Override PartName="/word/embeddings/Microsoft_Excel_Worksheet364.xlsx" ContentType="application/vnd.openxmlformats-officedocument.spreadsheetml.sheet"/>
  <Override PartName="/word/embeddings/Microsoft_Excel_Worksheet365.xlsx" ContentType="application/vnd.openxmlformats-officedocument.spreadsheetml.sheet"/>
  <Override PartName="/word/embeddings/Microsoft_Excel_Worksheet366.xlsx" ContentType="application/vnd.openxmlformats-officedocument.spreadsheetml.sheet"/>
  <Override PartName="/word/embeddings/Microsoft_Excel_Worksheet367.xlsx" ContentType="application/vnd.openxmlformats-officedocument.spreadsheetml.sheet"/>
  <Override PartName="/word/embeddings/Microsoft_Excel_Worksheet368.xlsx" ContentType="application/vnd.openxmlformats-officedocument.spreadsheetml.sheet"/>
  <Override PartName="/word/embeddings/Microsoft_Excel_Worksheet369.xlsx" ContentType="application/vnd.openxmlformats-officedocument.spreadsheetml.sheet"/>
  <Override PartName="/word/embeddings/Microsoft_Excel_Worksheet37.xlsx" ContentType="application/vnd.openxmlformats-officedocument.spreadsheetml.sheet"/>
  <Override PartName="/word/embeddings/Microsoft_Excel_Worksheet370.xlsx" ContentType="application/vnd.openxmlformats-officedocument.spreadsheetml.sheet"/>
  <Override PartName="/word/embeddings/Microsoft_Excel_Worksheet371.xlsx" ContentType="application/vnd.openxmlformats-officedocument.spreadsheetml.sheet"/>
  <Override PartName="/word/embeddings/Microsoft_Excel_Worksheet372.xlsx" ContentType="application/vnd.openxmlformats-officedocument.spreadsheetml.sheet"/>
  <Override PartName="/word/embeddings/Microsoft_Excel_Worksheet373.xlsx" ContentType="application/vnd.openxmlformats-officedocument.spreadsheetml.sheet"/>
  <Override PartName="/word/embeddings/Microsoft_Excel_Worksheet374.xlsx" ContentType="application/vnd.openxmlformats-officedocument.spreadsheetml.sheet"/>
  <Override PartName="/word/embeddings/Microsoft_Excel_Worksheet375.xlsx" ContentType="application/vnd.openxmlformats-officedocument.spreadsheetml.sheet"/>
  <Override PartName="/word/embeddings/Microsoft_Excel_Worksheet376.xlsx" ContentType="application/vnd.openxmlformats-officedocument.spreadsheetml.sheet"/>
  <Override PartName="/word/embeddings/Microsoft_Excel_Worksheet377.xlsx" ContentType="application/vnd.openxmlformats-officedocument.spreadsheetml.sheet"/>
  <Override PartName="/word/embeddings/Microsoft_Excel_Worksheet378.xlsx" ContentType="application/vnd.openxmlformats-officedocument.spreadsheetml.sheet"/>
  <Override PartName="/word/embeddings/Microsoft_Excel_Worksheet379.xlsx" ContentType="application/vnd.openxmlformats-officedocument.spreadsheetml.sheet"/>
  <Override PartName="/word/embeddings/Microsoft_Excel_Worksheet38.xlsx" ContentType="application/vnd.openxmlformats-officedocument.spreadsheetml.sheet"/>
  <Override PartName="/word/embeddings/Microsoft_Excel_Worksheet380.xlsx" ContentType="application/vnd.openxmlformats-officedocument.spreadsheetml.sheet"/>
  <Override PartName="/word/embeddings/Microsoft_Excel_Worksheet381.xlsx" ContentType="application/vnd.openxmlformats-officedocument.spreadsheetml.sheet"/>
  <Override PartName="/word/embeddings/Microsoft_Excel_Worksheet382.xlsx" ContentType="application/vnd.openxmlformats-officedocument.spreadsheetml.sheet"/>
  <Override PartName="/word/embeddings/Microsoft_Excel_Worksheet383.xlsx" ContentType="application/vnd.openxmlformats-officedocument.spreadsheetml.sheet"/>
  <Override PartName="/word/embeddings/Microsoft_Excel_Worksheet384.xlsx" ContentType="application/vnd.openxmlformats-officedocument.spreadsheetml.sheet"/>
  <Override PartName="/word/embeddings/Microsoft_Excel_Worksheet385.xlsx" ContentType="application/vnd.openxmlformats-officedocument.spreadsheetml.sheet"/>
  <Override PartName="/word/embeddings/Microsoft_Excel_Worksheet386.xlsx" ContentType="application/vnd.openxmlformats-officedocument.spreadsheetml.sheet"/>
  <Override PartName="/word/embeddings/Microsoft_Excel_Worksheet387.xlsx" ContentType="application/vnd.openxmlformats-officedocument.spreadsheetml.sheet"/>
  <Override PartName="/word/embeddings/Microsoft_Excel_Worksheet388.xlsx" ContentType="application/vnd.openxmlformats-officedocument.spreadsheetml.sheet"/>
  <Override PartName="/word/embeddings/Microsoft_Excel_Worksheet389.xlsx" ContentType="application/vnd.openxmlformats-officedocument.spreadsheetml.sheet"/>
  <Override PartName="/word/embeddings/Microsoft_Excel_Worksheet39.xlsx" ContentType="application/vnd.openxmlformats-officedocument.spreadsheetml.sheet"/>
  <Override PartName="/word/embeddings/Microsoft_Excel_Worksheet390.xlsx" ContentType="application/vnd.openxmlformats-officedocument.spreadsheetml.sheet"/>
  <Override PartName="/word/embeddings/Microsoft_Excel_Worksheet391.xlsx" ContentType="application/vnd.openxmlformats-officedocument.spreadsheetml.sheet"/>
  <Override PartName="/word/embeddings/Microsoft_Excel_Worksheet392.xlsx" ContentType="application/vnd.openxmlformats-officedocument.spreadsheetml.sheet"/>
  <Override PartName="/word/embeddings/Microsoft_Excel_Worksheet393.xlsx" ContentType="application/vnd.openxmlformats-officedocument.spreadsheetml.sheet"/>
  <Override PartName="/word/embeddings/Microsoft_Excel_Worksheet394.xlsx" ContentType="application/vnd.openxmlformats-officedocument.spreadsheetml.sheet"/>
  <Override PartName="/word/embeddings/Microsoft_Excel_Worksheet395.xlsx" ContentType="application/vnd.openxmlformats-officedocument.spreadsheetml.sheet"/>
  <Override PartName="/word/embeddings/Microsoft_Excel_Worksheet396.xlsx" ContentType="application/vnd.openxmlformats-officedocument.spreadsheetml.sheet"/>
  <Override PartName="/word/embeddings/Microsoft_Excel_Worksheet397.xlsx" ContentType="application/vnd.openxmlformats-officedocument.spreadsheetml.sheet"/>
  <Override PartName="/word/embeddings/Microsoft_Excel_Worksheet398.xlsx" ContentType="application/vnd.openxmlformats-officedocument.spreadsheetml.sheet"/>
  <Override PartName="/word/embeddings/Microsoft_Excel_Worksheet399.xlsx" ContentType="application/vnd.openxmlformats-officedocument.spreadsheetml.sheet"/>
  <Override PartName="/word/embeddings/Microsoft_Excel_Worksheet4.xlsx" ContentType="application/vnd.openxmlformats-officedocument.spreadsheetml.sheet"/>
  <Override PartName="/word/embeddings/Microsoft_Excel_Worksheet40.xlsx" ContentType="application/vnd.openxmlformats-officedocument.spreadsheetml.sheet"/>
  <Override PartName="/word/embeddings/Microsoft_Excel_Worksheet400.xlsx" ContentType="application/vnd.openxmlformats-officedocument.spreadsheetml.sheet"/>
  <Override PartName="/word/embeddings/Microsoft_Excel_Worksheet401.xlsx" ContentType="application/vnd.openxmlformats-officedocument.spreadsheetml.sheet"/>
  <Override PartName="/word/embeddings/Microsoft_Excel_Worksheet402.xlsx" ContentType="application/vnd.openxmlformats-officedocument.spreadsheetml.sheet"/>
  <Override PartName="/word/embeddings/Microsoft_Excel_Worksheet403.xlsx" ContentType="application/vnd.openxmlformats-officedocument.spreadsheetml.sheet"/>
  <Override PartName="/word/embeddings/Microsoft_Excel_Worksheet404.xlsx" ContentType="application/vnd.openxmlformats-officedocument.spreadsheetml.sheet"/>
  <Override PartName="/word/embeddings/Microsoft_Excel_Worksheet405.xlsx" ContentType="application/vnd.openxmlformats-officedocument.spreadsheetml.sheet"/>
  <Override PartName="/word/embeddings/Microsoft_Excel_Worksheet406.xlsx" ContentType="application/vnd.openxmlformats-officedocument.spreadsheetml.sheet"/>
  <Override PartName="/word/embeddings/Microsoft_Excel_Worksheet407.xlsx" ContentType="application/vnd.openxmlformats-officedocument.spreadsheetml.sheet"/>
  <Override PartName="/word/embeddings/Microsoft_Excel_Worksheet408.xlsx" ContentType="application/vnd.openxmlformats-officedocument.spreadsheetml.sheet"/>
  <Override PartName="/word/embeddings/Microsoft_Excel_Worksheet409.xlsx" ContentType="application/vnd.openxmlformats-officedocument.spreadsheetml.sheet"/>
  <Override PartName="/word/embeddings/Microsoft_Excel_Worksheet41.xlsx" ContentType="application/vnd.openxmlformats-officedocument.spreadsheetml.sheet"/>
  <Override PartName="/word/embeddings/Microsoft_Excel_Worksheet42.xlsx" ContentType="application/vnd.openxmlformats-officedocument.spreadsheetml.sheet"/>
  <Override PartName="/word/embeddings/Microsoft_Excel_Worksheet43.xlsx" ContentType="application/vnd.openxmlformats-officedocument.spreadsheetml.sheet"/>
  <Override PartName="/word/embeddings/Microsoft_Excel_Worksheet44.xlsx" ContentType="application/vnd.openxmlformats-officedocument.spreadsheetml.sheet"/>
  <Override PartName="/word/embeddings/Microsoft_Excel_Worksheet45.xlsx" ContentType="application/vnd.openxmlformats-officedocument.spreadsheetml.sheet"/>
  <Override PartName="/word/embeddings/Microsoft_Excel_Worksheet46.xlsx" ContentType="application/vnd.openxmlformats-officedocument.spreadsheetml.sheet"/>
  <Override PartName="/word/embeddings/Microsoft_Excel_Worksheet47.xlsx" ContentType="application/vnd.openxmlformats-officedocument.spreadsheetml.sheet"/>
  <Override PartName="/word/embeddings/Microsoft_Excel_Worksheet48.xlsx" ContentType="application/vnd.openxmlformats-officedocument.spreadsheetml.sheet"/>
  <Override PartName="/word/embeddings/Microsoft_Excel_Worksheet49.xlsx" ContentType="application/vnd.openxmlformats-officedocument.spreadsheetml.sheet"/>
  <Override PartName="/word/embeddings/Microsoft_Excel_Worksheet5.xlsx" ContentType="application/vnd.openxmlformats-officedocument.spreadsheetml.sheet"/>
  <Override PartName="/word/embeddings/Microsoft_Excel_Worksheet50.xlsx" ContentType="application/vnd.openxmlformats-officedocument.spreadsheetml.sheet"/>
  <Override PartName="/word/embeddings/Microsoft_Excel_Worksheet51.xlsx" ContentType="application/vnd.openxmlformats-officedocument.spreadsheetml.sheet"/>
  <Override PartName="/word/embeddings/Microsoft_Excel_Worksheet52.xlsx" ContentType="application/vnd.openxmlformats-officedocument.spreadsheetml.sheet"/>
  <Override PartName="/word/embeddings/Microsoft_Excel_Worksheet53.xlsx" ContentType="application/vnd.openxmlformats-officedocument.spreadsheetml.sheet"/>
  <Override PartName="/word/embeddings/Microsoft_Excel_Worksheet54.xlsx" ContentType="application/vnd.openxmlformats-officedocument.spreadsheetml.sheet"/>
  <Override PartName="/word/embeddings/Microsoft_Excel_Worksheet55.xlsx" ContentType="application/vnd.openxmlformats-officedocument.spreadsheetml.sheet"/>
  <Override PartName="/word/embeddings/Microsoft_Excel_Worksheet56.xlsx" ContentType="application/vnd.openxmlformats-officedocument.spreadsheetml.sheet"/>
  <Override PartName="/word/embeddings/Microsoft_Excel_Worksheet57.xlsx" ContentType="application/vnd.openxmlformats-officedocument.spreadsheetml.sheet"/>
  <Override PartName="/word/embeddings/Microsoft_Excel_Worksheet58.xlsx" ContentType="application/vnd.openxmlformats-officedocument.spreadsheetml.sheet"/>
  <Override PartName="/word/embeddings/Microsoft_Excel_Worksheet59.xlsx" ContentType="application/vnd.openxmlformats-officedocument.spreadsheetml.sheet"/>
  <Override PartName="/word/embeddings/Microsoft_Excel_Worksheet6.xlsx" ContentType="application/vnd.openxmlformats-officedocument.spreadsheetml.sheet"/>
  <Override PartName="/word/embeddings/Microsoft_Excel_Worksheet60.xlsx" ContentType="application/vnd.openxmlformats-officedocument.spreadsheetml.sheet"/>
  <Override PartName="/word/embeddings/Microsoft_Excel_Worksheet61.xlsx" ContentType="application/vnd.openxmlformats-officedocument.spreadsheetml.sheet"/>
  <Override PartName="/word/embeddings/Microsoft_Excel_Worksheet62.xlsx" ContentType="application/vnd.openxmlformats-officedocument.spreadsheetml.sheet"/>
  <Override PartName="/word/embeddings/Microsoft_Excel_Worksheet63.xlsx" ContentType="application/vnd.openxmlformats-officedocument.spreadsheetml.sheet"/>
  <Override PartName="/word/embeddings/Microsoft_Excel_Worksheet64.xlsx" ContentType="application/vnd.openxmlformats-officedocument.spreadsheetml.sheet"/>
  <Override PartName="/word/embeddings/Microsoft_Excel_Worksheet65.xlsx" ContentType="application/vnd.openxmlformats-officedocument.spreadsheetml.sheet"/>
  <Override PartName="/word/embeddings/Microsoft_Excel_Worksheet66.xlsx" ContentType="application/vnd.openxmlformats-officedocument.spreadsheetml.sheet"/>
  <Override PartName="/word/embeddings/Microsoft_Excel_Worksheet67.xlsx" ContentType="application/vnd.openxmlformats-officedocument.spreadsheetml.sheet"/>
  <Override PartName="/word/embeddings/Microsoft_Excel_Worksheet68.xlsx" ContentType="application/vnd.openxmlformats-officedocument.spreadsheetml.sheet"/>
  <Override PartName="/word/embeddings/Microsoft_Excel_Worksheet69.xlsx" ContentType="application/vnd.openxmlformats-officedocument.spreadsheetml.sheet"/>
  <Override PartName="/word/embeddings/Microsoft_Excel_Worksheet7.xlsx" ContentType="application/vnd.openxmlformats-officedocument.spreadsheetml.sheet"/>
  <Override PartName="/word/embeddings/Microsoft_Excel_Worksheet70.xlsx" ContentType="application/vnd.openxmlformats-officedocument.spreadsheetml.sheet"/>
  <Override PartName="/word/embeddings/Microsoft_Excel_Worksheet71.xlsx" ContentType="application/vnd.openxmlformats-officedocument.spreadsheetml.sheet"/>
  <Override PartName="/word/embeddings/Microsoft_Excel_Worksheet72.xlsx" ContentType="application/vnd.openxmlformats-officedocument.spreadsheetml.sheet"/>
  <Override PartName="/word/embeddings/Microsoft_Excel_Worksheet73.xlsx" ContentType="application/vnd.openxmlformats-officedocument.spreadsheetml.sheet"/>
  <Override PartName="/word/embeddings/Microsoft_Excel_Worksheet74.xlsx" ContentType="application/vnd.openxmlformats-officedocument.spreadsheetml.sheet"/>
  <Override PartName="/word/embeddings/Microsoft_Excel_Worksheet75.xlsx" ContentType="application/vnd.openxmlformats-officedocument.spreadsheetml.sheet"/>
  <Override PartName="/word/embeddings/Microsoft_Excel_Worksheet76.xlsx" ContentType="application/vnd.openxmlformats-officedocument.spreadsheetml.sheet"/>
  <Override PartName="/word/embeddings/Microsoft_Excel_Worksheet77.xlsx" ContentType="application/vnd.openxmlformats-officedocument.spreadsheetml.sheet"/>
  <Override PartName="/word/embeddings/Microsoft_Excel_Worksheet78.xlsx" ContentType="application/vnd.openxmlformats-officedocument.spreadsheetml.sheet"/>
  <Override PartName="/word/embeddings/Microsoft_Excel_Worksheet79.xlsx" ContentType="application/vnd.openxmlformats-officedocument.spreadsheetml.sheet"/>
  <Override PartName="/word/embeddings/Microsoft_Excel_Worksheet8.xlsx" ContentType="application/vnd.openxmlformats-officedocument.spreadsheetml.sheet"/>
  <Override PartName="/word/embeddings/Microsoft_Excel_Worksheet80.xlsx" ContentType="application/vnd.openxmlformats-officedocument.spreadsheetml.sheet"/>
  <Override PartName="/word/embeddings/Microsoft_Excel_Worksheet81.xlsx" ContentType="application/vnd.openxmlformats-officedocument.spreadsheetml.sheet"/>
  <Override PartName="/word/embeddings/Microsoft_Excel_Worksheet82.xlsx" ContentType="application/vnd.openxmlformats-officedocument.spreadsheetml.sheet"/>
  <Override PartName="/word/embeddings/Microsoft_Excel_Worksheet83.xlsx" ContentType="application/vnd.openxmlformats-officedocument.spreadsheetml.sheet"/>
  <Override PartName="/word/embeddings/Microsoft_Excel_Worksheet84.xlsx" ContentType="application/vnd.openxmlformats-officedocument.spreadsheetml.sheet"/>
  <Override PartName="/word/embeddings/Microsoft_Excel_Worksheet85.xlsx" ContentType="application/vnd.openxmlformats-officedocument.spreadsheetml.sheet"/>
  <Override PartName="/word/embeddings/Microsoft_Excel_Worksheet86.xlsx" ContentType="application/vnd.openxmlformats-officedocument.spreadsheetml.sheet"/>
  <Override PartName="/word/embeddings/Microsoft_Excel_Worksheet87.xlsx" ContentType="application/vnd.openxmlformats-officedocument.spreadsheetml.sheet"/>
  <Override PartName="/word/embeddings/Microsoft_Excel_Worksheet88.xlsx" ContentType="application/vnd.openxmlformats-officedocument.spreadsheetml.sheet"/>
  <Override PartName="/word/embeddings/Microsoft_Excel_Worksheet89.xlsx" ContentType="application/vnd.openxmlformats-officedocument.spreadsheetml.sheet"/>
  <Override PartName="/word/embeddings/Microsoft_Excel_Worksheet9.xlsx" ContentType="application/vnd.openxmlformats-officedocument.spreadsheetml.sheet"/>
  <Override PartName="/word/embeddings/Microsoft_Excel_Worksheet90.xlsx" ContentType="application/vnd.openxmlformats-officedocument.spreadsheetml.sheet"/>
  <Override PartName="/word/embeddings/Microsoft_Excel_Worksheet91.xlsx" ContentType="application/vnd.openxmlformats-officedocument.spreadsheetml.sheet"/>
  <Override PartName="/word/embeddings/Microsoft_Excel_Worksheet92.xlsx" ContentType="application/vnd.openxmlformats-officedocument.spreadsheetml.sheet"/>
  <Override PartName="/word/embeddings/Microsoft_Excel_Worksheet93.xlsx" ContentType="application/vnd.openxmlformats-officedocument.spreadsheetml.sheet"/>
  <Override PartName="/word/embeddings/Microsoft_Excel_Worksheet94.xlsx" ContentType="application/vnd.openxmlformats-officedocument.spreadsheetml.sheet"/>
  <Override PartName="/word/embeddings/Microsoft_Excel_Worksheet95.xlsx" ContentType="application/vnd.openxmlformats-officedocument.spreadsheetml.sheet"/>
  <Override PartName="/word/embeddings/Microsoft_Excel_Worksheet96.xlsx" ContentType="application/vnd.openxmlformats-officedocument.spreadsheetml.sheet"/>
  <Override PartName="/word/embeddings/Microsoft_Excel_Worksheet97.xlsx" ContentType="application/vnd.openxmlformats-officedocument.spreadsheetml.sheet"/>
  <Override PartName="/word/embeddings/Microsoft_Excel_Worksheet98.xlsx" ContentType="application/vnd.openxmlformats-officedocument.spreadsheetml.sheet"/>
  <Override PartName="/word/embeddings/Microsoft_Excel_Worksheet99.xlsx" ContentType="application/vnd.openxmlformats-officedocument.spreadsheetml.sheet"/>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10.xml" ContentType="application/vnd.openxmlformats-officedocument.themeOverride+xml"/>
  <Override PartName="/word/theme/themeOverride100.xml" ContentType="application/vnd.openxmlformats-officedocument.themeOverride+xml"/>
  <Override PartName="/word/theme/themeOverride101.xml" ContentType="application/vnd.openxmlformats-officedocument.themeOverride+xml"/>
  <Override PartName="/word/theme/themeOverride102.xml" ContentType="application/vnd.openxmlformats-officedocument.themeOverride+xml"/>
  <Override PartName="/word/theme/themeOverride103.xml" ContentType="application/vnd.openxmlformats-officedocument.themeOverride+xml"/>
  <Override PartName="/word/theme/themeOverride104.xml" ContentType="application/vnd.openxmlformats-officedocument.themeOverride+xml"/>
  <Override PartName="/word/theme/themeOverride105.xml" ContentType="application/vnd.openxmlformats-officedocument.themeOverride+xml"/>
  <Override PartName="/word/theme/themeOverride106.xml" ContentType="application/vnd.openxmlformats-officedocument.themeOverride+xml"/>
  <Override PartName="/word/theme/themeOverride107.xml" ContentType="application/vnd.openxmlformats-officedocument.themeOverride+xml"/>
  <Override PartName="/word/theme/themeOverride108.xml" ContentType="application/vnd.openxmlformats-officedocument.themeOverride+xml"/>
  <Override PartName="/word/theme/themeOverride109.xml" ContentType="application/vnd.openxmlformats-officedocument.themeOverride+xml"/>
  <Override PartName="/word/theme/themeOverride11.xml" ContentType="application/vnd.openxmlformats-officedocument.themeOverride+xml"/>
  <Override PartName="/word/theme/themeOverride110.xml" ContentType="application/vnd.openxmlformats-officedocument.themeOverride+xml"/>
  <Override PartName="/word/theme/themeOverride111.xml" ContentType="application/vnd.openxmlformats-officedocument.themeOverride+xml"/>
  <Override PartName="/word/theme/themeOverride112.xml" ContentType="application/vnd.openxmlformats-officedocument.themeOverride+xml"/>
  <Override PartName="/word/theme/themeOverride113.xml" ContentType="application/vnd.openxmlformats-officedocument.themeOverride+xml"/>
  <Override PartName="/word/theme/themeOverride114.xml" ContentType="application/vnd.openxmlformats-officedocument.themeOverride+xml"/>
  <Override PartName="/word/theme/themeOverride115.xml" ContentType="application/vnd.openxmlformats-officedocument.themeOverride+xml"/>
  <Override PartName="/word/theme/themeOverride116.xml" ContentType="application/vnd.openxmlformats-officedocument.themeOverride+xml"/>
  <Override PartName="/word/theme/themeOverride117.xml" ContentType="application/vnd.openxmlformats-officedocument.themeOverride+xml"/>
  <Override PartName="/word/theme/themeOverride118.xml" ContentType="application/vnd.openxmlformats-officedocument.themeOverride+xml"/>
  <Override PartName="/word/theme/themeOverride119.xml" ContentType="application/vnd.openxmlformats-officedocument.themeOverride+xml"/>
  <Override PartName="/word/theme/themeOverride12.xml" ContentType="application/vnd.openxmlformats-officedocument.themeOverride+xml"/>
  <Override PartName="/word/theme/themeOverride120.xml" ContentType="application/vnd.openxmlformats-officedocument.themeOverride+xml"/>
  <Override PartName="/word/theme/themeOverride121.xml" ContentType="application/vnd.openxmlformats-officedocument.themeOverride+xml"/>
  <Override PartName="/word/theme/themeOverride122.xml" ContentType="application/vnd.openxmlformats-officedocument.themeOverride+xml"/>
  <Override PartName="/word/theme/themeOverride123.xml" ContentType="application/vnd.openxmlformats-officedocument.themeOverride+xml"/>
  <Override PartName="/word/theme/themeOverride124.xml" ContentType="application/vnd.openxmlformats-officedocument.themeOverride+xml"/>
  <Override PartName="/word/theme/themeOverride125.xml" ContentType="application/vnd.openxmlformats-officedocument.themeOverride+xml"/>
  <Override PartName="/word/theme/themeOverride126.xml" ContentType="application/vnd.openxmlformats-officedocument.themeOverride+xml"/>
  <Override PartName="/word/theme/themeOverride127.xml" ContentType="application/vnd.openxmlformats-officedocument.themeOverride+xml"/>
  <Override PartName="/word/theme/themeOverride13.xml" ContentType="application/vnd.openxmlformats-officedocument.themeOverride+xml"/>
  <Override PartName="/word/theme/themeOverride14.xml" ContentType="application/vnd.openxmlformats-officedocument.themeOverride+xml"/>
  <Override PartName="/word/theme/themeOverride15.xml" ContentType="application/vnd.openxmlformats-officedocument.themeOverride+xml"/>
  <Override PartName="/word/theme/themeOverride16.xml" ContentType="application/vnd.openxmlformats-officedocument.themeOverride+xml"/>
  <Override PartName="/word/theme/themeOverride17.xml" ContentType="application/vnd.openxmlformats-officedocument.themeOverride+xml"/>
  <Override PartName="/word/theme/themeOverride18.xml" ContentType="application/vnd.openxmlformats-officedocument.themeOverride+xml"/>
  <Override PartName="/word/theme/themeOverride19.xml" ContentType="application/vnd.openxmlformats-officedocument.themeOverride+xml"/>
  <Override PartName="/word/theme/themeOverride2.xml" ContentType="application/vnd.openxmlformats-officedocument.themeOverride+xml"/>
  <Override PartName="/word/theme/themeOverride20.xml" ContentType="application/vnd.openxmlformats-officedocument.themeOverride+xml"/>
  <Override PartName="/word/theme/themeOverride21.xml" ContentType="application/vnd.openxmlformats-officedocument.themeOverride+xml"/>
  <Override PartName="/word/theme/themeOverride22.xml" ContentType="application/vnd.openxmlformats-officedocument.themeOverride+xml"/>
  <Override PartName="/word/theme/themeOverride23.xml" ContentType="application/vnd.openxmlformats-officedocument.themeOverride+xml"/>
  <Override PartName="/word/theme/themeOverride24.xml" ContentType="application/vnd.openxmlformats-officedocument.themeOverride+xml"/>
  <Override PartName="/word/theme/themeOverride25.xml" ContentType="application/vnd.openxmlformats-officedocument.themeOverride+xml"/>
  <Override PartName="/word/theme/themeOverride26.xml" ContentType="application/vnd.openxmlformats-officedocument.themeOverride+xml"/>
  <Override PartName="/word/theme/themeOverride27.xml" ContentType="application/vnd.openxmlformats-officedocument.themeOverride+xml"/>
  <Override PartName="/word/theme/themeOverride28.xml" ContentType="application/vnd.openxmlformats-officedocument.themeOverride+xml"/>
  <Override PartName="/word/theme/themeOverride29.xml" ContentType="application/vnd.openxmlformats-officedocument.themeOverride+xml"/>
  <Override PartName="/word/theme/themeOverride3.xml" ContentType="application/vnd.openxmlformats-officedocument.themeOverride+xml"/>
  <Override PartName="/word/theme/themeOverride30.xml" ContentType="application/vnd.openxmlformats-officedocument.themeOverride+xml"/>
  <Override PartName="/word/theme/themeOverride31.xml" ContentType="application/vnd.openxmlformats-officedocument.themeOverride+xml"/>
  <Override PartName="/word/theme/themeOverride32.xml" ContentType="application/vnd.openxmlformats-officedocument.themeOverride+xml"/>
  <Override PartName="/word/theme/themeOverride33.xml" ContentType="application/vnd.openxmlformats-officedocument.themeOverride+xml"/>
  <Override PartName="/word/theme/themeOverride34.xml" ContentType="application/vnd.openxmlformats-officedocument.themeOverride+xml"/>
  <Override PartName="/word/theme/themeOverride35.xml" ContentType="application/vnd.openxmlformats-officedocument.themeOverride+xml"/>
  <Override PartName="/word/theme/themeOverride36.xml" ContentType="application/vnd.openxmlformats-officedocument.themeOverride+xml"/>
  <Override PartName="/word/theme/themeOverride37.xml" ContentType="application/vnd.openxmlformats-officedocument.themeOverride+xml"/>
  <Override PartName="/word/theme/themeOverride38.xml" ContentType="application/vnd.openxmlformats-officedocument.themeOverride+xml"/>
  <Override PartName="/word/theme/themeOverride39.xml" ContentType="application/vnd.openxmlformats-officedocument.themeOverride+xml"/>
  <Override PartName="/word/theme/themeOverride4.xml" ContentType="application/vnd.openxmlformats-officedocument.themeOverride+xml"/>
  <Override PartName="/word/theme/themeOverride40.xml" ContentType="application/vnd.openxmlformats-officedocument.themeOverride+xml"/>
  <Override PartName="/word/theme/themeOverride41.xml" ContentType="application/vnd.openxmlformats-officedocument.themeOverride+xml"/>
  <Override PartName="/word/theme/themeOverride42.xml" ContentType="application/vnd.openxmlformats-officedocument.themeOverride+xml"/>
  <Override PartName="/word/theme/themeOverride43.xml" ContentType="application/vnd.openxmlformats-officedocument.themeOverride+xml"/>
  <Override PartName="/word/theme/themeOverride44.xml" ContentType="application/vnd.openxmlformats-officedocument.themeOverride+xml"/>
  <Override PartName="/word/theme/themeOverride45.xml" ContentType="application/vnd.openxmlformats-officedocument.themeOverride+xml"/>
  <Override PartName="/word/theme/themeOverride46.xml" ContentType="application/vnd.openxmlformats-officedocument.themeOverride+xml"/>
  <Override PartName="/word/theme/themeOverride47.xml" ContentType="application/vnd.openxmlformats-officedocument.themeOverride+xml"/>
  <Override PartName="/word/theme/themeOverride48.xml" ContentType="application/vnd.openxmlformats-officedocument.themeOverride+xml"/>
  <Override PartName="/word/theme/themeOverride49.xml" ContentType="application/vnd.openxmlformats-officedocument.themeOverride+xml"/>
  <Override PartName="/word/theme/themeOverride5.xml" ContentType="application/vnd.openxmlformats-officedocument.themeOverride+xml"/>
  <Override PartName="/word/theme/themeOverride50.xml" ContentType="application/vnd.openxmlformats-officedocument.themeOverride+xml"/>
  <Override PartName="/word/theme/themeOverride51.xml" ContentType="application/vnd.openxmlformats-officedocument.themeOverride+xml"/>
  <Override PartName="/word/theme/themeOverride52.xml" ContentType="application/vnd.openxmlformats-officedocument.themeOverride+xml"/>
  <Override PartName="/word/theme/themeOverride53.xml" ContentType="application/vnd.openxmlformats-officedocument.themeOverride+xml"/>
  <Override PartName="/word/theme/themeOverride54.xml" ContentType="application/vnd.openxmlformats-officedocument.themeOverride+xml"/>
  <Override PartName="/word/theme/themeOverride55.xml" ContentType="application/vnd.openxmlformats-officedocument.themeOverride+xml"/>
  <Override PartName="/word/theme/themeOverride56.xml" ContentType="application/vnd.openxmlformats-officedocument.themeOverride+xml"/>
  <Override PartName="/word/theme/themeOverride57.xml" ContentType="application/vnd.openxmlformats-officedocument.themeOverride+xml"/>
  <Override PartName="/word/theme/themeOverride58.xml" ContentType="application/vnd.openxmlformats-officedocument.themeOverride+xml"/>
  <Override PartName="/word/theme/themeOverride59.xml" ContentType="application/vnd.openxmlformats-officedocument.themeOverride+xml"/>
  <Override PartName="/word/theme/themeOverride6.xml" ContentType="application/vnd.openxmlformats-officedocument.themeOverride+xml"/>
  <Override PartName="/word/theme/themeOverride60.xml" ContentType="application/vnd.openxmlformats-officedocument.themeOverride+xml"/>
  <Override PartName="/word/theme/themeOverride61.xml" ContentType="application/vnd.openxmlformats-officedocument.themeOverride+xml"/>
  <Override PartName="/word/theme/themeOverride62.xml" ContentType="application/vnd.openxmlformats-officedocument.themeOverride+xml"/>
  <Override PartName="/word/theme/themeOverride63.xml" ContentType="application/vnd.openxmlformats-officedocument.themeOverride+xml"/>
  <Override PartName="/word/theme/themeOverride64.xml" ContentType="application/vnd.openxmlformats-officedocument.themeOverride+xml"/>
  <Override PartName="/word/theme/themeOverride65.xml" ContentType="application/vnd.openxmlformats-officedocument.themeOverride+xml"/>
  <Override PartName="/word/theme/themeOverride66.xml" ContentType="application/vnd.openxmlformats-officedocument.themeOverride+xml"/>
  <Override PartName="/word/theme/themeOverride67.xml" ContentType="application/vnd.openxmlformats-officedocument.themeOverride+xml"/>
  <Override PartName="/word/theme/themeOverride68.xml" ContentType="application/vnd.openxmlformats-officedocument.themeOverride+xml"/>
  <Override PartName="/word/theme/themeOverride69.xml" ContentType="application/vnd.openxmlformats-officedocument.themeOverride+xml"/>
  <Override PartName="/word/theme/themeOverride7.xml" ContentType="application/vnd.openxmlformats-officedocument.themeOverride+xml"/>
  <Override PartName="/word/theme/themeOverride70.xml" ContentType="application/vnd.openxmlformats-officedocument.themeOverride+xml"/>
  <Override PartName="/word/theme/themeOverride71.xml" ContentType="application/vnd.openxmlformats-officedocument.themeOverride+xml"/>
  <Override PartName="/word/theme/themeOverride72.xml" ContentType="application/vnd.openxmlformats-officedocument.themeOverride+xml"/>
  <Override PartName="/word/theme/themeOverride73.xml" ContentType="application/vnd.openxmlformats-officedocument.themeOverride+xml"/>
  <Override PartName="/word/theme/themeOverride74.xml" ContentType="application/vnd.openxmlformats-officedocument.themeOverride+xml"/>
  <Override PartName="/word/theme/themeOverride75.xml" ContentType="application/vnd.openxmlformats-officedocument.themeOverride+xml"/>
  <Override PartName="/word/theme/themeOverride76.xml" ContentType="application/vnd.openxmlformats-officedocument.themeOverride+xml"/>
  <Override PartName="/word/theme/themeOverride77.xml" ContentType="application/vnd.openxmlformats-officedocument.themeOverride+xml"/>
  <Override PartName="/word/theme/themeOverride78.xml" ContentType="application/vnd.openxmlformats-officedocument.themeOverride+xml"/>
  <Override PartName="/word/theme/themeOverride79.xml" ContentType="application/vnd.openxmlformats-officedocument.themeOverride+xml"/>
  <Override PartName="/word/theme/themeOverride8.xml" ContentType="application/vnd.openxmlformats-officedocument.themeOverride+xml"/>
  <Override PartName="/word/theme/themeOverride80.xml" ContentType="application/vnd.openxmlformats-officedocument.themeOverride+xml"/>
  <Override PartName="/word/theme/themeOverride81.xml" ContentType="application/vnd.openxmlformats-officedocument.themeOverride+xml"/>
  <Override PartName="/word/theme/themeOverride82.xml" ContentType="application/vnd.openxmlformats-officedocument.themeOverride+xml"/>
  <Override PartName="/word/theme/themeOverride83.xml" ContentType="application/vnd.openxmlformats-officedocument.themeOverride+xml"/>
  <Override PartName="/word/theme/themeOverride84.xml" ContentType="application/vnd.openxmlformats-officedocument.themeOverride+xml"/>
  <Override PartName="/word/theme/themeOverride85.xml" ContentType="application/vnd.openxmlformats-officedocument.themeOverride+xml"/>
  <Override PartName="/word/theme/themeOverride86.xml" ContentType="application/vnd.openxmlformats-officedocument.themeOverride+xml"/>
  <Override PartName="/word/theme/themeOverride87.xml" ContentType="application/vnd.openxmlformats-officedocument.themeOverride+xml"/>
  <Override PartName="/word/theme/themeOverride88.xml" ContentType="application/vnd.openxmlformats-officedocument.themeOverride+xml"/>
  <Override PartName="/word/theme/themeOverride89.xml" ContentType="application/vnd.openxmlformats-officedocument.themeOverride+xml"/>
  <Override PartName="/word/theme/themeOverride9.xml" ContentType="application/vnd.openxmlformats-officedocument.themeOverride+xml"/>
  <Override PartName="/word/theme/themeOverride90.xml" ContentType="application/vnd.openxmlformats-officedocument.themeOverride+xml"/>
  <Override PartName="/word/theme/themeOverride91.xml" ContentType="application/vnd.openxmlformats-officedocument.themeOverride+xml"/>
  <Override PartName="/word/theme/themeOverride92.xml" ContentType="application/vnd.openxmlformats-officedocument.themeOverride+xml"/>
  <Override PartName="/word/theme/themeOverride93.xml" ContentType="application/vnd.openxmlformats-officedocument.themeOverride+xml"/>
  <Override PartName="/word/theme/themeOverride94.xml" ContentType="application/vnd.openxmlformats-officedocument.themeOverride+xml"/>
  <Override PartName="/word/theme/themeOverride95.xml" ContentType="application/vnd.openxmlformats-officedocument.themeOverride+xml"/>
  <Override PartName="/word/theme/themeOverride96.xml" ContentType="application/vnd.openxmlformats-officedocument.themeOverride+xml"/>
  <Override PartName="/word/theme/themeOverride97.xml" ContentType="application/vnd.openxmlformats-officedocument.themeOverride+xml"/>
  <Override PartName="/word/theme/themeOverride98.xml" ContentType="application/vnd.openxmlformats-officedocument.themeOverride+xml"/>
  <Override PartName="/word/theme/themeOverride99.xml" ContentType="application/vnd.openxmlformats-officedocument.themeOverrid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0 -->
  <w:body>
    <w:p w:rsidR="00B534D0" w:rsidRPr="00B534D0" w:rsidP="00B534D0">
      <w:pPr>
        <w:spacing w:after="0" w:line="240" w:lineRule="auto"/>
        <w:ind w:left="5812"/>
        <w:jc w:val="right"/>
        <w:rPr>
          <w:rFonts w:ascii="Candara" w:hAnsi="Candara"/>
          <w:b/>
          <w:sz w:val="24"/>
          <w:szCs w:val="24"/>
        </w:rPr>
      </w:pPr>
      <w:r w:rsidRPr="00B534D0">
        <w:rPr>
          <w:rFonts w:ascii="Candara" w:hAnsi="Candara"/>
          <w:sz w:val="24"/>
          <w:szCs w:val="24"/>
        </w:rPr>
        <w:t>Informatīvā ziņojuma “</w:t>
      </w:r>
      <w:r>
        <w:rPr>
          <w:rFonts w:ascii="Candara" w:hAnsi="Candara"/>
          <w:sz w:val="24"/>
          <w:szCs w:val="24"/>
        </w:rPr>
        <w:t>Viedās specializācijas stratēģijas monitorings</w:t>
      </w:r>
      <w:r w:rsidRPr="00B534D0">
        <w:rPr>
          <w:rFonts w:ascii="Candara" w:hAnsi="Candara"/>
          <w:sz w:val="24"/>
          <w:szCs w:val="24"/>
        </w:rPr>
        <w:t xml:space="preserve">” </w:t>
      </w:r>
      <w:r>
        <w:rPr>
          <w:rFonts w:ascii="Candara" w:hAnsi="Candara"/>
          <w:sz w:val="24"/>
          <w:szCs w:val="24"/>
        </w:rPr>
        <w:t>1</w:t>
      </w:r>
      <w:r w:rsidRPr="00B534D0">
        <w:rPr>
          <w:rFonts w:ascii="Candara" w:hAnsi="Candara"/>
          <w:sz w:val="24"/>
          <w:szCs w:val="24"/>
        </w:rPr>
        <w:t>. pielikums</w:t>
      </w:r>
    </w:p>
    <w:p w:rsidR="00B534D0" w:rsidP="00762D1E">
      <w:pPr>
        <w:spacing w:after="0" w:line="240" w:lineRule="auto"/>
        <w:jc w:val="center"/>
        <w:rPr>
          <w:rFonts w:ascii="Candara" w:hAnsi="Candara"/>
          <w:b/>
          <w:color w:val="002060"/>
          <w:sz w:val="28"/>
          <w:szCs w:val="28"/>
        </w:rPr>
      </w:pPr>
    </w:p>
    <w:p w:rsidR="008E4CFF" w:rsidRPr="006A1C94" w:rsidP="00762D1E">
      <w:pPr>
        <w:shd w:val="clear" w:color="auto" w:fill="365F91" w:themeFill="accent1" w:themeFillShade="BF"/>
        <w:spacing w:after="0" w:line="240" w:lineRule="auto"/>
        <w:jc w:val="center"/>
        <w:rPr>
          <w:rFonts w:ascii="Candara" w:hAnsi="Candara"/>
          <w:b/>
          <w:color w:val="FFFFFF" w:themeColor="background1"/>
          <w:sz w:val="32"/>
          <w:szCs w:val="32"/>
          <w:lang w:eastAsia="lv-LV"/>
        </w:rPr>
      </w:pPr>
      <w:r w:rsidRPr="006A1C94">
        <w:rPr>
          <w:rFonts w:ascii="Candara" w:hAnsi="Candara"/>
          <w:b/>
          <w:color w:val="FFFFFF" w:themeColor="background1"/>
          <w:sz w:val="32"/>
          <w:szCs w:val="32"/>
          <w:lang w:eastAsia="lv-LV"/>
        </w:rPr>
        <w:t>NOZARU MAKRO ANALĪZE</w:t>
      </w:r>
      <w:r>
        <w:rPr>
          <w:rStyle w:val="FootnoteReference"/>
          <w:rFonts w:ascii="Candara" w:hAnsi="Candara"/>
          <w:b/>
          <w:color w:val="FFFFFF" w:themeColor="background1"/>
          <w:sz w:val="32"/>
          <w:szCs w:val="32"/>
          <w:lang w:eastAsia="lv-LV"/>
        </w:rPr>
        <w:footnoteReference w:id="2"/>
      </w:r>
    </w:p>
    <w:p w:rsidR="008E4CFF" w:rsidRPr="006A1C94" w:rsidP="00762D1E">
      <w:pPr>
        <w:spacing w:after="0" w:line="240" w:lineRule="auto"/>
        <w:rPr>
          <w:rFonts w:ascii="Candara" w:hAnsi="Candara"/>
          <w:b/>
          <w:color w:val="000000" w:themeColor="text1"/>
          <w:sz w:val="32"/>
          <w:szCs w:val="32"/>
          <w:lang w:eastAsia="lv-LV"/>
        </w:rPr>
      </w:pPr>
      <w:r w:rsidRPr="006A1C94">
        <w:rPr>
          <w:rFonts w:ascii="Candara" w:hAnsi="Candara"/>
          <w:b/>
          <w:color w:val="000000" w:themeColor="text1"/>
          <w:sz w:val="32"/>
          <w:szCs w:val="32"/>
          <w:lang w:eastAsia="lv-LV"/>
        </w:rPr>
        <w:t>SATURS</w:t>
      </w:r>
    </w:p>
    <w:sdt>
      <w:sdtPr>
        <w:rPr>
          <w:rFonts w:asciiTheme="minorHAnsi" w:eastAsiaTheme="minorHAnsi" w:hAnsiTheme="minorHAnsi" w:cstheme="minorBidi"/>
          <w:b w:val="0"/>
          <w:bCs w:val="0"/>
          <w:color w:val="auto"/>
          <w:sz w:val="22"/>
          <w:szCs w:val="22"/>
          <w:lang w:val="lv-LV"/>
        </w:rPr>
        <w:id w:val="618431349"/>
        <w:docPartObj>
          <w:docPartGallery w:val="Table of Contents"/>
          <w:docPartUnique/>
        </w:docPartObj>
      </w:sdtPr>
      <w:sdtEndPr>
        <w:rPr>
          <w:rFonts w:ascii="Arial Narrow" w:hAnsi="Arial Narrow"/>
          <w:sz w:val="24"/>
          <w:szCs w:val="24"/>
        </w:rPr>
      </w:sdtEndPr>
      <w:sdtContent>
        <w:p w:rsidR="008E4CFF" w:rsidRPr="00D84B28" w:rsidP="008E4CFF">
          <w:pPr>
            <w:pStyle w:val="TOCHeading"/>
            <w:spacing w:before="0" w:line="240" w:lineRule="auto"/>
            <w:rPr>
              <w:rFonts w:ascii="Arial Narrow" w:hAnsi="Arial Narrow"/>
              <w:sz w:val="24"/>
            </w:rPr>
          </w:pPr>
        </w:p>
        <w:p>
          <w:pPr>
            <w:pStyle w:val="TOC1"/>
            <w:tabs>
              <w:tab w:val="right" w:leader="dot" w:pos="9911"/>
            </w:tabs>
            <w:rPr>
              <w:rFonts w:asciiTheme="minorHAnsi" w:hAnsiTheme="minorHAnsi"/>
              <w:noProof/>
              <w:sz w:val="22"/>
            </w:rPr>
          </w:pPr>
          <w:r w:rsidRPr="00CB4947">
            <w:rPr>
              <w:rFonts w:ascii="Arial Narrow" w:hAnsi="Arial Narrow"/>
              <w:sz w:val="24"/>
              <w:szCs w:val="24"/>
            </w:rPr>
            <w:fldChar w:fldCharType="begin"/>
          </w:r>
          <w:r w:rsidRPr="00CB4947">
            <w:rPr>
              <w:rFonts w:ascii="Arial Narrow" w:hAnsi="Arial Narrow"/>
              <w:sz w:val="24"/>
              <w:szCs w:val="24"/>
            </w:rPr>
            <w:instrText xml:space="preserve"> TOC \o "1-3" \h \z \u </w:instrText>
          </w:r>
          <w:r w:rsidRPr="00CB4947">
            <w:rPr>
              <w:rFonts w:ascii="Arial Narrow" w:hAnsi="Arial Narrow"/>
              <w:sz w:val="24"/>
              <w:szCs w:val="24"/>
            </w:rPr>
            <w:fldChar w:fldCharType="separate"/>
          </w:r>
          <w:r>
            <w:fldChar w:fldCharType="begin"/>
          </w:r>
          <w:r>
            <w:instrText xml:space="preserve"> HYPERLINK \l "_Toc256000026" </w:instrText>
          </w:r>
          <w:r>
            <w:fldChar w:fldCharType="separate"/>
          </w:r>
          <w:r w:rsidRPr="002E29F3">
            <w:rPr>
              <w:rStyle w:val="Hyperlink"/>
            </w:rPr>
            <w:t>NOZARU ATTĪSTĪBAS TENDENCES</w:t>
          </w:r>
          <w:r>
            <w:tab/>
          </w:r>
          <w:r>
            <w:fldChar w:fldCharType="begin"/>
          </w:r>
          <w:r>
            <w:instrText xml:space="preserve"> PAGEREF _Toc256000026 \h </w:instrText>
          </w:r>
          <w:r>
            <w:fldChar w:fldCharType="separate"/>
          </w:r>
          <w:r>
            <w:t>2</w:t>
          </w:r>
          <w:r>
            <w:fldChar w:fldCharType="end"/>
          </w:r>
          <w:r>
            <w:fldChar w:fldCharType="end"/>
          </w:r>
        </w:p>
        <w:p>
          <w:pPr>
            <w:pStyle w:val="TOC1"/>
            <w:tabs>
              <w:tab w:val="right" w:leader="dot" w:pos="9911"/>
            </w:tabs>
            <w:rPr>
              <w:rFonts w:asciiTheme="minorHAnsi" w:hAnsiTheme="minorHAnsi"/>
              <w:noProof/>
              <w:sz w:val="22"/>
            </w:rPr>
          </w:pPr>
          <w:r>
            <w:fldChar w:fldCharType="begin"/>
          </w:r>
          <w:r>
            <w:instrText xml:space="preserve"> HYPERLINK \l "_Toc256000027" </w:instrText>
          </w:r>
          <w:r>
            <w:fldChar w:fldCharType="separate"/>
          </w:r>
          <w:r>
            <w:rPr>
              <w:rStyle w:val="Hyperlink"/>
            </w:rPr>
            <w:t xml:space="preserve">A </w:t>
          </w:r>
          <w:r w:rsidRPr="008E4CFF" w:rsidR="008E4CFF">
            <w:rPr>
              <w:rStyle w:val="Hyperlink"/>
            </w:rPr>
            <w:t>LAUKSAIMNIECĪBA, MEŽSAIMNIECĪBA</w:t>
          </w:r>
          <w:r>
            <w:tab/>
          </w:r>
          <w:r>
            <w:fldChar w:fldCharType="begin"/>
          </w:r>
          <w:r>
            <w:instrText xml:space="preserve"> PAGEREF _Toc256000027 \h </w:instrText>
          </w:r>
          <w:r>
            <w:fldChar w:fldCharType="separate"/>
          </w:r>
          <w:r>
            <w:t>4</w:t>
          </w:r>
          <w:r>
            <w:fldChar w:fldCharType="end"/>
          </w:r>
          <w:r>
            <w:fldChar w:fldCharType="end"/>
          </w:r>
        </w:p>
        <w:p>
          <w:pPr>
            <w:pStyle w:val="TOC1"/>
            <w:tabs>
              <w:tab w:val="right" w:leader="dot" w:pos="9911"/>
            </w:tabs>
            <w:rPr>
              <w:rFonts w:asciiTheme="minorHAnsi" w:hAnsiTheme="minorHAnsi"/>
              <w:noProof/>
              <w:sz w:val="22"/>
            </w:rPr>
          </w:pPr>
          <w:r>
            <w:fldChar w:fldCharType="begin"/>
          </w:r>
          <w:r>
            <w:instrText xml:space="preserve"> HYPERLINK \l "_Toc256000028" </w:instrText>
          </w:r>
          <w:r>
            <w:fldChar w:fldCharType="separate"/>
          </w:r>
          <w:r w:rsidRPr="00C23A95">
            <w:rPr>
              <w:rStyle w:val="Hyperlink"/>
            </w:rPr>
            <w:t>B IEGUVES RŪPNIECĪBA UN KARJERU IZSTRĀDE</w:t>
          </w:r>
          <w:r>
            <w:tab/>
          </w:r>
          <w:r>
            <w:fldChar w:fldCharType="begin"/>
          </w:r>
          <w:r>
            <w:instrText xml:space="preserve"> PAGEREF _Toc256000028 \h </w:instrText>
          </w:r>
          <w:r>
            <w:fldChar w:fldCharType="separate"/>
          </w:r>
          <w:r>
            <w:t>6</w:t>
          </w:r>
          <w:r>
            <w:fldChar w:fldCharType="end"/>
          </w:r>
          <w:r>
            <w:fldChar w:fldCharType="end"/>
          </w:r>
        </w:p>
        <w:p>
          <w:pPr>
            <w:pStyle w:val="TOC1"/>
            <w:tabs>
              <w:tab w:val="right" w:leader="dot" w:pos="9911"/>
            </w:tabs>
            <w:rPr>
              <w:rFonts w:asciiTheme="minorHAnsi" w:hAnsiTheme="minorHAnsi"/>
              <w:noProof/>
              <w:sz w:val="22"/>
            </w:rPr>
          </w:pPr>
          <w:r>
            <w:fldChar w:fldCharType="begin"/>
          </w:r>
          <w:r>
            <w:instrText xml:space="preserve"> HYPERLINK \l "_Toc256000029" </w:instrText>
          </w:r>
          <w:r>
            <w:fldChar w:fldCharType="separate"/>
          </w:r>
          <w:r w:rsidRPr="00C23A95">
            <w:rPr>
              <w:rStyle w:val="Hyperlink"/>
            </w:rPr>
            <w:t>C APSTRĀDES RŪPNIECĪBA</w:t>
          </w:r>
          <w:r>
            <w:tab/>
          </w:r>
          <w:r>
            <w:fldChar w:fldCharType="begin"/>
          </w:r>
          <w:r>
            <w:instrText xml:space="preserve"> PAGEREF _Toc256000029 \h </w:instrText>
          </w:r>
          <w:r>
            <w:fldChar w:fldCharType="separate"/>
          </w:r>
          <w:r>
            <w:t>8</w:t>
          </w:r>
          <w:r>
            <w:fldChar w:fldCharType="end"/>
          </w:r>
          <w:r>
            <w:fldChar w:fldCharType="end"/>
          </w:r>
        </w:p>
        <w:p>
          <w:pPr>
            <w:pStyle w:val="TOC1"/>
            <w:tabs>
              <w:tab w:val="right" w:leader="dot" w:pos="9911"/>
            </w:tabs>
            <w:rPr>
              <w:rFonts w:asciiTheme="minorHAnsi" w:hAnsiTheme="minorHAnsi"/>
              <w:noProof/>
              <w:sz w:val="22"/>
            </w:rPr>
          </w:pPr>
          <w:r>
            <w:fldChar w:fldCharType="begin"/>
          </w:r>
          <w:r>
            <w:instrText xml:space="preserve"> HYPERLINK \l "_Toc256000030" </w:instrText>
          </w:r>
          <w:r>
            <w:fldChar w:fldCharType="separate"/>
          </w:r>
          <w:r w:rsidRPr="009F39B5">
            <w:rPr>
              <w:rStyle w:val="Hyperlink"/>
            </w:rPr>
            <w:t>C10-12 PĀRTIKAS PRODUKTU, DZĒRIENU RAŽOŠANA</w:t>
          </w:r>
          <w:r>
            <w:tab/>
          </w:r>
          <w:r>
            <w:fldChar w:fldCharType="begin"/>
          </w:r>
          <w:r>
            <w:instrText xml:space="preserve"> PAGEREF _Toc256000030 \h </w:instrText>
          </w:r>
          <w:r>
            <w:fldChar w:fldCharType="separate"/>
          </w:r>
          <w:r>
            <w:t>10</w:t>
          </w:r>
          <w:r>
            <w:fldChar w:fldCharType="end"/>
          </w:r>
          <w:r>
            <w:fldChar w:fldCharType="end"/>
          </w:r>
        </w:p>
        <w:p>
          <w:pPr>
            <w:pStyle w:val="TOC1"/>
            <w:tabs>
              <w:tab w:val="right" w:leader="dot" w:pos="9911"/>
            </w:tabs>
            <w:rPr>
              <w:rFonts w:asciiTheme="minorHAnsi" w:hAnsiTheme="minorHAnsi"/>
              <w:noProof/>
              <w:sz w:val="22"/>
            </w:rPr>
          </w:pPr>
          <w:r>
            <w:fldChar w:fldCharType="begin"/>
          </w:r>
          <w:r>
            <w:instrText xml:space="preserve"> HYPERLINK \l "_Toc256000031" </w:instrText>
          </w:r>
          <w:r>
            <w:fldChar w:fldCharType="separate"/>
          </w:r>
          <w:r w:rsidRPr="009F39B5">
            <w:rPr>
              <w:rStyle w:val="Hyperlink"/>
            </w:rPr>
            <w:t>C13-15 VIEGLĀ RŪPNIECĪBA</w:t>
          </w:r>
          <w:r>
            <w:tab/>
          </w:r>
          <w:r>
            <w:fldChar w:fldCharType="begin"/>
          </w:r>
          <w:r>
            <w:instrText xml:space="preserve"> PAGEREF _Toc256000031 \h </w:instrText>
          </w:r>
          <w:r>
            <w:fldChar w:fldCharType="separate"/>
          </w:r>
          <w:r>
            <w:t>12</w:t>
          </w:r>
          <w:r>
            <w:fldChar w:fldCharType="end"/>
          </w:r>
          <w:r>
            <w:fldChar w:fldCharType="end"/>
          </w:r>
        </w:p>
        <w:p>
          <w:pPr>
            <w:pStyle w:val="TOC1"/>
            <w:tabs>
              <w:tab w:val="right" w:leader="dot" w:pos="9911"/>
            </w:tabs>
            <w:rPr>
              <w:rFonts w:asciiTheme="minorHAnsi" w:hAnsiTheme="minorHAnsi"/>
              <w:noProof/>
              <w:sz w:val="22"/>
            </w:rPr>
          </w:pPr>
          <w:r>
            <w:fldChar w:fldCharType="begin"/>
          </w:r>
          <w:r>
            <w:instrText xml:space="preserve"> HYPERLINK \l "_Toc256000032" </w:instrText>
          </w:r>
          <w:r>
            <w:fldChar w:fldCharType="separate"/>
          </w:r>
          <w:r w:rsidRPr="009F39B5">
            <w:rPr>
              <w:rStyle w:val="Hyperlink"/>
            </w:rPr>
            <w:t>C16 KOKAPSTRĀDE</w:t>
          </w:r>
          <w:r>
            <w:tab/>
          </w:r>
          <w:r>
            <w:fldChar w:fldCharType="begin"/>
          </w:r>
          <w:r>
            <w:instrText xml:space="preserve"> PAGEREF _Toc256000032 \h </w:instrText>
          </w:r>
          <w:r>
            <w:fldChar w:fldCharType="separate"/>
          </w:r>
          <w:r>
            <w:t>14</w:t>
          </w:r>
          <w:r>
            <w:fldChar w:fldCharType="end"/>
          </w:r>
          <w:r>
            <w:fldChar w:fldCharType="end"/>
          </w:r>
        </w:p>
        <w:p>
          <w:pPr>
            <w:pStyle w:val="TOC1"/>
            <w:tabs>
              <w:tab w:val="right" w:leader="dot" w:pos="9911"/>
            </w:tabs>
            <w:rPr>
              <w:rFonts w:asciiTheme="minorHAnsi" w:hAnsiTheme="minorHAnsi"/>
              <w:noProof/>
              <w:sz w:val="22"/>
            </w:rPr>
          </w:pPr>
          <w:r>
            <w:fldChar w:fldCharType="begin"/>
          </w:r>
          <w:r>
            <w:instrText xml:space="preserve"> HYPERLINK \l "_Toc256000033" </w:instrText>
          </w:r>
          <w:r>
            <w:fldChar w:fldCharType="separate"/>
          </w:r>
          <w:r w:rsidRPr="009F39B5">
            <w:rPr>
              <w:rStyle w:val="Hyperlink"/>
            </w:rPr>
            <w:t>C17-18 PAPĪRA RAŽOŠANA UN POLIGRĀFIJA</w:t>
          </w:r>
          <w:r>
            <w:tab/>
          </w:r>
          <w:r>
            <w:fldChar w:fldCharType="begin"/>
          </w:r>
          <w:r>
            <w:instrText xml:space="preserve"> PAGEREF _Toc256000033 \h </w:instrText>
          </w:r>
          <w:r>
            <w:fldChar w:fldCharType="separate"/>
          </w:r>
          <w:r>
            <w:t>16</w:t>
          </w:r>
          <w:r>
            <w:fldChar w:fldCharType="end"/>
          </w:r>
          <w:r>
            <w:fldChar w:fldCharType="end"/>
          </w:r>
        </w:p>
        <w:p>
          <w:pPr>
            <w:pStyle w:val="TOC1"/>
            <w:tabs>
              <w:tab w:val="right" w:leader="dot" w:pos="9911"/>
            </w:tabs>
            <w:rPr>
              <w:rFonts w:asciiTheme="minorHAnsi" w:hAnsiTheme="minorHAnsi"/>
              <w:noProof/>
              <w:sz w:val="22"/>
            </w:rPr>
          </w:pPr>
          <w:r>
            <w:fldChar w:fldCharType="begin"/>
          </w:r>
          <w:r>
            <w:instrText xml:space="preserve"> HYPERLINK \l "_Toc256000034" </w:instrText>
          </w:r>
          <w:r>
            <w:fldChar w:fldCharType="separate"/>
          </w:r>
          <w:r w:rsidRPr="009F39B5">
            <w:rPr>
              <w:rStyle w:val="Hyperlink"/>
            </w:rPr>
            <w:t>C19-22 ĶĪMISKĀ RŪPNIECĪBA UN TĀS SASKARNOZARES</w:t>
          </w:r>
          <w:r>
            <w:tab/>
          </w:r>
          <w:r>
            <w:fldChar w:fldCharType="begin"/>
          </w:r>
          <w:r>
            <w:instrText xml:space="preserve"> PAGEREF _Toc256000034 \h </w:instrText>
          </w:r>
          <w:r>
            <w:fldChar w:fldCharType="separate"/>
          </w:r>
          <w:r>
            <w:t>18</w:t>
          </w:r>
          <w:r>
            <w:fldChar w:fldCharType="end"/>
          </w:r>
          <w:r>
            <w:fldChar w:fldCharType="end"/>
          </w:r>
        </w:p>
        <w:p>
          <w:pPr>
            <w:pStyle w:val="TOC1"/>
            <w:tabs>
              <w:tab w:val="right" w:leader="dot" w:pos="9911"/>
            </w:tabs>
            <w:rPr>
              <w:rFonts w:asciiTheme="minorHAnsi" w:hAnsiTheme="minorHAnsi"/>
              <w:noProof/>
              <w:sz w:val="22"/>
            </w:rPr>
          </w:pPr>
          <w:r>
            <w:fldChar w:fldCharType="begin"/>
          </w:r>
          <w:r>
            <w:instrText xml:space="preserve"> HYPERLINK \l "_Toc256000035" </w:instrText>
          </w:r>
          <w:r>
            <w:fldChar w:fldCharType="separate"/>
          </w:r>
          <w:r w:rsidRPr="009F39B5">
            <w:rPr>
              <w:rStyle w:val="Hyperlink"/>
            </w:rPr>
            <w:t>C23 NEMETĀLISKO MINERĀLU IZSTRĀDĀJUMU RAŽOŠANA</w:t>
          </w:r>
          <w:r>
            <w:tab/>
          </w:r>
          <w:r>
            <w:fldChar w:fldCharType="begin"/>
          </w:r>
          <w:r>
            <w:instrText xml:space="preserve"> PAGEREF _Toc256000035 \h </w:instrText>
          </w:r>
          <w:r>
            <w:fldChar w:fldCharType="separate"/>
          </w:r>
          <w:r>
            <w:t>20</w:t>
          </w:r>
          <w:r>
            <w:fldChar w:fldCharType="end"/>
          </w:r>
          <w:r>
            <w:fldChar w:fldCharType="end"/>
          </w:r>
        </w:p>
        <w:p>
          <w:pPr>
            <w:pStyle w:val="TOC1"/>
            <w:tabs>
              <w:tab w:val="right" w:leader="dot" w:pos="9911"/>
            </w:tabs>
            <w:rPr>
              <w:rFonts w:asciiTheme="minorHAnsi" w:hAnsiTheme="minorHAnsi"/>
              <w:noProof/>
              <w:sz w:val="22"/>
            </w:rPr>
          </w:pPr>
          <w:r>
            <w:fldChar w:fldCharType="begin"/>
          </w:r>
          <w:r>
            <w:instrText xml:space="preserve"> HYPERLINK \l "_Toc256000036" </w:instrText>
          </w:r>
          <w:r>
            <w:fldChar w:fldCharType="separate"/>
          </w:r>
          <w:r w:rsidRPr="009F39B5">
            <w:rPr>
              <w:rStyle w:val="Hyperlink"/>
            </w:rPr>
            <w:t>C24-25 METĀLU UN METĀLU IZSTRĀDĀJUMU RAŽOŠANA</w:t>
          </w:r>
          <w:r>
            <w:tab/>
          </w:r>
          <w:r>
            <w:fldChar w:fldCharType="begin"/>
          </w:r>
          <w:r>
            <w:instrText xml:space="preserve"> PAGEREF _Toc256000036 \h </w:instrText>
          </w:r>
          <w:r>
            <w:fldChar w:fldCharType="separate"/>
          </w:r>
          <w:r>
            <w:t>22</w:t>
          </w:r>
          <w:r>
            <w:fldChar w:fldCharType="end"/>
          </w:r>
          <w:r>
            <w:fldChar w:fldCharType="end"/>
          </w:r>
        </w:p>
        <w:p>
          <w:pPr>
            <w:pStyle w:val="TOC1"/>
            <w:tabs>
              <w:tab w:val="right" w:leader="dot" w:pos="9911"/>
            </w:tabs>
            <w:rPr>
              <w:rFonts w:asciiTheme="minorHAnsi" w:hAnsiTheme="minorHAnsi"/>
              <w:noProof/>
              <w:sz w:val="22"/>
            </w:rPr>
          </w:pPr>
          <w:r>
            <w:fldChar w:fldCharType="begin"/>
          </w:r>
          <w:r>
            <w:instrText xml:space="preserve"> HYPERLINK \l "_Toc256000037" </w:instrText>
          </w:r>
          <w:r>
            <w:fldChar w:fldCharType="separate"/>
          </w:r>
          <w:r w:rsidRPr="009F39B5">
            <w:rPr>
              <w:rStyle w:val="Hyperlink"/>
            </w:rPr>
            <w:t>C26-27 ELEKTRISKO UN OPTISKO IEKĀRTU RAŽOŠANA</w:t>
          </w:r>
          <w:r>
            <w:tab/>
          </w:r>
          <w:r>
            <w:fldChar w:fldCharType="begin"/>
          </w:r>
          <w:r>
            <w:instrText xml:space="preserve"> PAGEREF _Toc256000037 \h </w:instrText>
          </w:r>
          <w:r>
            <w:fldChar w:fldCharType="separate"/>
          </w:r>
          <w:r>
            <w:t>24</w:t>
          </w:r>
          <w:r>
            <w:fldChar w:fldCharType="end"/>
          </w:r>
          <w:r>
            <w:fldChar w:fldCharType="end"/>
          </w:r>
        </w:p>
        <w:p>
          <w:pPr>
            <w:pStyle w:val="TOC1"/>
            <w:tabs>
              <w:tab w:val="right" w:leader="dot" w:pos="9911"/>
            </w:tabs>
            <w:rPr>
              <w:rFonts w:asciiTheme="minorHAnsi" w:hAnsiTheme="minorHAnsi"/>
              <w:noProof/>
              <w:sz w:val="22"/>
            </w:rPr>
          </w:pPr>
          <w:r>
            <w:fldChar w:fldCharType="begin"/>
          </w:r>
          <w:r>
            <w:instrText xml:space="preserve"> HYPERLINK \l "_Toc256000038" </w:instrText>
          </w:r>
          <w:r>
            <w:fldChar w:fldCharType="separate"/>
          </w:r>
          <w:r w:rsidRPr="009F39B5">
            <w:rPr>
              <w:rStyle w:val="Hyperlink"/>
            </w:rPr>
            <w:t xml:space="preserve">C28 </w:t>
          </w:r>
          <w:r w:rsidRPr="009F39B5" w:rsidR="00F24746">
            <w:rPr>
              <w:rStyle w:val="Hyperlink"/>
            </w:rPr>
            <w:t>MAŠĪNU UN IEKĀRTU RAŽOŠANA</w:t>
          </w:r>
          <w:r>
            <w:tab/>
          </w:r>
          <w:r>
            <w:fldChar w:fldCharType="begin"/>
          </w:r>
          <w:r>
            <w:instrText xml:space="preserve"> PAGEREF _Toc256000038 \h </w:instrText>
          </w:r>
          <w:r>
            <w:fldChar w:fldCharType="separate"/>
          </w:r>
          <w:r>
            <w:t>26</w:t>
          </w:r>
          <w:r>
            <w:fldChar w:fldCharType="end"/>
          </w:r>
          <w:r>
            <w:fldChar w:fldCharType="end"/>
          </w:r>
        </w:p>
        <w:p>
          <w:pPr>
            <w:pStyle w:val="TOC1"/>
            <w:tabs>
              <w:tab w:val="right" w:leader="dot" w:pos="9911"/>
            </w:tabs>
            <w:rPr>
              <w:rFonts w:asciiTheme="minorHAnsi" w:hAnsiTheme="minorHAnsi"/>
              <w:noProof/>
              <w:sz w:val="22"/>
            </w:rPr>
          </w:pPr>
          <w:r>
            <w:fldChar w:fldCharType="begin"/>
          </w:r>
          <w:r>
            <w:instrText xml:space="preserve"> HYPERLINK \l "_Toc256000039" </w:instrText>
          </w:r>
          <w:r>
            <w:fldChar w:fldCharType="separate"/>
          </w:r>
          <w:r w:rsidRPr="009F39B5">
            <w:rPr>
              <w:rStyle w:val="Hyperlink"/>
            </w:rPr>
            <w:t>C29-30 TRANSPORTLĪDZEKĻU RAŽOŠANA</w:t>
          </w:r>
          <w:r>
            <w:tab/>
          </w:r>
          <w:r>
            <w:fldChar w:fldCharType="begin"/>
          </w:r>
          <w:r>
            <w:instrText xml:space="preserve"> PAGEREF _Toc256000039 \h </w:instrText>
          </w:r>
          <w:r>
            <w:fldChar w:fldCharType="separate"/>
          </w:r>
          <w:r>
            <w:t>28</w:t>
          </w:r>
          <w:r>
            <w:fldChar w:fldCharType="end"/>
          </w:r>
          <w:r>
            <w:fldChar w:fldCharType="end"/>
          </w:r>
        </w:p>
        <w:p>
          <w:pPr>
            <w:pStyle w:val="TOC1"/>
            <w:tabs>
              <w:tab w:val="right" w:leader="dot" w:pos="9911"/>
            </w:tabs>
            <w:rPr>
              <w:rFonts w:asciiTheme="minorHAnsi" w:hAnsiTheme="minorHAnsi"/>
              <w:noProof/>
              <w:sz w:val="22"/>
            </w:rPr>
          </w:pPr>
          <w:r>
            <w:fldChar w:fldCharType="begin"/>
          </w:r>
          <w:r>
            <w:instrText xml:space="preserve"> HYPERLINK \l "_Toc256000040" </w:instrText>
          </w:r>
          <w:r>
            <w:fldChar w:fldCharType="separate"/>
          </w:r>
          <w:r w:rsidRPr="009F39B5">
            <w:rPr>
              <w:rStyle w:val="Hyperlink"/>
            </w:rPr>
            <w:t>C31-33 PĀRĒJĀS APSTRĀDES RŪPNIECĪBAS NOZARES</w:t>
          </w:r>
          <w:r>
            <w:tab/>
          </w:r>
          <w:r>
            <w:fldChar w:fldCharType="begin"/>
          </w:r>
          <w:r>
            <w:instrText xml:space="preserve"> PAGEREF _Toc256000040 \h </w:instrText>
          </w:r>
          <w:r>
            <w:fldChar w:fldCharType="separate"/>
          </w:r>
          <w:r>
            <w:t>30</w:t>
          </w:r>
          <w:r>
            <w:fldChar w:fldCharType="end"/>
          </w:r>
          <w:r>
            <w:fldChar w:fldCharType="end"/>
          </w:r>
        </w:p>
        <w:p>
          <w:pPr>
            <w:pStyle w:val="TOC1"/>
            <w:tabs>
              <w:tab w:val="right" w:leader="dot" w:pos="9911"/>
            </w:tabs>
            <w:rPr>
              <w:rFonts w:asciiTheme="minorHAnsi" w:hAnsiTheme="minorHAnsi"/>
              <w:noProof/>
              <w:sz w:val="22"/>
            </w:rPr>
          </w:pPr>
          <w:r>
            <w:fldChar w:fldCharType="begin"/>
          </w:r>
          <w:r>
            <w:instrText xml:space="preserve"> HYPERLINK \l "_Toc256000041" </w:instrText>
          </w:r>
          <w:r>
            <w:fldChar w:fldCharType="separate"/>
          </w:r>
          <w:r>
            <w:rPr>
              <w:rStyle w:val="Hyperlink"/>
            </w:rPr>
            <w:t>D ELEKTROENERĢIJA, GĀZES APGĀDE, SILTUMAPGĀDE UN GAISA KONDICIONĒŠANA</w:t>
          </w:r>
          <w:r>
            <w:tab/>
          </w:r>
          <w:r>
            <w:fldChar w:fldCharType="begin"/>
          </w:r>
          <w:r>
            <w:instrText xml:space="preserve"> PAGEREF _Toc256000041 \h </w:instrText>
          </w:r>
          <w:r>
            <w:fldChar w:fldCharType="separate"/>
          </w:r>
          <w:r>
            <w:t>32</w:t>
          </w:r>
          <w:r>
            <w:fldChar w:fldCharType="end"/>
          </w:r>
          <w:r>
            <w:fldChar w:fldCharType="end"/>
          </w:r>
        </w:p>
        <w:p>
          <w:pPr>
            <w:pStyle w:val="TOC1"/>
            <w:tabs>
              <w:tab w:val="right" w:leader="dot" w:pos="9911"/>
            </w:tabs>
            <w:rPr>
              <w:rFonts w:asciiTheme="minorHAnsi" w:hAnsiTheme="minorHAnsi"/>
              <w:noProof/>
              <w:sz w:val="22"/>
            </w:rPr>
          </w:pPr>
          <w:r>
            <w:fldChar w:fldCharType="begin"/>
          </w:r>
          <w:r>
            <w:instrText xml:space="preserve"> HYPERLINK \l "_Toc256000042" </w:instrText>
          </w:r>
          <w:r>
            <w:fldChar w:fldCharType="separate"/>
          </w:r>
          <w:r>
            <w:rPr>
              <w:rStyle w:val="Hyperlink"/>
            </w:rPr>
            <w:t>E ŪDENS APGĀDE; NOTEKŪDEŅU, ATKRITUMU APSAIMNIEKOŠANA UN SANĀCIJA</w:t>
          </w:r>
          <w:r>
            <w:tab/>
          </w:r>
          <w:r>
            <w:fldChar w:fldCharType="begin"/>
          </w:r>
          <w:r>
            <w:instrText xml:space="preserve"> PAGEREF _Toc256000042 \h </w:instrText>
          </w:r>
          <w:r>
            <w:fldChar w:fldCharType="separate"/>
          </w:r>
          <w:r>
            <w:t>34</w:t>
          </w:r>
          <w:r>
            <w:fldChar w:fldCharType="end"/>
          </w:r>
          <w:r>
            <w:fldChar w:fldCharType="end"/>
          </w:r>
        </w:p>
        <w:p>
          <w:pPr>
            <w:pStyle w:val="TOC1"/>
            <w:tabs>
              <w:tab w:val="right" w:leader="dot" w:pos="9911"/>
            </w:tabs>
            <w:rPr>
              <w:rFonts w:asciiTheme="minorHAnsi" w:hAnsiTheme="minorHAnsi"/>
              <w:noProof/>
              <w:sz w:val="22"/>
            </w:rPr>
          </w:pPr>
          <w:r>
            <w:fldChar w:fldCharType="begin"/>
          </w:r>
          <w:r>
            <w:instrText xml:space="preserve"> HYPERLINK \l "_Toc256000043" </w:instrText>
          </w:r>
          <w:r>
            <w:fldChar w:fldCharType="separate"/>
          </w:r>
          <w:r>
            <w:rPr>
              <w:rStyle w:val="Hyperlink"/>
            </w:rPr>
            <w:t>F BŪVNIECĪBA</w:t>
          </w:r>
          <w:r>
            <w:tab/>
          </w:r>
          <w:r>
            <w:fldChar w:fldCharType="begin"/>
          </w:r>
          <w:r>
            <w:instrText xml:space="preserve"> PAGEREF _Toc256000043 \h </w:instrText>
          </w:r>
          <w:r>
            <w:fldChar w:fldCharType="separate"/>
          </w:r>
          <w:r>
            <w:t>36</w:t>
          </w:r>
          <w:r>
            <w:fldChar w:fldCharType="end"/>
          </w:r>
          <w:r>
            <w:fldChar w:fldCharType="end"/>
          </w:r>
        </w:p>
        <w:p>
          <w:pPr>
            <w:pStyle w:val="TOC1"/>
            <w:tabs>
              <w:tab w:val="right" w:leader="dot" w:pos="9911"/>
            </w:tabs>
            <w:rPr>
              <w:rFonts w:asciiTheme="minorHAnsi" w:hAnsiTheme="minorHAnsi"/>
              <w:noProof/>
              <w:sz w:val="22"/>
            </w:rPr>
          </w:pPr>
          <w:r>
            <w:fldChar w:fldCharType="begin"/>
          </w:r>
          <w:r>
            <w:instrText xml:space="preserve"> HYPERLINK \l "_Toc256000044" </w:instrText>
          </w:r>
          <w:r>
            <w:fldChar w:fldCharType="separate"/>
          </w:r>
          <w:r>
            <w:rPr>
              <w:rStyle w:val="Hyperlink"/>
            </w:rPr>
            <w:t>G TIRDZNIECĪBA</w:t>
          </w:r>
          <w:r>
            <w:tab/>
          </w:r>
          <w:r>
            <w:fldChar w:fldCharType="begin"/>
          </w:r>
          <w:r>
            <w:instrText xml:space="preserve"> PAGEREF _Toc256000044 \h </w:instrText>
          </w:r>
          <w:r>
            <w:fldChar w:fldCharType="separate"/>
          </w:r>
          <w:r>
            <w:t>38</w:t>
          </w:r>
          <w:r>
            <w:fldChar w:fldCharType="end"/>
          </w:r>
          <w:r>
            <w:fldChar w:fldCharType="end"/>
          </w:r>
        </w:p>
        <w:p>
          <w:pPr>
            <w:pStyle w:val="TOC1"/>
            <w:tabs>
              <w:tab w:val="right" w:leader="dot" w:pos="9911"/>
            </w:tabs>
            <w:rPr>
              <w:rFonts w:asciiTheme="minorHAnsi" w:hAnsiTheme="minorHAnsi"/>
              <w:noProof/>
              <w:sz w:val="22"/>
            </w:rPr>
          </w:pPr>
          <w:r>
            <w:fldChar w:fldCharType="begin"/>
          </w:r>
          <w:r>
            <w:instrText xml:space="preserve"> HYPERLINK \l "_Toc256000045" </w:instrText>
          </w:r>
          <w:r>
            <w:fldChar w:fldCharType="separate"/>
          </w:r>
          <w:r>
            <w:rPr>
              <w:rStyle w:val="Hyperlink"/>
            </w:rPr>
            <w:t>H TRANSPORTS UN UZGLABĀŠANA</w:t>
          </w:r>
          <w:r>
            <w:tab/>
          </w:r>
          <w:r>
            <w:fldChar w:fldCharType="begin"/>
          </w:r>
          <w:r>
            <w:instrText xml:space="preserve"> PAGEREF _Toc256000045 \h </w:instrText>
          </w:r>
          <w:r>
            <w:fldChar w:fldCharType="separate"/>
          </w:r>
          <w:r>
            <w:t>40</w:t>
          </w:r>
          <w:r>
            <w:fldChar w:fldCharType="end"/>
          </w:r>
          <w:r>
            <w:fldChar w:fldCharType="end"/>
          </w:r>
        </w:p>
        <w:p>
          <w:pPr>
            <w:pStyle w:val="TOC1"/>
            <w:tabs>
              <w:tab w:val="right" w:leader="dot" w:pos="9911"/>
            </w:tabs>
            <w:rPr>
              <w:rFonts w:asciiTheme="minorHAnsi" w:hAnsiTheme="minorHAnsi"/>
              <w:noProof/>
              <w:sz w:val="22"/>
            </w:rPr>
          </w:pPr>
          <w:r>
            <w:fldChar w:fldCharType="begin"/>
          </w:r>
          <w:r>
            <w:instrText xml:space="preserve"> HYPERLINK \l "_Toc256000046" </w:instrText>
          </w:r>
          <w:r>
            <w:fldChar w:fldCharType="separate"/>
          </w:r>
          <w:r>
            <w:rPr>
              <w:rStyle w:val="Hyperlink"/>
            </w:rPr>
            <w:t>I IZMITINĀŠANA UN ĒDINĀŠANAS PAKALPOJUMI</w:t>
          </w:r>
          <w:r>
            <w:tab/>
          </w:r>
          <w:r>
            <w:fldChar w:fldCharType="begin"/>
          </w:r>
          <w:r>
            <w:instrText xml:space="preserve"> PAGEREF _Toc256000046 \h </w:instrText>
          </w:r>
          <w:r>
            <w:fldChar w:fldCharType="separate"/>
          </w:r>
          <w:r>
            <w:t>42</w:t>
          </w:r>
          <w:r>
            <w:fldChar w:fldCharType="end"/>
          </w:r>
          <w:r>
            <w:fldChar w:fldCharType="end"/>
          </w:r>
        </w:p>
        <w:p>
          <w:pPr>
            <w:pStyle w:val="TOC1"/>
            <w:tabs>
              <w:tab w:val="right" w:leader="dot" w:pos="9911"/>
            </w:tabs>
            <w:rPr>
              <w:rFonts w:asciiTheme="minorHAnsi" w:hAnsiTheme="minorHAnsi"/>
              <w:noProof/>
              <w:sz w:val="22"/>
            </w:rPr>
          </w:pPr>
          <w:r>
            <w:fldChar w:fldCharType="begin"/>
          </w:r>
          <w:r>
            <w:instrText xml:space="preserve"> HYPERLINK \l "_Toc256000047" </w:instrText>
          </w:r>
          <w:r>
            <w:fldChar w:fldCharType="separate"/>
          </w:r>
          <w:r>
            <w:rPr>
              <w:rStyle w:val="Hyperlink"/>
            </w:rPr>
            <w:t>J INFORMĀCIJAS UN KOMUNIKĀCIJU PAKALPOJUMI</w:t>
          </w:r>
          <w:r>
            <w:tab/>
          </w:r>
          <w:r>
            <w:fldChar w:fldCharType="begin"/>
          </w:r>
          <w:r>
            <w:instrText xml:space="preserve"> PAGEREF _Toc256000047 \h </w:instrText>
          </w:r>
          <w:r>
            <w:fldChar w:fldCharType="separate"/>
          </w:r>
          <w:r>
            <w:t>44</w:t>
          </w:r>
          <w:r>
            <w:fldChar w:fldCharType="end"/>
          </w:r>
          <w:r>
            <w:fldChar w:fldCharType="end"/>
          </w:r>
        </w:p>
        <w:p>
          <w:pPr>
            <w:pStyle w:val="TOC1"/>
            <w:tabs>
              <w:tab w:val="right" w:leader="dot" w:pos="9911"/>
            </w:tabs>
            <w:rPr>
              <w:rFonts w:asciiTheme="minorHAnsi" w:hAnsiTheme="minorHAnsi"/>
              <w:noProof/>
              <w:sz w:val="22"/>
            </w:rPr>
          </w:pPr>
          <w:r>
            <w:fldChar w:fldCharType="begin"/>
          </w:r>
          <w:r>
            <w:instrText xml:space="preserve"> HYPERLINK \l "_Toc256000048" </w:instrText>
          </w:r>
          <w:r>
            <w:fldChar w:fldCharType="separate"/>
          </w:r>
          <w:r>
            <w:rPr>
              <w:rStyle w:val="Hyperlink"/>
            </w:rPr>
            <w:t>J61 TELEKOMUNIKĀCIJAS</w:t>
          </w:r>
          <w:r>
            <w:tab/>
          </w:r>
          <w:r>
            <w:fldChar w:fldCharType="begin"/>
          </w:r>
          <w:r>
            <w:instrText xml:space="preserve"> PAGEREF _Toc256000048 \h </w:instrText>
          </w:r>
          <w:r>
            <w:fldChar w:fldCharType="separate"/>
          </w:r>
          <w:r>
            <w:t>46</w:t>
          </w:r>
          <w:r>
            <w:fldChar w:fldCharType="end"/>
          </w:r>
          <w:r>
            <w:fldChar w:fldCharType="end"/>
          </w:r>
        </w:p>
        <w:p>
          <w:pPr>
            <w:pStyle w:val="TOC1"/>
            <w:tabs>
              <w:tab w:val="right" w:leader="dot" w:pos="9911"/>
            </w:tabs>
            <w:rPr>
              <w:rFonts w:asciiTheme="minorHAnsi" w:hAnsiTheme="minorHAnsi"/>
              <w:noProof/>
              <w:sz w:val="22"/>
            </w:rPr>
          </w:pPr>
          <w:r>
            <w:fldChar w:fldCharType="begin"/>
          </w:r>
          <w:r>
            <w:instrText xml:space="preserve"> HYPERLINK \l "_Toc256000049" </w:instrText>
          </w:r>
          <w:r>
            <w:fldChar w:fldCharType="separate"/>
          </w:r>
          <w:r>
            <w:rPr>
              <w:rStyle w:val="Hyperlink"/>
            </w:rPr>
            <w:t>J62-63 DATORPROGRAMMĒŠANA, KONSULTĒŠANA, INFORMĀCIJAS PAKALPOJUMI</w:t>
          </w:r>
          <w:r>
            <w:tab/>
          </w:r>
          <w:r>
            <w:fldChar w:fldCharType="begin"/>
          </w:r>
          <w:r>
            <w:instrText xml:space="preserve"> PAGEREF _Toc256000049 \h </w:instrText>
          </w:r>
          <w:r>
            <w:fldChar w:fldCharType="separate"/>
          </w:r>
          <w:r>
            <w:t>48</w:t>
          </w:r>
          <w:r>
            <w:fldChar w:fldCharType="end"/>
          </w:r>
          <w:r>
            <w:fldChar w:fldCharType="end"/>
          </w:r>
        </w:p>
        <w:p>
          <w:pPr>
            <w:pStyle w:val="TOC1"/>
            <w:tabs>
              <w:tab w:val="right" w:leader="dot" w:pos="9911"/>
            </w:tabs>
            <w:rPr>
              <w:rFonts w:asciiTheme="minorHAnsi" w:hAnsiTheme="minorHAnsi"/>
              <w:noProof/>
              <w:sz w:val="22"/>
            </w:rPr>
          </w:pPr>
          <w:r>
            <w:fldChar w:fldCharType="begin"/>
          </w:r>
          <w:r>
            <w:instrText xml:space="preserve"> HYPERLINK \l "_Toc256000050" </w:instrText>
          </w:r>
          <w:r>
            <w:fldChar w:fldCharType="separate"/>
          </w:r>
          <w:r>
            <w:rPr>
              <w:rStyle w:val="Hyperlink"/>
            </w:rPr>
            <w:t>K-N, R-S  PĀRĒJIE KOMERCPAKALPOJUMI</w:t>
          </w:r>
          <w:r>
            <w:tab/>
          </w:r>
          <w:r>
            <w:fldChar w:fldCharType="begin"/>
          </w:r>
          <w:r>
            <w:instrText xml:space="preserve"> PAGEREF _Toc256000050 \h </w:instrText>
          </w:r>
          <w:r>
            <w:fldChar w:fldCharType="separate"/>
          </w:r>
          <w:r>
            <w:t>50</w:t>
          </w:r>
          <w:r>
            <w:fldChar w:fldCharType="end"/>
          </w:r>
          <w:r>
            <w:fldChar w:fldCharType="end"/>
          </w:r>
        </w:p>
        <w:p>
          <w:pPr>
            <w:pStyle w:val="TOC1"/>
            <w:tabs>
              <w:tab w:val="right" w:leader="dot" w:pos="9911"/>
            </w:tabs>
            <w:rPr>
              <w:rFonts w:asciiTheme="minorHAnsi" w:hAnsiTheme="minorHAnsi"/>
              <w:noProof/>
              <w:sz w:val="22"/>
            </w:rPr>
          </w:pPr>
          <w:r>
            <w:fldChar w:fldCharType="begin"/>
          </w:r>
          <w:r>
            <w:instrText xml:space="preserve"> HYPERLINK \l "_Toc256000051" </w:instrText>
          </w:r>
          <w:r>
            <w:fldChar w:fldCharType="separate"/>
          </w:r>
          <w:r>
            <w:rPr>
              <w:rStyle w:val="Hyperlink"/>
            </w:rPr>
            <w:t>KOPSAVILKUMS</w:t>
          </w:r>
          <w:r>
            <w:tab/>
          </w:r>
          <w:r>
            <w:fldChar w:fldCharType="begin"/>
          </w:r>
          <w:r>
            <w:instrText xml:space="preserve"> PAGEREF _Toc256000051 \h </w:instrText>
          </w:r>
          <w:r>
            <w:fldChar w:fldCharType="separate"/>
          </w:r>
          <w:r>
            <w:t>52</w:t>
          </w:r>
          <w:r>
            <w:fldChar w:fldCharType="end"/>
          </w:r>
          <w:r>
            <w:fldChar w:fldCharType="end"/>
          </w:r>
        </w:p>
        <w:p w:rsidRPr="00CB4947" w:rsidP="009F39B5">
          <w:pPr>
            <w:spacing w:line="240" w:lineRule="auto"/>
            <w:rPr>
              <w:rFonts w:ascii="Arial Narrow" w:hAnsi="Arial Narrow"/>
              <w:sz w:val="24"/>
              <w:szCs w:val="24"/>
            </w:rPr>
          </w:pPr>
          <w:r w:rsidRPr="00CB4947">
            <w:rPr>
              <w:rFonts w:ascii="Arial Narrow" w:hAnsi="Arial Narrow"/>
              <w:sz w:val="24"/>
              <w:szCs w:val="24"/>
            </w:rPr>
            <w:fldChar w:fldCharType="end"/>
          </w:r>
        </w:p>
      </w:sdtContent>
    </w:sdt>
    <w:p w:rsidR="002E29F3" w:rsidP="002E29F3">
      <w:pPr>
        <w:pStyle w:val="Heading1"/>
        <w:jc w:val="center"/>
        <w:rPr>
          <w:b/>
          <w:sz w:val="22"/>
        </w:rPr>
      </w:pPr>
      <w:bookmarkStart w:id="0" w:name="_GoBack"/>
      <w:r>
        <w:rPr>
          <w:b/>
          <w:sz w:val="22"/>
        </w:rPr>
        <w:br w:type="page"/>
      </w:r>
      <w:bookmarkStart w:id="1" w:name="_Toc482792398"/>
      <w:bookmarkEnd w:id="0"/>
      <w:bookmarkStart w:id="2" w:name="_Toc256000000"/>
      <w:bookmarkStart w:id="3" w:name="_Toc256000026"/>
      <w:r w:rsidRPr="002E29F3">
        <w:rPr>
          <w:b/>
          <w:sz w:val="22"/>
        </w:rPr>
        <w:t>NOZARU ATTĪSTĪBAS TENDENCES</w:t>
      </w:r>
      <w:bookmarkEnd w:id="3"/>
      <w:bookmarkEnd w:id="2"/>
      <w:bookmarkEnd w:id="1"/>
    </w:p>
    <w:p w:rsidR="00762D1E" w:rsidRPr="002E29F3" w:rsidP="00762D1E">
      <w:pPr>
        <w:spacing w:after="0" w:line="240" w:lineRule="auto"/>
        <w:jc w:val="center"/>
      </w:pPr>
    </w:p>
    <w:tbl>
      <w:tblPr>
        <w:tblStyle w:val="TableGrid"/>
        <w:tblW w:w="11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69"/>
        <w:gridCol w:w="1869"/>
        <w:gridCol w:w="1869"/>
        <w:gridCol w:w="1869"/>
        <w:gridCol w:w="1869"/>
        <w:gridCol w:w="1869"/>
      </w:tblGrid>
      <w:tr w:rsidTr="00762D1E">
        <w:tblPrEx>
          <w:tblW w:w="11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3738" w:type="dxa"/>
            <w:gridSpan w:val="2"/>
            <w:vAlign w:val="center"/>
          </w:tcPr>
          <w:p w:rsidR="00762D1E" w:rsidRPr="004E3ADD" w:rsidP="00762D1E">
            <w:pPr>
              <w:spacing w:before="120" w:after="120"/>
              <w:ind w:left="-57" w:right="-57"/>
              <w:jc w:val="center"/>
              <w:rPr>
                <w:rFonts w:ascii="Arial Narrow" w:hAnsi="Arial Narrow"/>
                <w:b/>
                <w:sz w:val="18"/>
                <w:szCs w:val="18"/>
              </w:rPr>
            </w:pPr>
            <w:r w:rsidRPr="004E3ADD">
              <w:rPr>
                <w:rFonts w:ascii="Arial Narrow" w:hAnsi="Arial Narrow"/>
                <w:b/>
                <w:sz w:val="18"/>
                <w:szCs w:val="18"/>
              </w:rPr>
              <w:t>Izaugsme, 201</w:t>
            </w:r>
            <w:r>
              <w:rPr>
                <w:rFonts w:ascii="Arial Narrow" w:hAnsi="Arial Narrow"/>
                <w:b/>
                <w:sz w:val="18"/>
                <w:szCs w:val="18"/>
              </w:rPr>
              <w:t>7</w:t>
            </w:r>
            <w:r w:rsidRPr="004E3ADD">
              <w:rPr>
                <w:rFonts w:ascii="Arial Narrow" w:hAnsi="Arial Narrow"/>
                <w:b/>
                <w:sz w:val="18"/>
                <w:szCs w:val="18"/>
              </w:rPr>
              <w:t xml:space="preserve">./2012.gadu, </w:t>
            </w:r>
            <w:r>
              <w:rPr>
                <w:rFonts w:ascii="Arial Narrow" w:hAnsi="Arial Narrow"/>
                <w:b/>
                <w:sz w:val="18"/>
                <w:szCs w:val="18"/>
              </w:rPr>
              <w:br/>
            </w:r>
            <w:r w:rsidRPr="004E3ADD">
              <w:rPr>
                <w:rFonts w:ascii="Arial Narrow" w:hAnsi="Arial Narrow"/>
                <w:b/>
                <w:sz w:val="18"/>
                <w:szCs w:val="18"/>
              </w:rPr>
              <w:t>%</w:t>
            </w:r>
          </w:p>
        </w:tc>
        <w:tc>
          <w:tcPr>
            <w:tcW w:w="3738" w:type="dxa"/>
            <w:gridSpan w:val="2"/>
            <w:vAlign w:val="center"/>
          </w:tcPr>
          <w:p w:rsidR="00762D1E" w:rsidRPr="004E3ADD" w:rsidP="00762D1E">
            <w:pPr>
              <w:spacing w:before="120" w:after="120"/>
              <w:ind w:left="-57" w:right="-57"/>
              <w:jc w:val="center"/>
              <w:rPr>
                <w:rFonts w:ascii="Arial Narrow" w:hAnsi="Arial Narrow"/>
                <w:b/>
                <w:sz w:val="18"/>
                <w:szCs w:val="18"/>
              </w:rPr>
            </w:pPr>
            <w:r>
              <w:rPr>
                <w:rFonts w:ascii="Arial Narrow" w:hAnsi="Arial Narrow"/>
                <w:b/>
                <w:sz w:val="18"/>
                <w:szCs w:val="18"/>
              </w:rPr>
              <w:t>Nodarbinātie</w:t>
            </w:r>
            <w:r w:rsidRPr="004E3ADD">
              <w:rPr>
                <w:rFonts w:ascii="Arial Narrow" w:hAnsi="Arial Narrow"/>
                <w:b/>
                <w:sz w:val="18"/>
                <w:szCs w:val="18"/>
              </w:rPr>
              <w:t>, 201</w:t>
            </w:r>
            <w:r>
              <w:rPr>
                <w:rFonts w:ascii="Arial Narrow" w:hAnsi="Arial Narrow"/>
                <w:b/>
                <w:sz w:val="18"/>
                <w:szCs w:val="18"/>
              </w:rPr>
              <w:t>7</w:t>
            </w:r>
            <w:r w:rsidRPr="004E3ADD">
              <w:rPr>
                <w:rFonts w:ascii="Arial Narrow" w:hAnsi="Arial Narrow"/>
                <w:b/>
                <w:sz w:val="18"/>
                <w:szCs w:val="18"/>
              </w:rPr>
              <w:t xml:space="preserve">./2012.gadu, </w:t>
            </w:r>
            <w:r>
              <w:rPr>
                <w:rFonts w:ascii="Arial Narrow" w:hAnsi="Arial Narrow"/>
                <w:b/>
                <w:sz w:val="18"/>
                <w:szCs w:val="18"/>
              </w:rPr>
              <w:br/>
            </w:r>
            <w:r w:rsidRPr="004E3ADD">
              <w:rPr>
                <w:rFonts w:ascii="Arial Narrow" w:hAnsi="Arial Narrow"/>
                <w:b/>
                <w:sz w:val="18"/>
                <w:szCs w:val="18"/>
              </w:rPr>
              <w:t>%</w:t>
            </w:r>
          </w:p>
        </w:tc>
        <w:tc>
          <w:tcPr>
            <w:tcW w:w="3738" w:type="dxa"/>
            <w:gridSpan w:val="2"/>
          </w:tcPr>
          <w:p w:rsidR="00762D1E" w:rsidRPr="004E3ADD" w:rsidP="00762D1E">
            <w:pPr>
              <w:spacing w:before="120" w:after="120"/>
              <w:ind w:left="-57" w:right="-57"/>
              <w:jc w:val="center"/>
              <w:rPr>
                <w:rFonts w:ascii="Arial Narrow" w:hAnsi="Arial Narrow"/>
                <w:b/>
                <w:sz w:val="18"/>
                <w:szCs w:val="18"/>
              </w:rPr>
            </w:pPr>
            <w:r>
              <w:rPr>
                <w:rFonts w:ascii="Arial Narrow" w:hAnsi="Arial Narrow"/>
                <w:b/>
                <w:sz w:val="18"/>
                <w:szCs w:val="18"/>
              </w:rPr>
              <w:t>Darbaspēka izmaksas</w:t>
            </w:r>
            <w:r w:rsidRPr="004E3ADD">
              <w:rPr>
                <w:rFonts w:ascii="Arial Narrow" w:hAnsi="Arial Narrow"/>
                <w:b/>
                <w:sz w:val="18"/>
                <w:szCs w:val="18"/>
              </w:rPr>
              <w:t>, 201</w:t>
            </w:r>
            <w:r>
              <w:rPr>
                <w:rFonts w:ascii="Arial Narrow" w:hAnsi="Arial Narrow"/>
                <w:b/>
                <w:sz w:val="18"/>
                <w:szCs w:val="18"/>
              </w:rPr>
              <w:t>6</w:t>
            </w:r>
            <w:r w:rsidRPr="004E3ADD">
              <w:rPr>
                <w:rFonts w:ascii="Arial Narrow" w:hAnsi="Arial Narrow"/>
                <w:b/>
                <w:sz w:val="18"/>
                <w:szCs w:val="18"/>
              </w:rPr>
              <w:t xml:space="preserve">./2012.gadu, </w:t>
            </w:r>
            <w:r>
              <w:rPr>
                <w:rFonts w:ascii="Arial Narrow" w:hAnsi="Arial Narrow"/>
                <w:b/>
                <w:sz w:val="18"/>
                <w:szCs w:val="18"/>
              </w:rPr>
              <w:br/>
              <w:t xml:space="preserve">vidēji gadā, </w:t>
            </w:r>
            <w:r w:rsidRPr="004E3ADD">
              <w:rPr>
                <w:rFonts w:ascii="Arial Narrow" w:hAnsi="Arial Narrow"/>
                <w:b/>
                <w:sz w:val="18"/>
                <w:szCs w:val="18"/>
              </w:rPr>
              <w:t>%</w:t>
            </w:r>
          </w:p>
        </w:tc>
      </w:tr>
      <w:tr w:rsidTr="00762D1E">
        <w:tblPrEx>
          <w:tblW w:w="11214" w:type="dxa"/>
          <w:jc w:val="center"/>
          <w:tblLook w:val="04A0"/>
        </w:tblPrEx>
        <w:trPr>
          <w:jc w:val="center"/>
        </w:trPr>
        <w:tc>
          <w:tcPr>
            <w:tcW w:w="1869" w:type="dxa"/>
          </w:tcPr>
          <w:p w:rsidR="00762D1E" w:rsidRPr="00E25DA0" w:rsidP="00762D1E">
            <w:pPr>
              <w:spacing w:before="160"/>
              <w:ind w:left="-57" w:right="-57"/>
              <w:jc w:val="right"/>
              <w:rPr>
                <w:rFonts w:ascii="Arial Narrow" w:hAnsi="Arial Narrow"/>
                <w:sz w:val="16"/>
                <w:szCs w:val="16"/>
              </w:rPr>
            </w:pPr>
            <w:r w:rsidRPr="00E25DA0">
              <w:rPr>
                <w:rFonts w:ascii="Arial Narrow" w:hAnsi="Arial Narrow"/>
                <w:sz w:val="16"/>
                <w:szCs w:val="16"/>
              </w:rPr>
              <w:t>Elektrisko un opt</w:t>
            </w:r>
            <w:r>
              <w:rPr>
                <w:rFonts w:ascii="Arial Narrow" w:hAnsi="Arial Narrow"/>
                <w:sz w:val="16"/>
                <w:szCs w:val="16"/>
              </w:rPr>
              <w:t>.</w:t>
            </w:r>
            <w:r w:rsidRPr="00E25DA0">
              <w:rPr>
                <w:rFonts w:ascii="Arial Narrow" w:hAnsi="Arial Narrow"/>
                <w:sz w:val="16"/>
                <w:szCs w:val="16"/>
              </w:rPr>
              <w:t xml:space="preserve"> iek. raž.</w:t>
            </w:r>
          </w:p>
          <w:p w:rsidR="00762D1E" w:rsidRPr="00E25DA0" w:rsidP="00762D1E">
            <w:pPr>
              <w:spacing w:before="160"/>
              <w:ind w:left="-57" w:right="-57"/>
              <w:jc w:val="right"/>
              <w:rPr>
                <w:rFonts w:ascii="Arial Narrow" w:hAnsi="Arial Narrow"/>
                <w:sz w:val="16"/>
                <w:szCs w:val="16"/>
              </w:rPr>
            </w:pPr>
            <w:r w:rsidRPr="00E25DA0">
              <w:rPr>
                <w:rFonts w:ascii="Arial Narrow" w:hAnsi="Arial Narrow"/>
                <w:sz w:val="16"/>
                <w:szCs w:val="16"/>
              </w:rPr>
              <w:t>Mašīnu un iekārtu ražošana</w:t>
            </w:r>
          </w:p>
          <w:p w:rsidR="00762D1E" w:rsidRPr="00E25DA0" w:rsidP="00762D1E">
            <w:pPr>
              <w:spacing w:before="160"/>
              <w:ind w:left="-57" w:right="-57"/>
              <w:jc w:val="right"/>
              <w:rPr>
                <w:rFonts w:ascii="Arial Narrow" w:hAnsi="Arial Narrow"/>
                <w:sz w:val="16"/>
                <w:szCs w:val="16"/>
              </w:rPr>
            </w:pPr>
            <w:r w:rsidRPr="00E25DA0">
              <w:rPr>
                <w:rFonts w:ascii="Arial Narrow" w:hAnsi="Arial Narrow"/>
                <w:sz w:val="16"/>
                <w:szCs w:val="16"/>
              </w:rPr>
              <w:t>Izmitināšana un ēdināšana</w:t>
            </w:r>
          </w:p>
          <w:p w:rsidR="00762D1E" w:rsidRPr="00E25DA0" w:rsidP="00762D1E">
            <w:pPr>
              <w:spacing w:before="160"/>
              <w:ind w:left="-57" w:right="-57"/>
              <w:jc w:val="right"/>
              <w:rPr>
                <w:rFonts w:ascii="Arial Narrow" w:hAnsi="Arial Narrow"/>
                <w:sz w:val="16"/>
                <w:szCs w:val="16"/>
              </w:rPr>
            </w:pPr>
            <w:r w:rsidRPr="00E25DA0">
              <w:rPr>
                <w:rFonts w:ascii="Arial Narrow" w:hAnsi="Arial Narrow"/>
                <w:sz w:val="16"/>
                <w:szCs w:val="16"/>
              </w:rPr>
              <w:t>Kokapstrāde</w:t>
            </w:r>
          </w:p>
          <w:p w:rsidR="00762D1E" w:rsidRPr="00E25DA0" w:rsidP="00762D1E">
            <w:pPr>
              <w:spacing w:before="160"/>
              <w:ind w:left="-57" w:right="-57"/>
              <w:jc w:val="right"/>
              <w:rPr>
                <w:rFonts w:ascii="Arial Narrow" w:hAnsi="Arial Narrow"/>
                <w:sz w:val="16"/>
                <w:szCs w:val="16"/>
              </w:rPr>
            </w:pPr>
            <w:r w:rsidRPr="00E25DA0">
              <w:rPr>
                <w:rFonts w:ascii="Arial Narrow" w:hAnsi="Arial Narrow"/>
                <w:sz w:val="16"/>
                <w:szCs w:val="16"/>
              </w:rPr>
              <w:t>Tirdzniecība</w:t>
            </w:r>
          </w:p>
          <w:p w:rsidR="00762D1E" w:rsidRPr="00E25DA0" w:rsidP="00762D1E">
            <w:pPr>
              <w:spacing w:before="160"/>
              <w:ind w:left="-57" w:right="-57"/>
              <w:jc w:val="right"/>
              <w:rPr>
                <w:rFonts w:ascii="Arial Narrow" w:hAnsi="Arial Narrow"/>
                <w:sz w:val="16"/>
                <w:szCs w:val="16"/>
              </w:rPr>
            </w:pPr>
            <w:r>
              <w:rPr>
                <w:rFonts w:ascii="Arial Narrow" w:hAnsi="Arial Narrow"/>
                <w:sz w:val="16"/>
                <w:szCs w:val="16"/>
              </w:rPr>
              <w:t>Ieguves rūpniecība</w:t>
            </w:r>
          </w:p>
          <w:p w:rsidR="00762D1E" w:rsidRPr="00E25DA0" w:rsidP="00762D1E">
            <w:pPr>
              <w:spacing w:before="40"/>
              <w:ind w:right="-57"/>
              <w:rPr>
                <w:rFonts w:ascii="Arial Narrow" w:hAnsi="Arial Narrow"/>
                <w:sz w:val="16"/>
                <w:szCs w:val="16"/>
              </w:rPr>
            </w:pPr>
          </w:p>
        </w:tc>
        <w:tc>
          <w:tcPr>
            <w:tcW w:w="1869" w:type="dxa"/>
          </w:tcPr>
          <w:p w:rsidR="00762D1E" w:rsidRPr="00E25DA0" w:rsidP="00762D1E">
            <w:pPr>
              <w:ind w:left="-57" w:right="-57"/>
              <w:jc w:val="center"/>
              <w:rPr>
                <w:rFonts w:ascii="Arial Narrow" w:hAnsi="Arial Narrow"/>
                <w:sz w:val="16"/>
                <w:szCs w:val="16"/>
              </w:rPr>
            </w:pPr>
            <w:r w:rsidRPr="00E25DA0">
              <w:rPr>
                <w:rFonts w:ascii="Arial Narrow" w:hAnsi="Arial Narrow"/>
                <w:noProof/>
                <w:sz w:val="16"/>
                <w:szCs w:val="16"/>
                <w:lang w:eastAsia="lv-LV"/>
              </w:rPr>
              <w:drawing>
                <wp:inline distT="0" distB="0" distL="0" distR="0">
                  <wp:extent cx="1080000" cy="1440000"/>
                  <wp:effectExtent l="0" t="0" r="6350" b="8255"/>
                  <wp:docPr id="559" name="Chart 5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tc>
        <w:tc>
          <w:tcPr>
            <w:tcW w:w="1869" w:type="dxa"/>
          </w:tcPr>
          <w:p w:rsidR="00762D1E" w:rsidRPr="00E25DA0" w:rsidP="00762D1E">
            <w:pPr>
              <w:spacing w:before="160"/>
              <w:ind w:left="-57" w:right="-57"/>
              <w:jc w:val="right"/>
              <w:rPr>
                <w:rFonts w:ascii="Arial Narrow" w:hAnsi="Arial Narrow"/>
                <w:sz w:val="16"/>
                <w:szCs w:val="16"/>
              </w:rPr>
            </w:pPr>
            <w:r>
              <w:rPr>
                <w:rFonts w:ascii="Arial Narrow" w:hAnsi="Arial Narrow"/>
                <w:sz w:val="16"/>
                <w:szCs w:val="16"/>
              </w:rPr>
              <w:t>IKT</w:t>
            </w:r>
          </w:p>
          <w:p w:rsidR="00762D1E" w:rsidRPr="00E25DA0" w:rsidP="00762D1E">
            <w:pPr>
              <w:spacing w:before="160"/>
              <w:ind w:left="-57" w:right="-57"/>
              <w:jc w:val="right"/>
              <w:rPr>
                <w:rFonts w:ascii="Arial Narrow" w:hAnsi="Arial Narrow"/>
                <w:sz w:val="16"/>
                <w:szCs w:val="16"/>
              </w:rPr>
            </w:pPr>
            <w:r w:rsidRPr="00E25DA0">
              <w:rPr>
                <w:rFonts w:ascii="Arial Narrow" w:hAnsi="Arial Narrow"/>
                <w:sz w:val="16"/>
                <w:szCs w:val="16"/>
              </w:rPr>
              <w:t>Izmitināšana un ēdināšana</w:t>
            </w:r>
          </w:p>
          <w:p w:rsidR="00762D1E" w:rsidRPr="00E25DA0" w:rsidP="00762D1E">
            <w:pPr>
              <w:spacing w:before="160"/>
              <w:ind w:left="-57" w:right="-57"/>
              <w:jc w:val="right"/>
              <w:rPr>
                <w:rFonts w:ascii="Arial Narrow" w:hAnsi="Arial Narrow"/>
                <w:sz w:val="16"/>
                <w:szCs w:val="16"/>
              </w:rPr>
            </w:pPr>
            <w:r w:rsidRPr="007006CB">
              <w:rPr>
                <w:rFonts w:ascii="Arial Narrow" w:hAnsi="Arial Narrow"/>
                <w:sz w:val="16"/>
                <w:szCs w:val="16"/>
              </w:rPr>
              <w:t>Elektrisko un opt</w:t>
            </w:r>
            <w:r>
              <w:rPr>
                <w:rFonts w:ascii="Arial Narrow" w:hAnsi="Arial Narrow"/>
                <w:sz w:val="16"/>
                <w:szCs w:val="16"/>
              </w:rPr>
              <w:t>.</w:t>
            </w:r>
            <w:r w:rsidRPr="007006CB">
              <w:rPr>
                <w:rFonts w:ascii="Arial Narrow" w:hAnsi="Arial Narrow"/>
                <w:sz w:val="16"/>
                <w:szCs w:val="16"/>
              </w:rPr>
              <w:t xml:space="preserve"> iek</w:t>
            </w:r>
            <w:r>
              <w:rPr>
                <w:rFonts w:ascii="Arial Narrow" w:hAnsi="Arial Narrow"/>
                <w:sz w:val="16"/>
                <w:szCs w:val="16"/>
              </w:rPr>
              <w:t xml:space="preserve">. </w:t>
            </w:r>
            <w:r w:rsidRPr="007006CB">
              <w:rPr>
                <w:rFonts w:ascii="Arial Narrow" w:hAnsi="Arial Narrow"/>
                <w:sz w:val="16"/>
                <w:szCs w:val="16"/>
              </w:rPr>
              <w:t>raž</w:t>
            </w:r>
            <w:r>
              <w:rPr>
                <w:rFonts w:ascii="Arial Narrow" w:hAnsi="Arial Narrow"/>
                <w:sz w:val="16"/>
                <w:szCs w:val="16"/>
              </w:rPr>
              <w:t>.</w:t>
            </w:r>
          </w:p>
          <w:p w:rsidR="00762D1E" w:rsidRPr="00E25DA0" w:rsidP="00762D1E">
            <w:pPr>
              <w:spacing w:before="160"/>
              <w:ind w:left="-57" w:right="-57"/>
              <w:jc w:val="right"/>
              <w:rPr>
                <w:rFonts w:ascii="Arial Narrow" w:hAnsi="Arial Narrow"/>
                <w:sz w:val="16"/>
                <w:szCs w:val="16"/>
              </w:rPr>
            </w:pPr>
            <w:r w:rsidRPr="007006CB">
              <w:rPr>
                <w:rFonts w:ascii="Arial Narrow" w:hAnsi="Arial Narrow"/>
                <w:sz w:val="16"/>
                <w:szCs w:val="16"/>
              </w:rPr>
              <w:t>Nemetālisko minerālu raž</w:t>
            </w:r>
            <w:r>
              <w:rPr>
                <w:rFonts w:ascii="Arial Narrow" w:hAnsi="Arial Narrow"/>
                <w:sz w:val="16"/>
                <w:szCs w:val="16"/>
              </w:rPr>
              <w:t>.</w:t>
            </w:r>
          </w:p>
          <w:p w:rsidR="00762D1E" w:rsidRPr="00E25DA0" w:rsidP="00762D1E">
            <w:pPr>
              <w:spacing w:before="160"/>
              <w:ind w:left="-57" w:right="-57"/>
              <w:jc w:val="right"/>
              <w:rPr>
                <w:rFonts w:ascii="Arial Narrow" w:hAnsi="Arial Narrow"/>
                <w:sz w:val="16"/>
                <w:szCs w:val="16"/>
              </w:rPr>
            </w:pPr>
            <w:r w:rsidRPr="00E25DA0">
              <w:rPr>
                <w:rFonts w:ascii="Arial Narrow" w:hAnsi="Arial Narrow"/>
                <w:sz w:val="16"/>
                <w:szCs w:val="16"/>
              </w:rPr>
              <w:t>Mašīnu un iekārtu ražošana</w:t>
            </w:r>
          </w:p>
          <w:p w:rsidR="00762D1E" w:rsidRPr="00E25DA0" w:rsidP="00762D1E">
            <w:pPr>
              <w:spacing w:before="160"/>
              <w:ind w:left="-57" w:right="-57"/>
              <w:jc w:val="right"/>
              <w:rPr>
                <w:rFonts w:ascii="Arial Narrow" w:hAnsi="Arial Narrow"/>
                <w:sz w:val="16"/>
                <w:szCs w:val="16"/>
              </w:rPr>
            </w:pPr>
            <w:r>
              <w:rPr>
                <w:rFonts w:ascii="Arial Narrow" w:hAnsi="Arial Narrow"/>
                <w:sz w:val="16"/>
                <w:szCs w:val="16"/>
              </w:rPr>
              <w:t>Ūdens apgāde</w:t>
            </w:r>
          </w:p>
          <w:p w:rsidR="00762D1E" w:rsidRPr="00E25DA0" w:rsidP="00762D1E">
            <w:pPr>
              <w:spacing w:before="40"/>
              <w:ind w:left="-57" w:right="-57"/>
              <w:rPr>
                <w:rFonts w:ascii="Arial Narrow" w:hAnsi="Arial Narrow"/>
                <w:sz w:val="16"/>
                <w:szCs w:val="16"/>
              </w:rPr>
            </w:pPr>
          </w:p>
        </w:tc>
        <w:tc>
          <w:tcPr>
            <w:tcW w:w="1869" w:type="dxa"/>
          </w:tcPr>
          <w:p w:rsidR="00762D1E" w:rsidRPr="00E25DA0" w:rsidP="00762D1E">
            <w:pPr>
              <w:ind w:left="-57" w:right="-57"/>
              <w:jc w:val="center"/>
              <w:rPr>
                <w:rFonts w:ascii="Arial Narrow" w:hAnsi="Arial Narrow"/>
                <w:sz w:val="16"/>
                <w:szCs w:val="16"/>
              </w:rPr>
            </w:pPr>
            <w:r w:rsidRPr="00E25DA0">
              <w:rPr>
                <w:rFonts w:ascii="Arial Narrow" w:hAnsi="Arial Narrow"/>
                <w:noProof/>
                <w:sz w:val="16"/>
                <w:szCs w:val="16"/>
                <w:lang w:eastAsia="lv-LV"/>
              </w:rPr>
              <w:drawing>
                <wp:inline distT="0" distB="0" distL="0" distR="0">
                  <wp:extent cx="1080000" cy="1440000"/>
                  <wp:effectExtent l="0" t="0" r="6350" b="8255"/>
                  <wp:docPr id="561" name="Chart 5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tc>
        <w:tc>
          <w:tcPr>
            <w:tcW w:w="1869" w:type="dxa"/>
          </w:tcPr>
          <w:p w:rsidR="00762D1E" w:rsidRPr="00E25DA0" w:rsidP="00762D1E">
            <w:pPr>
              <w:spacing w:before="160"/>
              <w:ind w:left="-57" w:right="-57"/>
              <w:jc w:val="right"/>
              <w:rPr>
                <w:rFonts w:ascii="Arial Narrow" w:hAnsi="Arial Narrow"/>
                <w:sz w:val="16"/>
                <w:szCs w:val="16"/>
              </w:rPr>
            </w:pPr>
            <w:r w:rsidRPr="00E25DA0">
              <w:rPr>
                <w:rFonts w:ascii="Arial Narrow" w:hAnsi="Arial Narrow"/>
                <w:sz w:val="16"/>
                <w:szCs w:val="16"/>
              </w:rPr>
              <w:t>Izmitināšana un ēdināšan</w:t>
            </w:r>
            <w:r>
              <w:rPr>
                <w:rFonts w:ascii="Arial Narrow" w:hAnsi="Arial Narrow"/>
                <w:sz w:val="16"/>
                <w:szCs w:val="16"/>
              </w:rPr>
              <w:t>a</w:t>
            </w:r>
          </w:p>
          <w:p w:rsidR="00762D1E" w:rsidRPr="00E25DA0" w:rsidP="00762D1E">
            <w:pPr>
              <w:spacing w:before="160"/>
              <w:ind w:left="-57" w:right="-57"/>
              <w:jc w:val="right"/>
              <w:rPr>
                <w:rFonts w:ascii="Arial Narrow" w:hAnsi="Arial Narrow"/>
                <w:sz w:val="16"/>
                <w:szCs w:val="16"/>
              </w:rPr>
            </w:pPr>
            <w:r w:rsidRPr="00E25DA0">
              <w:rPr>
                <w:rFonts w:ascii="Arial Narrow" w:hAnsi="Arial Narrow"/>
                <w:sz w:val="16"/>
                <w:szCs w:val="16"/>
              </w:rPr>
              <w:t>Mašīnu un iekārtu ražošana</w:t>
            </w:r>
          </w:p>
          <w:p w:rsidR="00762D1E" w:rsidRPr="00E25DA0" w:rsidP="00762D1E">
            <w:pPr>
              <w:spacing w:before="160"/>
              <w:ind w:left="-57" w:right="-57"/>
              <w:jc w:val="right"/>
              <w:rPr>
                <w:rFonts w:ascii="Arial Narrow" w:hAnsi="Arial Narrow"/>
                <w:sz w:val="16"/>
                <w:szCs w:val="16"/>
              </w:rPr>
            </w:pPr>
            <w:r>
              <w:rPr>
                <w:rFonts w:ascii="Arial Narrow" w:hAnsi="Arial Narrow"/>
                <w:sz w:val="16"/>
                <w:szCs w:val="16"/>
              </w:rPr>
              <w:t>Būvniecība</w:t>
            </w:r>
          </w:p>
          <w:p w:rsidR="00762D1E" w:rsidRPr="00E25DA0" w:rsidP="00762D1E">
            <w:pPr>
              <w:spacing w:before="160"/>
              <w:ind w:left="-57" w:right="-57"/>
              <w:jc w:val="right"/>
              <w:rPr>
                <w:rFonts w:ascii="Arial Narrow" w:hAnsi="Arial Narrow"/>
                <w:sz w:val="16"/>
                <w:szCs w:val="16"/>
              </w:rPr>
            </w:pPr>
            <w:r>
              <w:rPr>
                <w:rFonts w:ascii="Arial Narrow" w:hAnsi="Arial Narrow"/>
                <w:sz w:val="16"/>
                <w:szCs w:val="16"/>
              </w:rPr>
              <w:t>Pārtikas</w:t>
            </w:r>
            <w:r w:rsidRPr="00E25DA0">
              <w:rPr>
                <w:rFonts w:ascii="Arial Narrow" w:hAnsi="Arial Narrow"/>
                <w:sz w:val="16"/>
                <w:szCs w:val="16"/>
              </w:rPr>
              <w:t xml:space="preserve"> rūpniecība</w:t>
            </w:r>
          </w:p>
          <w:p w:rsidR="00762D1E" w:rsidRPr="00E25DA0" w:rsidP="00762D1E">
            <w:pPr>
              <w:spacing w:before="160"/>
              <w:ind w:left="-57" w:right="-57"/>
              <w:jc w:val="right"/>
              <w:rPr>
                <w:rFonts w:ascii="Arial Narrow" w:hAnsi="Arial Narrow"/>
                <w:sz w:val="16"/>
                <w:szCs w:val="16"/>
              </w:rPr>
            </w:pPr>
            <w:r>
              <w:rPr>
                <w:rFonts w:ascii="Arial Narrow" w:hAnsi="Arial Narrow"/>
                <w:sz w:val="16"/>
                <w:szCs w:val="16"/>
              </w:rPr>
              <w:t>Metālapstrāde</w:t>
            </w:r>
          </w:p>
          <w:p w:rsidR="00762D1E" w:rsidRPr="00E25DA0" w:rsidP="00762D1E">
            <w:pPr>
              <w:spacing w:before="160"/>
              <w:ind w:left="-57" w:right="-57"/>
              <w:jc w:val="right"/>
              <w:rPr>
                <w:rFonts w:ascii="Arial Narrow" w:hAnsi="Arial Narrow"/>
                <w:sz w:val="16"/>
                <w:szCs w:val="16"/>
              </w:rPr>
            </w:pPr>
            <w:r>
              <w:rPr>
                <w:rFonts w:ascii="Arial Narrow" w:hAnsi="Arial Narrow"/>
                <w:sz w:val="16"/>
                <w:szCs w:val="16"/>
              </w:rPr>
              <w:t>Transports un uzglabāšana</w:t>
            </w:r>
          </w:p>
          <w:p w:rsidR="00762D1E" w:rsidRPr="00E25DA0" w:rsidP="00762D1E">
            <w:pPr>
              <w:spacing w:before="40"/>
              <w:ind w:left="-57" w:right="-57"/>
              <w:rPr>
                <w:rFonts w:ascii="Arial Narrow" w:hAnsi="Arial Narrow"/>
                <w:sz w:val="16"/>
                <w:szCs w:val="16"/>
              </w:rPr>
            </w:pPr>
          </w:p>
        </w:tc>
        <w:tc>
          <w:tcPr>
            <w:tcW w:w="1869" w:type="dxa"/>
          </w:tcPr>
          <w:p w:rsidR="00762D1E" w:rsidRPr="00E25DA0" w:rsidP="00762D1E">
            <w:pPr>
              <w:ind w:left="-57" w:right="-57"/>
              <w:jc w:val="center"/>
              <w:rPr>
                <w:rFonts w:ascii="Arial Narrow" w:hAnsi="Arial Narrow"/>
                <w:sz w:val="16"/>
                <w:szCs w:val="16"/>
              </w:rPr>
            </w:pPr>
            <w:r w:rsidRPr="00E25DA0">
              <w:rPr>
                <w:rFonts w:ascii="Arial Narrow" w:hAnsi="Arial Narrow"/>
                <w:noProof/>
                <w:sz w:val="16"/>
                <w:szCs w:val="16"/>
                <w:lang w:eastAsia="lv-LV"/>
              </w:rPr>
              <w:drawing>
                <wp:inline distT="0" distB="0" distL="0" distR="0">
                  <wp:extent cx="1080000" cy="1440000"/>
                  <wp:effectExtent l="0" t="0" r="6350" b="8255"/>
                  <wp:docPr id="563" name="Chart 5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r w:rsidTr="00762D1E">
        <w:tblPrEx>
          <w:tblW w:w="11214" w:type="dxa"/>
          <w:jc w:val="center"/>
          <w:tblLook w:val="04A0"/>
        </w:tblPrEx>
        <w:trPr>
          <w:jc w:val="center"/>
        </w:trPr>
        <w:tc>
          <w:tcPr>
            <w:tcW w:w="3738" w:type="dxa"/>
            <w:gridSpan w:val="2"/>
          </w:tcPr>
          <w:p w:rsidR="00762D1E" w:rsidRPr="0054780A" w:rsidP="00762D1E">
            <w:pPr>
              <w:ind w:left="-57" w:right="-57"/>
              <w:jc w:val="center"/>
              <w:rPr>
                <w:rFonts w:ascii="Arial Narrow" w:hAnsi="Arial Narrow"/>
                <w:b/>
                <w:noProof/>
                <w:sz w:val="20"/>
                <w:szCs w:val="16"/>
                <w:lang w:eastAsia="lv-LV"/>
              </w:rPr>
            </w:pPr>
            <w:r w:rsidRPr="0054780A">
              <w:rPr>
                <w:rFonts w:ascii="Arial Narrow" w:hAnsi="Arial Narrow"/>
                <w:b/>
                <w:noProof/>
                <w:sz w:val="20"/>
                <w:szCs w:val="16"/>
                <w:lang w:eastAsia="lv-LV"/>
              </w:rPr>
              <w:t>…</w:t>
            </w:r>
          </w:p>
        </w:tc>
        <w:tc>
          <w:tcPr>
            <w:tcW w:w="3738" w:type="dxa"/>
            <w:gridSpan w:val="2"/>
          </w:tcPr>
          <w:p w:rsidR="00762D1E" w:rsidRPr="0054780A" w:rsidP="00762D1E">
            <w:pPr>
              <w:ind w:left="-57" w:right="-57"/>
              <w:jc w:val="center"/>
              <w:rPr>
                <w:rFonts w:ascii="Arial Narrow" w:hAnsi="Arial Narrow"/>
                <w:b/>
                <w:noProof/>
                <w:sz w:val="20"/>
                <w:szCs w:val="16"/>
                <w:lang w:eastAsia="lv-LV"/>
              </w:rPr>
            </w:pPr>
            <w:r w:rsidRPr="0054780A">
              <w:rPr>
                <w:rFonts w:ascii="Arial Narrow" w:hAnsi="Arial Narrow"/>
                <w:b/>
                <w:noProof/>
                <w:sz w:val="20"/>
                <w:szCs w:val="16"/>
                <w:lang w:eastAsia="lv-LV"/>
              </w:rPr>
              <w:t>…</w:t>
            </w:r>
          </w:p>
        </w:tc>
        <w:tc>
          <w:tcPr>
            <w:tcW w:w="3738" w:type="dxa"/>
            <w:gridSpan w:val="2"/>
          </w:tcPr>
          <w:p w:rsidR="00762D1E" w:rsidRPr="0054780A" w:rsidP="00762D1E">
            <w:pPr>
              <w:ind w:left="-57" w:right="-57"/>
              <w:jc w:val="center"/>
              <w:rPr>
                <w:rFonts w:ascii="Arial Narrow" w:hAnsi="Arial Narrow"/>
                <w:b/>
                <w:noProof/>
                <w:sz w:val="20"/>
                <w:szCs w:val="16"/>
                <w:lang w:eastAsia="lv-LV"/>
              </w:rPr>
            </w:pPr>
            <w:r w:rsidRPr="0054780A">
              <w:rPr>
                <w:rFonts w:ascii="Arial Narrow" w:hAnsi="Arial Narrow"/>
                <w:b/>
                <w:noProof/>
                <w:sz w:val="20"/>
                <w:szCs w:val="16"/>
                <w:lang w:eastAsia="lv-LV"/>
              </w:rPr>
              <w:t>…</w:t>
            </w:r>
          </w:p>
        </w:tc>
      </w:tr>
      <w:tr w:rsidTr="00762D1E">
        <w:tblPrEx>
          <w:tblW w:w="11214" w:type="dxa"/>
          <w:jc w:val="center"/>
          <w:tblLook w:val="04A0"/>
        </w:tblPrEx>
        <w:trPr>
          <w:jc w:val="center"/>
        </w:trPr>
        <w:tc>
          <w:tcPr>
            <w:tcW w:w="1869" w:type="dxa"/>
          </w:tcPr>
          <w:p w:rsidR="00762D1E" w:rsidRPr="00E25DA0" w:rsidP="00762D1E">
            <w:pPr>
              <w:spacing w:before="160"/>
              <w:ind w:left="-57" w:right="-57"/>
              <w:jc w:val="right"/>
              <w:rPr>
                <w:rFonts w:ascii="Arial Narrow" w:hAnsi="Arial Narrow"/>
                <w:sz w:val="16"/>
                <w:szCs w:val="16"/>
              </w:rPr>
            </w:pPr>
            <w:r w:rsidRPr="00E25DA0">
              <w:rPr>
                <w:rFonts w:ascii="Arial Narrow" w:hAnsi="Arial Narrow"/>
                <w:noProof/>
                <w:sz w:val="16"/>
                <w:szCs w:val="16"/>
                <w:lang w:eastAsia="lv-LV"/>
              </w:rPr>
              <w:drawing>
                <wp:inline distT="0" distB="0" distL="0" distR="0">
                  <wp:extent cx="1080000" cy="1440000"/>
                  <wp:effectExtent l="0" t="0" r="6350" b="8255"/>
                  <wp:docPr id="558" name="Chart 55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1869" w:type="dxa"/>
          </w:tcPr>
          <w:p w:rsidR="00762D1E" w:rsidP="00762D1E">
            <w:pPr>
              <w:ind w:left="-57" w:right="-57"/>
              <w:rPr>
                <w:rFonts w:ascii="Arial Narrow" w:hAnsi="Arial Narrow"/>
                <w:sz w:val="16"/>
                <w:szCs w:val="16"/>
              </w:rPr>
            </w:pPr>
          </w:p>
          <w:p w:rsidR="00762D1E" w:rsidRPr="00E25DA0" w:rsidP="00762D1E">
            <w:pPr>
              <w:spacing w:before="160"/>
              <w:ind w:left="-57" w:right="-57"/>
              <w:rPr>
                <w:rFonts w:ascii="Arial Narrow" w:hAnsi="Arial Narrow"/>
                <w:sz w:val="16"/>
                <w:szCs w:val="16"/>
              </w:rPr>
            </w:pPr>
            <w:r>
              <w:rPr>
                <w:rFonts w:ascii="Arial Narrow" w:hAnsi="Arial Narrow"/>
                <w:sz w:val="16"/>
                <w:szCs w:val="16"/>
              </w:rPr>
              <w:t>Pārtikas rūpniecība</w:t>
            </w:r>
          </w:p>
          <w:p w:rsidR="00762D1E" w:rsidRPr="00E25DA0" w:rsidP="00762D1E">
            <w:pPr>
              <w:spacing w:before="160"/>
              <w:ind w:left="-57" w:right="-57"/>
              <w:rPr>
                <w:rFonts w:ascii="Arial Narrow" w:hAnsi="Arial Narrow"/>
                <w:sz w:val="16"/>
                <w:szCs w:val="16"/>
              </w:rPr>
            </w:pPr>
            <w:r>
              <w:rPr>
                <w:rFonts w:ascii="Arial Narrow" w:hAnsi="Arial Narrow"/>
                <w:sz w:val="16"/>
                <w:szCs w:val="16"/>
              </w:rPr>
              <w:t>Finanšu un apdroš. darbības</w:t>
            </w:r>
          </w:p>
          <w:p w:rsidR="00762D1E" w:rsidRPr="00E25DA0" w:rsidP="00762D1E">
            <w:pPr>
              <w:spacing w:before="160"/>
              <w:ind w:left="-57" w:right="-57"/>
              <w:rPr>
                <w:rFonts w:ascii="Arial Narrow" w:hAnsi="Arial Narrow"/>
                <w:sz w:val="16"/>
                <w:szCs w:val="16"/>
              </w:rPr>
            </w:pPr>
            <w:r w:rsidRPr="00E25DA0">
              <w:rPr>
                <w:rFonts w:ascii="Arial Narrow" w:hAnsi="Arial Narrow"/>
                <w:sz w:val="16"/>
                <w:szCs w:val="16"/>
              </w:rPr>
              <w:t>Būvniecība</w:t>
            </w:r>
          </w:p>
          <w:p w:rsidR="00762D1E" w:rsidRPr="00E25DA0" w:rsidP="00762D1E">
            <w:pPr>
              <w:spacing w:before="160"/>
              <w:ind w:left="-57" w:right="-57"/>
              <w:rPr>
                <w:rFonts w:ascii="Arial Narrow" w:hAnsi="Arial Narrow"/>
                <w:sz w:val="16"/>
                <w:szCs w:val="16"/>
              </w:rPr>
            </w:pPr>
            <w:r w:rsidRPr="00E25DA0">
              <w:rPr>
                <w:rFonts w:ascii="Arial Narrow" w:hAnsi="Arial Narrow"/>
                <w:sz w:val="16"/>
                <w:szCs w:val="16"/>
              </w:rPr>
              <w:t>Transportlīdzekļu ražošana</w:t>
            </w:r>
          </w:p>
          <w:p w:rsidR="00762D1E" w:rsidRPr="00E25DA0" w:rsidP="00762D1E">
            <w:pPr>
              <w:spacing w:before="160"/>
              <w:ind w:left="-57" w:right="-57"/>
              <w:rPr>
                <w:rFonts w:ascii="Arial Narrow" w:hAnsi="Arial Narrow"/>
                <w:sz w:val="16"/>
                <w:szCs w:val="16"/>
              </w:rPr>
            </w:pPr>
            <w:r w:rsidRPr="00E25DA0">
              <w:rPr>
                <w:rFonts w:ascii="Arial Narrow" w:hAnsi="Arial Narrow"/>
                <w:sz w:val="16"/>
                <w:szCs w:val="16"/>
              </w:rPr>
              <w:t>Transports un uzglabāšana</w:t>
            </w:r>
          </w:p>
          <w:p w:rsidR="00762D1E" w:rsidP="00762D1E">
            <w:pPr>
              <w:ind w:left="-57" w:right="-57"/>
              <w:jc w:val="center"/>
              <w:rPr>
                <w:rFonts w:ascii="Arial Narrow" w:hAnsi="Arial Narrow"/>
                <w:sz w:val="16"/>
                <w:szCs w:val="16"/>
              </w:rPr>
            </w:pPr>
          </w:p>
          <w:p w:rsidR="00762D1E" w:rsidRPr="00E25DA0" w:rsidP="00762D1E">
            <w:pPr>
              <w:ind w:left="-57" w:right="-57"/>
              <w:rPr>
                <w:rFonts w:ascii="Arial Narrow" w:hAnsi="Arial Narrow"/>
                <w:noProof/>
                <w:sz w:val="16"/>
                <w:szCs w:val="16"/>
                <w:lang w:eastAsia="lv-LV"/>
              </w:rPr>
            </w:pPr>
            <w:r w:rsidRPr="00E25DA0">
              <w:rPr>
                <w:rFonts w:ascii="Arial Narrow" w:hAnsi="Arial Narrow"/>
                <w:sz w:val="16"/>
                <w:szCs w:val="16"/>
              </w:rPr>
              <w:t>Vieglā rūpniecība</w:t>
            </w:r>
          </w:p>
        </w:tc>
        <w:tc>
          <w:tcPr>
            <w:tcW w:w="1869" w:type="dxa"/>
          </w:tcPr>
          <w:p w:rsidR="00762D1E" w:rsidP="00762D1E">
            <w:pPr>
              <w:spacing w:before="160"/>
              <w:ind w:left="-57" w:right="-57"/>
              <w:jc w:val="right"/>
              <w:rPr>
                <w:rFonts w:ascii="Arial Narrow" w:hAnsi="Arial Narrow"/>
                <w:sz w:val="16"/>
                <w:szCs w:val="16"/>
              </w:rPr>
            </w:pPr>
            <w:r w:rsidRPr="00E25DA0">
              <w:rPr>
                <w:rFonts w:ascii="Arial Narrow" w:hAnsi="Arial Narrow"/>
                <w:noProof/>
                <w:sz w:val="16"/>
                <w:szCs w:val="16"/>
                <w:lang w:eastAsia="lv-LV"/>
              </w:rPr>
              <w:drawing>
                <wp:inline distT="0" distB="0" distL="0" distR="0">
                  <wp:extent cx="1080000" cy="1440000"/>
                  <wp:effectExtent l="0" t="0" r="6350" b="8255"/>
                  <wp:docPr id="560" name="Chart 5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1869" w:type="dxa"/>
          </w:tcPr>
          <w:p w:rsidR="00762D1E" w:rsidP="00762D1E">
            <w:pPr>
              <w:ind w:left="-57" w:right="-57"/>
              <w:rPr>
                <w:rFonts w:ascii="Arial Narrow" w:hAnsi="Arial Narrow"/>
                <w:sz w:val="16"/>
                <w:szCs w:val="16"/>
              </w:rPr>
            </w:pPr>
          </w:p>
          <w:p w:rsidR="00762D1E" w:rsidRPr="00E25DA0" w:rsidP="00762D1E">
            <w:pPr>
              <w:spacing w:before="160"/>
              <w:ind w:left="-57" w:right="-57"/>
              <w:rPr>
                <w:rFonts w:ascii="Arial Narrow" w:hAnsi="Arial Narrow"/>
                <w:sz w:val="16"/>
                <w:szCs w:val="16"/>
              </w:rPr>
            </w:pPr>
            <w:r w:rsidRPr="00E25DA0">
              <w:rPr>
                <w:rFonts w:ascii="Arial Narrow" w:hAnsi="Arial Narrow"/>
                <w:sz w:val="16"/>
                <w:szCs w:val="16"/>
              </w:rPr>
              <w:t>Elektroene</w:t>
            </w:r>
            <w:r>
              <w:rPr>
                <w:rFonts w:ascii="Arial Narrow" w:hAnsi="Arial Narrow"/>
                <w:sz w:val="16"/>
                <w:szCs w:val="16"/>
              </w:rPr>
              <w:t>r</w:t>
            </w:r>
            <w:r w:rsidRPr="00E25DA0">
              <w:rPr>
                <w:rFonts w:ascii="Arial Narrow" w:hAnsi="Arial Narrow"/>
                <w:sz w:val="16"/>
                <w:szCs w:val="16"/>
              </w:rPr>
              <w:t>ģija, gāzes apg</w:t>
            </w:r>
            <w:r>
              <w:rPr>
                <w:rFonts w:ascii="Arial Narrow" w:hAnsi="Arial Narrow"/>
                <w:sz w:val="16"/>
                <w:szCs w:val="16"/>
              </w:rPr>
              <w:t>.</w:t>
            </w:r>
          </w:p>
          <w:p w:rsidR="00762D1E" w:rsidRPr="00E25DA0" w:rsidP="00762D1E">
            <w:pPr>
              <w:spacing w:before="160"/>
              <w:ind w:left="-57" w:right="-57"/>
              <w:rPr>
                <w:rFonts w:ascii="Arial Narrow" w:hAnsi="Arial Narrow"/>
                <w:sz w:val="16"/>
                <w:szCs w:val="16"/>
              </w:rPr>
            </w:pPr>
            <w:r>
              <w:rPr>
                <w:rFonts w:ascii="Arial Narrow" w:hAnsi="Arial Narrow"/>
                <w:sz w:val="16"/>
                <w:szCs w:val="16"/>
              </w:rPr>
              <w:t>Finanšu un apdroš. darbības</w:t>
            </w:r>
          </w:p>
          <w:p w:rsidR="00762D1E" w:rsidRPr="00E25DA0" w:rsidP="00762D1E">
            <w:pPr>
              <w:spacing w:before="160"/>
              <w:ind w:left="-57" w:right="-57"/>
              <w:rPr>
                <w:rFonts w:ascii="Arial Narrow" w:hAnsi="Arial Narrow"/>
                <w:sz w:val="16"/>
                <w:szCs w:val="16"/>
              </w:rPr>
            </w:pPr>
            <w:r>
              <w:rPr>
                <w:rFonts w:ascii="Arial Narrow" w:hAnsi="Arial Narrow"/>
                <w:sz w:val="16"/>
                <w:szCs w:val="16"/>
              </w:rPr>
              <w:t>Ieguves</w:t>
            </w:r>
            <w:r w:rsidRPr="00E25DA0">
              <w:rPr>
                <w:rFonts w:ascii="Arial Narrow" w:hAnsi="Arial Narrow"/>
                <w:sz w:val="16"/>
                <w:szCs w:val="16"/>
              </w:rPr>
              <w:t xml:space="preserve"> rūpniecība</w:t>
            </w:r>
          </w:p>
          <w:p w:rsidR="00762D1E" w:rsidRPr="00E25DA0" w:rsidP="00762D1E">
            <w:pPr>
              <w:spacing w:before="160"/>
              <w:ind w:left="-57" w:right="-57"/>
              <w:rPr>
                <w:rFonts w:ascii="Arial Narrow" w:hAnsi="Arial Narrow"/>
                <w:sz w:val="16"/>
                <w:szCs w:val="16"/>
              </w:rPr>
            </w:pPr>
            <w:r>
              <w:rPr>
                <w:rFonts w:ascii="Arial Narrow" w:hAnsi="Arial Narrow"/>
                <w:sz w:val="16"/>
                <w:szCs w:val="16"/>
              </w:rPr>
              <w:t>Pārtikas rūpniecība</w:t>
            </w:r>
          </w:p>
          <w:p w:rsidR="00762D1E" w:rsidRPr="00E25DA0" w:rsidP="00762D1E">
            <w:pPr>
              <w:spacing w:before="160"/>
              <w:ind w:left="-57" w:right="-57"/>
              <w:rPr>
                <w:rFonts w:ascii="Arial Narrow" w:hAnsi="Arial Narrow"/>
                <w:sz w:val="16"/>
                <w:szCs w:val="16"/>
              </w:rPr>
            </w:pPr>
            <w:r>
              <w:rPr>
                <w:rFonts w:ascii="Arial Narrow" w:hAnsi="Arial Narrow"/>
                <w:sz w:val="16"/>
                <w:szCs w:val="16"/>
              </w:rPr>
              <w:t>Metālapstrāde</w:t>
            </w:r>
          </w:p>
          <w:p w:rsidR="00762D1E" w:rsidRPr="004E3ADD" w:rsidP="00762D1E">
            <w:pPr>
              <w:spacing w:before="120" w:after="120"/>
              <w:ind w:left="-57" w:right="-57"/>
              <w:rPr>
                <w:rFonts w:ascii="Arial Narrow" w:hAnsi="Arial Narrow"/>
                <w:sz w:val="18"/>
                <w:szCs w:val="18"/>
              </w:rPr>
            </w:pPr>
            <w:r w:rsidRPr="00E25DA0">
              <w:rPr>
                <w:rFonts w:ascii="Arial Narrow" w:hAnsi="Arial Narrow"/>
                <w:sz w:val="16"/>
                <w:szCs w:val="16"/>
              </w:rPr>
              <w:t>Vieglā rūpniecība</w:t>
            </w:r>
          </w:p>
        </w:tc>
        <w:tc>
          <w:tcPr>
            <w:tcW w:w="1869" w:type="dxa"/>
          </w:tcPr>
          <w:p w:rsidR="00762D1E" w:rsidP="00762D1E">
            <w:pPr>
              <w:ind w:left="-57" w:right="-57"/>
              <w:jc w:val="right"/>
              <w:rPr>
                <w:rFonts w:ascii="Arial Narrow" w:hAnsi="Arial Narrow"/>
                <w:sz w:val="16"/>
                <w:szCs w:val="16"/>
              </w:rPr>
            </w:pPr>
          </w:p>
          <w:p w:rsidR="00762D1E" w:rsidP="00762D1E">
            <w:pPr>
              <w:ind w:left="-57" w:right="-57"/>
              <w:jc w:val="right"/>
              <w:rPr>
                <w:rFonts w:ascii="Arial Narrow" w:hAnsi="Arial Narrow"/>
                <w:sz w:val="16"/>
                <w:szCs w:val="16"/>
              </w:rPr>
            </w:pPr>
            <w:r>
              <w:rPr>
                <w:rFonts w:ascii="Arial Narrow" w:hAnsi="Arial Narrow"/>
                <w:sz w:val="16"/>
                <w:szCs w:val="16"/>
              </w:rPr>
              <w:t>Valsts pārvalde</w:t>
            </w:r>
          </w:p>
          <w:p w:rsidR="00762D1E" w:rsidP="00762D1E">
            <w:pPr>
              <w:spacing w:before="160"/>
              <w:ind w:left="-57" w:right="-57"/>
              <w:jc w:val="right"/>
              <w:rPr>
                <w:rFonts w:ascii="Arial Narrow" w:hAnsi="Arial Narrow"/>
                <w:sz w:val="16"/>
                <w:szCs w:val="16"/>
              </w:rPr>
            </w:pPr>
            <w:r>
              <w:rPr>
                <w:rFonts w:ascii="Arial Narrow" w:hAnsi="Arial Narrow"/>
                <w:sz w:val="16"/>
                <w:szCs w:val="16"/>
              </w:rPr>
              <w:t>IKT</w:t>
            </w:r>
          </w:p>
          <w:p w:rsidR="00762D1E" w:rsidRPr="00E25DA0" w:rsidP="00762D1E">
            <w:pPr>
              <w:spacing w:before="160"/>
              <w:ind w:left="-57" w:right="-57"/>
              <w:jc w:val="right"/>
              <w:rPr>
                <w:rFonts w:ascii="Arial Narrow" w:hAnsi="Arial Narrow"/>
                <w:sz w:val="16"/>
                <w:szCs w:val="16"/>
              </w:rPr>
            </w:pPr>
            <w:r w:rsidRPr="00E25DA0">
              <w:rPr>
                <w:rFonts w:ascii="Arial Narrow" w:hAnsi="Arial Narrow"/>
                <w:sz w:val="16"/>
                <w:szCs w:val="16"/>
              </w:rPr>
              <w:t>Elektroene</w:t>
            </w:r>
            <w:r>
              <w:rPr>
                <w:rFonts w:ascii="Arial Narrow" w:hAnsi="Arial Narrow"/>
                <w:sz w:val="16"/>
                <w:szCs w:val="16"/>
              </w:rPr>
              <w:t>r</w:t>
            </w:r>
            <w:r w:rsidRPr="00E25DA0">
              <w:rPr>
                <w:rFonts w:ascii="Arial Narrow" w:hAnsi="Arial Narrow"/>
                <w:sz w:val="16"/>
                <w:szCs w:val="16"/>
              </w:rPr>
              <w:t>ģija, gāzes apg</w:t>
            </w:r>
            <w:r>
              <w:rPr>
                <w:rFonts w:ascii="Arial Narrow" w:hAnsi="Arial Narrow"/>
                <w:sz w:val="16"/>
                <w:szCs w:val="16"/>
              </w:rPr>
              <w:t>.</w:t>
            </w:r>
          </w:p>
          <w:p w:rsidR="00762D1E" w:rsidRPr="00E25DA0" w:rsidP="00762D1E">
            <w:pPr>
              <w:spacing w:before="160"/>
              <w:ind w:left="-57" w:right="-57"/>
              <w:jc w:val="right"/>
              <w:rPr>
                <w:rFonts w:ascii="Arial Narrow" w:hAnsi="Arial Narrow"/>
                <w:sz w:val="16"/>
                <w:szCs w:val="16"/>
              </w:rPr>
            </w:pPr>
            <w:r>
              <w:rPr>
                <w:rFonts w:ascii="Arial Narrow" w:hAnsi="Arial Narrow"/>
                <w:sz w:val="16"/>
                <w:szCs w:val="16"/>
              </w:rPr>
              <w:t>Ūdens apgāde</w:t>
            </w:r>
          </w:p>
          <w:p w:rsidR="00762D1E" w:rsidRPr="00E25DA0" w:rsidP="00762D1E">
            <w:pPr>
              <w:spacing w:before="160"/>
              <w:ind w:left="-57" w:right="-57"/>
              <w:jc w:val="right"/>
              <w:rPr>
                <w:rFonts w:ascii="Arial Narrow" w:hAnsi="Arial Narrow"/>
                <w:sz w:val="16"/>
                <w:szCs w:val="16"/>
              </w:rPr>
            </w:pPr>
            <w:r>
              <w:rPr>
                <w:rFonts w:ascii="Arial Narrow" w:hAnsi="Arial Narrow"/>
                <w:sz w:val="16"/>
                <w:szCs w:val="16"/>
              </w:rPr>
              <w:t>Ieguves rūpniecība</w:t>
            </w:r>
          </w:p>
          <w:p w:rsidR="00762D1E" w:rsidP="00762D1E">
            <w:pPr>
              <w:spacing w:before="160"/>
              <w:ind w:left="-57" w:right="-57"/>
              <w:jc w:val="right"/>
              <w:rPr>
                <w:rFonts w:ascii="Arial Narrow" w:hAnsi="Arial Narrow"/>
                <w:sz w:val="16"/>
                <w:szCs w:val="16"/>
              </w:rPr>
            </w:pPr>
            <w:r>
              <w:rPr>
                <w:rFonts w:ascii="Arial Narrow" w:hAnsi="Arial Narrow"/>
                <w:sz w:val="16"/>
                <w:szCs w:val="16"/>
              </w:rPr>
              <w:t>Vieglā rūpniecība</w:t>
            </w:r>
          </w:p>
        </w:tc>
        <w:tc>
          <w:tcPr>
            <w:tcW w:w="1869" w:type="dxa"/>
          </w:tcPr>
          <w:p w:rsidR="00762D1E" w:rsidRPr="00E25DA0" w:rsidP="00762D1E">
            <w:pPr>
              <w:ind w:left="-57" w:right="-57"/>
              <w:jc w:val="center"/>
              <w:rPr>
                <w:rFonts w:ascii="Arial Narrow" w:hAnsi="Arial Narrow"/>
                <w:noProof/>
                <w:sz w:val="16"/>
                <w:szCs w:val="16"/>
                <w:lang w:eastAsia="lv-LV"/>
              </w:rPr>
            </w:pPr>
            <w:r w:rsidRPr="00E25DA0">
              <w:rPr>
                <w:rFonts w:ascii="Arial Narrow" w:hAnsi="Arial Narrow"/>
                <w:noProof/>
                <w:sz w:val="16"/>
                <w:szCs w:val="16"/>
                <w:lang w:eastAsia="lv-LV"/>
              </w:rPr>
              <w:drawing>
                <wp:inline distT="0" distB="0" distL="0" distR="0">
                  <wp:extent cx="1080000" cy="1440000"/>
                  <wp:effectExtent l="0" t="0" r="6350" b="8255"/>
                  <wp:docPr id="562" name="Chart 5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Tr="00762D1E">
        <w:tblPrEx>
          <w:tblW w:w="11214" w:type="dxa"/>
          <w:jc w:val="center"/>
          <w:tblLook w:val="04A0"/>
        </w:tblPrEx>
        <w:trPr>
          <w:jc w:val="center"/>
        </w:trPr>
        <w:tc>
          <w:tcPr>
            <w:tcW w:w="3738" w:type="dxa"/>
            <w:gridSpan w:val="2"/>
          </w:tcPr>
          <w:p w:rsidR="00762D1E" w:rsidP="00762D1E">
            <w:pPr>
              <w:spacing w:before="120" w:after="120"/>
              <w:ind w:left="-57" w:right="-57"/>
              <w:jc w:val="center"/>
              <w:rPr>
                <w:rFonts w:ascii="Arial Narrow" w:hAnsi="Arial Narrow"/>
                <w:b/>
                <w:sz w:val="18"/>
                <w:szCs w:val="18"/>
              </w:rPr>
            </w:pPr>
          </w:p>
        </w:tc>
        <w:tc>
          <w:tcPr>
            <w:tcW w:w="3738" w:type="dxa"/>
            <w:gridSpan w:val="2"/>
          </w:tcPr>
          <w:p w:rsidR="00762D1E" w:rsidRPr="004E3ADD" w:rsidP="00762D1E">
            <w:pPr>
              <w:spacing w:before="120" w:after="120"/>
              <w:ind w:left="-57" w:right="-57"/>
              <w:jc w:val="center"/>
              <w:rPr>
                <w:rFonts w:ascii="Arial Narrow" w:hAnsi="Arial Narrow"/>
                <w:sz w:val="18"/>
                <w:szCs w:val="18"/>
              </w:rPr>
            </w:pPr>
          </w:p>
        </w:tc>
        <w:tc>
          <w:tcPr>
            <w:tcW w:w="3738" w:type="dxa"/>
            <w:gridSpan w:val="2"/>
          </w:tcPr>
          <w:p w:rsidR="00762D1E" w:rsidRPr="004E3ADD" w:rsidP="00762D1E">
            <w:pPr>
              <w:spacing w:before="120" w:after="120"/>
              <w:ind w:left="-57" w:right="-57"/>
              <w:jc w:val="center"/>
              <w:rPr>
                <w:rFonts w:ascii="Arial Narrow" w:hAnsi="Arial Narrow"/>
                <w:sz w:val="18"/>
                <w:szCs w:val="18"/>
              </w:rPr>
            </w:pPr>
          </w:p>
        </w:tc>
      </w:tr>
      <w:tr w:rsidTr="00762D1E">
        <w:tblPrEx>
          <w:tblW w:w="11214" w:type="dxa"/>
          <w:jc w:val="center"/>
          <w:tblLook w:val="04A0"/>
        </w:tblPrEx>
        <w:trPr>
          <w:jc w:val="center"/>
        </w:trPr>
        <w:tc>
          <w:tcPr>
            <w:tcW w:w="3738" w:type="dxa"/>
            <w:gridSpan w:val="2"/>
          </w:tcPr>
          <w:p w:rsidR="00762D1E" w:rsidP="00762D1E">
            <w:pPr>
              <w:spacing w:before="120" w:after="120"/>
              <w:ind w:left="-57" w:right="-57"/>
              <w:jc w:val="center"/>
              <w:rPr>
                <w:rFonts w:ascii="Arial Narrow" w:hAnsi="Arial Narrow"/>
                <w:b/>
                <w:sz w:val="18"/>
                <w:szCs w:val="18"/>
              </w:rPr>
            </w:pPr>
          </w:p>
        </w:tc>
        <w:tc>
          <w:tcPr>
            <w:tcW w:w="3738" w:type="dxa"/>
            <w:gridSpan w:val="2"/>
          </w:tcPr>
          <w:p w:rsidR="00762D1E" w:rsidRPr="004E3ADD" w:rsidP="00762D1E">
            <w:pPr>
              <w:spacing w:before="120" w:after="120"/>
              <w:ind w:left="-57" w:right="-57"/>
              <w:jc w:val="center"/>
              <w:rPr>
                <w:rFonts w:ascii="Arial Narrow" w:hAnsi="Arial Narrow"/>
                <w:sz w:val="18"/>
                <w:szCs w:val="18"/>
              </w:rPr>
            </w:pPr>
          </w:p>
        </w:tc>
        <w:tc>
          <w:tcPr>
            <w:tcW w:w="3738" w:type="dxa"/>
            <w:gridSpan w:val="2"/>
          </w:tcPr>
          <w:p w:rsidR="00762D1E" w:rsidRPr="004E3ADD" w:rsidP="00762D1E">
            <w:pPr>
              <w:spacing w:before="120" w:after="120"/>
              <w:ind w:left="-57" w:right="-57"/>
              <w:jc w:val="center"/>
              <w:rPr>
                <w:rFonts w:ascii="Arial Narrow" w:hAnsi="Arial Narrow"/>
                <w:sz w:val="18"/>
                <w:szCs w:val="18"/>
              </w:rPr>
            </w:pPr>
          </w:p>
        </w:tc>
      </w:tr>
      <w:tr w:rsidTr="00762D1E">
        <w:tblPrEx>
          <w:tblW w:w="11214" w:type="dxa"/>
          <w:jc w:val="center"/>
          <w:tblLook w:val="04A0"/>
        </w:tblPrEx>
        <w:trPr>
          <w:jc w:val="center"/>
        </w:trPr>
        <w:tc>
          <w:tcPr>
            <w:tcW w:w="3738" w:type="dxa"/>
            <w:gridSpan w:val="2"/>
          </w:tcPr>
          <w:p w:rsidR="00762D1E" w:rsidRPr="004E3ADD" w:rsidP="00762D1E">
            <w:pPr>
              <w:spacing w:before="120" w:after="120"/>
              <w:ind w:left="-57" w:right="-57"/>
              <w:jc w:val="center"/>
              <w:rPr>
                <w:rFonts w:ascii="Arial Narrow" w:hAnsi="Arial Narrow"/>
                <w:sz w:val="18"/>
                <w:szCs w:val="18"/>
              </w:rPr>
            </w:pPr>
            <w:r>
              <w:rPr>
                <w:rFonts w:ascii="Arial Narrow" w:hAnsi="Arial Narrow"/>
                <w:b/>
                <w:sz w:val="18"/>
                <w:szCs w:val="18"/>
              </w:rPr>
              <w:t>Produktivitāte</w:t>
            </w:r>
            <w:r w:rsidRPr="004E3ADD">
              <w:rPr>
                <w:rFonts w:ascii="Arial Narrow" w:hAnsi="Arial Narrow"/>
                <w:b/>
                <w:sz w:val="18"/>
                <w:szCs w:val="18"/>
              </w:rPr>
              <w:t xml:space="preserve"> </w:t>
            </w:r>
            <w:r>
              <w:rPr>
                <w:rFonts w:ascii="Arial Narrow" w:hAnsi="Arial Narrow"/>
                <w:b/>
                <w:sz w:val="18"/>
                <w:szCs w:val="18"/>
              </w:rPr>
              <w:t xml:space="preserve">2016. gadā, </w:t>
            </w:r>
            <w:r>
              <w:rPr>
                <w:rFonts w:ascii="Arial Narrow" w:hAnsi="Arial Narrow"/>
                <w:b/>
                <w:sz w:val="18"/>
                <w:szCs w:val="18"/>
              </w:rPr>
              <w:br/>
              <w:t>tūkst. eiro</w:t>
            </w:r>
          </w:p>
        </w:tc>
        <w:tc>
          <w:tcPr>
            <w:tcW w:w="3738" w:type="dxa"/>
            <w:gridSpan w:val="2"/>
          </w:tcPr>
          <w:p w:rsidR="00762D1E" w:rsidRPr="004E3ADD" w:rsidP="00762D1E">
            <w:pPr>
              <w:spacing w:before="120" w:after="120"/>
              <w:ind w:left="-57" w:right="-57"/>
              <w:jc w:val="center"/>
              <w:rPr>
                <w:rFonts w:ascii="Arial Narrow" w:hAnsi="Arial Narrow"/>
                <w:sz w:val="18"/>
                <w:szCs w:val="18"/>
              </w:rPr>
            </w:pPr>
            <w:r>
              <w:rPr>
                <w:rFonts w:ascii="Arial Narrow" w:hAnsi="Arial Narrow"/>
                <w:b/>
                <w:sz w:val="18"/>
                <w:szCs w:val="18"/>
              </w:rPr>
              <w:t>Produktivitātes izmaiņas</w:t>
            </w:r>
            <w:r w:rsidRPr="004E3ADD">
              <w:rPr>
                <w:rFonts w:ascii="Arial Narrow" w:hAnsi="Arial Narrow"/>
                <w:b/>
                <w:sz w:val="18"/>
                <w:szCs w:val="18"/>
              </w:rPr>
              <w:t>, 201</w:t>
            </w:r>
            <w:r>
              <w:rPr>
                <w:rFonts w:ascii="Arial Narrow" w:hAnsi="Arial Narrow"/>
                <w:b/>
                <w:sz w:val="18"/>
                <w:szCs w:val="18"/>
              </w:rPr>
              <w:t>6</w:t>
            </w:r>
            <w:r w:rsidRPr="004E3ADD">
              <w:rPr>
                <w:rFonts w:ascii="Arial Narrow" w:hAnsi="Arial Narrow"/>
                <w:b/>
                <w:sz w:val="18"/>
                <w:szCs w:val="18"/>
              </w:rPr>
              <w:t xml:space="preserve">./2012.gadu, </w:t>
            </w:r>
            <w:r>
              <w:rPr>
                <w:rFonts w:ascii="Arial Narrow" w:hAnsi="Arial Narrow"/>
                <w:b/>
                <w:sz w:val="18"/>
                <w:szCs w:val="18"/>
              </w:rPr>
              <w:br/>
              <w:t>%</w:t>
            </w:r>
          </w:p>
        </w:tc>
        <w:tc>
          <w:tcPr>
            <w:tcW w:w="3738" w:type="dxa"/>
            <w:gridSpan w:val="2"/>
          </w:tcPr>
          <w:p w:rsidR="00762D1E" w:rsidRPr="004E3ADD" w:rsidP="00762D1E">
            <w:pPr>
              <w:spacing w:before="120" w:after="120"/>
              <w:ind w:left="-57" w:right="-57"/>
              <w:jc w:val="center"/>
              <w:rPr>
                <w:rFonts w:ascii="Arial Narrow" w:hAnsi="Arial Narrow"/>
                <w:sz w:val="18"/>
                <w:szCs w:val="18"/>
              </w:rPr>
            </w:pPr>
            <w:r>
              <w:rPr>
                <w:rFonts w:ascii="Arial Narrow" w:hAnsi="Arial Narrow"/>
                <w:b/>
                <w:sz w:val="18"/>
                <w:szCs w:val="18"/>
              </w:rPr>
              <w:t>Produktivitāte 2016. gadā</w:t>
            </w:r>
            <w:r w:rsidRPr="004E3ADD">
              <w:rPr>
                <w:rFonts w:ascii="Arial Narrow" w:hAnsi="Arial Narrow"/>
                <w:b/>
                <w:sz w:val="18"/>
                <w:szCs w:val="18"/>
              </w:rPr>
              <w:t xml:space="preserve">, </w:t>
            </w:r>
            <w:r>
              <w:rPr>
                <w:rFonts w:ascii="Arial Narrow" w:hAnsi="Arial Narrow"/>
                <w:b/>
                <w:sz w:val="18"/>
                <w:szCs w:val="18"/>
              </w:rPr>
              <w:br/>
              <w:t>% no nozares vidējā rādītāja ES</w:t>
            </w:r>
          </w:p>
        </w:tc>
      </w:tr>
      <w:tr w:rsidTr="00762D1E">
        <w:tblPrEx>
          <w:tblW w:w="11214" w:type="dxa"/>
          <w:jc w:val="center"/>
          <w:tblLook w:val="04A0"/>
        </w:tblPrEx>
        <w:trPr>
          <w:jc w:val="center"/>
        </w:trPr>
        <w:tc>
          <w:tcPr>
            <w:tcW w:w="1869" w:type="dxa"/>
          </w:tcPr>
          <w:p w:rsidR="00762D1E" w:rsidRPr="00E25DA0" w:rsidP="00762D1E">
            <w:pPr>
              <w:spacing w:before="120"/>
              <w:ind w:left="-57" w:right="-57"/>
              <w:jc w:val="right"/>
              <w:rPr>
                <w:rFonts w:ascii="Arial Narrow" w:hAnsi="Arial Narrow"/>
                <w:sz w:val="16"/>
                <w:szCs w:val="16"/>
              </w:rPr>
            </w:pPr>
            <w:r>
              <w:rPr>
                <w:rFonts w:ascii="Arial Narrow" w:hAnsi="Arial Narrow"/>
                <w:sz w:val="16"/>
                <w:szCs w:val="16"/>
              </w:rPr>
              <w:t>Elektrisko, optisko iekārtu raž.</w:t>
            </w:r>
          </w:p>
          <w:p w:rsidR="00762D1E" w:rsidP="00762D1E">
            <w:pPr>
              <w:spacing w:before="120"/>
              <w:ind w:left="-57" w:right="-57"/>
              <w:jc w:val="right"/>
              <w:rPr>
                <w:rFonts w:ascii="Arial Narrow" w:hAnsi="Arial Narrow"/>
                <w:sz w:val="16"/>
                <w:szCs w:val="16"/>
              </w:rPr>
            </w:pPr>
            <w:r>
              <w:rPr>
                <w:rFonts w:ascii="Arial Narrow" w:hAnsi="Arial Narrow"/>
                <w:sz w:val="16"/>
                <w:szCs w:val="16"/>
              </w:rPr>
              <w:t>Elektroenerģija, gāzes apg.</w:t>
            </w:r>
          </w:p>
          <w:p w:rsidR="00762D1E" w:rsidP="00762D1E">
            <w:pPr>
              <w:spacing w:before="120"/>
              <w:ind w:left="-57" w:right="-57"/>
              <w:jc w:val="right"/>
              <w:rPr>
                <w:rFonts w:ascii="Arial Narrow" w:hAnsi="Arial Narrow"/>
                <w:sz w:val="16"/>
                <w:szCs w:val="16"/>
              </w:rPr>
            </w:pPr>
            <w:r>
              <w:rPr>
                <w:rFonts w:ascii="Arial Narrow" w:hAnsi="Arial Narrow"/>
                <w:sz w:val="16"/>
                <w:szCs w:val="16"/>
              </w:rPr>
              <w:t>Finanšu un apdroš. darbības</w:t>
            </w:r>
          </w:p>
          <w:p w:rsidR="00762D1E" w:rsidP="00762D1E">
            <w:pPr>
              <w:spacing w:before="120"/>
              <w:ind w:left="-57" w:right="-57"/>
              <w:jc w:val="right"/>
              <w:rPr>
                <w:rFonts w:ascii="Arial Narrow" w:hAnsi="Arial Narrow"/>
                <w:sz w:val="16"/>
                <w:szCs w:val="16"/>
              </w:rPr>
            </w:pPr>
            <w:r>
              <w:rPr>
                <w:rFonts w:ascii="Arial Narrow" w:hAnsi="Arial Narrow"/>
                <w:sz w:val="16"/>
                <w:szCs w:val="16"/>
              </w:rPr>
              <w:t>Ieguves rūpniecība</w:t>
            </w:r>
          </w:p>
          <w:p w:rsidR="00762D1E" w:rsidP="00762D1E">
            <w:pPr>
              <w:spacing w:before="120"/>
              <w:ind w:left="-57" w:right="-57"/>
              <w:jc w:val="right"/>
              <w:rPr>
                <w:rFonts w:ascii="Arial Narrow" w:hAnsi="Arial Narrow"/>
                <w:sz w:val="16"/>
                <w:szCs w:val="16"/>
              </w:rPr>
            </w:pPr>
            <w:r>
              <w:rPr>
                <w:rFonts w:ascii="Arial Narrow" w:hAnsi="Arial Narrow"/>
                <w:sz w:val="16"/>
                <w:szCs w:val="16"/>
              </w:rPr>
              <w:t>IKT pakalpojumi</w:t>
            </w:r>
          </w:p>
          <w:p w:rsidR="00762D1E" w:rsidP="00762D1E">
            <w:pPr>
              <w:spacing w:before="120"/>
              <w:ind w:left="-57" w:right="-57"/>
              <w:jc w:val="right"/>
              <w:rPr>
                <w:rFonts w:ascii="Arial Narrow" w:hAnsi="Arial Narrow"/>
                <w:sz w:val="16"/>
                <w:szCs w:val="16"/>
              </w:rPr>
            </w:pPr>
            <w:r>
              <w:rPr>
                <w:rFonts w:ascii="Arial Narrow" w:hAnsi="Arial Narrow"/>
                <w:sz w:val="16"/>
                <w:szCs w:val="16"/>
              </w:rPr>
              <w:t>Transports un uzglabāšana</w:t>
            </w:r>
          </w:p>
          <w:p w:rsidR="00762D1E" w:rsidP="00762D1E">
            <w:pPr>
              <w:spacing w:before="120"/>
              <w:ind w:left="-57" w:right="-57"/>
              <w:jc w:val="right"/>
              <w:rPr>
                <w:rFonts w:ascii="Arial Narrow" w:hAnsi="Arial Narrow"/>
                <w:sz w:val="16"/>
                <w:szCs w:val="16"/>
              </w:rPr>
            </w:pPr>
            <w:r>
              <w:rPr>
                <w:rFonts w:ascii="Arial Narrow" w:hAnsi="Arial Narrow"/>
                <w:sz w:val="16"/>
                <w:szCs w:val="16"/>
              </w:rPr>
              <w:t>Nemetālisko minerālu raž.</w:t>
            </w:r>
          </w:p>
          <w:p w:rsidR="00762D1E" w:rsidP="00762D1E">
            <w:pPr>
              <w:spacing w:before="120"/>
              <w:ind w:left="-57" w:right="-57"/>
              <w:jc w:val="right"/>
              <w:rPr>
                <w:rFonts w:ascii="Arial Narrow" w:hAnsi="Arial Narrow"/>
                <w:sz w:val="16"/>
                <w:szCs w:val="16"/>
              </w:rPr>
            </w:pPr>
            <w:r>
              <w:rPr>
                <w:rFonts w:ascii="Arial Narrow" w:hAnsi="Arial Narrow"/>
                <w:sz w:val="16"/>
                <w:szCs w:val="16"/>
              </w:rPr>
              <w:t>Ūdens apgāde</w:t>
            </w:r>
          </w:p>
          <w:p w:rsidR="00762D1E" w:rsidP="00762D1E">
            <w:pPr>
              <w:spacing w:before="120"/>
              <w:ind w:left="-57" w:right="-57"/>
              <w:jc w:val="right"/>
              <w:rPr>
                <w:rFonts w:ascii="Arial Narrow" w:hAnsi="Arial Narrow"/>
                <w:sz w:val="16"/>
                <w:szCs w:val="16"/>
              </w:rPr>
            </w:pPr>
            <w:r>
              <w:rPr>
                <w:rFonts w:ascii="Arial Narrow" w:hAnsi="Arial Narrow"/>
                <w:sz w:val="16"/>
                <w:szCs w:val="16"/>
              </w:rPr>
              <w:t>Ķīmiskā rūpniecība</w:t>
            </w:r>
          </w:p>
          <w:p w:rsidR="00762D1E" w:rsidP="00762D1E">
            <w:pPr>
              <w:spacing w:before="120"/>
              <w:ind w:left="-57" w:right="-57"/>
              <w:jc w:val="right"/>
              <w:rPr>
                <w:rFonts w:ascii="Arial Narrow" w:hAnsi="Arial Narrow"/>
                <w:sz w:val="16"/>
                <w:szCs w:val="16"/>
              </w:rPr>
            </w:pPr>
            <w:r>
              <w:rPr>
                <w:rFonts w:ascii="Arial Narrow" w:hAnsi="Arial Narrow"/>
                <w:sz w:val="16"/>
                <w:szCs w:val="16"/>
              </w:rPr>
              <w:t>Kokapstrāde</w:t>
            </w:r>
          </w:p>
          <w:p w:rsidR="00762D1E" w:rsidP="00762D1E">
            <w:pPr>
              <w:spacing w:before="120"/>
              <w:ind w:left="-57" w:right="-57"/>
              <w:jc w:val="right"/>
              <w:rPr>
                <w:rFonts w:ascii="Arial Narrow" w:hAnsi="Arial Narrow"/>
                <w:sz w:val="16"/>
                <w:szCs w:val="16"/>
              </w:rPr>
            </w:pPr>
            <w:r>
              <w:rPr>
                <w:rFonts w:ascii="Arial Narrow" w:hAnsi="Arial Narrow"/>
                <w:sz w:val="16"/>
                <w:szCs w:val="16"/>
              </w:rPr>
              <w:t>Tirdzniecība</w:t>
            </w:r>
          </w:p>
          <w:p w:rsidR="00762D1E" w:rsidP="00762D1E">
            <w:pPr>
              <w:spacing w:before="120"/>
              <w:ind w:left="-57" w:right="-57"/>
              <w:jc w:val="right"/>
              <w:rPr>
                <w:rFonts w:ascii="Arial Narrow" w:hAnsi="Arial Narrow"/>
                <w:sz w:val="16"/>
                <w:szCs w:val="16"/>
              </w:rPr>
            </w:pPr>
            <w:r>
              <w:rPr>
                <w:rFonts w:ascii="Arial Narrow" w:hAnsi="Arial Narrow"/>
                <w:sz w:val="16"/>
                <w:szCs w:val="16"/>
              </w:rPr>
              <w:t>Pārtikas rūpniecība</w:t>
            </w:r>
          </w:p>
          <w:p w:rsidR="00762D1E" w:rsidP="00762D1E">
            <w:pPr>
              <w:spacing w:before="120"/>
              <w:ind w:left="-57" w:right="-57"/>
              <w:jc w:val="right"/>
              <w:rPr>
                <w:rFonts w:ascii="Arial Narrow" w:hAnsi="Arial Narrow"/>
                <w:sz w:val="16"/>
                <w:szCs w:val="16"/>
              </w:rPr>
            </w:pPr>
            <w:r>
              <w:rPr>
                <w:rFonts w:ascii="Arial Narrow" w:hAnsi="Arial Narrow"/>
                <w:sz w:val="16"/>
                <w:szCs w:val="16"/>
              </w:rPr>
              <w:t>Transportlīdzekļu ražošana</w:t>
            </w:r>
          </w:p>
          <w:p w:rsidR="00762D1E" w:rsidP="00762D1E">
            <w:pPr>
              <w:spacing w:before="120"/>
              <w:ind w:left="-57" w:right="-57"/>
              <w:jc w:val="right"/>
              <w:rPr>
                <w:rFonts w:ascii="Arial Narrow" w:hAnsi="Arial Narrow"/>
                <w:sz w:val="16"/>
                <w:szCs w:val="16"/>
              </w:rPr>
            </w:pPr>
            <w:r>
              <w:rPr>
                <w:rFonts w:ascii="Arial Narrow" w:hAnsi="Arial Narrow"/>
                <w:sz w:val="16"/>
                <w:szCs w:val="16"/>
              </w:rPr>
              <w:t>Papīra ražošana un poligrāf.</w:t>
            </w:r>
          </w:p>
          <w:p w:rsidR="00762D1E" w:rsidP="00762D1E">
            <w:pPr>
              <w:spacing w:before="120"/>
              <w:ind w:left="-57" w:right="-57"/>
              <w:jc w:val="right"/>
              <w:rPr>
                <w:rFonts w:ascii="Arial Narrow" w:hAnsi="Arial Narrow"/>
                <w:sz w:val="16"/>
                <w:szCs w:val="16"/>
              </w:rPr>
            </w:pPr>
            <w:r>
              <w:rPr>
                <w:rFonts w:ascii="Arial Narrow" w:hAnsi="Arial Narrow"/>
                <w:sz w:val="16"/>
                <w:szCs w:val="16"/>
              </w:rPr>
              <w:t>Metālapstrāde</w:t>
            </w:r>
          </w:p>
          <w:p w:rsidR="00762D1E" w:rsidP="00762D1E">
            <w:pPr>
              <w:spacing w:before="120"/>
              <w:ind w:left="-57" w:right="-57"/>
              <w:jc w:val="right"/>
              <w:rPr>
                <w:rFonts w:ascii="Arial Narrow" w:hAnsi="Arial Narrow"/>
                <w:sz w:val="16"/>
                <w:szCs w:val="16"/>
              </w:rPr>
            </w:pPr>
            <w:r>
              <w:rPr>
                <w:rFonts w:ascii="Arial Narrow" w:hAnsi="Arial Narrow"/>
                <w:sz w:val="16"/>
                <w:szCs w:val="16"/>
              </w:rPr>
              <w:t>Būvniecība</w:t>
            </w:r>
          </w:p>
          <w:p w:rsidR="00762D1E" w:rsidP="00762D1E">
            <w:pPr>
              <w:spacing w:before="120"/>
              <w:ind w:left="-57" w:right="-57"/>
              <w:jc w:val="right"/>
              <w:rPr>
                <w:rFonts w:ascii="Arial Narrow" w:hAnsi="Arial Narrow"/>
                <w:sz w:val="16"/>
                <w:szCs w:val="16"/>
              </w:rPr>
            </w:pPr>
            <w:r>
              <w:rPr>
                <w:rFonts w:ascii="Arial Narrow" w:hAnsi="Arial Narrow"/>
                <w:sz w:val="16"/>
                <w:szCs w:val="16"/>
              </w:rPr>
              <w:t>Sabiedriskie pakalpojumi</w:t>
            </w:r>
          </w:p>
          <w:p w:rsidR="00762D1E" w:rsidP="00762D1E">
            <w:pPr>
              <w:spacing w:before="120"/>
              <w:ind w:left="-57" w:right="-57"/>
              <w:jc w:val="right"/>
              <w:rPr>
                <w:rFonts w:ascii="Arial Narrow" w:hAnsi="Arial Narrow"/>
                <w:sz w:val="16"/>
                <w:szCs w:val="16"/>
              </w:rPr>
            </w:pPr>
            <w:r>
              <w:rPr>
                <w:rFonts w:ascii="Arial Narrow" w:hAnsi="Arial Narrow"/>
                <w:sz w:val="16"/>
                <w:szCs w:val="16"/>
              </w:rPr>
              <w:t>Mašīnu un iekārtu ražošana</w:t>
            </w:r>
          </w:p>
          <w:p w:rsidR="00762D1E" w:rsidP="00762D1E">
            <w:pPr>
              <w:spacing w:before="120"/>
              <w:ind w:left="-57" w:right="-57"/>
              <w:jc w:val="right"/>
              <w:rPr>
                <w:rFonts w:ascii="Arial Narrow" w:hAnsi="Arial Narrow"/>
                <w:sz w:val="16"/>
                <w:szCs w:val="16"/>
              </w:rPr>
            </w:pPr>
            <w:r>
              <w:rPr>
                <w:rFonts w:ascii="Arial Narrow" w:hAnsi="Arial Narrow"/>
                <w:sz w:val="16"/>
                <w:szCs w:val="16"/>
              </w:rPr>
              <w:t>Izmitināšana un ēdināšana</w:t>
            </w:r>
          </w:p>
          <w:p w:rsidR="00762D1E" w:rsidP="00762D1E">
            <w:pPr>
              <w:spacing w:before="120"/>
              <w:ind w:left="-57" w:right="-57"/>
              <w:jc w:val="right"/>
              <w:rPr>
                <w:rFonts w:ascii="Arial Narrow" w:hAnsi="Arial Narrow"/>
                <w:sz w:val="16"/>
                <w:szCs w:val="16"/>
              </w:rPr>
            </w:pPr>
            <w:r>
              <w:rPr>
                <w:rFonts w:ascii="Arial Narrow" w:hAnsi="Arial Narrow"/>
                <w:sz w:val="16"/>
                <w:szCs w:val="16"/>
              </w:rPr>
              <w:t>Lauksaimniecība, mežsaimn.</w:t>
            </w:r>
          </w:p>
          <w:p w:rsidR="00762D1E" w:rsidRPr="004E3ADD" w:rsidP="00762D1E">
            <w:pPr>
              <w:spacing w:before="120"/>
              <w:ind w:left="-57" w:right="-57"/>
              <w:jc w:val="right"/>
              <w:rPr>
                <w:rFonts w:ascii="Arial Narrow" w:hAnsi="Arial Narrow"/>
                <w:sz w:val="18"/>
                <w:szCs w:val="18"/>
              </w:rPr>
            </w:pPr>
            <w:r>
              <w:rPr>
                <w:rFonts w:ascii="Arial Narrow" w:hAnsi="Arial Narrow"/>
                <w:sz w:val="16"/>
                <w:szCs w:val="16"/>
              </w:rPr>
              <w:t>Vieglā rūpniecība</w:t>
            </w:r>
          </w:p>
        </w:tc>
        <w:tc>
          <w:tcPr>
            <w:tcW w:w="1869" w:type="dxa"/>
          </w:tcPr>
          <w:p w:rsidR="00762D1E" w:rsidRPr="004E3ADD" w:rsidP="00762D1E">
            <w:pPr>
              <w:ind w:left="-57" w:right="-57"/>
              <w:jc w:val="center"/>
              <w:rPr>
                <w:rFonts w:ascii="Arial Narrow" w:hAnsi="Arial Narrow"/>
                <w:sz w:val="18"/>
                <w:szCs w:val="18"/>
              </w:rPr>
            </w:pPr>
            <w:r w:rsidRPr="00E25DA0">
              <w:rPr>
                <w:rFonts w:ascii="Arial Narrow" w:hAnsi="Arial Narrow"/>
                <w:noProof/>
                <w:sz w:val="16"/>
                <w:szCs w:val="16"/>
                <w:lang w:eastAsia="lv-LV"/>
              </w:rPr>
              <w:drawing>
                <wp:inline distT="0" distB="0" distL="0" distR="0">
                  <wp:extent cx="1079500" cy="4132053"/>
                  <wp:effectExtent l="0" t="0" r="6350" b="1905"/>
                  <wp:docPr id="564" name="Chart 5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1869" w:type="dxa"/>
          </w:tcPr>
          <w:p w:rsidR="00762D1E" w:rsidP="00762D1E">
            <w:pPr>
              <w:spacing w:before="120"/>
              <w:ind w:left="-57" w:right="-57"/>
              <w:jc w:val="right"/>
              <w:rPr>
                <w:rFonts w:ascii="Arial Narrow" w:hAnsi="Arial Narrow"/>
                <w:sz w:val="16"/>
                <w:szCs w:val="16"/>
              </w:rPr>
            </w:pPr>
            <w:r>
              <w:rPr>
                <w:rFonts w:ascii="Arial Narrow" w:hAnsi="Arial Narrow"/>
                <w:sz w:val="16"/>
                <w:szCs w:val="16"/>
              </w:rPr>
              <w:t>Elektrisko un opt. iek. raž.</w:t>
            </w:r>
          </w:p>
          <w:p w:rsidR="00762D1E" w:rsidP="00762D1E">
            <w:pPr>
              <w:spacing w:before="120"/>
              <w:ind w:left="-57" w:right="-57"/>
              <w:jc w:val="right"/>
              <w:rPr>
                <w:rFonts w:ascii="Arial Narrow" w:hAnsi="Arial Narrow"/>
                <w:sz w:val="16"/>
                <w:szCs w:val="16"/>
              </w:rPr>
            </w:pPr>
            <w:r>
              <w:rPr>
                <w:rFonts w:ascii="Arial Narrow" w:hAnsi="Arial Narrow"/>
                <w:sz w:val="16"/>
                <w:szCs w:val="16"/>
              </w:rPr>
              <w:t>Metālapstrāde</w:t>
            </w:r>
          </w:p>
          <w:p w:rsidR="00762D1E" w:rsidP="00762D1E">
            <w:pPr>
              <w:spacing w:before="120"/>
              <w:ind w:left="-57" w:right="-57"/>
              <w:jc w:val="right"/>
              <w:rPr>
                <w:rFonts w:ascii="Arial Narrow" w:hAnsi="Arial Narrow"/>
                <w:sz w:val="16"/>
                <w:szCs w:val="16"/>
              </w:rPr>
            </w:pPr>
            <w:r>
              <w:rPr>
                <w:rFonts w:ascii="Arial Narrow" w:hAnsi="Arial Narrow"/>
                <w:sz w:val="16"/>
                <w:szCs w:val="16"/>
              </w:rPr>
              <w:t>Izmitināšana un ēdināšana</w:t>
            </w:r>
          </w:p>
          <w:p w:rsidR="00762D1E" w:rsidP="00762D1E">
            <w:pPr>
              <w:spacing w:before="120"/>
              <w:ind w:left="-57" w:right="-57"/>
              <w:jc w:val="right"/>
              <w:rPr>
                <w:rFonts w:ascii="Arial Narrow" w:hAnsi="Arial Narrow"/>
                <w:sz w:val="16"/>
                <w:szCs w:val="16"/>
              </w:rPr>
            </w:pPr>
            <w:r>
              <w:rPr>
                <w:rFonts w:ascii="Arial Narrow" w:hAnsi="Arial Narrow"/>
                <w:sz w:val="16"/>
                <w:szCs w:val="16"/>
              </w:rPr>
              <w:t>Elektroenerģija un gāzes apg.</w:t>
            </w:r>
          </w:p>
          <w:p w:rsidR="00762D1E" w:rsidP="00762D1E">
            <w:pPr>
              <w:spacing w:before="120"/>
              <w:ind w:left="-57" w:right="-57"/>
              <w:jc w:val="right"/>
              <w:rPr>
                <w:rFonts w:ascii="Arial Narrow" w:hAnsi="Arial Narrow"/>
                <w:sz w:val="16"/>
                <w:szCs w:val="16"/>
              </w:rPr>
            </w:pPr>
            <w:r>
              <w:rPr>
                <w:rFonts w:ascii="Arial Narrow" w:hAnsi="Arial Narrow"/>
                <w:sz w:val="16"/>
                <w:szCs w:val="16"/>
              </w:rPr>
              <w:t>Ieguves rūpniecība</w:t>
            </w:r>
          </w:p>
          <w:p w:rsidR="00762D1E" w:rsidP="00762D1E">
            <w:pPr>
              <w:spacing w:before="120"/>
              <w:ind w:left="-57" w:right="-57"/>
              <w:jc w:val="right"/>
              <w:rPr>
                <w:rFonts w:ascii="Arial Narrow" w:hAnsi="Arial Narrow"/>
                <w:sz w:val="16"/>
                <w:szCs w:val="16"/>
              </w:rPr>
            </w:pPr>
            <w:r>
              <w:rPr>
                <w:rFonts w:ascii="Arial Narrow" w:hAnsi="Arial Narrow"/>
                <w:sz w:val="16"/>
                <w:szCs w:val="16"/>
              </w:rPr>
              <w:t>Tirdzniecība</w:t>
            </w:r>
          </w:p>
          <w:p w:rsidR="00762D1E" w:rsidP="00762D1E">
            <w:pPr>
              <w:spacing w:before="120"/>
              <w:ind w:left="-57" w:right="-57"/>
              <w:jc w:val="right"/>
              <w:rPr>
                <w:rFonts w:ascii="Arial Narrow" w:hAnsi="Arial Narrow"/>
                <w:sz w:val="16"/>
                <w:szCs w:val="16"/>
              </w:rPr>
            </w:pPr>
            <w:r>
              <w:rPr>
                <w:rFonts w:ascii="Arial Narrow" w:hAnsi="Arial Narrow"/>
                <w:sz w:val="16"/>
                <w:szCs w:val="16"/>
              </w:rPr>
              <w:t>Lauksaimniecība, mežsaimn.</w:t>
            </w:r>
          </w:p>
          <w:p w:rsidR="00762D1E" w:rsidP="00762D1E">
            <w:pPr>
              <w:spacing w:before="120"/>
              <w:ind w:left="-57" w:right="-57"/>
              <w:jc w:val="right"/>
              <w:rPr>
                <w:rFonts w:ascii="Arial Narrow" w:hAnsi="Arial Narrow"/>
                <w:sz w:val="16"/>
                <w:szCs w:val="16"/>
              </w:rPr>
            </w:pPr>
            <w:r>
              <w:rPr>
                <w:rFonts w:ascii="Arial Narrow" w:hAnsi="Arial Narrow"/>
                <w:sz w:val="16"/>
                <w:szCs w:val="16"/>
              </w:rPr>
              <w:t>Transports un uzglabāšana</w:t>
            </w:r>
          </w:p>
          <w:p w:rsidR="00762D1E" w:rsidP="00762D1E">
            <w:pPr>
              <w:spacing w:before="120"/>
              <w:ind w:left="-57" w:right="-57"/>
              <w:jc w:val="right"/>
              <w:rPr>
                <w:rFonts w:ascii="Arial Narrow" w:hAnsi="Arial Narrow"/>
                <w:sz w:val="16"/>
                <w:szCs w:val="16"/>
              </w:rPr>
            </w:pPr>
            <w:r>
              <w:rPr>
                <w:rFonts w:ascii="Arial Narrow" w:hAnsi="Arial Narrow"/>
                <w:sz w:val="16"/>
                <w:szCs w:val="16"/>
              </w:rPr>
              <w:t>Sabiedriskie pakalpojumi</w:t>
            </w:r>
          </w:p>
          <w:p w:rsidR="00762D1E" w:rsidP="00762D1E">
            <w:pPr>
              <w:spacing w:before="120"/>
              <w:ind w:left="-57" w:right="-57"/>
              <w:jc w:val="right"/>
              <w:rPr>
                <w:rFonts w:ascii="Arial Narrow" w:hAnsi="Arial Narrow"/>
                <w:sz w:val="16"/>
                <w:szCs w:val="16"/>
              </w:rPr>
            </w:pPr>
            <w:r>
              <w:rPr>
                <w:rFonts w:ascii="Arial Narrow" w:hAnsi="Arial Narrow"/>
                <w:sz w:val="16"/>
                <w:szCs w:val="16"/>
              </w:rPr>
              <w:t>Pārtikas rūpniecība</w:t>
            </w:r>
          </w:p>
          <w:p w:rsidR="00762D1E" w:rsidP="00762D1E">
            <w:pPr>
              <w:spacing w:before="120"/>
              <w:ind w:left="-57" w:right="-57"/>
              <w:jc w:val="right"/>
              <w:rPr>
                <w:rFonts w:ascii="Arial Narrow" w:hAnsi="Arial Narrow"/>
                <w:sz w:val="16"/>
                <w:szCs w:val="16"/>
              </w:rPr>
            </w:pPr>
            <w:r>
              <w:rPr>
                <w:rFonts w:ascii="Arial Narrow" w:hAnsi="Arial Narrow"/>
                <w:sz w:val="16"/>
                <w:szCs w:val="16"/>
              </w:rPr>
              <w:t>Ūdens apgāde</w:t>
            </w:r>
          </w:p>
          <w:p w:rsidR="00762D1E" w:rsidP="00762D1E">
            <w:pPr>
              <w:spacing w:before="120"/>
              <w:ind w:left="-57" w:right="-57"/>
              <w:jc w:val="right"/>
              <w:rPr>
                <w:rFonts w:ascii="Arial Narrow" w:hAnsi="Arial Narrow"/>
                <w:sz w:val="16"/>
                <w:szCs w:val="16"/>
              </w:rPr>
            </w:pPr>
            <w:r>
              <w:rPr>
                <w:rFonts w:ascii="Arial Narrow" w:hAnsi="Arial Narrow"/>
                <w:sz w:val="16"/>
                <w:szCs w:val="16"/>
              </w:rPr>
              <w:t>Ķīmiskā rūpniecība</w:t>
            </w:r>
          </w:p>
          <w:p w:rsidR="00762D1E" w:rsidP="00762D1E">
            <w:pPr>
              <w:spacing w:before="120"/>
              <w:ind w:left="-57" w:right="-57"/>
              <w:jc w:val="right"/>
              <w:rPr>
                <w:rFonts w:ascii="Arial Narrow" w:hAnsi="Arial Narrow"/>
                <w:sz w:val="16"/>
                <w:szCs w:val="16"/>
              </w:rPr>
            </w:pPr>
            <w:r>
              <w:rPr>
                <w:rFonts w:ascii="Arial Narrow" w:hAnsi="Arial Narrow"/>
                <w:sz w:val="16"/>
                <w:szCs w:val="16"/>
              </w:rPr>
              <w:t>Kokapstrāde</w:t>
            </w:r>
          </w:p>
          <w:p w:rsidR="00762D1E" w:rsidP="00762D1E">
            <w:pPr>
              <w:spacing w:before="120"/>
              <w:ind w:left="-57" w:right="-57"/>
              <w:jc w:val="right"/>
              <w:rPr>
                <w:rFonts w:ascii="Arial Narrow" w:hAnsi="Arial Narrow"/>
                <w:sz w:val="16"/>
                <w:szCs w:val="16"/>
              </w:rPr>
            </w:pPr>
            <w:r>
              <w:rPr>
                <w:rFonts w:ascii="Arial Narrow" w:hAnsi="Arial Narrow"/>
                <w:sz w:val="16"/>
                <w:szCs w:val="16"/>
              </w:rPr>
              <w:t>Finanšu un apdroš. darbības</w:t>
            </w:r>
          </w:p>
          <w:p w:rsidR="00762D1E" w:rsidP="00762D1E">
            <w:pPr>
              <w:spacing w:before="120"/>
              <w:ind w:left="-57" w:right="-57"/>
              <w:jc w:val="right"/>
              <w:rPr>
                <w:rFonts w:ascii="Arial Narrow" w:hAnsi="Arial Narrow"/>
                <w:sz w:val="16"/>
                <w:szCs w:val="16"/>
              </w:rPr>
            </w:pPr>
            <w:r>
              <w:rPr>
                <w:rFonts w:ascii="Arial Narrow" w:hAnsi="Arial Narrow"/>
                <w:sz w:val="16"/>
                <w:szCs w:val="16"/>
              </w:rPr>
              <w:t>Papīra ražošana un poligrāfija</w:t>
            </w:r>
          </w:p>
          <w:p w:rsidR="00762D1E" w:rsidP="00762D1E">
            <w:pPr>
              <w:spacing w:before="120"/>
              <w:ind w:left="-57" w:right="-57"/>
              <w:jc w:val="right"/>
              <w:rPr>
                <w:rFonts w:ascii="Arial Narrow" w:hAnsi="Arial Narrow"/>
                <w:sz w:val="16"/>
                <w:szCs w:val="16"/>
              </w:rPr>
            </w:pPr>
            <w:r>
              <w:rPr>
                <w:rFonts w:ascii="Arial Narrow" w:hAnsi="Arial Narrow"/>
                <w:sz w:val="16"/>
                <w:szCs w:val="16"/>
              </w:rPr>
              <w:t>IKT pakalpojumi</w:t>
            </w:r>
          </w:p>
          <w:p w:rsidR="00762D1E" w:rsidP="00762D1E">
            <w:pPr>
              <w:spacing w:before="120"/>
              <w:ind w:left="-57" w:right="-57"/>
              <w:jc w:val="right"/>
              <w:rPr>
                <w:rFonts w:ascii="Arial Narrow" w:hAnsi="Arial Narrow"/>
                <w:sz w:val="16"/>
                <w:szCs w:val="16"/>
              </w:rPr>
            </w:pPr>
            <w:r>
              <w:rPr>
                <w:rFonts w:ascii="Arial Narrow" w:hAnsi="Arial Narrow"/>
                <w:sz w:val="16"/>
                <w:szCs w:val="16"/>
              </w:rPr>
              <w:t>Mašīnu un iekārtu ražošana</w:t>
            </w:r>
          </w:p>
          <w:p w:rsidR="00762D1E" w:rsidRPr="00E25DA0" w:rsidP="00762D1E">
            <w:pPr>
              <w:spacing w:before="120"/>
              <w:ind w:left="-57" w:right="-57"/>
              <w:jc w:val="right"/>
              <w:rPr>
                <w:rFonts w:ascii="Arial Narrow" w:hAnsi="Arial Narrow"/>
                <w:sz w:val="16"/>
                <w:szCs w:val="16"/>
              </w:rPr>
            </w:pPr>
            <w:r>
              <w:rPr>
                <w:rFonts w:ascii="Arial Narrow" w:hAnsi="Arial Narrow"/>
                <w:sz w:val="16"/>
                <w:szCs w:val="16"/>
              </w:rPr>
              <w:t>Vieglā rūpniecība</w:t>
            </w:r>
          </w:p>
          <w:p w:rsidR="00762D1E" w:rsidP="00762D1E">
            <w:pPr>
              <w:spacing w:before="120"/>
              <w:ind w:left="-57" w:right="-57"/>
              <w:jc w:val="right"/>
              <w:rPr>
                <w:rFonts w:ascii="Arial Narrow" w:hAnsi="Arial Narrow"/>
                <w:sz w:val="16"/>
                <w:szCs w:val="16"/>
              </w:rPr>
            </w:pPr>
            <w:r>
              <w:rPr>
                <w:rFonts w:ascii="Arial Narrow" w:hAnsi="Arial Narrow"/>
                <w:sz w:val="16"/>
                <w:szCs w:val="16"/>
              </w:rPr>
              <w:t>Transportlīdzekļu ražošana</w:t>
            </w:r>
          </w:p>
          <w:p w:rsidR="00762D1E" w:rsidP="00762D1E">
            <w:pPr>
              <w:spacing w:before="120"/>
              <w:ind w:left="-57" w:right="-57"/>
              <w:jc w:val="right"/>
              <w:rPr>
                <w:rFonts w:ascii="Arial Narrow" w:hAnsi="Arial Narrow"/>
                <w:sz w:val="16"/>
                <w:szCs w:val="16"/>
              </w:rPr>
            </w:pPr>
            <w:r>
              <w:rPr>
                <w:rFonts w:ascii="Arial Narrow" w:hAnsi="Arial Narrow"/>
                <w:sz w:val="16"/>
                <w:szCs w:val="16"/>
              </w:rPr>
              <w:t>Būvniecība</w:t>
            </w:r>
          </w:p>
          <w:p w:rsidR="00762D1E" w:rsidRPr="004E3ADD" w:rsidP="00762D1E">
            <w:pPr>
              <w:spacing w:before="120"/>
              <w:ind w:left="-57" w:right="-57"/>
              <w:jc w:val="right"/>
              <w:rPr>
                <w:rFonts w:ascii="Arial Narrow" w:hAnsi="Arial Narrow"/>
                <w:sz w:val="18"/>
                <w:szCs w:val="18"/>
              </w:rPr>
            </w:pPr>
            <w:r>
              <w:rPr>
                <w:rFonts w:ascii="Arial Narrow" w:hAnsi="Arial Narrow"/>
                <w:sz w:val="16"/>
                <w:szCs w:val="16"/>
              </w:rPr>
              <w:t>Nemetālisko minerālu raž.</w:t>
            </w:r>
          </w:p>
        </w:tc>
        <w:tc>
          <w:tcPr>
            <w:tcW w:w="1869" w:type="dxa"/>
          </w:tcPr>
          <w:p w:rsidR="00762D1E" w:rsidRPr="004E3ADD" w:rsidP="00762D1E">
            <w:pPr>
              <w:ind w:left="-57" w:right="-57"/>
              <w:jc w:val="center"/>
              <w:rPr>
                <w:rFonts w:ascii="Arial Narrow" w:hAnsi="Arial Narrow"/>
                <w:sz w:val="18"/>
                <w:szCs w:val="18"/>
              </w:rPr>
            </w:pPr>
            <w:r w:rsidRPr="00E25DA0">
              <w:rPr>
                <w:rFonts w:ascii="Arial Narrow" w:hAnsi="Arial Narrow"/>
                <w:noProof/>
                <w:sz w:val="16"/>
                <w:szCs w:val="16"/>
                <w:lang w:eastAsia="lv-LV"/>
              </w:rPr>
              <w:drawing>
                <wp:inline distT="0" distB="0" distL="0" distR="0">
                  <wp:extent cx="1079500" cy="4146550"/>
                  <wp:effectExtent l="0" t="0" r="6350" b="6350"/>
                  <wp:docPr id="565" name="Chart 5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1869" w:type="dxa"/>
          </w:tcPr>
          <w:p w:rsidR="00762D1E" w:rsidP="00762D1E">
            <w:pPr>
              <w:spacing w:before="120"/>
              <w:ind w:left="-57" w:right="-57"/>
              <w:jc w:val="right"/>
              <w:rPr>
                <w:rFonts w:ascii="Arial Narrow" w:hAnsi="Arial Narrow"/>
                <w:sz w:val="16"/>
                <w:szCs w:val="16"/>
              </w:rPr>
            </w:pPr>
            <w:r>
              <w:rPr>
                <w:rFonts w:ascii="Arial Narrow" w:hAnsi="Arial Narrow"/>
                <w:sz w:val="16"/>
                <w:szCs w:val="16"/>
              </w:rPr>
              <w:t>Kokapstrāde</w:t>
            </w:r>
          </w:p>
          <w:p w:rsidR="00762D1E" w:rsidP="00762D1E">
            <w:pPr>
              <w:spacing w:before="120"/>
              <w:ind w:left="-57" w:right="-57"/>
              <w:jc w:val="right"/>
              <w:rPr>
                <w:rFonts w:ascii="Arial Narrow" w:hAnsi="Arial Narrow"/>
                <w:sz w:val="16"/>
                <w:szCs w:val="16"/>
              </w:rPr>
            </w:pPr>
            <w:r>
              <w:rPr>
                <w:rFonts w:ascii="Arial Narrow" w:hAnsi="Arial Narrow"/>
                <w:sz w:val="16"/>
                <w:szCs w:val="16"/>
              </w:rPr>
              <w:t>Lauksaimniecība un mežs.</w:t>
            </w:r>
          </w:p>
          <w:p w:rsidR="00762D1E" w:rsidP="00762D1E">
            <w:pPr>
              <w:spacing w:before="120"/>
              <w:ind w:left="-57" w:right="-57"/>
              <w:jc w:val="right"/>
              <w:rPr>
                <w:rFonts w:ascii="Arial Narrow" w:hAnsi="Arial Narrow"/>
                <w:sz w:val="16"/>
                <w:szCs w:val="16"/>
              </w:rPr>
            </w:pPr>
            <w:r>
              <w:rPr>
                <w:rFonts w:ascii="Arial Narrow" w:hAnsi="Arial Narrow"/>
                <w:sz w:val="16"/>
                <w:szCs w:val="16"/>
              </w:rPr>
              <w:t>Nemetālisko minerālu raž.</w:t>
            </w:r>
          </w:p>
          <w:p w:rsidR="00762D1E" w:rsidP="00762D1E">
            <w:pPr>
              <w:spacing w:before="120"/>
              <w:ind w:left="-57" w:right="-57"/>
              <w:jc w:val="right"/>
              <w:rPr>
                <w:rFonts w:ascii="Arial Narrow" w:hAnsi="Arial Narrow"/>
                <w:sz w:val="16"/>
                <w:szCs w:val="16"/>
              </w:rPr>
            </w:pPr>
            <w:r>
              <w:rPr>
                <w:rFonts w:ascii="Arial Narrow" w:hAnsi="Arial Narrow"/>
                <w:sz w:val="16"/>
                <w:szCs w:val="16"/>
              </w:rPr>
              <w:t>Elektrisko un opt. iek. raž.</w:t>
            </w:r>
          </w:p>
          <w:p w:rsidR="00762D1E" w:rsidP="00762D1E">
            <w:pPr>
              <w:spacing w:before="120"/>
              <w:ind w:left="-57" w:right="-57"/>
              <w:jc w:val="right"/>
              <w:rPr>
                <w:rFonts w:ascii="Arial Narrow" w:hAnsi="Arial Narrow"/>
                <w:sz w:val="16"/>
                <w:szCs w:val="16"/>
              </w:rPr>
            </w:pPr>
            <w:r>
              <w:rPr>
                <w:rFonts w:ascii="Arial Narrow" w:hAnsi="Arial Narrow"/>
                <w:sz w:val="16"/>
                <w:szCs w:val="16"/>
              </w:rPr>
              <w:t>Transports un uzglabāšana</w:t>
            </w:r>
          </w:p>
          <w:p w:rsidR="00762D1E" w:rsidP="00762D1E">
            <w:pPr>
              <w:spacing w:before="120"/>
              <w:ind w:left="-57" w:right="-57"/>
              <w:jc w:val="right"/>
              <w:rPr>
                <w:rFonts w:ascii="Arial Narrow" w:hAnsi="Arial Narrow"/>
                <w:sz w:val="16"/>
                <w:szCs w:val="16"/>
              </w:rPr>
            </w:pPr>
            <w:r>
              <w:rPr>
                <w:rFonts w:ascii="Arial Narrow" w:hAnsi="Arial Narrow"/>
                <w:sz w:val="16"/>
                <w:szCs w:val="16"/>
              </w:rPr>
              <w:t>Tirdzniecība</w:t>
            </w:r>
          </w:p>
          <w:p w:rsidR="00762D1E" w:rsidP="00762D1E">
            <w:pPr>
              <w:spacing w:before="120"/>
              <w:ind w:left="-57" w:right="-57"/>
              <w:jc w:val="right"/>
              <w:rPr>
                <w:rFonts w:ascii="Arial Narrow" w:hAnsi="Arial Narrow"/>
                <w:sz w:val="16"/>
                <w:szCs w:val="16"/>
              </w:rPr>
            </w:pPr>
            <w:r>
              <w:rPr>
                <w:rFonts w:ascii="Arial Narrow" w:hAnsi="Arial Narrow"/>
                <w:sz w:val="16"/>
                <w:szCs w:val="16"/>
              </w:rPr>
              <w:t>Izmitināšana un ēdināšana</w:t>
            </w:r>
          </w:p>
          <w:p w:rsidR="00762D1E" w:rsidP="00762D1E">
            <w:pPr>
              <w:spacing w:before="120"/>
              <w:ind w:left="-57" w:right="-57"/>
              <w:jc w:val="right"/>
              <w:rPr>
                <w:rFonts w:ascii="Arial Narrow" w:hAnsi="Arial Narrow"/>
                <w:sz w:val="16"/>
                <w:szCs w:val="16"/>
              </w:rPr>
            </w:pPr>
            <w:r>
              <w:rPr>
                <w:rFonts w:ascii="Arial Narrow" w:hAnsi="Arial Narrow"/>
                <w:sz w:val="16"/>
                <w:szCs w:val="16"/>
              </w:rPr>
              <w:t>Pārtikas rūpniecība</w:t>
            </w:r>
          </w:p>
          <w:p w:rsidR="00762D1E" w:rsidP="00762D1E">
            <w:pPr>
              <w:spacing w:before="120"/>
              <w:ind w:left="-57" w:right="-57"/>
              <w:jc w:val="right"/>
              <w:rPr>
                <w:rFonts w:ascii="Arial Narrow" w:hAnsi="Arial Narrow"/>
                <w:sz w:val="16"/>
                <w:szCs w:val="16"/>
              </w:rPr>
            </w:pPr>
            <w:r>
              <w:rPr>
                <w:rFonts w:ascii="Arial Narrow" w:hAnsi="Arial Narrow"/>
                <w:sz w:val="16"/>
                <w:szCs w:val="16"/>
              </w:rPr>
              <w:t>Būvniecība</w:t>
            </w:r>
          </w:p>
          <w:p w:rsidR="00762D1E" w:rsidP="00762D1E">
            <w:pPr>
              <w:spacing w:before="120"/>
              <w:ind w:left="-57" w:right="-57"/>
              <w:jc w:val="right"/>
              <w:rPr>
                <w:rFonts w:ascii="Arial Narrow" w:hAnsi="Arial Narrow"/>
                <w:sz w:val="16"/>
                <w:szCs w:val="16"/>
              </w:rPr>
            </w:pPr>
            <w:r>
              <w:rPr>
                <w:rFonts w:ascii="Arial Narrow" w:hAnsi="Arial Narrow"/>
                <w:sz w:val="16"/>
                <w:szCs w:val="16"/>
              </w:rPr>
              <w:t>Sabiedriskie pakalpojumi</w:t>
            </w:r>
          </w:p>
          <w:p w:rsidR="00762D1E" w:rsidP="00762D1E">
            <w:pPr>
              <w:spacing w:before="120"/>
              <w:ind w:left="-57" w:right="-57"/>
              <w:jc w:val="right"/>
              <w:rPr>
                <w:rFonts w:ascii="Arial Narrow" w:hAnsi="Arial Narrow"/>
                <w:sz w:val="16"/>
                <w:szCs w:val="16"/>
              </w:rPr>
            </w:pPr>
            <w:r>
              <w:rPr>
                <w:rFonts w:ascii="Arial Narrow" w:hAnsi="Arial Narrow"/>
                <w:sz w:val="16"/>
                <w:szCs w:val="16"/>
              </w:rPr>
              <w:t>Vieglā rūpniecība</w:t>
            </w:r>
          </w:p>
          <w:p w:rsidR="00762D1E" w:rsidP="00762D1E">
            <w:pPr>
              <w:spacing w:before="120"/>
              <w:ind w:left="-57" w:right="-57"/>
              <w:jc w:val="right"/>
              <w:rPr>
                <w:rFonts w:ascii="Arial Narrow" w:hAnsi="Arial Narrow"/>
                <w:sz w:val="16"/>
                <w:szCs w:val="16"/>
              </w:rPr>
            </w:pPr>
            <w:r>
              <w:rPr>
                <w:rFonts w:ascii="Arial Narrow" w:hAnsi="Arial Narrow"/>
                <w:sz w:val="16"/>
                <w:szCs w:val="16"/>
              </w:rPr>
              <w:t>Ūdens apgāde</w:t>
            </w:r>
          </w:p>
          <w:p w:rsidR="00762D1E" w:rsidP="00762D1E">
            <w:pPr>
              <w:spacing w:before="120"/>
              <w:ind w:left="-57" w:right="-57"/>
              <w:jc w:val="right"/>
              <w:rPr>
                <w:rFonts w:ascii="Arial Narrow" w:hAnsi="Arial Narrow"/>
                <w:sz w:val="16"/>
                <w:szCs w:val="16"/>
              </w:rPr>
            </w:pPr>
            <w:r>
              <w:rPr>
                <w:rFonts w:ascii="Arial Narrow" w:hAnsi="Arial Narrow"/>
                <w:sz w:val="16"/>
                <w:szCs w:val="16"/>
              </w:rPr>
              <w:t>Finanšu un apdroš. darbības</w:t>
            </w:r>
          </w:p>
          <w:p w:rsidR="00762D1E" w:rsidP="00762D1E">
            <w:pPr>
              <w:spacing w:before="120"/>
              <w:ind w:left="-57" w:right="-57"/>
              <w:jc w:val="right"/>
              <w:rPr>
                <w:rFonts w:ascii="Arial Narrow" w:hAnsi="Arial Narrow"/>
                <w:sz w:val="16"/>
                <w:szCs w:val="16"/>
              </w:rPr>
            </w:pPr>
            <w:r>
              <w:rPr>
                <w:rFonts w:ascii="Arial Narrow" w:hAnsi="Arial Narrow"/>
                <w:sz w:val="16"/>
                <w:szCs w:val="16"/>
              </w:rPr>
              <w:t>Papīra ražošana un poligrāf.</w:t>
            </w:r>
          </w:p>
          <w:p w:rsidR="00762D1E" w:rsidP="00762D1E">
            <w:pPr>
              <w:spacing w:before="120"/>
              <w:ind w:left="-57" w:right="-57"/>
              <w:jc w:val="right"/>
              <w:rPr>
                <w:rFonts w:ascii="Arial Narrow" w:hAnsi="Arial Narrow"/>
                <w:sz w:val="16"/>
                <w:szCs w:val="16"/>
              </w:rPr>
            </w:pPr>
            <w:r>
              <w:rPr>
                <w:rFonts w:ascii="Arial Narrow" w:hAnsi="Arial Narrow"/>
                <w:sz w:val="16"/>
                <w:szCs w:val="16"/>
              </w:rPr>
              <w:t>Metālapstrāde</w:t>
            </w:r>
          </w:p>
          <w:p w:rsidR="00762D1E" w:rsidP="00762D1E">
            <w:pPr>
              <w:spacing w:before="120"/>
              <w:ind w:left="-57" w:right="-57"/>
              <w:jc w:val="right"/>
              <w:rPr>
                <w:rFonts w:ascii="Arial Narrow" w:hAnsi="Arial Narrow"/>
                <w:sz w:val="16"/>
                <w:szCs w:val="16"/>
              </w:rPr>
            </w:pPr>
            <w:r>
              <w:rPr>
                <w:rFonts w:ascii="Arial Narrow" w:hAnsi="Arial Narrow"/>
                <w:sz w:val="16"/>
                <w:szCs w:val="16"/>
              </w:rPr>
              <w:t>IKT pakalpojumi</w:t>
            </w:r>
          </w:p>
          <w:p w:rsidR="00762D1E" w:rsidP="00762D1E">
            <w:pPr>
              <w:spacing w:before="120"/>
              <w:ind w:left="-57" w:right="-57"/>
              <w:jc w:val="right"/>
              <w:rPr>
                <w:rFonts w:ascii="Arial Narrow" w:hAnsi="Arial Narrow"/>
                <w:sz w:val="16"/>
                <w:szCs w:val="16"/>
              </w:rPr>
            </w:pPr>
            <w:r>
              <w:rPr>
                <w:rFonts w:ascii="Arial Narrow" w:hAnsi="Arial Narrow"/>
                <w:sz w:val="16"/>
                <w:szCs w:val="16"/>
              </w:rPr>
              <w:t>Mašīnu un iekārtu ražošana</w:t>
            </w:r>
          </w:p>
          <w:p w:rsidR="00762D1E" w:rsidP="00762D1E">
            <w:pPr>
              <w:spacing w:before="120"/>
              <w:ind w:left="-57" w:right="-57"/>
              <w:jc w:val="right"/>
              <w:rPr>
                <w:rFonts w:ascii="Arial Narrow" w:hAnsi="Arial Narrow"/>
                <w:sz w:val="16"/>
                <w:szCs w:val="16"/>
              </w:rPr>
            </w:pPr>
            <w:r>
              <w:rPr>
                <w:rFonts w:ascii="Arial Narrow" w:hAnsi="Arial Narrow"/>
                <w:sz w:val="16"/>
                <w:szCs w:val="16"/>
              </w:rPr>
              <w:t>Ieguves rūpniecība</w:t>
            </w:r>
          </w:p>
          <w:p w:rsidR="00762D1E" w:rsidRPr="00E25DA0" w:rsidP="00762D1E">
            <w:pPr>
              <w:spacing w:before="120"/>
              <w:ind w:left="-57" w:right="-57"/>
              <w:jc w:val="right"/>
              <w:rPr>
                <w:rFonts w:ascii="Arial Narrow" w:hAnsi="Arial Narrow"/>
                <w:sz w:val="16"/>
                <w:szCs w:val="16"/>
              </w:rPr>
            </w:pPr>
            <w:r>
              <w:rPr>
                <w:rFonts w:ascii="Arial Narrow" w:hAnsi="Arial Narrow"/>
                <w:sz w:val="16"/>
                <w:szCs w:val="16"/>
              </w:rPr>
              <w:t>Ķīmiskā rūpniecība</w:t>
            </w:r>
          </w:p>
          <w:p w:rsidR="00762D1E" w:rsidP="00762D1E">
            <w:pPr>
              <w:spacing w:before="120"/>
              <w:ind w:left="-57" w:right="-57"/>
              <w:jc w:val="right"/>
              <w:rPr>
                <w:rFonts w:ascii="Arial Narrow" w:hAnsi="Arial Narrow"/>
                <w:sz w:val="16"/>
                <w:szCs w:val="16"/>
              </w:rPr>
            </w:pPr>
            <w:r>
              <w:rPr>
                <w:rFonts w:ascii="Arial Narrow" w:hAnsi="Arial Narrow"/>
                <w:sz w:val="16"/>
                <w:szCs w:val="16"/>
              </w:rPr>
              <w:t>Transportlīdzekļu ražošana</w:t>
            </w:r>
          </w:p>
          <w:p w:rsidR="00762D1E" w:rsidRPr="004E3ADD" w:rsidP="00762D1E">
            <w:pPr>
              <w:spacing w:before="120"/>
              <w:ind w:left="-57" w:right="-57"/>
              <w:jc w:val="right"/>
              <w:rPr>
                <w:rFonts w:ascii="Arial Narrow" w:hAnsi="Arial Narrow"/>
                <w:sz w:val="18"/>
                <w:szCs w:val="18"/>
              </w:rPr>
            </w:pPr>
            <w:r>
              <w:rPr>
                <w:rFonts w:ascii="Arial Narrow" w:hAnsi="Arial Narrow"/>
                <w:sz w:val="16"/>
                <w:szCs w:val="16"/>
              </w:rPr>
              <w:t>Elektroenerģija, gāzes apg.</w:t>
            </w:r>
          </w:p>
        </w:tc>
        <w:tc>
          <w:tcPr>
            <w:tcW w:w="1869" w:type="dxa"/>
          </w:tcPr>
          <w:p w:rsidR="00762D1E" w:rsidRPr="004E3ADD" w:rsidP="00762D1E">
            <w:pPr>
              <w:ind w:left="-57" w:right="-57"/>
              <w:jc w:val="center"/>
              <w:rPr>
                <w:rFonts w:ascii="Arial Narrow" w:hAnsi="Arial Narrow"/>
                <w:sz w:val="18"/>
                <w:szCs w:val="18"/>
              </w:rPr>
            </w:pPr>
            <w:r w:rsidRPr="00E25DA0">
              <w:rPr>
                <w:rFonts w:ascii="Arial Narrow" w:hAnsi="Arial Narrow"/>
                <w:noProof/>
                <w:sz w:val="16"/>
                <w:szCs w:val="16"/>
                <w:lang w:eastAsia="lv-LV"/>
              </w:rPr>
              <w:drawing>
                <wp:inline distT="0" distB="0" distL="0" distR="0">
                  <wp:extent cx="1079500" cy="4131945"/>
                  <wp:effectExtent l="0" t="0" r="6350" b="1905"/>
                  <wp:docPr id="566" name="Chart 5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rsidR="00762D1E" w:rsidRPr="004E3ADD" w:rsidP="00762D1E">
      <w:pPr>
        <w:spacing w:after="0" w:line="240" w:lineRule="auto"/>
        <w:rPr>
          <w:rFonts w:ascii="Arial Narrow" w:hAnsi="Arial Narrow"/>
          <w:sz w:val="18"/>
          <w:szCs w:val="18"/>
        </w:rPr>
      </w:pPr>
    </w:p>
    <w:p w:rsidR="006B3D89" w:rsidP="00762D1E">
      <w:pPr>
        <w:spacing w:after="0" w:line="240" w:lineRule="auto"/>
        <w:rPr>
          <w:rFonts w:asciiTheme="majorHAnsi" w:eastAsiaTheme="majorEastAsia" w:hAnsiTheme="majorHAnsi" w:cstheme="majorBidi"/>
          <w:b/>
          <w:color w:val="365F91" w:themeColor="accent1" w:themeShade="BF"/>
          <w:szCs w:val="32"/>
        </w:rPr>
      </w:pPr>
      <w:r>
        <w:rPr>
          <w:b/>
        </w:rPr>
        <w:br w:type="page"/>
      </w:r>
    </w:p>
    <w:p w:rsidR="00A5721D" w:rsidRPr="008E4CFF" w:rsidP="008E4CFF">
      <w:pPr>
        <w:pStyle w:val="Heading1"/>
        <w:jc w:val="center"/>
        <w:rPr>
          <w:b/>
          <w:sz w:val="22"/>
        </w:rPr>
      </w:pPr>
      <w:bookmarkStart w:id="4" w:name="_Toc482792399"/>
      <w:bookmarkStart w:id="5" w:name="_Hlk504732311"/>
      <w:bookmarkStart w:id="6" w:name="_Toc256000001"/>
      <w:bookmarkStart w:id="7" w:name="_Toc256000027"/>
      <w:r>
        <w:rPr>
          <w:b/>
          <w:sz w:val="22"/>
        </w:rPr>
        <w:t xml:space="preserve">A </w:t>
      </w:r>
      <w:r w:rsidRPr="008E4CFF" w:rsidR="008E4CFF">
        <w:rPr>
          <w:b/>
          <w:sz w:val="22"/>
        </w:rPr>
        <w:t>LAUKSAIMNIECĪBA, MEŽSAIMNIECĪBA</w:t>
      </w:r>
      <w:bookmarkEnd w:id="7"/>
      <w:bookmarkEnd w:id="6"/>
      <w:bookmarkEnd w:id="4"/>
    </w:p>
    <w:tbl>
      <w:tblPr>
        <w:tblW w:w="0" w:type="auto"/>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3343"/>
        <w:gridCol w:w="1717"/>
        <w:gridCol w:w="1663"/>
        <w:gridCol w:w="3188"/>
      </w:tblGrid>
      <w:tr w:rsidTr="009F39B5">
        <w:tblPrEx>
          <w:tblW w:w="0" w:type="auto"/>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Ex>
        <w:trPr>
          <w:jc w:val="center"/>
        </w:trPr>
        <w:tc>
          <w:tcPr>
            <w:tcW w:w="3392" w:type="dxa"/>
            <w:shd w:val="clear" w:color="auto" w:fill="D9D9D9" w:themeFill="background1" w:themeFillShade="D9"/>
          </w:tcPr>
          <w:p w:rsidR="000D5362" w:rsidRPr="00073CDE" w:rsidP="00762D1E">
            <w:pPr>
              <w:spacing w:after="0" w:line="240" w:lineRule="auto"/>
              <w:jc w:val="center"/>
              <w:rPr>
                <w:rFonts w:ascii="Candara" w:hAnsi="Candara"/>
                <w:sz w:val="18"/>
                <w:szCs w:val="20"/>
              </w:rPr>
            </w:pPr>
            <w:r w:rsidRPr="00073CDE">
              <w:rPr>
                <w:rFonts w:ascii="Candara" w:hAnsi="Candara"/>
                <w:sz w:val="18"/>
                <w:szCs w:val="20"/>
              </w:rPr>
              <w:t>Nozares īpatsvars tautsaimniecībā</w:t>
            </w:r>
            <w:r w:rsidR="00703211">
              <w:rPr>
                <w:rFonts w:ascii="Candara" w:hAnsi="Candara"/>
                <w:sz w:val="18"/>
                <w:szCs w:val="20"/>
              </w:rPr>
              <w:t xml:space="preserve"> (faktiskajās cenās)</w:t>
            </w:r>
            <w:r w:rsidRPr="00073CDE">
              <w:rPr>
                <w:rFonts w:ascii="Candara" w:hAnsi="Candara"/>
                <w:sz w:val="18"/>
                <w:szCs w:val="20"/>
              </w:rPr>
              <w:t>, %</w:t>
            </w:r>
          </w:p>
        </w:tc>
        <w:tc>
          <w:tcPr>
            <w:tcW w:w="3332" w:type="dxa"/>
            <w:gridSpan w:val="2"/>
            <w:tcBorders>
              <w:right w:val="nil"/>
            </w:tcBorders>
            <w:shd w:val="clear" w:color="auto" w:fill="D9D9D9" w:themeFill="background1" w:themeFillShade="D9"/>
          </w:tcPr>
          <w:p w:rsidR="000D5362" w:rsidRPr="00073CDE" w:rsidP="00762D1E">
            <w:pPr>
              <w:spacing w:after="0" w:line="240" w:lineRule="auto"/>
              <w:jc w:val="center"/>
              <w:rPr>
                <w:rFonts w:ascii="Candara" w:hAnsi="Candara"/>
                <w:sz w:val="18"/>
                <w:szCs w:val="20"/>
              </w:rPr>
            </w:pPr>
            <w:r w:rsidRPr="00073CDE">
              <w:rPr>
                <w:rFonts w:ascii="Candara" w:hAnsi="Candara"/>
                <w:sz w:val="18"/>
                <w:szCs w:val="20"/>
              </w:rPr>
              <w:t>Pievienotās vērtības un darba vietu skaita izmaiņas</w:t>
            </w:r>
            <w:r w:rsidR="007E4C0E">
              <w:rPr>
                <w:rFonts w:ascii="Candara" w:hAnsi="Candara"/>
                <w:sz w:val="18"/>
                <w:szCs w:val="20"/>
              </w:rPr>
              <w:t xml:space="preserve"> (2005=100)</w:t>
            </w:r>
          </w:p>
        </w:tc>
        <w:tc>
          <w:tcPr>
            <w:tcW w:w="3177" w:type="dxa"/>
            <w:tcBorders>
              <w:top w:val="nil"/>
              <w:left w:val="nil"/>
              <w:bottom w:val="nil"/>
              <w:right w:val="nil"/>
            </w:tcBorders>
            <w:shd w:val="clear" w:color="auto" w:fill="D9D9D9" w:themeFill="background1" w:themeFillShade="D9"/>
          </w:tcPr>
          <w:p w:rsidR="000D5362" w:rsidRPr="00352C75" w:rsidP="00762D1E">
            <w:pPr>
              <w:spacing w:after="0" w:line="240" w:lineRule="auto"/>
              <w:jc w:val="center"/>
              <w:rPr>
                <w:rFonts w:ascii="Candara" w:hAnsi="Candara"/>
                <w:sz w:val="18"/>
                <w:szCs w:val="20"/>
              </w:rPr>
            </w:pPr>
            <w:r w:rsidRPr="00073CDE">
              <w:rPr>
                <w:rFonts w:ascii="Candara" w:hAnsi="Candara"/>
                <w:sz w:val="18"/>
                <w:szCs w:val="20"/>
              </w:rPr>
              <w:t>Produkcijas eksports</w:t>
            </w:r>
            <w:r w:rsidR="00F86EC0">
              <w:rPr>
                <w:rFonts w:ascii="Candara" w:hAnsi="Candara"/>
                <w:sz w:val="18"/>
                <w:szCs w:val="20"/>
              </w:rPr>
              <w:t>,</w:t>
            </w:r>
            <w:r w:rsidRPr="00073CDE" w:rsidR="00EB2173">
              <w:rPr>
                <w:rFonts w:ascii="Candara" w:hAnsi="Candara"/>
                <w:sz w:val="18"/>
                <w:szCs w:val="20"/>
              </w:rPr>
              <w:t xml:space="preserve"> milj. EUR</w:t>
            </w:r>
            <w:r w:rsidR="00961590">
              <w:rPr>
                <w:rFonts w:ascii="Candara" w:hAnsi="Candara"/>
                <w:sz w:val="18"/>
                <w:szCs w:val="20"/>
              </w:rPr>
              <w:t>*</w:t>
            </w:r>
          </w:p>
        </w:tc>
      </w:tr>
      <w:tr w:rsidTr="009F39B5">
        <w:tblPrEx>
          <w:tblW w:w="0" w:type="auto"/>
          <w:jc w:val="center"/>
          <w:tblLook w:val="04A0"/>
        </w:tblPrEx>
        <w:trPr>
          <w:jc w:val="center"/>
        </w:trPr>
        <w:tc>
          <w:tcPr>
            <w:tcW w:w="3392" w:type="dxa"/>
          </w:tcPr>
          <w:p w:rsidR="000D5362" w:rsidRPr="00B612F1" w:rsidP="00762D1E">
            <w:pPr>
              <w:spacing w:after="0" w:line="240" w:lineRule="auto"/>
              <w:rPr>
                <w:rFonts w:ascii="Candara" w:hAnsi="Candara"/>
              </w:rPr>
            </w:pPr>
            <w:r w:rsidRPr="00B612F1">
              <w:rPr>
                <w:rFonts w:ascii="Candara" w:hAnsi="Candara"/>
                <w:noProof/>
                <w:sz w:val="18"/>
                <w:szCs w:val="18"/>
                <w:lang w:eastAsia="lv-LV"/>
              </w:rPr>
              <w:drawing>
                <wp:inline distT="0" distB="0" distL="0" distR="0">
                  <wp:extent cx="2133600" cy="1123950"/>
                  <wp:effectExtent l="0" t="0" r="0" b="0"/>
                  <wp:docPr id="94"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3332" w:type="dxa"/>
            <w:gridSpan w:val="2"/>
            <w:tcBorders>
              <w:right w:val="nil"/>
            </w:tcBorders>
          </w:tcPr>
          <w:p w:rsidR="000D5362" w:rsidRPr="00B612F1" w:rsidP="00762D1E">
            <w:pPr>
              <w:spacing w:after="0" w:line="240" w:lineRule="auto"/>
              <w:rPr>
                <w:rFonts w:ascii="Candara" w:hAnsi="Candara"/>
              </w:rPr>
            </w:pPr>
            <w:r w:rsidRPr="00B612F1">
              <w:rPr>
                <w:rFonts w:ascii="Candara" w:eastAsia="Times New Roman" w:hAnsi="Candara"/>
                <w:noProof/>
                <w:sz w:val="18"/>
                <w:szCs w:val="18"/>
                <w:lang w:eastAsia="lv-LV"/>
              </w:rPr>
              <w:drawing>
                <wp:inline distT="0" distB="0" distL="0" distR="0">
                  <wp:extent cx="1943100" cy="11239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3177" w:type="dxa"/>
            <w:tcBorders>
              <w:top w:val="nil"/>
              <w:left w:val="nil"/>
              <w:bottom w:val="nil"/>
              <w:right w:val="nil"/>
            </w:tcBorders>
          </w:tcPr>
          <w:p w:rsidR="000D5362" w:rsidP="00762D1E">
            <w:pPr>
              <w:spacing w:after="0" w:line="240" w:lineRule="auto"/>
              <w:jc w:val="center"/>
              <w:rPr>
                <w:rFonts w:ascii="Candara" w:hAnsi="Candara"/>
              </w:rPr>
            </w:pPr>
            <w:r w:rsidRPr="00210E56">
              <w:rPr>
                <w:rFonts w:ascii="Arial Narrow" w:hAnsi="Arial Narrow"/>
                <w:b/>
                <w:noProof/>
                <w:sz w:val="20"/>
                <w:szCs w:val="20"/>
                <w:lang w:eastAsia="lv-LV"/>
              </w:rPr>
              <w:drawing>
                <wp:inline distT="0" distB="0" distL="0" distR="0">
                  <wp:extent cx="1981200" cy="948519"/>
                  <wp:effectExtent l="0" t="0" r="0" b="0"/>
                  <wp:docPr id="271"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61590" w:rsidRPr="00E75013" w:rsidP="00762D1E">
            <w:pPr>
              <w:spacing w:after="0" w:line="240" w:lineRule="auto"/>
              <w:rPr>
                <w:rFonts w:ascii="Candara" w:hAnsi="Candara"/>
                <w:sz w:val="14"/>
                <w:szCs w:val="14"/>
              </w:rPr>
            </w:pPr>
            <w:r w:rsidRPr="00E75013">
              <w:rPr>
                <w:rFonts w:ascii="Candara" w:hAnsi="Candara"/>
                <w:sz w:val="14"/>
                <w:szCs w:val="14"/>
              </w:rPr>
              <w:t xml:space="preserve">* </w:t>
            </w:r>
            <w:r w:rsidRPr="00E75013" w:rsidR="00E75013">
              <w:rPr>
                <w:rFonts w:ascii="Candara" w:hAnsi="Candara"/>
                <w:sz w:val="14"/>
                <w:szCs w:val="14"/>
              </w:rPr>
              <w:t>EM novērtējums pēc KN produktu klasifikācijas</w:t>
            </w:r>
          </w:p>
        </w:tc>
      </w:tr>
      <w:tr w:rsidTr="00AF0EB0">
        <w:tblPrEx>
          <w:tblW w:w="0" w:type="auto"/>
          <w:jc w:val="center"/>
          <w:tblLook w:val="04A0"/>
        </w:tblPrEx>
        <w:trPr>
          <w:jc w:val="center"/>
        </w:trPr>
        <w:tc>
          <w:tcPr>
            <w:tcW w:w="3392" w:type="dxa"/>
            <w:shd w:val="clear" w:color="auto" w:fill="D9D9D9" w:themeFill="background1" w:themeFillShade="D9"/>
          </w:tcPr>
          <w:p w:rsidR="00483382" w:rsidRPr="00F45EAB" w:rsidP="00762D1E">
            <w:pPr>
              <w:spacing w:after="0" w:line="240" w:lineRule="auto"/>
              <w:jc w:val="center"/>
              <w:rPr>
                <w:rFonts w:ascii="Candara" w:hAnsi="Candara"/>
                <w:sz w:val="18"/>
              </w:rPr>
            </w:pPr>
            <w:r w:rsidRPr="00F45EAB">
              <w:rPr>
                <w:rFonts w:ascii="Candara" w:hAnsi="Candara"/>
                <w:sz w:val="18"/>
                <w:szCs w:val="20"/>
              </w:rPr>
              <w:t xml:space="preserve">Eksports uz 1 strādājošo, </w:t>
            </w:r>
            <w:r w:rsidRPr="00F45EAB" w:rsidR="00EB2173">
              <w:rPr>
                <w:rFonts w:ascii="Candara" w:hAnsi="Candara"/>
                <w:sz w:val="18"/>
                <w:szCs w:val="20"/>
              </w:rPr>
              <w:t>tūkst. EUR</w:t>
            </w:r>
          </w:p>
        </w:tc>
        <w:tc>
          <w:tcPr>
            <w:tcW w:w="6509" w:type="dxa"/>
            <w:gridSpan w:val="3"/>
            <w:shd w:val="clear" w:color="auto" w:fill="D9D9D9" w:themeFill="background1" w:themeFillShade="D9"/>
          </w:tcPr>
          <w:p w:rsidR="00483382" w:rsidRPr="00352C75" w:rsidP="00762D1E">
            <w:pPr>
              <w:spacing w:after="0" w:line="240" w:lineRule="auto"/>
              <w:jc w:val="center"/>
              <w:rPr>
                <w:rFonts w:ascii="Candara" w:hAnsi="Candara"/>
                <w:sz w:val="18"/>
              </w:rPr>
            </w:pPr>
            <w:r w:rsidRPr="00F45EAB">
              <w:rPr>
                <w:rFonts w:ascii="Candara" w:hAnsi="Candara"/>
                <w:sz w:val="18"/>
                <w:szCs w:val="20"/>
              </w:rPr>
              <w:t>Eksports uz 1 strādājošo ES</w:t>
            </w:r>
            <w:r w:rsidR="00B8597F">
              <w:rPr>
                <w:rFonts w:ascii="Candara" w:hAnsi="Candara"/>
                <w:sz w:val="18"/>
                <w:szCs w:val="20"/>
              </w:rPr>
              <w:t>-</w:t>
            </w:r>
            <w:r w:rsidRPr="00F45EAB">
              <w:rPr>
                <w:rFonts w:ascii="Candara" w:hAnsi="Candara"/>
                <w:sz w:val="18"/>
                <w:szCs w:val="20"/>
              </w:rPr>
              <w:t>28 valstīs</w:t>
            </w:r>
            <w:r w:rsidRPr="00F45EAB" w:rsidR="00EB2173">
              <w:rPr>
                <w:rFonts w:ascii="Candara" w:hAnsi="Candara"/>
                <w:sz w:val="18"/>
                <w:szCs w:val="20"/>
              </w:rPr>
              <w:t xml:space="preserve">, </w:t>
            </w:r>
            <w:r w:rsidR="00DC2EF8">
              <w:rPr>
                <w:rFonts w:ascii="Candara" w:hAnsi="Candara"/>
                <w:sz w:val="18"/>
                <w:szCs w:val="20"/>
              </w:rPr>
              <w:t xml:space="preserve">2016.gadā, </w:t>
            </w:r>
            <w:r w:rsidRPr="00F45EAB" w:rsidR="00EB2173">
              <w:rPr>
                <w:rFonts w:ascii="Candara" w:hAnsi="Candara"/>
                <w:sz w:val="18"/>
                <w:szCs w:val="20"/>
              </w:rPr>
              <w:t>tūkst. EUR</w:t>
            </w:r>
          </w:p>
        </w:tc>
      </w:tr>
      <w:tr w:rsidTr="00AF0EB0">
        <w:tblPrEx>
          <w:tblW w:w="0" w:type="auto"/>
          <w:jc w:val="center"/>
          <w:tblLook w:val="04A0"/>
        </w:tblPrEx>
        <w:trPr>
          <w:jc w:val="center"/>
        </w:trPr>
        <w:tc>
          <w:tcPr>
            <w:tcW w:w="3392" w:type="dxa"/>
          </w:tcPr>
          <w:p w:rsidR="00483382" w:rsidP="00762D1E">
            <w:pPr>
              <w:spacing w:after="0" w:line="240" w:lineRule="auto"/>
              <w:jc w:val="center"/>
              <w:rPr>
                <w:rFonts w:ascii="Candara" w:hAnsi="Candara"/>
              </w:rPr>
            </w:pPr>
            <w:r w:rsidRPr="00B612F1">
              <w:rPr>
                <w:rFonts w:ascii="Candara" w:hAnsi="Candara"/>
                <w:noProof/>
                <w:sz w:val="18"/>
                <w:szCs w:val="18"/>
                <w:lang w:eastAsia="lv-LV"/>
              </w:rPr>
              <w:drawing>
                <wp:inline distT="0" distB="0" distL="0" distR="0">
                  <wp:extent cx="2133600" cy="1171575"/>
                  <wp:effectExtent l="0" t="0" r="0" b="0"/>
                  <wp:docPr id="15"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6509" w:type="dxa"/>
            <w:gridSpan w:val="3"/>
          </w:tcPr>
          <w:p w:rsidR="00483382" w:rsidP="00762D1E">
            <w:pPr>
              <w:spacing w:after="0" w:line="240" w:lineRule="auto"/>
              <w:jc w:val="center"/>
              <w:rPr>
                <w:rFonts w:ascii="Candara" w:hAnsi="Candara"/>
              </w:rPr>
            </w:pPr>
            <w:r w:rsidRPr="00421CA2">
              <w:rPr>
                <w:noProof/>
                <w:lang w:eastAsia="lv-LV"/>
              </w:rPr>
              <w:drawing>
                <wp:inline distT="0" distB="0" distL="0" distR="0">
                  <wp:extent cx="4114800" cy="1171575"/>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Tr="00AF0EB0">
        <w:tblPrEx>
          <w:tblW w:w="0" w:type="auto"/>
          <w:jc w:val="center"/>
          <w:tblLook w:val="04A0"/>
        </w:tblPrEx>
        <w:trPr>
          <w:jc w:val="center"/>
        </w:trPr>
        <w:tc>
          <w:tcPr>
            <w:tcW w:w="3392" w:type="dxa"/>
            <w:shd w:val="clear" w:color="auto" w:fill="D9D9D9" w:themeFill="background1" w:themeFillShade="D9"/>
          </w:tcPr>
          <w:p w:rsidR="00483382" w:rsidRPr="00073CDE" w:rsidP="00762D1E">
            <w:pPr>
              <w:spacing w:after="0" w:line="240" w:lineRule="auto"/>
              <w:jc w:val="center"/>
              <w:rPr>
                <w:rFonts w:ascii="Candara" w:hAnsi="Candara"/>
                <w:sz w:val="18"/>
                <w:szCs w:val="20"/>
              </w:rPr>
            </w:pPr>
            <w:r w:rsidRPr="00073CDE">
              <w:rPr>
                <w:rFonts w:ascii="Candara" w:hAnsi="Candara"/>
                <w:sz w:val="18"/>
                <w:szCs w:val="20"/>
              </w:rPr>
              <w:t>Eksporta tirgi</w:t>
            </w:r>
            <w:r w:rsidR="00467A26">
              <w:rPr>
                <w:rFonts w:ascii="Candara" w:hAnsi="Candara"/>
                <w:sz w:val="18"/>
                <w:szCs w:val="20"/>
              </w:rPr>
              <w:t>, 201</w:t>
            </w:r>
            <w:r w:rsidR="00DC2EF8">
              <w:rPr>
                <w:rFonts w:ascii="Candara" w:hAnsi="Candara"/>
                <w:sz w:val="18"/>
                <w:szCs w:val="20"/>
              </w:rPr>
              <w:t>6</w:t>
            </w:r>
            <w:r w:rsidR="00467A26">
              <w:rPr>
                <w:rFonts w:ascii="Candara" w:hAnsi="Candara"/>
                <w:sz w:val="18"/>
                <w:szCs w:val="20"/>
              </w:rPr>
              <w:t>.g.</w:t>
            </w:r>
          </w:p>
        </w:tc>
        <w:tc>
          <w:tcPr>
            <w:tcW w:w="6509" w:type="dxa"/>
            <w:gridSpan w:val="3"/>
            <w:shd w:val="clear" w:color="auto" w:fill="D9D9D9" w:themeFill="background1" w:themeFillShade="D9"/>
          </w:tcPr>
          <w:p w:rsidR="00483382" w:rsidRPr="00483382" w:rsidP="00762D1E">
            <w:pPr>
              <w:spacing w:after="0" w:line="240" w:lineRule="auto"/>
              <w:jc w:val="center"/>
              <w:rPr>
                <w:rFonts w:ascii="Candara" w:hAnsi="Candara"/>
                <w:sz w:val="18"/>
              </w:rPr>
            </w:pPr>
            <w:r w:rsidRPr="00073CDE">
              <w:rPr>
                <w:rFonts w:ascii="Candara" w:hAnsi="Candara"/>
                <w:sz w:val="18"/>
                <w:szCs w:val="20"/>
              </w:rPr>
              <w:t>Eksporta struktūra</w:t>
            </w:r>
          </w:p>
        </w:tc>
      </w:tr>
      <w:tr w:rsidTr="00AF0EB0">
        <w:tblPrEx>
          <w:tblW w:w="0" w:type="auto"/>
          <w:jc w:val="center"/>
          <w:tblLook w:val="04A0"/>
        </w:tblPrEx>
        <w:trPr>
          <w:jc w:val="center"/>
        </w:trPr>
        <w:tc>
          <w:tcPr>
            <w:tcW w:w="3392" w:type="dxa"/>
          </w:tcPr>
          <w:p w:rsidR="00483382" w:rsidRPr="00B612F1" w:rsidP="00762D1E">
            <w:pPr>
              <w:spacing w:after="0" w:line="240" w:lineRule="auto"/>
              <w:jc w:val="center"/>
              <w:rPr>
                <w:rFonts w:ascii="Candara" w:hAnsi="Candara"/>
                <w:b/>
                <w:szCs w:val="28"/>
              </w:rPr>
            </w:pPr>
            <w:r w:rsidRPr="004F3DC7">
              <w:rPr>
                <w:noProof/>
                <w:sz w:val="18"/>
                <w:szCs w:val="18"/>
                <w:lang w:eastAsia="lv-LV"/>
              </w:rPr>
              <w:drawing>
                <wp:inline distT="0" distB="0" distL="0" distR="0">
                  <wp:extent cx="1885950" cy="1367790"/>
                  <wp:effectExtent l="0" t="0" r="0" b="0"/>
                  <wp:docPr id="30"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6509" w:type="dxa"/>
            <w:gridSpan w:val="3"/>
          </w:tcPr>
          <w:p w:rsidR="004B5C57" w:rsidRPr="004B5C57" w:rsidP="00762D1E">
            <w:pPr>
              <w:tabs>
                <w:tab w:val="left" w:pos="8080"/>
              </w:tabs>
              <w:spacing w:after="0" w:line="240" w:lineRule="auto"/>
              <w:ind w:right="-31"/>
              <w:jc w:val="center"/>
              <w:rPr>
                <w:sz w:val="18"/>
              </w:rPr>
            </w:pPr>
            <w:r w:rsidRPr="004B5C57">
              <w:rPr>
                <w:sz w:val="18"/>
              </w:rPr>
              <w:t xml:space="preserve">Latvija </w:t>
            </w:r>
            <w:r>
              <w:rPr>
                <w:sz w:val="18"/>
              </w:rPr>
              <w:t xml:space="preserve">                                                                                      </w:t>
            </w:r>
            <w:r w:rsidRPr="004B5C57">
              <w:rPr>
                <w:sz w:val="18"/>
              </w:rPr>
              <w:t>ES-28</w:t>
            </w:r>
          </w:p>
          <w:p w:rsidR="00483382" w:rsidRPr="004B5C57" w:rsidP="00762D1E">
            <w:pPr>
              <w:tabs>
                <w:tab w:val="left" w:pos="8080"/>
              </w:tabs>
              <w:spacing w:after="0" w:line="240" w:lineRule="auto"/>
              <w:ind w:right="-31"/>
            </w:pPr>
            <w:r>
              <w:rPr>
                <w:noProof/>
                <w:lang w:eastAsia="lv-LV"/>
              </w:rPr>
              <w:drawing>
                <wp:inline distT="0" distB="0" distL="0" distR="0">
                  <wp:extent cx="2617393" cy="1242725"/>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noProof/>
                <w:lang w:eastAsia="lv-LV"/>
              </w:rPr>
              <w:drawing>
                <wp:inline distT="0" distB="0" distL="0" distR="0">
                  <wp:extent cx="1356258" cy="1242725"/>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Tr="00AF0EB0">
        <w:tblPrEx>
          <w:tblW w:w="0" w:type="auto"/>
          <w:jc w:val="center"/>
          <w:tblLook w:val="04A0"/>
        </w:tblPrEx>
        <w:trPr>
          <w:jc w:val="center"/>
        </w:trPr>
        <w:tc>
          <w:tcPr>
            <w:tcW w:w="3392" w:type="dxa"/>
            <w:shd w:val="clear" w:color="auto" w:fill="D9D9D9" w:themeFill="background1" w:themeFillShade="D9"/>
          </w:tcPr>
          <w:p w:rsidR="000D5362" w:rsidRPr="00AF0EB0" w:rsidP="00762D1E">
            <w:pPr>
              <w:spacing w:after="0" w:line="240" w:lineRule="auto"/>
              <w:jc w:val="center"/>
              <w:rPr>
                <w:rFonts w:ascii="Candara" w:hAnsi="Candara"/>
                <w:spacing w:val="-4"/>
                <w:sz w:val="18"/>
              </w:rPr>
            </w:pPr>
            <w:r w:rsidRPr="00AF0EB0">
              <w:rPr>
                <w:rFonts w:ascii="Candara" w:hAnsi="Candara"/>
                <w:spacing w:val="-4"/>
                <w:sz w:val="18"/>
                <w:szCs w:val="20"/>
              </w:rPr>
              <w:t>Darbaspēka izmaksu dinamika</w:t>
            </w:r>
            <w:r w:rsidRPr="00AF0EB0" w:rsidR="0019253F">
              <w:rPr>
                <w:rFonts w:ascii="Candara" w:hAnsi="Candara"/>
                <w:spacing w:val="-4"/>
                <w:sz w:val="18"/>
                <w:szCs w:val="20"/>
              </w:rPr>
              <w:t>, tūkst. EUR</w:t>
            </w:r>
          </w:p>
        </w:tc>
        <w:tc>
          <w:tcPr>
            <w:tcW w:w="3332" w:type="dxa"/>
            <w:gridSpan w:val="2"/>
            <w:shd w:val="clear" w:color="auto" w:fill="D9D9D9" w:themeFill="background1" w:themeFillShade="D9"/>
          </w:tcPr>
          <w:p w:rsidR="000D5362" w:rsidRPr="00483382" w:rsidP="00762D1E">
            <w:pPr>
              <w:spacing w:after="0" w:line="240" w:lineRule="auto"/>
              <w:jc w:val="center"/>
              <w:rPr>
                <w:rFonts w:ascii="Candara" w:hAnsi="Candara"/>
                <w:sz w:val="18"/>
              </w:rPr>
            </w:pPr>
            <w:r w:rsidRPr="00483382">
              <w:rPr>
                <w:rFonts w:ascii="Candara" w:hAnsi="Candara"/>
                <w:sz w:val="18"/>
                <w:szCs w:val="20"/>
              </w:rPr>
              <w:t>Produktivitātes dinamika</w:t>
            </w:r>
            <w:r w:rsidR="0019253F">
              <w:rPr>
                <w:rFonts w:ascii="Candara" w:hAnsi="Candara"/>
                <w:sz w:val="18"/>
                <w:szCs w:val="20"/>
              </w:rPr>
              <w:t>, tūkst. EUR</w:t>
            </w:r>
          </w:p>
        </w:tc>
        <w:tc>
          <w:tcPr>
            <w:tcW w:w="3177" w:type="dxa"/>
            <w:shd w:val="clear" w:color="auto" w:fill="D9D9D9" w:themeFill="background1" w:themeFillShade="D9"/>
          </w:tcPr>
          <w:p w:rsidR="000D5362" w:rsidRPr="00483382" w:rsidP="00762D1E">
            <w:pPr>
              <w:spacing w:after="0" w:line="240" w:lineRule="auto"/>
              <w:jc w:val="center"/>
              <w:rPr>
                <w:rFonts w:ascii="Candara" w:hAnsi="Candara"/>
                <w:sz w:val="18"/>
              </w:rPr>
            </w:pPr>
            <w:r w:rsidRPr="00483382">
              <w:rPr>
                <w:rFonts w:ascii="Candara" w:hAnsi="Candara"/>
                <w:sz w:val="18"/>
                <w:szCs w:val="20"/>
              </w:rPr>
              <w:t>Produktivitāte un darbaspēka izmaksas</w:t>
            </w:r>
          </w:p>
        </w:tc>
      </w:tr>
      <w:tr w:rsidTr="00AF0EB0">
        <w:tblPrEx>
          <w:tblW w:w="0" w:type="auto"/>
          <w:jc w:val="center"/>
          <w:tblLook w:val="04A0"/>
        </w:tblPrEx>
        <w:trPr>
          <w:jc w:val="center"/>
        </w:trPr>
        <w:tc>
          <w:tcPr>
            <w:tcW w:w="3392" w:type="dxa"/>
          </w:tcPr>
          <w:p w:rsidR="004B5C57" w:rsidP="00762D1E">
            <w:pPr>
              <w:spacing w:after="0" w:line="240" w:lineRule="auto"/>
              <w:jc w:val="center"/>
              <w:rPr>
                <w:rFonts w:ascii="Candara" w:hAnsi="Candara"/>
              </w:rPr>
            </w:pPr>
            <w:r w:rsidRPr="00B612F1">
              <w:rPr>
                <w:rFonts w:ascii="Candara" w:hAnsi="Candara"/>
                <w:noProof/>
                <w:sz w:val="18"/>
                <w:szCs w:val="18"/>
                <w:lang w:eastAsia="lv-LV"/>
              </w:rPr>
              <w:drawing>
                <wp:inline distT="0" distB="0" distL="0" distR="0">
                  <wp:extent cx="2133600" cy="1171575"/>
                  <wp:effectExtent l="0" t="0" r="0" b="0"/>
                  <wp:docPr id="18"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3332" w:type="dxa"/>
            <w:gridSpan w:val="2"/>
          </w:tcPr>
          <w:p w:rsidR="004B5C57" w:rsidP="00762D1E">
            <w:pPr>
              <w:spacing w:after="0" w:line="240" w:lineRule="auto"/>
              <w:jc w:val="center"/>
              <w:rPr>
                <w:rFonts w:ascii="Candara" w:hAnsi="Candara"/>
              </w:rPr>
            </w:pPr>
            <w:r w:rsidRPr="00B612F1">
              <w:rPr>
                <w:rFonts w:ascii="Candara" w:hAnsi="Candara"/>
                <w:noProof/>
                <w:sz w:val="18"/>
                <w:szCs w:val="18"/>
                <w:lang w:eastAsia="lv-LV"/>
              </w:rPr>
              <w:drawing>
                <wp:inline distT="0" distB="0" distL="0" distR="0">
                  <wp:extent cx="2133600" cy="1171575"/>
                  <wp:effectExtent l="0" t="0" r="0" b="0"/>
                  <wp:docPr id="22"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3177" w:type="dxa"/>
            <w:vMerge w:val="restart"/>
          </w:tcPr>
          <w:p w:rsidR="004B5C57" w:rsidP="00762D1E">
            <w:pPr>
              <w:spacing w:after="0" w:line="240" w:lineRule="auto"/>
              <w:jc w:val="center"/>
              <w:rPr>
                <w:rFonts w:ascii="Candara" w:hAnsi="Candara"/>
              </w:rPr>
            </w:pPr>
            <w:r w:rsidRPr="00B612F1">
              <w:rPr>
                <w:rFonts w:ascii="Candara" w:eastAsia="Times New Roman" w:hAnsi="Candara"/>
                <w:noProof/>
                <w:sz w:val="18"/>
                <w:szCs w:val="18"/>
                <w:lang w:eastAsia="lv-LV"/>
              </w:rPr>
              <w:drawing>
                <wp:inline distT="0" distB="0" distL="0" distR="0">
                  <wp:extent cx="1847850" cy="222885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Tr="00AF0EB0">
        <w:tblPrEx>
          <w:tblW w:w="0" w:type="auto"/>
          <w:jc w:val="center"/>
          <w:tblLook w:val="04A0"/>
        </w:tblPrEx>
        <w:trPr>
          <w:jc w:val="center"/>
        </w:trPr>
        <w:tc>
          <w:tcPr>
            <w:tcW w:w="3392" w:type="dxa"/>
            <w:shd w:val="clear" w:color="auto" w:fill="D9D9D9" w:themeFill="background1" w:themeFillShade="D9"/>
          </w:tcPr>
          <w:p w:rsidR="004B5C57" w:rsidRPr="00483382" w:rsidP="00762D1E">
            <w:pPr>
              <w:spacing w:after="0" w:line="240" w:lineRule="auto"/>
              <w:jc w:val="center"/>
              <w:rPr>
                <w:rFonts w:ascii="Candara" w:hAnsi="Candara"/>
                <w:sz w:val="18"/>
              </w:rPr>
            </w:pPr>
            <w:r w:rsidRPr="00483382">
              <w:rPr>
                <w:rFonts w:ascii="Candara" w:hAnsi="Candara"/>
                <w:sz w:val="18"/>
                <w:szCs w:val="20"/>
              </w:rPr>
              <w:t>Darbaspēka izmaksas, ES-28=100</w:t>
            </w:r>
          </w:p>
        </w:tc>
        <w:tc>
          <w:tcPr>
            <w:tcW w:w="3332" w:type="dxa"/>
            <w:gridSpan w:val="2"/>
            <w:shd w:val="clear" w:color="auto" w:fill="D9D9D9" w:themeFill="background1" w:themeFillShade="D9"/>
          </w:tcPr>
          <w:p w:rsidR="004B5C57" w:rsidRPr="00483382" w:rsidP="00762D1E">
            <w:pPr>
              <w:spacing w:after="0" w:line="240" w:lineRule="auto"/>
              <w:jc w:val="center"/>
              <w:rPr>
                <w:rFonts w:ascii="Candara" w:hAnsi="Candara"/>
                <w:sz w:val="18"/>
              </w:rPr>
            </w:pPr>
            <w:r w:rsidRPr="00483382">
              <w:rPr>
                <w:rFonts w:ascii="Candara" w:hAnsi="Candara"/>
                <w:sz w:val="18"/>
                <w:szCs w:val="20"/>
              </w:rPr>
              <w:t>Produktivitāte, ES-28=100</w:t>
            </w:r>
          </w:p>
        </w:tc>
        <w:tc>
          <w:tcPr>
            <w:tcW w:w="3177" w:type="dxa"/>
            <w:vMerge/>
            <w:shd w:val="clear" w:color="auto" w:fill="D9D9D9" w:themeFill="background1" w:themeFillShade="D9"/>
          </w:tcPr>
          <w:p w:rsidR="004B5C57" w:rsidRPr="00483382" w:rsidP="00483382">
            <w:pPr>
              <w:jc w:val="center"/>
              <w:rPr>
                <w:rFonts w:ascii="Candara" w:hAnsi="Candara"/>
                <w:sz w:val="18"/>
              </w:rPr>
            </w:pPr>
          </w:p>
        </w:tc>
      </w:tr>
      <w:tr w:rsidTr="00AF0EB0">
        <w:tblPrEx>
          <w:tblW w:w="0" w:type="auto"/>
          <w:jc w:val="center"/>
          <w:tblLook w:val="04A0"/>
        </w:tblPrEx>
        <w:trPr>
          <w:jc w:val="center"/>
        </w:trPr>
        <w:tc>
          <w:tcPr>
            <w:tcW w:w="3392" w:type="dxa"/>
          </w:tcPr>
          <w:p w:rsidR="004B5C57" w:rsidP="00762D1E">
            <w:pPr>
              <w:spacing w:after="0" w:line="240" w:lineRule="auto"/>
              <w:jc w:val="center"/>
              <w:rPr>
                <w:rFonts w:ascii="Candara" w:hAnsi="Candara"/>
              </w:rPr>
            </w:pPr>
            <w:r w:rsidRPr="00B41842">
              <w:rPr>
                <w:rFonts w:ascii="Arial Narrow" w:hAnsi="Arial Narrow"/>
                <w:noProof/>
                <w:lang w:eastAsia="lv-LV"/>
              </w:rPr>
              <w:drawing>
                <wp:inline distT="0" distB="0" distL="0" distR="0">
                  <wp:extent cx="2088000" cy="1057275"/>
                  <wp:effectExtent l="0" t="0" r="7620" b="0"/>
                  <wp:docPr id="1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3332" w:type="dxa"/>
            <w:gridSpan w:val="2"/>
          </w:tcPr>
          <w:p w:rsidR="004B5C57" w:rsidP="00762D1E">
            <w:pPr>
              <w:spacing w:after="0" w:line="240" w:lineRule="auto"/>
              <w:jc w:val="center"/>
              <w:rPr>
                <w:rFonts w:ascii="Candara" w:hAnsi="Candara"/>
              </w:rPr>
            </w:pPr>
            <w:r w:rsidRPr="00123E9E">
              <w:rPr>
                <w:rFonts w:ascii="Arial Narrow" w:hAnsi="Arial Narrow"/>
                <w:noProof/>
                <w:lang w:eastAsia="lv-LV"/>
              </w:rPr>
              <w:drawing>
                <wp:inline distT="0" distB="0" distL="0" distR="0">
                  <wp:extent cx="2124000" cy="1057275"/>
                  <wp:effectExtent l="0" t="0" r="0" b="0"/>
                  <wp:docPr id="1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3177" w:type="dxa"/>
            <w:vMerge/>
          </w:tcPr>
          <w:p w:rsidR="004B5C57" w:rsidP="00483382">
            <w:pPr>
              <w:jc w:val="center"/>
              <w:rPr>
                <w:rFonts w:ascii="Candara" w:hAnsi="Candara"/>
              </w:rPr>
            </w:pPr>
          </w:p>
        </w:tc>
      </w:tr>
      <w:tr w:rsidTr="00AF0EB0">
        <w:tblPrEx>
          <w:tblW w:w="0" w:type="auto"/>
          <w:jc w:val="center"/>
          <w:tblLook w:val="04A0"/>
        </w:tblPrEx>
        <w:trPr>
          <w:jc w:val="center"/>
        </w:trPr>
        <w:tc>
          <w:tcPr>
            <w:tcW w:w="5086" w:type="dxa"/>
            <w:gridSpan w:val="2"/>
            <w:shd w:val="clear" w:color="auto" w:fill="D9D9D9" w:themeFill="background1" w:themeFillShade="D9"/>
          </w:tcPr>
          <w:p w:rsidR="00483382" w:rsidRPr="00483382" w:rsidP="00762D1E">
            <w:pPr>
              <w:spacing w:after="0" w:line="240" w:lineRule="auto"/>
              <w:jc w:val="center"/>
              <w:rPr>
                <w:rFonts w:ascii="Candara" w:hAnsi="Candara"/>
                <w:sz w:val="18"/>
                <w:szCs w:val="20"/>
              </w:rPr>
            </w:pPr>
            <w:r w:rsidRPr="00483382">
              <w:rPr>
                <w:rFonts w:ascii="Candara" w:hAnsi="Candara"/>
                <w:sz w:val="18"/>
                <w:szCs w:val="20"/>
              </w:rPr>
              <w:t>Darbaspēka izmaksas</w:t>
            </w:r>
            <w:r w:rsidR="00F35BE1">
              <w:rPr>
                <w:rFonts w:ascii="Candara" w:hAnsi="Candara"/>
                <w:sz w:val="18"/>
                <w:szCs w:val="20"/>
              </w:rPr>
              <w:t xml:space="preserve"> uz 1 nodarbināto</w:t>
            </w:r>
            <w:r w:rsidR="005C1E6F">
              <w:rPr>
                <w:rFonts w:ascii="Candara" w:hAnsi="Candara"/>
                <w:sz w:val="18"/>
                <w:szCs w:val="20"/>
              </w:rPr>
              <w:t xml:space="preserve"> 2016.g.</w:t>
            </w:r>
            <w:r w:rsidR="0019253F">
              <w:rPr>
                <w:rFonts w:ascii="Candara" w:hAnsi="Candara"/>
                <w:sz w:val="18"/>
                <w:szCs w:val="20"/>
              </w:rPr>
              <w:t>, tūkst. EUR</w:t>
            </w:r>
          </w:p>
        </w:tc>
        <w:tc>
          <w:tcPr>
            <w:tcW w:w="4815" w:type="dxa"/>
            <w:gridSpan w:val="2"/>
            <w:shd w:val="clear" w:color="auto" w:fill="D9D9D9" w:themeFill="background1" w:themeFillShade="D9"/>
          </w:tcPr>
          <w:p w:rsidR="00483382" w:rsidRPr="00483382" w:rsidP="00762D1E">
            <w:pPr>
              <w:spacing w:after="0" w:line="240" w:lineRule="auto"/>
              <w:jc w:val="center"/>
              <w:rPr>
                <w:rFonts w:ascii="Candara" w:hAnsi="Candara"/>
                <w:sz w:val="18"/>
                <w:szCs w:val="20"/>
              </w:rPr>
            </w:pPr>
            <w:r w:rsidRPr="00483382">
              <w:rPr>
                <w:rFonts w:ascii="Candara" w:hAnsi="Candara"/>
                <w:sz w:val="18"/>
                <w:szCs w:val="20"/>
              </w:rPr>
              <w:t>Produktivitāte</w:t>
            </w:r>
            <w:r w:rsidR="005C1E6F">
              <w:rPr>
                <w:rFonts w:ascii="Candara" w:hAnsi="Candara"/>
                <w:sz w:val="18"/>
                <w:szCs w:val="20"/>
              </w:rPr>
              <w:t xml:space="preserve"> (PV uz 1 nodarbināto) 2016.g.</w:t>
            </w:r>
            <w:r w:rsidR="0019253F">
              <w:rPr>
                <w:rFonts w:ascii="Candara" w:hAnsi="Candara"/>
                <w:sz w:val="18"/>
                <w:szCs w:val="20"/>
              </w:rPr>
              <w:t>, tūkst. EUR</w:t>
            </w:r>
          </w:p>
        </w:tc>
      </w:tr>
      <w:tr w:rsidTr="00AF0EB0">
        <w:tblPrEx>
          <w:tblW w:w="0" w:type="auto"/>
          <w:jc w:val="center"/>
          <w:tblLook w:val="04A0"/>
        </w:tblPrEx>
        <w:trPr>
          <w:jc w:val="center"/>
        </w:trPr>
        <w:tc>
          <w:tcPr>
            <w:tcW w:w="5086" w:type="dxa"/>
            <w:gridSpan w:val="2"/>
          </w:tcPr>
          <w:p w:rsidR="00483382" w:rsidP="00762D1E">
            <w:pPr>
              <w:spacing w:after="0" w:line="240" w:lineRule="auto"/>
              <w:jc w:val="center"/>
              <w:rPr>
                <w:rFonts w:ascii="Candara" w:hAnsi="Candara"/>
              </w:rPr>
            </w:pPr>
            <w:r w:rsidRPr="00421CA2">
              <w:rPr>
                <w:noProof/>
                <w:lang w:eastAsia="lv-LV"/>
              </w:rPr>
              <w:drawing>
                <wp:inline distT="0" distB="0" distL="0" distR="0">
                  <wp:extent cx="3152775" cy="117157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815" w:type="dxa"/>
            <w:gridSpan w:val="2"/>
          </w:tcPr>
          <w:p w:rsidR="00483382" w:rsidP="00762D1E">
            <w:pPr>
              <w:spacing w:after="0" w:line="240" w:lineRule="auto"/>
              <w:jc w:val="center"/>
              <w:rPr>
                <w:rFonts w:ascii="Candara" w:hAnsi="Candara"/>
              </w:rPr>
            </w:pPr>
            <w:r w:rsidRPr="00421CA2">
              <w:rPr>
                <w:noProof/>
                <w:lang w:eastAsia="lv-LV"/>
              </w:rPr>
              <w:drawing>
                <wp:inline distT="0" distB="0" distL="0" distR="0">
                  <wp:extent cx="3152775" cy="1171575"/>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Tr="00AF0EB0">
        <w:tblPrEx>
          <w:tblW w:w="0" w:type="auto"/>
          <w:jc w:val="center"/>
          <w:tblLook w:val="04A0"/>
        </w:tblPrEx>
        <w:trPr>
          <w:jc w:val="center"/>
        </w:trPr>
        <w:tc>
          <w:tcPr>
            <w:tcW w:w="5086" w:type="dxa"/>
            <w:gridSpan w:val="2"/>
            <w:shd w:val="clear" w:color="auto" w:fill="D9D9D9" w:themeFill="background1" w:themeFillShade="D9"/>
          </w:tcPr>
          <w:p w:rsidR="00483382" w:rsidRPr="00483382" w:rsidP="00762D1E">
            <w:pPr>
              <w:spacing w:after="0" w:line="240" w:lineRule="auto"/>
              <w:jc w:val="center"/>
              <w:rPr>
                <w:rFonts w:ascii="Candara" w:hAnsi="Candara"/>
                <w:sz w:val="18"/>
              </w:rPr>
            </w:pPr>
            <w:r w:rsidRPr="00483382">
              <w:rPr>
                <w:rFonts w:ascii="Candara" w:hAnsi="Candara"/>
                <w:sz w:val="18"/>
                <w:szCs w:val="20"/>
              </w:rPr>
              <w:t>Produktivitāte un darbaspēka izmaksas ES-28 valstīs 2010.g</w:t>
            </w:r>
            <w:r w:rsidR="00F86EC0">
              <w:rPr>
                <w:rFonts w:ascii="Candara" w:hAnsi="Candara"/>
                <w:sz w:val="18"/>
                <w:szCs w:val="20"/>
              </w:rPr>
              <w:t>.</w:t>
            </w:r>
          </w:p>
        </w:tc>
        <w:tc>
          <w:tcPr>
            <w:tcW w:w="4815" w:type="dxa"/>
            <w:gridSpan w:val="2"/>
            <w:shd w:val="clear" w:color="auto" w:fill="D9D9D9" w:themeFill="background1" w:themeFillShade="D9"/>
          </w:tcPr>
          <w:p w:rsidR="00483382" w:rsidRPr="00483382" w:rsidP="00762D1E">
            <w:pPr>
              <w:spacing w:after="0" w:line="240" w:lineRule="auto"/>
              <w:jc w:val="center"/>
              <w:rPr>
                <w:rFonts w:ascii="Candara" w:hAnsi="Candara"/>
                <w:sz w:val="18"/>
              </w:rPr>
            </w:pPr>
            <w:r w:rsidRPr="00483382">
              <w:rPr>
                <w:rFonts w:ascii="Candara" w:hAnsi="Candara"/>
                <w:sz w:val="18"/>
                <w:szCs w:val="20"/>
              </w:rPr>
              <w:t>Produktivitāte un darbaspēka izmaksas ES-28 valstīs 201</w:t>
            </w:r>
            <w:r w:rsidR="00A034DE">
              <w:rPr>
                <w:rFonts w:ascii="Candara" w:hAnsi="Candara"/>
                <w:sz w:val="18"/>
                <w:szCs w:val="20"/>
              </w:rPr>
              <w:t>6</w:t>
            </w:r>
            <w:r w:rsidRPr="00483382">
              <w:rPr>
                <w:rFonts w:ascii="Candara" w:hAnsi="Candara"/>
                <w:sz w:val="18"/>
                <w:szCs w:val="20"/>
              </w:rPr>
              <w:t>.g</w:t>
            </w:r>
            <w:r w:rsidR="00F86EC0">
              <w:rPr>
                <w:rFonts w:ascii="Candara" w:hAnsi="Candara"/>
                <w:sz w:val="18"/>
                <w:szCs w:val="20"/>
              </w:rPr>
              <w:t>.</w:t>
            </w:r>
          </w:p>
        </w:tc>
      </w:tr>
      <w:tr w:rsidTr="00AF0EB0">
        <w:tblPrEx>
          <w:tblW w:w="0" w:type="auto"/>
          <w:jc w:val="center"/>
          <w:tblLook w:val="04A0"/>
        </w:tblPrEx>
        <w:trPr>
          <w:jc w:val="center"/>
        </w:trPr>
        <w:tc>
          <w:tcPr>
            <w:tcW w:w="5086" w:type="dxa"/>
            <w:gridSpan w:val="2"/>
          </w:tcPr>
          <w:p w:rsidR="00483382" w:rsidP="00762D1E">
            <w:pPr>
              <w:spacing w:after="0" w:line="240" w:lineRule="auto"/>
              <w:rPr>
                <w:rFonts w:ascii="Candara" w:hAnsi="Candara"/>
              </w:rPr>
            </w:pPr>
            <w:r w:rsidRPr="00B612F1">
              <w:rPr>
                <w:rFonts w:ascii="Candara" w:eastAsia="Times New Roman" w:hAnsi="Candara"/>
                <w:noProof/>
                <w:sz w:val="18"/>
                <w:szCs w:val="18"/>
                <w:lang w:eastAsia="lv-LV"/>
              </w:rPr>
              <w:drawing>
                <wp:inline distT="0" distB="0" distL="0" distR="0">
                  <wp:extent cx="3057525" cy="119062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815" w:type="dxa"/>
            <w:gridSpan w:val="2"/>
          </w:tcPr>
          <w:p w:rsidR="00483382" w:rsidP="00762D1E">
            <w:pPr>
              <w:spacing w:after="0" w:line="240" w:lineRule="auto"/>
              <w:rPr>
                <w:rFonts w:ascii="Candara" w:hAnsi="Candara"/>
              </w:rPr>
            </w:pPr>
            <w:r w:rsidRPr="00B612F1">
              <w:rPr>
                <w:rFonts w:ascii="Candara" w:eastAsia="Times New Roman" w:hAnsi="Candara"/>
                <w:noProof/>
                <w:sz w:val="18"/>
                <w:szCs w:val="18"/>
                <w:lang w:eastAsia="lv-LV"/>
              </w:rPr>
              <w:drawing>
                <wp:inline distT="0" distB="0" distL="0" distR="0">
                  <wp:extent cx="3057525" cy="120967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rsidR="003B0F04" w:rsidP="00D13B29">
      <w:pPr>
        <w:spacing w:after="0" w:line="240" w:lineRule="auto"/>
        <w:jc w:val="both"/>
        <w:rPr>
          <w:rFonts w:ascii="Candara" w:hAnsi="Candara"/>
          <w:b/>
          <w:color w:val="000000"/>
          <w:szCs w:val="28"/>
          <w:u w:val="single"/>
        </w:rPr>
      </w:pPr>
    </w:p>
    <w:p w:rsidR="00DB497B" w:rsidP="00DB497B">
      <w:pPr>
        <w:spacing w:after="0" w:line="240" w:lineRule="auto"/>
        <w:jc w:val="both"/>
        <w:rPr>
          <w:rFonts w:ascii="Candara" w:hAnsi="Candara"/>
          <w:b/>
          <w:color w:val="000000"/>
          <w:szCs w:val="28"/>
          <w:u w:val="single"/>
        </w:rPr>
      </w:pPr>
      <w:bookmarkEnd w:id="5"/>
      <w:r>
        <w:rPr>
          <w:rFonts w:ascii="Candara" w:hAnsi="Candara"/>
          <w:b/>
          <w:color w:val="000000"/>
          <w:szCs w:val="28"/>
          <w:u w:val="single"/>
        </w:rPr>
        <w:t>Nozares īpatsvars tautsaimniecībā, procentos.</w:t>
      </w:r>
      <w:r>
        <w:rPr>
          <w:rFonts w:ascii="Candara" w:hAnsi="Candara"/>
          <w:color w:val="000000"/>
          <w:szCs w:val="28"/>
        </w:rPr>
        <w:t xml:space="preserve"> Lauksaimniecības, mežsaimniecības un zivsaimniecības nozarē krīzes negatīvā ietekme bija jūtama mazākā mērā. Lai gan krīzes laikā tās īpatsvars samazinājās, tomēr 2010.gadā tās īpatsvars tautsaimniecībā bija palielinājies līdz 4,4%. Pēdējos gados vājais pieprasījums eksporta tirgos, kā arī Krievijas noteiktie pārtikas importa ierobežojumi ir piebremzējuši nozares izaugsmi un nozares īpatsvars ir samazinājies par 0,5 procentpunktiem.</w:t>
      </w:r>
    </w:p>
    <w:p w:rsidR="00DB497B" w:rsidP="00DB497B">
      <w:pPr>
        <w:spacing w:after="0" w:line="240" w:lineRule="auto"/>
        <w:jc w:val="both"/>
        <w:rPr>
          <w:rFonts w:ascii="Candara" w:hAnsi="Candara"/>
          <w:color w:val="000000"/>
          <w:szCs w:val="28"/>
        </w:rPr>
      </w:pPr>
      <w:r>
        <w:rPr>
          <w:rFonts w:ascii="Candara" w:hAnsi="Candara"/>
          <w:b/>
          <w:color w:val="000000"/>
          <w:szCs w:val="28"/>
          <w:u w:val="single"/>
        </w:rPr>
        <w:t>Pievienotās vērtības un darba vietu skaita izmaiņas, 2005=100.</w:t>
      </w:r>
      <w:r>
        <w:rPr>
          <w:rFonts w:ascii="Candara" w:hAnsi="Candara"/>
          <w:color w:val="000000"/>
          <w:szCs w:val="28"/>
        </w:rPr>
        <w:t xml:space="preserve"> 2016. gadā ražošanas apjomi nozarē samazinājās par 0,6%. Kopš krīzes zemākā punkta 2008. gadā nozares izlaides apjomi ir kāpuši par 34% un par  25% pārsniedz pirmskrīzes līmeni. Salīdzinājumā ar ražošanas apjomu kāpumu darbavietu skaits nozarē aug mērenāk, kas liecina par produktivitātes pieaugumu. 2016. gadā aizņemto darbavietu skaits samazinājās par 1%.</w:t>
      </w:r>
      <w:r>
        <w:t xml:space="preserve"> </w:t>
      </w:r>
      <w:r>
        <w:rPr>
          <w:rFonts w:ascii="Candara" w:hAnsi="Candara"/>
          <w:color w:val="000000"/>
          <w:szCs w:val="28"/>
        </w:rPr>
        <w:t>2016.gadā, salīdzinot ar krīzes zemāko punktu 2010.gadā, darbavietu skaits bija pieaudzis par 22%</w:t>
      </w:r>
      <w:r>
        <w:t xml:space="preserve"> </w:t>
      </w:r>
      <w:r>
        <w:rPr>
          <w:rFonts w:ascii="Candara" w:hAnsi="Candara"/>
          <w:color w:val="000000"/>
          <w:szCs w:val="28"/>
        </w:rPr>
        <w:t>un praktiski saglabājās pirmskrīzes līmenī.</w:t>
      </w:r>
    </w:p>
    <w:p w:rsidR="00DB497B" w:rsidP="00DB497B">
      <w:pPr>
        <w:spacing w:after="0" w:line="240" w:lineRule="auto"/>
        <w:jc w:val="both"/>
        <w:rPr>
          <w:rFonts w:ascii="Candara" w:hAnsi="Candara"/>
          <w:color w:val="000000"/>
          <w:szCs w:val="28"/>
        </w:rPr>
      </w:pPr>
      <w:r>
        <w:rPr>
          <w:rFonts w:ascii="Candara" w:hAnsi="Candara"/>
          <w:b/>
          <w:color w:val="000000"/>
          <w:szCs w:val="28"/>
          <w:u w:val="single"/>
        </w:rPr>
        <w:t>Produkcijas eksports, milj. EUR.</w:t>
      </w:r>
      <w:r>
        <w:rPr>
          <w:rFonts w:ascii="Candara" w:hAnsi="Candara"/>
          <w:color w:val="000000"/>
          <w:szCs w:val="28"/>
        </w:rPr>
        <w:t xml:space="preserve"> Desmit gadu laikā eksportētās produkcijas apjomi ir vairākkārtīgi pieauguši. 2013.-2014.gadā eksporta vērtība saruka pasaules cenu samazinājuma dēļ.</w:t>
      </w:r>
    </w:p>
    <w:p w:rsidR="00DB497B" w:rsidP="00DB497B">
      <w:pPr>
        <w:spacing w:after="0" w:line="240" w:lineRule="auto"/>
        <w:jc w:val="both"/>
        <w:rPr>
          <w:rFonts w:ascii="Candara" w:hAnsi="Candara"/>
          <w:b/>
          <w:color w:val="000000"/>
          <w:szCs w:val="28"/>
          <w:u w:val="single"/>
        </w:rPr>
      </w:pPr>
      <w:r>
        <w:rPr>
          <w:rFonts w:ascii="Candara" w:hAnsi="Candara"/>
          <w:b/>
          <w:color w:val="000000"/>
          <w:szCs w:val="28"/>
          <w:u w:val="single"/>
        </w:rPr>
        <w:t>Eksports uz 1 strādājošo, tūkst. EUR.</w:t>
      </w:r>
      <w:r>
        <w:rPr>
          <w:rFonts w:ascii="Candara" w:hAnsi="Candara"/>
          <w:color w:val="000000"/>
          <w:szCs w:val="28"/>
        </w:rPr>
        <w:t xml:space="preserve"> Kopš krīzes perioda eksporta apjoms uz vienu strādājošo ir būtiski pieaudzis.</w:t>
      </w:r>
    </w:p>
    <w:p w:rsidR="00DB497B" w:rsidP="00DB497B">
      <w:pPr>
        <w:spacing w:after="0" w:line="240" w:lineRule="auto"/>
        <w:jc w:val="both"/>
        <w:rPr>
          <w:rFonts w:ascii="Candara" w:hAnsi="Candara"/>
          <w:color w:val="000000"/>
          <w:szCs w:val="28"/>
        </w:rPr>
      </w:pPr>
      <w:r>
        <w:rPr>
          <w:rFonts w:ascii="Candara" w:hAnsi="Candara"/>
          <w:b/>
          <w:color w:val="000000"/>
          <w:szCs w:val="28"/>
          <w:u w:val="single"/>
        </w:rPr>
        <w:t>Eksports uz 1 strādājošo ES 28 valstīs, tūkst. EUR.</w:t>
      </w:r>
      <w:r>
        <w:rPr>
          <w:rFonts w:ascii="Candara" w:hAnsi="Candara"/>
          <w:color w:val="000000"/>
          <w:szCs w:val="28"/>
        </w:rPr>
        <w:t xml:space="preserve"> Latvijā eksporta apjoms uz vienu strādājošo ir tuvu ES vidējam līmenim, tomēr nedaudz atpaliek no Lietuvas un Igaunijas līmeņa.</w:t>
      </w:r>
    </w:p>
    <w:p w:rsidR="00DB497B" w:rsidP="00DB497B">
      <w:pPr>
        <w:spacing w:after="0" w:line="240" w:lineRule="auto"/>
        <w:jc w:val="both"/>
        <w:rPr>
          <w:rFonts w:ascii="Candara" w:hAnsi="Candara"/>
          <w:b/>
          <w:color w:val="000000"/>
          <w:szCs w:val="28"/>
          <w:u w:val="single"/>
        </w:rPr>
      </w:pPr>
      <w:r>
        <w:rPr>
          <w:rFonts w:ascii="Candara" w:hAnsi="Candara"/>
          <w:b/>
          <w:color w:val="000000"/>
          <w:szCs w:val="28"/>
          <w:u w:val="single"/>
        </w:rPr>
        <w:t>Eksporta tirgi.</w:t>
      </w:r>
      <w:r>
        <w:rPr>
          <w:rFonts w:ascii="Candara" w:hAnsi="Candara"/>
          <w:color w:val="000000"/>
          <w:szCs w:val="28"/>
        </w:rPr>
        <w:t xml:space="preserve"> Lielākie eksporta tirgi ir Lietuva, Igaunija, Alžīrija, Saūda Arābija (graudaugi), Spānija, Francija, Nīderlande un Vācija.</w:t>
      </w:r>
    </w:p>
    <w:p w:rsidR="00DB497B" w:rsidP="00DB497B">
      <w:pPr>
        <w:spacing w:after="0" w:line="240" w:lineRule="auto"/>
        <w:jc w:val="both"/>
        <w:rPr>
          <w:rFonts w:ascii="Candara" w:hAnsi="Candara"/>
          <w:b/>
          <w:color w:val="000000"/>
          <w:szCs w:val="28"/>
          <w:u w:val="single"/>
        </w:rPr>
      </w:pPr>
      <w:r>
        <w:rPr>
          <w:rFonts w:ascii="Candara" w:hAnsi="Candara"/>
          <w:b/>
          <w:color w:val="000000"/>
          <w:szCs w:val="28"/>
          <w:u w:val="single"/>
        </w:rPr>
        <w:t>Eksporta struktūra.</w:t>
      </w:r>
      <w:r>
        <w:rPr>
          <w:rFonts w:ascii="Candara" w:hAnsi="Candara"/>
          <w:color w:val="000000"/>
          <w:szCs w:val="28"/>
        </w:rPr>
        <w:t xml:space="preserve"> Latvijā kopš 2005.gada ir samazinājies zivju produkcijas īpatsvars eksporta struktūrā.</w:t>
      </w:r>
    </w:p>
    <w:p w:rsidR="00DB497B" w:rsidP="00DB497B">
      <w:pPr>
        <w:spacing w:after="0" w:line="240" w:lineRule="auto"/>
        <w:jc w:val="both"/>
        <w:rPr>
          <w:rFonts w:ascii="Candara" w:hAnsi="Candara"/>
          <w:b/>
          <w:color w:val="000000"/>
          <w:szCs w:val="28"/>
          <w:u w:val="single"/>
        </w:rPr>
      </w:pPr>
      <w:r>
        <w:rPr>
          <w:rFonts w:ascii="Candara" w:hAnsi="Candara"/>
          <w:b/>
          <w:color w:val="000000"/>
          <w:szCs w:val="28"/>
          <w:u w:val="single"/>
        </w:rPr>
        <w:t>Darbaspēka izmaksu dinamika, tūkst.</w:t>
      </w:r>
      <w:r>
        <w:rPr>
          <w:rFonts w:ascii="Candara" w:hAnsi="Candara"/>
          <w:color w:val="000000"/>
          <w:szCs w:val="28"/>
        </w:rPr>
        <w:t xml:space="preserve"> Krīzes laikā un pēckrīzes periodā līdz 2013.gadam darbaspēka izmaksas nozarē praktiski saglabājās vienādā līmenī, izņemot 2010.gadā uzrādot pieaugumu. 2014.-2015.gadā darba samaksas pieaugums nozarē bija ļoti straujš, darbaspēka izmaksām sasniedzot jau pirmskrīzes perioda līmeni. 2016.gadā darbaspēka izmaksas pieaugums turpinājās – par 12%.</w:t>
      </w:r>
    </w:p>
    <w:p w:rsidR="00DB497B" w:rsidP="00DB497B">
      <w:pPr>
        <w:spacing w:after="0" w:line="240" w:lineRule="auto"/>
        <w:jc w:val="both"/>
        <w:rPr>
          <w:rFonts w:ascii="Candara" w:hAnsi="Candara"/>
          <w:color w:val="000000"/>
          <w:szCs w:val="28"/>
          <w:highlight w:val="yellow"/>
        </w:rPr>
      </w:pPr>
      <w:r>
        <w:rPr>
          <w:rFonts w:ascii="Candara" w:hAnsi="Candara"/>
          <w:b/>
          <w:color w:val="000000"/>
          <w:szCs w:val="28"/>
          <w:u w:val="single"/>
        </w:rPr>
        <w:t>Produktivitātes dinamika, tūkst.</w:t>
      </w:r>
      <w:r>
        <w:rPr>
          <w:rFonts w:ascii="Candara" w:hAnsi="Candara"/>
          <w:color w:val="000000"/>
          <w:szCs w:val="28"/>
        </w:rPr>
        <w:t xml:space="preserve"> Būtisks nodarbināto skaita samazinājums krīzes laikā veicināja strauju produktivitātes kāpumu 2009.-2010.gadā. Savukārt, 2011.gadā, pieaugot nodarbināto skaitam un samazinoties ražošanas apjomiem, produktivitāte samazinājās. Kopš 2012.gada vērojams produktivitātes kāpums, kas saistīts ar straujāku ražošanas apjomu kāpumu (par 26%) kā nodarbināto skaita pieaugums (par 13%). </w:t>
      </w:r>
    </w:p>
    <w:p w:rsidR="00DB497B" w:rsidP="00DB497B">
      <w:pPr>
        <w:spacing w:after="0" w:line="240" w:lineRule="auto"/>
        <w:jc w:val="both"/>
        <w:rPr>
          <w:rFonts w:ascii="Candara" w:hAnsi="Candara"/>
          <w:b/>
          <w:color w:val="000000"/>
          <w:szCs w:val="28"/>
          <w:highlight w:val="yellow"/>
          <w:u w:val="single"/>
        </w:rPr>
      </w:pPr>
      <w:r>
        <w:rPr>
          <w:rFonts w:ascii="Candara" w:hAnsi="Candara"/>
          <w:b/>
          <w:color w:val="000000"/>
          <w:szCs w:val="28"/>
          <w:u w:val="single"/>
        </w:rPr>
        <w:t>Produktivitāte un darbaspēka izmaksas.</w:t>
      </w:r>
      <w:r>
        <w:rPr>
          <w:rFonts w:ascii="Candara" w:hAnsi="Candara"/>
          <w:color w:val="000000"/>
          <w:szCs w:val="28"/>
        </w:rPr>
        <w:t xml:space="preserve"> Krīze pozitīvi ietekmēja nozares konkurētspēju (ULC samazinājās par 36%, ko galvenokārt noteica nodarbināto skaita samazinājums un darbaspēka izmaksu kritums 2009.gadā). Turpmākajos gados ULC pieauga, ko noteica darbaspēka izmaksu straujš kāpums, tomēr produktivitātes kritums bija tikai 2011.gadā. 2012.-2013.gadā nozarē darbaspēka izmaksas samazinājās, savukārt produktivitāte pieauga, kas liecina par cenu konkurētspējas (izmaksu) uzlabošanos. 2016.gadā, salīdzinot ar 2013.gadu, darbaspēka izmaksas uz 1 produkcijas vienību Latvijā bija par 31% un darbaspēka izmaksas par 47%, bet produktivitāte par 13% augstākā līmenī.</w:t>
      </w:r>
    </w:p>
    <w:p w:rsidR="00DB497B" w:rsidP="00DB497B">
      <w:pPr>
        <w:spacing w:after="0" w:line="240" w:lineRule="auto"/>
        <w:jc w:val="both"/>
        <w:rPr>
          <w:rFonts w:ascii="Candara" w:hAnsi="Candara"/>
          <w:color w:val="000000"/>
          <w:szCs w:val="28"/>
        </w:rPr>
      </w:pPr>
      <w:r>
        <w:rPr>
          <w:rFonts w:ascii="Candara" w:hAnsi="Candara"/>
          <w:b/>
          <w:color w:val="000000"/>
          <w:szCs w:val="28"/>
          <w:u w:val="single"/>
        </w:rPr>
        <w:t>Darbaspēka izmaksas, ES-28=100.</w:t>
      </w:r>
      <w:r>
        <w:rPr>
          <w:rFonts w:ascii="Candara" w:hAnsi="Candara"/>
          <w:color w:val="000000"/>
          <w:szCs w:val="28"/>
        </w:rPr>
        <w:t xml:space="preserve"> Salīdzinot ar darbaspēka izmaksu vidējo līmeni ES, nozarē tas ir augstāks nekā tautsaimniecībā kopumā un 2014. gadā šis rādītājs strauji pieauga. 2016.gadā darbaspēka izmaksas ir palielinājušās par 6 procentpunktiem, salīdzinot ar 2014.gadu.</w:t>
      </w:r>
    </w:p>
    <w:p w:rsidR="00DB497B" w:rsidP="00DB497B">
      <w:pPr>
        <w:spacing w:after="0" w:line="240" w:lineRule="auto"/>
        <w:jc w:val="both"/>
        <w:rPr>
          <w:rFonts w:ascii="Candara" w:hAnsi="Candara"/>
          <w:color w:val="000000"/>
          <w:szCs w:val="28"/>
          <w:highlight w:val="yellow"/>
        </w:rPr>
      </w:pPr>
      <w:r>
        <w:rPr>
          <w:rFonts w:ascii="Candara" w:hAnsi="Candara"/>
          <w:b/>
          <w:color w:val="000000"/>
          <w:szCs w:val="28"/>
          <w:u w:val="single"/>
        </w:rPr>
        <w:t>Produktivitāte, ES-28=100.</w:t>
      </w:r>
      <w:r>
        <w:rPr>
          <w:rFonts w:ascii="Candara" w:hAnsi="Candara"/>
          <w:color w:val="000000"/>
          <w:szCs w:val="28"/>
        </w:rPr>
        <w:t xml:space="preserve"> Salīdzinot ar vidējo līmeni ES, nozarē produktivitātes līmenis ir augstāks nekā tautsaimniecībā kopumā. Pēc produktivitātes līmeņa samazināšanās 2013.gadā, 2014.gadā rādītājs uzlabojās, un 2015.-2016.gadā saglabājas aptuveni tādā pašā līmenī.</w:t>
      </w:r>
    </w:p>
    <w:p w:rsidR="00DB497B" w:rsidP="00DB497B">
      <w:pPr>
        <w:spacing w:after="0" w:line="240" w:lineRule="auto"/>
        <w:jc w:val="both"/>
        <w:rPr>
          <w:rFonts w:ascii="Candara" w:hAnsi="Candara"/>
          <w:color w:val="000000"/>
          <w:szCs w:val="28"/>
        </w:rPr>
      </w:pPr>
      <w:r>
        <w:rPr>
          <w:rFonts w:ascii="Candara" w:hAnsi="Candara"/>
          <w:b/>
          <w:color w:val="000000"/>
          <w:szCs w:val="28"/>
          <w:u w:val="single"/>
        </w:rPr>
        <w:t>Darbaspēka izmaksas, salīdzinot ar ES valstīm, 2016.gadā.</w:t>
      </w:r>
      <w:r>
        <w:rPr>
          <w:rFonts w:ascii="Candara" w:hAnsi="Candara"/>
          <w:color w:val="000000"/>
          <w:szCs w:val="28"/>
        </w:rPr>
        <w:t xml:space="preserve"> Latvijā 2016.gadā darbaspēka izmaksas nozarē bija augstākas nekā Lietuvā, bet zemākas nekā Igaunijā. Kopumā starp ES valstīm Latvija bija 21.vietā.</w:t>
      </w:r>
    </w:p>
    <w:p w:rsidR="00DB497B" w:rsidP="00DB497B">
      <w:pPr>
        <w:spacing w:after="0" w:line="240" w:lineRule="auto"/>
        <w:jc w:val="both"/>
        <w:rPr>
          <w:rFonts w:ascii="Candara" w:hAnsi="Candara"/>
          <w:color w:val="000000"/>
          <w:szCs w:val="28"/>
          <w:highlight w:val="yellow"/>
        </w:rPr>
      </w:pPr>
      <w:r>
        <w:rPr>
          <w:rFonts w:ascii="Candara" w:hAnsi="Candara"/>
          <w:b/>
          <w:color w:val="000000"/>
          <w:szCs w:val="28"/>
          <w:u w:val="single"/>
        </w:rPr>
        <w:t>Produktivitāte, salīdzinot ar ES valstīm, 2016.gadā.</w:t>
      </w:r>
      <w:r>
        <w:rPr>
          <w:rFonts w:ascii="Candara" w:hAnsi="Candara"/>
          <w:color w:val="000000"/>
          <w:szCs w:val="28"/>
        </w:rPr>
        <w:t xml:space="preserve"> Latvijā 2015.gadā produktivitāte nozarē bija nedaudz augstāka nekā Lietuvā, bet zemāka nekā Igaunijā. Kopumā starp ES valstīm Latvija bija 20.vietā.</w:t>
      </w:r>
    </w:p>
    <w:p w:rsidR="00DB497B" w:rsidP="00DB497B">
      <w:pPr>
        <w:spacing w:after="0" w:line="240" w:lineRule="auto"/>
        <w:jc w:val="both"/>
        <w:rPr>
          <w:rFonts w:ascii="Candara" w:hAnsi="Candara"/>
          <w:color w:val="000000"/>
          <w:szCs w:val="28"/>
        </w:rPr>
      </w:pPr>
      <w:r>
        <w:rPr>
          <w:rFonts w:ascii="Candara" w:hAnsi="Candara"/>
          <w:b/>
          <w:color w:val="000000"/>
          <w:szCs w:val="28"/>
          <w:u w:val="single"/>
        </w:rPr>
        <w:t>Produktivitāte un darbaspēka izmaksas ES-28 valstīs 2010.gadā un 2016.gadā.</w:t>
      </w:r>
      <w:r>
        <w:rPr>
          <w:rFonts w:ascii="Candara" w:hAnsi="Candara"/>
          <w:color w:val="000000"/>
          <w:szCs w:val="28"/>
        </w:rPr>
        <w:t xml:space="preserve"> Darbaspēka izmaksas uz 1 produkcijas vienību (ULC) nozarē Latvijā 2010.gadā bija zemākas nekā ES vidēji, bet 2016.gadā tas jau bija tuvu ES vidējam rādītājam. Latvijā 2016.gadā, salīdzinot ar 2010.gadu darbaspēka izmaksas uz 1 produkcijas vienību ir pieaugušas par 13%, ko noteica darbaspēku izmaksu kāpums par 38%. Tas liecina, ka nozarē lēta darbaspēka konkurētspējas priekšrocības samazinās.</w:t>
      </w:r>
    </w:p>
    <w:p w:rsidR="008E4CFF" w:rsidP="00762D1E">
      <w:pPr>
        <w:spacing w:after="0" w:line="240" w:lineRule="auto"/>
        <w:rPr>
          <w:rFonts w:ascii="Candara" w:hAnsi="Candara"/>
          <w:color w:val="000000"/>
          <w:szCs w:val="28"/>
        </w:rPr>
      </w:pPr>
      <w:r>
        <w:rPr>
          <w:rFonts w:ascii="Candara" w:hAnsi="Candara"/>
          <w:color w:val="000000"/>
          <w:szCs w:val="28"/>
        </w:rPr>
        <w:br w:type="page"/>
      </w:r>
    </w:p>
    <w:p w:rsidR="008E4CFF" w:rsidRPr="00C23A95" w:rsidP="00C23A95">
      <w:pPr>
        <w:pStyle w:val="Heading1"/>
        <w:jc w:val="center"/>
        <w:rPr>
          <w:b/>
          <w:sz w:val="22"/>
        </w:rPr>
      </w:pPr>
      <w:bookmarkStart w:id="8" w:name="_Toc482792400"/>
      <w:bookmarkStart w:id="9" w:name="_Hlk504737036"/>
      <w:bookmarkStart w:id="10" w:name="_Toc256000002"/>
      <w:bookmarkStart w:id="11" w:name="_Toc256000028"/>
      <w:r w:rsidRPr="00C23A95">
        <w:rPr>
          <w:b/>
          <w:sz w:val="22"/>
        </w:rPr>
        <w:t>B IEGUVES RŪPNIECĪBA UN KARJERU IZSTRĀDE</w:t>
      </w:r>
      <w:bookmarkEnd w:id="11"/>
      <w:bookmarkEnd w:id="10"/>
      <w:bookmarkEnd w:id="8"/>
    </w:p>
    <w:tbl>
      <w:tblPr>
        <w:tblW w:w="10488"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3576"/>
        <w:gridCol w:w="1723"/>
        <w:gridCol w:w="1853"/>
        <w:gridCol w:w="3336"/>
      </w:tblGrid>
      <w:tr w:rsidTr="009F39B5">
        <w:tblPrEx>
          <w:tblW w:w="10488"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Ex>
        <w:trPr>
          <w:jc w:val="center"/>
        </w:trPr>
        <w:tc>
          <w:tcPr>
            <w:tcW w:w="3576" w:type="dxa"/>
            <w:shd w:val="clear" w:color="auto" w:fill="D9D9D9" w:themeFill="background1" w:themeFillShade="D9"/>
          </w:tcPr>
          <w:p w:rsidR="008E4CFF" w:rsidRPr="001F0D32" w:rsidP="00762D1E">
            <w:pPr>
              <w:spacing w:after="0" w:line="240" w:lineRule="auto"/>
              <w:jc w:val="center"/>
              <w:rPr>
                <w:rFonts w:ascii="Candara" w:hAnsi="Candara"/>
                <w:sz w:val="18"/>
                <w:szCs w:val="20"/>
              </w:rPr>
            </w:pPr>
            <w:r w:rsidRPr="001F0D32">
              <w:rPr>
                <w:rFonts w:ascii="Candara" w:hAnsi="Candara"/>
                <w:sz w:val="18"/>
                <w:szCs w:val="20"/>
              </w:rPr>
              <w:t>Nozares īpatsvars tautsaimniecībā</w:t>
            </w:r>
            <w:r w:rsidR="00703211">
              <w:rPr>
                <w:rFonts w:ascii="Candara" w:hAnsi="Candara"/>
                <w:sz w:val="18"/>
                <w:szCs w:val="20"/>
              </w:rPr>
              <w:t xml:space="preserve"> (faktiskajās cenās)</w:t>
            </w:r>
            <w:r w:rsidRPr="001F0D32">
              <w:rPr>
                <w:rFonts w:ascii="Candara" w:hAnsi="Candara"/>
                <w:sz w:val="18"/>
                <w:szCs w:val="20"/>
              </w:rPr>
              <w:t>, %</w:t>
            </w:r>
          </w:p>
        </w:tc>
        <w:tc>
          <w:tcPr>
            <w:tcW w:w="3576" w:type="dxa"/>
            <w:gridSpan w:val="2"/>
            <w:tcBorders>
              <w:right w:val="nil"/>
            </w:tcBorders>
            <w:shd w:val="clear" w:color="auto" w:fill="D9D9D9" w:themeFill="background1" w:themeFillShade="D9"/>
          </w:tcPr>
          <w:p w:rsidR="008E4CFF" w:rsidRPr="001F0D32" w:rsidP="00762D1E">
            <w:pPr>
              <w:spacing w:after="0" w:line="240" w:lineRule="auto"/>
              <w:jc w:val="center"/>
              <w:rPr>
                <w:rFonts w:ascii="Candara" w:hAnsi="Candara"/>
                <w:sz w:val="18"/>
                <w:szCs w:val="20"/>
              </w:rPr>
            </w:pPr>
            <w:r w:rsidRPr="001F0D32">
              <w:rPr>
                <w:rFonts w:ascii="Candara" w:hAnsi="Candara"/>
                <w:sz w:val="18"/>
                <w:szCs w:val="20"/>
              </w:rPr>
              <w:t>Pievienotās vērtības un darba vietu skaita izmaiņas</w:t>
            </w:r>
            <w:r w:rsidR="007E4C0E">
              <w:rPr>
                <w:rFonts w:ascii="Candara" w:hAnsi="Candara"/>
                <w:sz w:val="18"/>
                <w:szCs w:val="20"/>
              </w:rPr>
              <w:t xml:space="preserve"> (2005=100)</w:t>
            </w:r>
          </w:p>
        </w:tc>
        <w:tc>
          <w:tcPr>
            <w:tcW w:w="3336" w:type="dxa"/>
            <w:tcBorders>
              <w:top w:val="nil"/>
              <w:left w:val="nil"/>
              <w:bottom w:val="nil"/>
              <w:right w:val="nil"/>
            </w:tcBorders>
            <w:shd w:val="clear" w:color="auto" w:fill="D9D9D9" w:themeFill="background1" w:themeFillShade="D9"/>
          </w:tcPr>
          <w:p w:rsidR="008E4CFF" w:rsidRPr="001F0D32" w:rsidP="00762D1E">
            <w:pPr>
              <w:spacing w:after="0" w:line="240" w:lineRule="auto"/>
              <w:jc w:val="center"/>
              <w:rPr>
                <w:rFonts w:ascii="Candara" w:hAnsi="Candara"/>
                <w:sz w:val="18"/>
                <w:szCs w:val="20"/>
              </w:rPr>
            </w:pPr>
            <w:r w:rsidRPr="001F0D32">
              <w:rPr>
                <w:rFonts w:ascii="Candara" w:hAnsi="Candara"/>
                <w:sz w:val="18"/>
                <w:szCs w:val="20"/>
              </w:rPr>
              <w:t>Produkcijas eksports</w:t>
            </w:r>
            <w:r w:rsidR="00F86EC0">
              <w:rPr>
                <w:rFonts w:ascii="Candara" w:hAnsi="Candara"/>
                <w:sz w:val="18"/>
                <w:szCs w:val="20"/>
              </w:rPr>
              <w:t>,</w:t>
            </w:r>
            <w:r w:rsidRPr="001F0D32">
              <w:rPr>
                <w:rFonts w:ascii="Candara" w:hAnsi="Candara"/>
                <w:sz w:val="18"/>
                <w:szCs w:val="20"/>
              </w:rPr>
              <w:t xml:space="preserve"> milj. EUR</w:t>
            </w:r>
            <w:r w:rsidR="00E75013">
              <w:rPr>
                <w:rFonts w:ascii="Candara" w:hAnsi="Candara"/>
                <w:sz w:val="18"/>
                <w:szCs w:val="20"/>
              </w:rPr>
              <w:t>*</w:t>
            </w:r>
          </w:p>
        </w:tc>
      </w:tr>
      <w:tr w:rsidTr="009F39B5">
        <w:tblPrEx>
          <w:tblW w:w="10488" w:type="dxa"/>
          <w:jc w:val="center"/>
          <w:tblLook w:val="04A0"/>
        </w:tblPrEx>
        <w:trPr>
          <w:jc w:val="center"/>
        </w:trPr>
        <w:tc>
          <w:tcPr>
            <w:tcW w:w="3576" w:type="dxa"/>
          </w:tcPr>
          <w:p w:rsidR="008E4CFF" w:rsidRPr="001F0D32" w:rsidP="00762D1E">
            <w:pPr>
              <w:spacing w:after="0" w:line="240" w:lineRule="auto"/>
              <w:rPr>
                <w:rFonts w:ascii="Candara" w:hAnsi="Candara"/>
              </w:rPr>
            </w:pPr>
            <w:r w:rsidRPr="001F0D32">
              <w:rPr>
                <w:rFonts w:ascii="Candara" w:hAnsi="Candara"/>
                <w:noProof/>
                <w:sz w:val="18"/>
                <w:szCs w:val="18"/>
                <w:lang w:eastAsia="lv-LV"/>
              </w:rPr>
              <w:drawing>
                <wp:inline distT="0" distB="0" distL="0" distR="0">
                  <wp:extent cx="2133600" cy="1028700"/>
                  <wp:effectExtent l="0" t="0" r="0" b="0"/>
                  <wp:docPr id="1"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3576" w:type="dxa"/>
            <w:gridSpan w:val="2"/>
            <w:tcBorders>
              <w:right w:val="nil"/>
            </w:tcBorders>
          </w:tcPr>
          <w:p w:rsidR="008E4CFF" w:rsidRPr="001F0D32" w:rsidP="00762D1E">
            <w:pPr>
              <w:spacing w:after="0" w:line="240" w:lineRule="auto"/>
              <w:rPr>
                <w:rFonts w:ascii="Candara" w:hAnsi="Candara"/>
              </w:rPr>
            </w:pPr>
            <w:r w:rsidRPr="001F0D32">
              <w:rPr>
                <w:rFonts w:ascii="Candara" w:eastAsia="Times New Roman" w:hAnsi="Candara"/>
                <w:noProof/>
                <w:sz w:val="18"/>
                <w:szCs w:val="18"/>
                <w:lang w:eastAsia="lv-LV"/>
              </w:rPr>
              <w:drawing>
                <wp:inline distT="0" distB="0" distL="0" distR="0">
                  <wp:extent cx="1943100" cy="104775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3336" w:type="dxa"/>
            <w:tcBorders>
              <w:top w:val="nil"/>
              <w:left w:val="nil"/>
              <w:bottom w:val="nil"/>
              <w:right w:val="nil"/>
            </w:tcBorders>
          </w:tcPr>
          <w:p w:rsidR="008E4CFF" w:rsidP="00762D1E">
            <w:pPr>
              <w:spacing w:after="0" w:line="240" w:lineRule="auto"/>
              <w:rPr>
                <w:rFonts w:ascii="Candara" w:hAnsi="Candara"/>
              </w:rPr>
            </w:pPr>
            <w:r>
              <w:rPr>
                <w:noProof/>
                <w:lang w:eastAsia="lv-LV"/>
              </w:rPr>
              <w:drawing>
                <wp:inline distT="0" distB="0" distL="0" distR="0">
                  <wp:extent cx="1981200" cy="90043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75013" w:rsidRPr="001F0D32" w:rsidP="00762D1E">
            <w:pPr>
              <w:spacing w:after="0" w:line="240" w:lineRule="auto"/>
              <w:rPr>
                <w:rFonts w:ascii="Candara" w:hAnsi="Candara"/>
              </w:rPr>
            </w:pPr>
            <w:r w:rsidRPr="00E75013">
              <w:rPr>
                <w:rFonts w:ascii="Candara" w:hAnsi="Candara"/>
                <w:sz w:val="14"/>
                <w:szCs w:val="14"/>
              </w:rPr>
              <w:t>* EM novērtējums pēc KN produktu klasifikācijas</w:t>
            </w:r>
          </w:p>
        </w:tc>
      </w:tr>
      <w:tr w:rsidTr="00AF0EB0">
        <w:tblPrEx>
          <w:tblW w:w="10488" w:type="dxa"/>
          <w:jc w:val="center"/>
          <w:tblLook w:val="04A0"/>
        </w:tblPrEx>
        <w:trPr>
          <w:jc w:val="center"/>
        </w:trPr>
        <w:tc>
          <w:tcPr>
            <w:tcW w:w="3576" w:type="dxa"/>
            <w:shd w:val="clear" w:color="auto" w:fill="D9D9D9" w:themeFill="background1" w:themeFillShade="D9"/>
          </w:tcPr>
          <w:p w:rsidR="008E4CFF" w:rsidRPr="001F0D32" w:rsidP="00762D1E">
            <w:pPr>
              <w:spacing w:after="0" w:line="240" w:lineRule="auto"/>
              <w:jc w:val="center"/>
              <w:rPr>
                <w:rFonts w:ascii="Candara" w:hAnsi="Candara"/>
                <w:sz w:val="18"/>
              </w:rPr>
            </w:pPr>
            <w:r w:rsidRPr="001F0D32">
              <w:rPr>
                <w:rFonts w:ascii="Candara" w:hAnsi="Candara"/>
                <w:sz w:val="18"/>
                <w:szCs w:val="20"/>
              </w:rPr>
              <w:t>Eksports uz 1 strādājošo, tūkst. EUR</w:t>
            </w:r>
          </w:p>
        </w:tc>
        <w:tc>
          <w:tcPr>
            <w:tcW w:w="6912" w:type="dxa"/>
            <w:gridSpan w:val="3"/>
            <w:shd w:val="clear" w:color="auto" w:fill="D9D9D9" w:themeFill="background1" w:themeFillShade="D9"/>
          </w:tcPr>
          <w:p w:rsidR="008E4CFF" w:rsidRPr="001F0D32" w:rsidP="00762D1E">
            <w:pPr>
              <w:spacing w:after="0" w:line="240" w:lineRule="auto"/>
              <w:jc w:val="center"/>
              <w:rPr>
                <w:rFonts w:ascii="Candara" w:hAnsi="Candara"/>
                <w:sz w:val="18"/>
              </w:rPr>
            </w:pPr>
            <w:r w:rsidRPr="001F0D32">
              <w:rPr>
                <w:rFonts w:ascii="Candara" w:hAnsi="Candara"/>
                <w:sz w:val="18"/>
                <w:szCs w:val="20"/>
              </w:rPr>
              <w:t>Eksports uz 1 strādājošo ES</w:t>
            </w:r>
            <w:r w:rsidR="00B8597F">
              <w:rPr>
                <w:rFonts w:ascii="Candara" w:hAnsi="Candara"/>
                <w:sz w:val="18"/>
                <w:szCs w:val="20"/>
              </w:rPr>
              <w:t>-</w:t>
            </w:r>
            <w:r w:rsidRPr="001F0D32">
              <w:rPr>
                <w:rFonts w:ascii="Candara" w:hAnsi="Candara"/>
                <w:sz w:val="18"/>
                <w:szCs w:val="20"/>
              </w:rPr>
              <w:t>28 valstīs, tūkst. EUR</w:t>
            </w:r>
          </w:p>
        </w:tc>
      </w:tr>
      <w:tr w:rsidTr="00AF0EB0">
        <w:tblPrEx>
          <w:tblW w:w="10488" w:type="dxa"/>
          <w:jc w:val="center"/>
          <w:tblLook w:val="04A0"/>
        </w:tblPrEx>
        <w:trPr>
          <w:jc w:val="center"/>
        </w:trPr>
        <w:tc>
          <w:tcPr>
            <w:tcW w:w="3576" w:type="dxa"/>
          </w:tcPr>
          <w:p w:rsidR="008E4CFF" w:rsidRPr="001F0D32" w:rsidP="00762D1E">
            <w:pPr>
              <w:spacing w:after="0" w:line="240" w:lineRule="auto"/>
              <w:jc w:val="center"/>
              <w:rPr>
                <w:rFonts w:ascii="Candara" w:hAnsi="Candara"/>
              </w:rPr>
            </w:pPr>
            <w:r>
              <w:rPr>
                <w:noProof/>
                <w:lang w:eastAsia="lv-LV"/>
              </w:rPr>
              <w:drawing>
                <wp:inline distT="0" distB="0" distL="0" distR="0">
                  <wp:extent cx="2133600" cy="1171575"/>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6912" w:type="dxa"/>
            <w:gridSpan w:val="3"/>
          </w:tcPr>
          <w:p w:rsidR="008E4CFF" w:rsidRPr="001F0D32" w:rsidP="00762D1E">
            <w:pPr>
              <w:spacing w:after="0" w:line="240" w:lineRule="auto"/>
              <w:jc w:val="center"/>
              <w:rPr>
                <w:rFonts w:ascii="Candara" w:hAnsi="Candara"/>
              </w:rPr>
            </w:pPr>
            <w:r>
              <w:rPr>
                <w:noProof/>
                <w:lang w:eastAsia="lv-LV"/>
              </w:rPr>
              <w:drawing>
                <wp:inline distT="0" distB="0" distL="0" distR="0">
                  <wp:extent cx="4114800" cy="1171575"/>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Tr="00AF0EB0">
        <w:tblPrEx>
          <w:tblW w:w="10488" w:type="dxa"/>
          <w:jc w:val="center"/>
          <w:tblLook w:val="04A0"/>
        </w:tblPrEx>
        <w:trPr>
          <w:jc w:val="center"/>
        </w:trPr>
        <w:tc>
          <w:tcPr>
            <w:tcW w:w="3576" w:type="dxa"/>
            <w:shd w:val="clear" w:color="auto" w:fill="D9D9D9" w:themeFill="background1" w:themeFillShade="D9"/>
          </w:tcPr>
          <w:p w:rsidR="008E4CFF" w:rsidRPr="001F0D32" w:rsidP="00762D1E">
            <w:pPr>
              <w:spacing w:after="0" w:line="240" w:lineRule="auto"/>
              <w:jc w:val="center"/>
              <w:rPr>
                <w:rFonts w:ascii="Candara" w:hAnsi="Candara"/>
                <w:sz w:val="18"/>
                <w:szCs w:val="20"/>
              </w:rPr>
            </w:pPr>
            <w:r w:rsidRPr="001F0D32">
              <w:rPr>
                <w:rFonts w:ascii="Candara" w:hAnsi="Candara"/>
                <w:sz w:val="18"/>
                <w:szCs w:val="20"/>
              </w:rPr>
              <w:t>Eksporta tirgi</w:t>
            </w:r>
            <w:r w:rsidR="0092577E">
              <w:rPr>
                <w:rFonts w:ascii="Candara" w:hAnsi="Candara"/>
                <w:sz w:val="18"/>
                <w:szCs w:val="20"/>
              </w:rPr>
              <w:t>, 201</w:t>
            </w:r>
            <w:r w:rsidR="00AC4E80">
              <w:rPr>
                <w:rFonts w:ascii="Candara" w:hAnsi="Candara"/>
                <w:sz w:val="18"/>
                <w:szCs w:val="20"/>
              </w:rPr>
              <w:t>6</w:t>
            </w:r>
            <w:r w:rsidR="0092577E">
              <w:rPr>
                <w:rFonts w:ascii="Candara" w:hAnsi="Candara"/>
                <w:sz w:val="18"/>
                <w:szCs w:val="20"/>
              </w:rPr>
              <w:t>.g.</w:t>
            </w:r>
          </w:p>
        </w:tc>
        <w:tc>
          <w:tcPr>
            <w:tcW w:w="6912" w:type="dxa"/>
            <w:gridSpan w:val="3"/>
            <w:shd w:val="clear" w:color="auto" w:fill="D9D9D9" w:themeFill="background1" w:themeFillShade="D9"/>
          </w:tcPr>
          <w:p w:rsidR="008E4CFF" w:rsidRPr="00483382" w:rsidP="00762D1E">
            <w:pPr>
              <w:spacing w:after="0" w:line="240" w:lineRule="auto"/>
              <w:jc w:val="center"/>
              <w:rPr>
                <w:rFonts w:ascii="Candara" w:hAnsi="Candara"/>
                <w:sz w:val="18"/>
              </w:rPr>
            </w:pPr>
            <w:r w:rsidRPr="001F0D32">
              <w:rPr>
                <w:rFonts w:ascii="Candara" w:hAnsi="Candara"/>
                <w:sz w:val="18"/>
                <w:szCs w:val="20"/>
              </w:rPr>
              <w:t>Eksporta struktūra</w:t>
            </w:r>
          </w:p>
        </w:tc>
      </w:tr>
      <w:tr w:rsidTr="00AF0EB0">
        <w:tblPrEx>
          <w:tblW w:w="10488" w:type="dxa"/>
          <w:jc w:val="center"/>
          <w:tblLook w:val="04A0"/>
        </w:tblPrEx>
        <w:trPr>
          <w:jc w:val="center"/>
        </w:trPr>
        <w:tc>
          <w:tcPr>
            <w:tcW w:w="3576" w:type="dxa"/>
          </w:tcPr>
          <w:p w:rsidR="008E4CFF" w:rsidRPr="00B612F1" w:rsidP="00762D1E">
            <w:pPr>
              <w:spacing w:after="0" w:line="240" w:lineRule="auto"/>
              <w:jc w:val="center"/>
              <w:rPr>
                <w:rFonts w:ascii="Candara" w:hAnsi="Candara"/>
                <w:b/>
                <w:szCs w:val="28"/>
              </w:rPr>
            </w:pPr>
            <w:r w:rsidRPr="004F3DC7">
              <w:rPr>
                <w:noProof/>
                <w:sz w:val="18"/>
                <w:szCs w:val="18"/>
                <w:lang w:eastAsia="lv-LV"/>
              </w:rPr>
              <w:drawing>
                <wp:inline distT="0" distB="0" distL="0" distR="0">
                  <wp:extent cx="1657350" cy="1368000"/>
                  <wp:effectExtent l="0" t="0" r="0" b="3810"/>
                  <wp:docPr id="10"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6912" w:type="dxa"/>
            <w:gridSpan w:val="3"/>
          </w:tcPr>
          <w:p w:rsidR="008E4CFF" w:rsidRPr="004B5C57" w:rsidP="00762D1E">
            <w:pPr>
              <w:tabs>
                <w:tab w:val="left" w:pos="8080"/>
              </w:tabs>
              <w:spacing w:after="0" w:line="240" w:lineRule="auto"/>
              <w:ind w:right="-31"/>
              <w:jc w:val="center"/>
              <w:rPr>
                <w:sz w:val="18"/>
              </w:rPr>
            </w:pPr>
            <w:r w:rsidRPr="004B5C57">
              <w:rPr>
                <w:sz w:val="18"/>
              </w:rPr>
              <w:t xml:space="preserve">Latvija </w:t>
            </w:r>
            <w:r>
              <w:rPr>
                <w:sz w:val="18"/>
              </w:rPr>
              <w:t xml:space="preserve">                                                                                      </w:t>
            </w:r>
            <w:r w:rsidRPr="004B5C57">
              <w:rPr>
                <w:sz w:val="18"/>
              </w:rPr>
              <w:t>ES-28</w:t>
            </w:r>
          </w:p>
          <w:p w:rsidR="008E4CFF" w:rsidRPr="004B5C57" w:rsidP="00762D1E">
            <w:pPr>
              <w:tabs>
                <w:tab w:val="left" w:pos="8080"/>
              </w:tabs>
              <w:spacing w:after="0" w:line="240" w:lineRule="auto"/>
              <w:ind w:right="-31"/>
            </w:pPr>
            <w:r>
              <w:rPr>
                <w:noProof/>
                <w:lang w:eastAsia="lv-LV"/>
              </w:rPr>
              <w:drawing>
                <wp:inline distT="0" distB="0" distL="0" distR="0">
                  <wp:extent cx="2617393" cy="124272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noProof/>
                <w:lang w:eastAsia="lv-LV"/>
              </w:rPr>
              <w:drawing>
                <wp:inline distT="0" distB="0" distL="0" distR="0">
                  <wp:extent cx="1612900" cy="1242695"/>
                  <wp:effectExtent l="0" t="0" r="635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Tr="00AF0EB0">
        <w:tblPrEx>
          <w:tblW w:w="10488" w:type="dxa"/>
          <w:jc w:val="center"/>
          <w:tblLook w:val="04A0"/>
        </w:tblPrEx>
        <w:trPr>
          <w:jc w:val="center"/>
        </w:trPr>
        <w:tc>
          <w:tcPr>
            <w:tcW w:w="3576" w:type="dxa"/>
            <w:shd w:val="clear" w:color="auto" w:fill="D9D9D9" w:themeFill="background1" w:themeFillShade="D9"/>
          </w:tcPr>
          <w:p w:rsidR="008E4CFF" w:rsidRPr="00483382" w:rsidP="00762D1E">
            <w:pPr>
              <w:spacing w:after="0" w:line="240" w:lineRule="auto"/>
              <w:jc w:val="center"/>
              <w:rPr>
                <w:rFonts w:ascii="Candara" w:hAnsi="Candara"/>
                <w:sz w:val="18"/>
              </w:rPr>
            </w:pPr>
            <w:r w:rsidRPr="00483382">
              <w:rPr>
                <w:rFonts w:ascii="Candara" w:hAnsi="Candara"/>
                <w:sz w:val="18"/>
                <w:szCs w:val="20"/>
              </w:rPr>
              <w:t>Darbaspēka izmaksu dinamika</w:t>
            </w:r>
            <w:r>
              <w:rPr>
                <w:rFonts w:ascii="Candara" w:hAnsi="Candara"/>
                <w:sz w:val="18"/>
                <w:szCs w:val="20"/>
              </w:rPr>
              <w:t>, tūkst. EUR</w:t>
            </w:r>
          </w:p>
        </w:tc>
        <w:tc>
          <w:tcPr>
            <w:tcW w:w="3576" w:type="dxa"/>
            <w:gridSpan w:val="2"/>
            <w:shd w:val="clear" w:color="auto" w:fill="D9D9D9" w:themeFill="background1" w:themeFillShade="D9"/>
          </w:tcPr>
          <w:p w:rsidR="008E4CFF" w:rsidRPr="00483382" w:rsidP="00762D1E">
            <w:pPr>
              <w:spacing w:after="0" w:line="240" w:lineRule="auto"/>
              <w:jc w:val="center"/>
              <w:rPr>
                <w:rFonts w:ascii="Candara" w:hAnsi="Candara"/>
                <w:sz w:val="18"/>
              </w:rPr>
            </w:pPr>
            <w:r w:rsidRPr="00483382">
              <w:rPr>
                <w:rFonts w:ascii="Candara" w:hAnsi="Candara"/>
                <w:sz w:val="18"/>
                <w:szCs w:val="20"/>
              </w:rPr>
              <w:t>Produktivitātes dinamika</w:t>
            </w:r>
            <w:r>
              <w:rPr>
                <w:rFonts w:ascii="Candara" w:hAnsi="Candara"/>
                <w:sz w:val="18"/>
                <w:szCs w:val="20"/>
              </w:rPr>
              <w:t>, tūkst. EUR</w:t>
            </w:r>
          </w:p>
        </w:tc>
        <w:tc>
          <w:tcPr>
            <w:tcW w:w="3336" w:type="dxa"/>
            <w:shd w:val="clear" w:color="auto" w:fill="D9D9D9" w:themeFill="background1" w:themeFillShade="D9"/>
          </w:tcPr>
          <w:p w:rsidR="008E4CFF" w:rsidRPr="00483382" w:rsidP="00762D1E">
            <w:pPr>
              <w:spacing w:after="0" w:line="240" w:lineRule="auto"/>
              <w:jc w:val="center"/>
              <w:rPr>
                <w:rFonts w:ascii="Candara" w:hAnsi="Candara"/>
                <w:sz w:val="18"/>
              </w:rPr>
            </w:pPr>
            <w:r w:rsidRPr="00483382">
              <w:rPr>
                <w:rFonts w:ascii="Candara" w:hAnsi="Candara"/>
                <w:sz w:val="18"/>
                <w:szCs w:val="20"/>
              </w:rPr>
              <w:t>Produktivitāte un darbaspēka izmaksas</w:t>
            </w:r>
          </w:p>
        </w:tc>
      </w:tr>
      <w:tr w:rsidTr="00AF0EB0">
        <w:tblPrEx>
          <w:tblW w:w="10488" w:type="dxa"/>
          <w:jc w:val="center"/>
          <w:tblLook w:val="04A0"/>
        </w:tblPrEx>
        <w:trPr>
          <w:jc w:val="center"/>
        </w:trPr>
        <w:tc>
          <w:tcPr>
            <w:tcW w:w="3576" w:type="dxa"/>
          </w:tcPr>
          <w:p w:rsidR="008E4CFF" w:rsidP="00762D1E">
            <w:pPr>
              <w:spacing w:after="0" w:line="240" w:lineRule="auto"/>
              <w:jc w:val="center"/>
              <w:rPr>
                <w:rFonts w:ascii="Candara" w:hAnsi="Candara"/>
              </w:rPr>
            </w:pPr>
            <w:r w:rsidRPr="00B612F1">
              <w:rPr>
                <w:rFonts w:ascii="Candara" w:hAnsi="Candara"/>
                <w:noProof/>
                <w:sz w:val="18"/>
                <w:szCs w:val="18"/>
                <w:lang w:eastAsia="lv-LV"/>
              </w:rPr>
              <w:drawing>
                <wp:inline distT="0" distB="0" distL="0" distR="0">
                  <wp:extent cx="2133600" cy="1171575"/>
                  <wp:effectExtent l="0" t="0" r="0" b="0"/>
                  <wp:docPr id="16"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3576" w:type="dxa"/>
            <w:gridSpan w:val="2"/>
          </w:tcPr>
          <w:p w:rsidR="008E4CFF" w:rsidP="00762D1E">
            <w:pPr>
              <w:spacing w:after="0" w:line="240" w:lineRule="auto"/>
              <w:jc w:val="center"/>
              <w:rPr>
                <w:rFonts w:ascii="Candara" w:hAnsi="Candara"/>
              </w:rPr>
            </w:pPr>
            <w:r w:rsidRPr="00B612F1">
              <w:rPr>
                <w:rFonts w:ascii="Candara" w:hAnsi="Candara"/>
                <w:noProof/>
                <w:sz w:val="18"/>
                <w:szCs w:val="18"/>
                <w:lang w:eastAsia="lv-LV"/>
              </w:rPr>
              <w:drawing>
                <wp:inline distT="0" distB="0" distL="0" distR="0">
                  <wp:extent cx="2133600" cy="1171575"/>
                  <wp:effectExtent l="0" t="0" r="0" b="0"/>
                  <wp:docPr id="19"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3336" w:type="dxa"/>
            <w:vMerge w:val="restart"/>
          </w:tcPr>
          <w:p w:rsidR="008E4CFF" w:rsidP="00762D1E">
            <w:pPr>
              <w:spacing w:after="0" w:line="240" w:lineRule="auto"/>
              <w:jc w:val="center"/>
              <w:rPr>
                <w:rFonts w:ascii="Candara" w:hAnsi="Candara"/>
              </w:rPr>
            </w:pPr>
            <w:r w:rsidRPr="00B612F1">
              <w:rPr>
                <w:rFonts w:ascii="Candara" w:eastAsia="Times New Roman" w:hAnsi="Candara"/>
                <w:noProof/>
                <w:sz w:val="18"/>
                <w:szCs w:val="18"/>
                <w:lang w:eastAsia="lv-LV"/>
              </w:rPr>
              <w:drawing>
                <wp:inline distT="0" distB="0" distL="0" distR="0">
                  <wp:extent cx="1847850" cy="222885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Tr="00AF0EB0">
        <w:tblPrEx>
          <w:tblW w:w="10488" w:type="dxa"/>
          <w:jc w:val="center"/>
          <w:tblLook w:val="04A0"/>
        </w:tblPrEx>
        <w:trPr>
          <w:jc w:val="center"/>
        </w:trPr>
        <w:tc>
          <w:tcPr>
            <w:tcW w:w="3576" w:type="dxa"/>
            <w:shd w:val="clear" w:color="auto" w:fill="D9D9D9" w:themeFill="background1" w:themeFillShade="D9"/>
          </w:tcPr>
          <w:p w:rsidR="008E4CFF" w:rsidRPr="00483382" w:rsidP="00762D1E">
            <w:pPr>
              <w:spacing w:after="0" w:line="240" w:lineRule="auto"/>
              <w:jc w:val="center"/>
              <w:rPr>
                <w:rFonts w:ascii="Candara" w:hAnsi="Candara"/>
                <w:sz w:val="18"/>
              </w:rPr>
            </w:pPr>
            <w:r w:rsidRPr="00483382">
              <w:rPr>
                <w:rFonts w:ascii="Candara" w:hAnsi="Candara"/>
                <w:sz w:val="18"/>
                <w:szCs w:val="20"/>
              </w:rPr>
              <w:t>Darbaspēka izmaksas, ES-28=100</w:t>
            </w:r>
          </w:p>
        </w:tc>
        <w:tc>
          <w:tcPr>
            <w:tcW w:w="3576" w:type="dxa"/>
            <w:gridSpan w:val="2"/>
            <w:shd w:val="clear" w:color="auto" w:fill="D9D9D9" w:themeFill="background1" w:themeFillShade="D9"/>
          </w:tcPr>
          <w:p w:rsidR="008E4CFF" w:rsidRPr="00483382" w:rsidP="00762D1E">
            <w:pPr>
              <w:spacing w:after="0" w:line="240" w:lineRule="auto"/>
              <w:jc w:val="center"/>
              <w:rPr>
                <w:rFonts w:ascii="Candara" w:hAnsi="Candara"/>
                <w:sz w:val="18"/>
              </w:rPr>
            </w:pPr>
            <w:r w:rsidRPr="00483382">
              <w:rPr>
                <w:rFonts w:ascii="Candara" w:hAnsi="Candara"/>
                <w:sz w:val="18"/>
                <w:szCs w:val="20"/>
              </w:rPr>
              <w:t>Produktivitāte, ES-28=100</w:t>
            </w:r>
          </w:p>
        </w:tc>
        <w:tc>
          <w:tcPr>
            <w:tcW w:w="3336" w:type="dxa"/>
            <w:vMerge/>
            <w:shd w:val="clear" w:color="auto" w:fill="D9D9D9" w:themeFill="background1" w:themeFillShade="D9"/>
          </w:tcPr>
          <w:p w:rsidR="008E4CFF" w:rsidRPr="00483382" w:rsidP="003A2C2A">
            <w:pPr>
              <w:jc w:val="center"/>
              <w:rPr>
                <w:rFonts w:ascii="Candara" w:hAnsi="Candara"/>
                <w:sz w:val="18"/>
              </w:rPr>
            </w:pPr>
          </w:p>
        </w:tc>
      </w:tr>
      <w:tr w:rsidTr="00AF0EB0">
        <w:tblPrEx>
          <w:tblW w:w="10488" w:type="dxa"/>
          <w:jc w:val="center"/>
          <w:tblLook w:val="04A0"/>
        </w:tblPrEx>
        <w:trPr>
          <w:jc w:val="center"/>
        </w:trPr>
        <w:tc>
          <w:tcPr>
            <w:tcW w:w="3576" w:type="dxa"/>
          </w:tcPr>
          <w:p w:rsidR="008E4CFF" w:rsidP="00762D1E">
            <w:pPr>
              <w:spacing w:after="0" w:line="240" w:lineRule="auto"/>
              <w:jc w:val="center"/>
              <w:rPr>
                <w:rFonts w:ascii="Candara" w:hAnsi="Candara"/>
              </w:rPr>
            </w:pPr>
            <w:r w:rsidRPr="00B41842">
              <w:rPr>
                <w:rFonts w:ascii="Arial Narrow" w:hAnsi="Arial Narrow"/>
                <w:noProof/>
                <w:lang w:eastAsia="lv-LV"/>
              </w:rPr>
              <w:drawing>
                <wp:inline distT="0" distB="0" distL="0" distR="0">
                  <wp:extent cx="2124075" cy="1057275"/>
                  <wp:effectExtent l="0" t="0" r="0" b="0"/>
                  <wp:docPr id="2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3576" w:type="dxa"/>
            <w:gridSpan w:val="2"/>
          </w:tcPr>
          <w:p w:rsidR="008E4CFF" w:rsidP="00762D1E">
            <w:pPr>
              <w:spacing w:after="0" w:line="240" w:lineRule="auto"/>
              <w:jc w:val="center"/>
              <w:rPr>
                <w:rFonts w:ascii="Candara" w:hAnsi="Candara"/>
              </w:rPr>
            </w:pPr>
            <w:r w:rsidRPr="00123E9E">
              <w:rPr>
                <w:rFonts w:ascii="Arial Narrow" w:hAnsi="Arial Narrow"/>
                <w:noProof/>
                <w:lang w:eastAsia="lv-LV"/>
              </w:rPr>
              <w:drawing>
                <wp:inline distT="0" distB="0" distL="0" distR="0">
                  <wp:extent cx="2133600" cy="1057275"/>
                  <wp:effectExtent l="0" t="0" r="0" b="0"/>
                  <wp:docPr id="2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3336" w:type="dxa"/>
            <w:vMerge/>
          </w:tcPr>
          <w:p w:rsidR="008E4CFF" w:rsidP="003A2C2A">
            <w:pPr>
              <w:jc w:val="center"/>
              <w:rPr>
                <w:rFonts w:ascii="Candara" w:hAnsi="Candara"/>
              </w:rPr>
            </w:pPr>
          </w:p>
        </w:tc>
      </w:tr>
      <w:tr w:rsidTr="00AF0EB0">
        <w:tblPrEx>
          <w:tblW w:w="10488" w:type="dxa"/>
          <w:jc w:val="center"/>
          <w:tblLook w:val="04A0"/>
        </w:tblPrEx>
        <w:trPr>
          <w:jc w:val="center"/>
        </w:trPr>
        <w:tc>
          <w:tcPr>
            <w:tcW w:w="5299" w:type="dxa"/>
            <w:gridSpan w:val="2"/>
            <w:shd w:val="clear" w:color="auto" w:fill="D9D9D9" w:themeFill="background1" w:themeFillShade="D9"/>
          </w:tcPr>
          <w:p w:rsidR="008E4CFF" w:rsidRPr="00483382" w:rsidP="00762D1E">
            <w:pPr>
              <w:spacing w:after="0" w:line="240" w:lineRule="auto"/>
              <w:jc w:val="center"/>
              <w:rPr>
                <w:rFonts w:ascii="Candara" w:hAnsi="Candara"/>
                <w:sz w:val="18"/>
                <w:szCs w:val="20"/>
              </w:rPr>
            </w:pPr>
            <w:r w:rsidRPr="00483382">
              <w:rPr>
                <w:rFonts w:ascii="Candara" w:hAnsi="Candara"/>
                <w:sz w:val="18"/>
                <w:szCs w:val="20"/>
              </w:rPr>
              <w:t>Darbaspēka izmaksas</w:t>
            </w:r>
            <w:r w:rsidR="00F35BE1">
              <w:rPr>
                <w:rFonts w:ascii="Candara" w:hAnsi="Candara"/>
                <w:sz w:val="18"/>
                <w:szCs w:val="20"/>
              </w:rPr>
              <w:t xml:space="preserve"> uz 1 nodarbināto</w:t>
            </w:r>
            <w:r w:rsidR="005C1E6F">
              <w:rPr>
                <w:rFonts w:ascii="Candara" w:hAnsi="Candara"/>
                <w:sz w:val="18"/>
                <w:szCs w:val="20"/>
              </w:rPr>
              <w:t xml:space="preserve"> 201</w:t>
            </w:r>
            <w:r w:rsidR="00660E35">
              <w:rPr>
                <w:rFonts w:ascii="Candara" w:hAnsi="Candara"/>
                <w:sz w:val="18"/>
                <w:szCs w:val="20"/>
              </w:rPr>
              <w:t>6</w:t>
            </w:r>
            <w:r w:rsidR="005C1E6F">
              <w:rPr>
                <w:rFonts w:ascii="Candara" w:hAnsi="Candara"/>
                <w:sz w:val="18"/>
                <w:szCs w:val="20"/>
              </w:rPr>
              <w:t>.g.</w:t>
            </w:r>
            <w:r>
              <w:rPr>
                <w:rFonts w:ascii="Candara" w:hAnsi="Candara"/>
                <w:sz w:val="18"/>
                <w:szCs w:val="20"/>
              </w:rPr>
              <w:t>, tūkst. EUR</w:t>
            </w:r>
          </w:p>
        </w:tc>
        <w:tc>
          <w:tcPr>
            <w:tcW w:w="5189" w:type="dxa"/>
            <w:gridSpan w:val="2"/>
            <w:shd w:val="clear" w:color="auto" w:fill="D9D9D9" w:themeFill="background1" w:themeFillShade="D9"/>
          </w:tcPr>
          <w:p w:rsidR="008E4CFF" w:rsidRPr="00483382" w:rsidP="00762D1E">
            <w:pPr>
              <w:spacing w:after="0" w:line="240" w:lineRule="auto"/>
              <w:jc w:val="center"/>
              <w:rPr>
                <w:rFonts w:ascii="Candara" w:hAnsi="Candara"/>
                <w:sz w:val="18"/>
                <w:szCs w:val="20"/>
              </w:rPr>
            </w:pPr>
            <w:r w:rsidRPr="00483382">
              <w:rPr>
                <w:rFonts w:ascii="Candara" w:hAnsi="Candara"/>
                <w:sz w:val="18"/>
                <w:szCs w:val="20"/>
              </w:rPr>
              <w:t>Produktivitāte</w:t>
            </w:r>
            <w:r w:rsidR="005C1E6F">
              <w:rPr>
                <w:rFonts w:ascii="Candara" w:hAnsi="Candara"/>
                <w:sz w:val="18"/>
                <w:szCs w:val="20"/>
              </w:rPr>
              <w:t xml:space="preserve"> (PV uz 1 nodarbināto) 2015.g.</w:t>
            </w:r>
            <w:r>
              <w:rPr>
                <w:rFonts w:ascii="Candara" w:hAnsi="Candara"/>
                <w:sz w:val="18"/>
                <w:szCs w:val="20"/>
              </w:rPr>
              <w:t>, tūkst. EUR</w:t>
            </w:r>
          </w:p>
        </w:tc>
      </w:tr>
      <w:tr w:rsidTr="00AF0EB0">
        <w:tblPrEx>
          <w:tblW w:w="10488" w:type="dxa"/>
          <w:jc w:val="center"/>
          <w:tblLook w:val="04A0"/>
        </w:tblPrEx>
        <w:trPr>
          <w:jc w:val="center"/>
        </w:trPr>
        <w:tc>
          <w:tcPr>
            <w:tcW w:w="5299" w:type="dxa"/>
            <w:gridSpan w:val="2"/>
          </w:tcPr>
          <w:p w:rsidR="008E4CFF" w:rsidP="00762D1E">
            <w:pPr>
              <w:spacing w:after="0" w:line="240" w:lineRule="auto"/>
              <w:jc w:val="center"/>
              <w:rPr>
                <w:rFonts w:ascii="Candara" w:hAnsi="Candara"/>
              </w:rPr>
            </w:pPr>
            <w:r w:rsidRPr="00421CA2">
              <w:rPr>
                <w:noProof/>
                <w:lang w:eastAsia="lv-LV"/>
              </w:rPr>
              <w:drawing>
                <wp:inline distT="0" distB="0" distL="0" distR="0">
                  <wp:extent cx="3152775" cy="1171575"/>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5189" w:type="dxa"/>
            <w:gridSpan w:val="2"/>
          </w:tcPr>
          <w:p w:rsidR="008E4CFF" w:rsidP="00762D1E">
            <w:pPr>
              <w:spacing w:after="0" w:line="240" w:lineRule="auto"/>
              <w:jc w:val="center"/>
              <w:rPr>
                <w:rFonts w:ascii="Candara" w:hAnsi="Candara"/>
              </w:rPr>
            </w:pPr>
            <w:r w:rsidRPr="00421CA2">
              <w:rPr>
                <w:noProof/>
                <w:lang w:eastAsia="lv-LV"/>
              </w:rPr>
              <w:drawing>
                <wp:inline distT="0" distB="0" distL="0" distR="0">
                  <wp:extent cx="3152775" cy="1171575"/>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Tr="00AF0EB0">
        <w:tblPrEx>
          <w:tblW w:w="10488" w:type="dxa"/>
          <w:jc w:val="center"/>
          <w:tblLook w:val="04A0"/>
        </w:tblPrEx>
        <w:trPr>
          <w:jc w:val="center"/>
        </w:trPr>
        <w:tc>
          <w:tcPr>
            <w:tcW w:w="5299" w:type="dxa"/>
            <w:gridSpan w:val="2"/>
            <w:shd w:val="clear" w:color="auto" w:fill="D9D9D9" w:themeFill="background1" w:themeFillShade="D9"/>
          </w:tcPr>
          <w:p w:rsidR="008E4CFF" w:rsidRPr="00483382" w:rsidP="00762D1E">
            <w:pPr>
              <w:spacing w:after="0" w:line="240" w:lineRule="auto"/>
              <w:jc w:val="center"/>
              <w:rPr>
                <w:rFonts w:ascii="Candara" w:hAnsi="Candara"/>
                <w:sz w:val="18"/>
              </w:rPr>
            </w:pPr>
            <w:r w:rsidRPr="00483382">
              <w:rPr>
                <w:rFonts w:ascii="Candara" w:hAnsi="Candara"/>
                <w:sz w:val="18"/>
                <w:szCs w:val="20"/>
              </w:rPr>
              <w:t>Produktivitāte un darbaspēka izmaksas ES-28 valstīs 2010.g</w:t>
            </w:r>
            <w:r w:rsidR="00F86EC0">
              <w:rPr>
                <w:rFonts w:ascii="Candara" w:hAnsi="Candara"/>
                <w:sz w:val="18"/>
                <w:szCs w:val="20"/>
              </w:rPr>
              <w:t>.</w:t>
            </w:r>
          </w:p>
        </w:tc>
        <w:tc>
          <w:tcPr>
            <w:tcW w:w="5189" w:type="dxa"/>
            <w:gridSpan w:val="2"/>
            <w:shd w:val="clear" w:color="auto" w:fill="D9D9D9" w:themeFill="background1" w:themeFillShade="D9"/>
          </w:tcPr>
          <w:p w:rsidR="008E4CFF" w:rsidRPr="00483382" w:rsidP="00762D1E">
            <w:pPr>
              <w:spacing w:after="0" w:line="240" w:lineRule="auto"/>
              <w:jc w:val="center"/>
              <w:rPr>
                <w:rFonts w:ascii="Candara" w:hAnsi="Candara"/>
                <w:sz w:val="18"/>
              </w:rPr>
            </w:pPr>
            <w:r w:rsidRPr="00483382">
              <w:rPr>
                <w:rFonts w:ascii="Candara" w:hAnsi="Candara"/>
                <w:sz w:val="18"/>
                <w:szCs w:val="20"/>
              </w:rPr>
              <w:t>Produktivitāte un darbaspēka izmaksas ES-28 valstīs 201</w:t>
            </w:r>
            <w:r>
              <w:rPr>
                <w:rFonts w:ascii="Candara" w:hAnsi="Candara"/>
                <w:sz w:val="18"/>
                <w:szCs w:val="20"/>
              </w:rPr>
              <w:t>5</w:t>
            </w:r>
            <w:r w:rsidRPr="00483382">
              <w:rPr>
                <w:rFonts w:ascii="Candara" w:hAnsi="Candara"/>
                <w:sz w:val="18"/>
                <w:szCs w:val="20"/>
              </w:rPr>
              <w:t>.g</w:t>
            </w:r>
            <w:r w:rsidR="00F86EC0">
              <w:rPr>
                <w:rFonts w:ascii="Candara" w:hAnsi="Candara"/>
                <w:sz w:val="18"/>
                <w:szCs w:val="20"/>
              </w:rPr>
              <w:t>.</w:t>
            </w:r>
          </w:p>
        </w:tc>
      </w:tr>
      <w:tr w:rsidTr="00AF0EB0">
        <w:tblPrEx>
          <w:tblW w:w="10488" w:type="dxa"/>
          <w:jc w:val="center"/>
          <w:tblLook w:val="04A0"/>
        </w:tblPrEx>
        <w:trPr>
          <w:jc w:val="center"/>
        </w:trPr>
        <w:tc>
          <w:tcPr>
            <w:tcW w:w="5299" w:type="dxa"/>
            <w:gridSpan w:val="2"/>
          </w:tcPr>
          <w:p w:rsidR="008E4CFF" w:rsidP="00762D1E">
            <w:pPr>
              <w:spacing w:after="0" w:line="240" w:lineRule="auto"/>
              <w:rPr>
                <w:rFonts w:ascii="Candara" w:hAnsi="Candara"/>
              </w:rPr>
            </w:pPr>
            <w:r w:rsidRPr="00B612F1">
              <w:rPr>
                <w:rFonts w:ascii="Candara" w:eastAsia="Times New Roman" w:hAnsi="Candara"/>
                <w:noProof/>
                <w:sz w:val="18"/>
                <w:szCs w:val="18"/>
                <w:lang w:eastAsia="lv-LV"/>
              </w:rPr>
              <w:drawing>
                <wp:inline distT="0" distB="0" distL="0" distR="0">
                  <wp:extent cx="3057525" cy="1228725"/>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5189" w:type="dxa"/>
            <w:gridSpan w:val="2"/>
          </w:tcPr>
          <w:p w:rsidR="008E4CFF" w:rsidP="00762D1E">
            <w:pPr>
              <w:spacing w:after="0" w:line="240" w:lineRule="auto"/>
              <w:rPr>
                <w:rFonts w:ascii="Candara" w:hAnsi="Candara"/>
              </w:rPr>
            </w:pPr>
            <w:r w:rsidRPr="00B612F1">
              <w:rPr>
                <w:rFonts w:ascii="Candara" w:eastAsia="Times New Roman" w:hAnsi="Candara"/>
                <w:noProof/>
                <w:sz w:val="18"/>
                <w:szCs w:val="18"/>
                <w:lang w:eastAsia="lv-LV"/>
              </w:rPr>
              <w:drawing>
                <wp:inline distT="0" distB="0" distL="0" distR="0">
                  <wp:extent cx="3057525" cy="1219200"/>
                  <wp:effectExtent l="0" t="0" r="0" b="0"/>
                  <wp:docPr id="256" name="Chart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rsidR="008E4CFF" w:rsidP="008E4CFF">
      <w:pPr>
        <w:spacing w:after="0" w:line="240" w:lineRule="auto"/>
        <w:rPr>
          <w:rFonts w:ascii="Candara" w:hAnsi="Candara"/>
          <w:b/>
          <w:color w:val="000000"/>
          <w:szCs w:val="28"/>
        </w:rPr>
      </w:pPr>
    </w:p>
    <w:p w:rsidR="00DB497B" w:rsidP="00DB497B">
      <w:pPr>
        <w:spacing w:after="0" w:line="240" w:lineRule="auto"/>
        <w:jc w:val="both"/>
        <w:rPr>
          <w:rFonts w:ascii="Candara" w:hAnsi="Candara"/>
          <w:b/>
          <w:color w:val="000000"/>
          <w:szCs w:val="28"/>
          <w:u w:val="single"/>
        </w:rPr>
      </w:pPr>
      <w:bookmarkEnd w:id="9"/>
      <w:r>
        <w:rPr>
          <w:rFonts w:ascii="Candara" w:hAnsi="Candara"/>
          <w:b/>
          <w:color w:val="000000"/>
          <w:szCs w:val="28"/>
          <w:u w:val="single"/>
        </w:rPr>
        <w:t>Nozares īpatsvars tautsaimniecībā, procentos.</w:t>
      </w:r>
      <w:r>
        <w:rPr>
          <w:rFonts w:ascii="Candara" w:hAnsi="Candara"/>
          <w:color w:val="000000"/>
          <w:szCs w:val="28"/>
        </w:rPr>
        <w:t xml:space="preserve"> Nozares īpatsvars tautsaimniecībā bija palielinājies no 0,3% 2005.gadā līdz 0,5% 2010.gadā. Pēc kāpuma 2013.gadā, 2014.gadā nozares īpatsvars samazinājās par 0,6 procentpunktiem līdz 0,46%, savukārt 2015.gadā nozares īpatsvars pieauga un sasniedza 0,49% un 2016.gadā tas bija 0,5%.</w:t>
      </w:r>
    </w:p>
    <w:p w:rsidR="00DB497B" w:rsidP="00DB497B">
      <w:pPr>
        <w:spacing w:after="0" w:line="240" w:lineRule="auto"/>
        <w:jc w:val="both"/>
        <w:rPr>
          <w:rFonts w:ascii="Candara" w:hAnsi="Candara"/>
          <w:color w:val="000000"/>
          <w:szCs w:val="28"/>
        </w:rPr>
      </w:pPr>
      <w:r>
        <w:rPr>
          <w:rFonts w:ascii="Candara" w:hAnsi="Candara"/>
          <w:b/>
          <w:color w:val="000000"/>
          <w:szCs w:val="28"/>
          <w:u w:val="single"/>
        </w:rPr>
        <w:t>Pievienotās vērtības un darba vietu skaita izmaiņas, 2005=100.</w:t>
      </w:r>
      <w:r>
        <w:rPr>
          <w:rFonts w:ascii="Candara" w:hAnsi="Candara"/>
          <w:color w:val="000000"/>
          <w:szCs w:val="28"/>
        </w:rPr>
        <w:t xml:space="preserve"> Ražošanas apjomi 2014. gadā nozarē saruka par 10%, bet 2015. gadā ražošanas apjomi nozarē palielinājās par 7%. Kopš krīzes zemākā punkta 2009. gadā nozares izlaides apjomi ir kāpuši par 10% un par 21% pārsniedz pirmskrīzes līmeni. 2016.gadā aizņemto darbavietu skaits saruka par 9%.</w:t>
      </w:r>
      <w:r>
        <w:t xml:space="preserve"> </w:t>
      </w:r>
      <w:r>
        <w:rPr>
          <w:rFonts w:ascii="Candara" w:hAnsi="Candara"/>
          <w:color w:val="000000"/>
          <w:szCs w:val="28"/>
        </w:rPr>
        <w:t>2016.gadā, salīdzinot ar krīzes zemāko punktu 2010.gadā, darbavietu skaits bija pieaudzis par 9% , savukārt tas bija par 2% zemāks par pirmskrīzes līmeni.</w:t>
      </w:r>
    </w:p>
    <w:p w:rsidR="00DB497B" w:rsidP="00DB497B">
      <w:pPr>
        <w:spacing w:after="0" w:line="240" w:lineRule="auto"/>
        <w:jc w:val="both"/>
        <w:rPr>
          <w:rFonts w:ascii="Candara" w:hAnsi="Candara"/>
          <w:color w:val="000000"/>
          <w:szCs w:val="28"/>
        </w:rPr>
      </w:pPr>
      <w:r>
        <w:rPr>
          <w:rFonts w:ascii="Candara" w:hAnsi="Candara"/>
          <w:b/>
          <w:color w:val="000000"/>
          <w:szCs w:val="28"/>
          <w:u w:val="single"/>
        </w:rPr>
        <w:t>Produkcijas eksports, milj. EUR.</w:t>
      </w:r>
      <w:r>
        <w:rPr>
          <w:rFonts w:ascii="Candara" w:hAnsi="Candara"/>
          <w:color w:val="000000"/>
          <w:szCs w:val="28"/>
        </w:rPr>
        <w:t xml:space="preserve"> Kopš 2005.gada eksportētās produkcijas apjomi ik gadu stabili aug. Desmit gadu laikā eksporta apjomi nozarē ir vairākkārt auguši.</w:t>
      </w:r>
    </w:p>
    <w:p w:rsidR="00DB497B" w:rsidP="00DB497B">
      <w:pPr>
        <w:spacing w:after="0" w:line="240" w:lineRule="auto"/>
        <w:jc w:val="both"/>
        <w:rPr>
          <w:rFonts w:ascii="Candara" w:hAnsi="Candara"/>
          <w:b/>
          <w:color w:val="000000"/>
          <w:szCs w:val="28"/>
          <w:u w:val="single"/>
        </w:rPr>
      </w:pPr>
      <w:r>
        <w:rPr>
          <w:rFonts w:ascii="Candara" w:hAnsi="Candara"/>
          <w:b/>
          <w:color w:val="000000"/>
          <w:szCs w:val="28"/>
          <w:u w:val="single"/>
        </w:rPr>
        <w:t>Eksports uz 1 strādājošo, tūkst. EUR.</w:t>
      </w:r>
      <w:r>
        <w:rPr>
          <w:rFonts w:ascii="Candara" w:hAnsi="Candara"/>
          <w:color w:val="000000"/>
          <w:szCs w:val="28"/>
        </w:rPr>
        <w:t xml:space="preserve"> Kopš 2005.gada eksporta apjoms uz vienu strādājošo pakāpeniski pieaug.</w:t>
      </w:r>
    </w:p>
    <w:p w:rsidR="00DB497B" w:rsidP="00DB497B">
      <w:pPr>
        <w:spacing w:after="0" w:line="240" w:lineRule="auto"/>
        <w:jc w:val="both"/>
        <w:rPr>
          <w:rFonts w:ascii="Candara" w:hAnsi="Candara"/>
          <w:color w:val="000000"/>
          <w:szCs w:val="28"/>
        </w:rPr>
      </w:pPr>
      <w:r>
        <w:rPr>
          <w:rFonts w:ascii="Candara" w:hAnsi="Candara"/>
          <w:b/>
          <w:color w:val="000000"/>
          <w:szCs w:val="28"/>
          <w:u w:val="single"/>
        </w:rPr>
        <w:t>Eksports uz 1 strādājošo ES 28 valstīs, tūkst. EUR.</w:t>
      </w:r>
      <w:r>
        <w:rPr>
          <w:rFonts w:ascii="Candara" w:hAnsi="Candara"/>
          <w:color w:val="000000"/>
          <w:szCs w:val="28"/>
        </w:rPr>
        <w:t xml:space="preserve"> Latvijā eksporta apjoms uz vienu strādājošo ieguves rūpniecībā bija augstāks nekā Lietuvā, Igaunijā un ES vidēji. Starp ES valstīm šajā rādītājā Latvija ir 2.vietā.</w:t>
      </w:r>
    </w:p>
    <w:p w:rsidR="00DB497B" w:rsidP="00DB497B">
      <w:pPr>
        <w:spacing w:after="0" w:line="240" w:lineRule="auto"/>
        <w:jc w:val="both"/>
        <w:rPr>
          <w:rFonts w:ascii="Candara" w:hAnsi="Candara"/>
          <w:b/>
          <w:color w:val="000000"/>
          <w:szCs w:val="28"/>
          <w:u w:val="single"/>
        </w:rPr>
      </w:pPr>
      <w:r>
        <w:rPr>
          <w:rFonts w:ascii="Candara" w:hAnsi="Candara"/>
          <w:b/>
          <w:color w:val="000000"/>
          <w:szCs w:val="28"/>
          <w:u w:val="single"/>
        </w:rPr>
        <w:t>Eksporta tirgi.</w:t>
      </w:r>
      <w:r>
        <w:rPr>
          <w:rFonts w:ascii="Candara" w:hAnsi="Candara"/>
          <w:color w:val="000000"/>
          <w:szCs w:val="28"/>
        </w:rPr>
        <w:t xml:space="preserve"> Lielākie eksporta tirgi nozarē ir Vācija, Itālija, Ķīna, Lietuva, Beļģija, Nīderlande un Spānija.</w:t>
      </w:r>
    </w:p>
    <w:p w:rsidR="00DB497B" w:rsidP="00DB497B">
      <w:pPr>
        <w:spacing w:after="0" w:line="240" w:lineRule="auto"/>
        <w:jc w:val="both"/>
        <w:rPr>
          <w:rFonts w:ascii="Candara" w:hAnsi="Candara"/>
          <w:b/>
          <w:color w:val="000000"/>
          <w:szCs w:val="28"/>
          <w:u w:val="single"/>
        </w:rPr>
      </w:pPr>
      <w:r>
        <w:rPr>
          <w:rFonts w:ascii="Candara" w:hAnsi="Candara"/>
          <w:b/>
          <w:color w:val="000000"/>
          <w:szCs w:val="28"/>
          <w:u w:val="single"/>
        </w:rPr>
        <w:t>Eksporta struktūra.</w:t>
      </w:r>
      <w:r>
        <w:rPr>
          <w:rFonts w:ascii="Candara" w:hAnsi="Candara"/>
          <w:color w:val="000000"/>
          <w:szCs w:val="28"/>
        </w:rPr>
        <w:t xml:space="preserve"> Nozares eksporta struktūrā dominējošs pārsvars ir kūdrai – vairāk nekā 90%.</w:t>
      </w:r>
    </w:p>
    <w:p w:rsidR="00DB497B" w:rsidP="00DB497B">
      <w:pPr>
        <w:spacing w:after="0" w:line="240" w:lineRule="auto"/>
        <w:jc w:val="both"/>
        <w:rPr>
          <w:rFonts w:ascii="Candara" w:hAnsi="Candara"/>
          <w:b/>
          <w:color w:val="000000"/>
          <w:szCs w:val="28"/>
          <w:u w:val="single"/>
        </w:rPr>
      </w:pPr>
      <w:r>
        <w:rPr>
          <w:rFonts w:ascii="Candara" w:hAnsi="Candara"/>
          <w:b/>
          <w:color w:val="000000"/>
          <w:szCs w:val="28"/>
          <w:u w:val="single"/>
        </w:rPr>
        <w:t>Darbaspēka izmaksu dinamika, tūkst.</w:t>
      </w:r>
      <w:r>
        <w:rPr>
          <w:rFonts w:ascii="Candara" w:hAnsi="Candara"/>
          <w:color w:val="000000"/>
          <w:szCs w:val="28"/>
        </w:rPr>
        <w:t xml:space="preserve"> Krīzes laikā darbaspēka izmaksas nozarē saglabājās praktiski nemainīgas, salīdzinot ar 2008.gadu. 2011.-2012.gadā tās nedaudz samazinājās, bet, atsākoties ekonomikas izaugsmei, 2013.-2014.gadā darba samaksas pieaugums nozarē kļuva straujāks, darbaspēka izmaksām sasniedzot pirmskrīzes perioda līmeni. 2015.gadā vērojams darbaspēka izmaksu kritums nodarbināto skaita pieauguma dēļ, savukārt 2016.gadā darbaspēka izmaksas nedaudz pieauga. </w:t>
      </w:r>
    </w:p>
    <w:p w:rsidR="00DB497B" w:rsidP="00DB497B">
      <w:pPr>
        <w:spacing w:after="0" w:line="240" w:lineRule="auto"/>
        <w:jc w:val="both"/>
        <w:rPr>
          <w:rFonts w:ascii="Candara" w:hAnsi="Candara"/>
          <w:color w:val="000000"/>
          <w:szCs w:val="28"/>
        </w:rPr>
      </w:pPr>
      <w:r>
        <w:rPr>
          <w:rFonts w:ascii="Candara" w:hAnsi="Candara"/>
          <w:b/>
          <w:color w:val="000000"/>
          <w:szCs w:val="28"/>
          <w:u w:val="single"/>
        </w:rPr>
        <w:t>Produktivitātes dinamika, tūkst.</w:t>
      </w:r>
      <w:r>
        <w:rPr>
          <w:rFonts w:ascii="Candara" w:hAnsi="Candara"/>
          <w:color w:val="000000"/>
          <w:szCs w:val="28"/>
        </w:rPr>
        <w:t xml:space="preserve"> Nodarbināto skaita samazinājums un būtisks ražošanas apjomu kāpums krīzes laikā veicināja strauju produktivitātes kāpumu 2009.-2010.gadā. Savukārt, 2011.gadā, samazinoties ražošanas apjomiem un pieaugot nodarbināto skaitam, produktivitāte samazinājās. Savukārt 2013.gadā bija vērojams produktivitātes kāpums, kas saistīts ar ražošanas apjomu kāpumu par 7%, bet 2014.gadā produktivitātes kritumu atkal noteica nodarbināto skaita pieaugums un ražošanas apjomu kritums. 2015.gadā ražošanas apjomi atsāka pieaugt, 2016.gadā sasniedzot 6,5% kāpumu. </w:t>
      </w:r>
    </w:p>
    <w:p w:rsidR="00DB497B" w:rsidP="00DB497B">
      <w:pPr>
        <w:spacing w:after="0" w:line="240" w:lineRule="auto"/>
        <w:jc w:val="both"/>
        <w:rPr>
          <w:rFonts w:ascii="Candara" w:hAnsi="Candara"/>
          <w:color w:val="000000"/>
          <w:szCs w:val="28"/>
        </w:rPr>
      </w:pPr>
      <w:r>
        <w:rPr>
          <w:rFonts w:ascii="Candara" w:hAnsi="Candara"/>
          <w:b/>
          <w:color w:val="000000"/>
          <w:szCs w:val="28"/>
          <w:u w:val="single"/>
        </w:rPr>
        <w:t>Produktivitāte un darbaspēka izmaksas.</w:t>
      </w:r>
      <w:r>
        <w:rPr>
          <w:rFonts w:ascii="Candara" w:hAnsi="Candara"/>
          <w:color w:val="000000"/>
          <w:szCs w:val="28"/>
        </w:rPr>
        <w:t xml:space="preserve"> Krīze pozitīvi ietekmēja nozares konkurētspēju (ULC samazinājās par 20%, ko galvenokārt noteica nodarbināto skaita samazinājums un ražošanas apjomu kāpums 2009.gadā). Turpmākajos gados ULC pieauga (izņemot 2012.gadu), ko noteica darbaspēka izmaksu kāpums un produktivitātes kritums, nodarbināto skaitam pieaugot divreiz straujāk nekā ražošanas apjomam. 2016.gadā, salīdzinot ar 2012.gadu, darbaspēka izmaksas uz 1 produkcijas vienību Latvijā bija par 13% augstākas, bet produktivitāte par 1% zemākā līmenī. Izmaksu konkurētspējas priekšrocības ES tirgū samazinās.</w:t>
      </w:r>
    </w:p>
    <w:p w:rsidR="00DB497B" w:rsidP="00DB497B">
      <w:pPr>
        <w:spacing w:after="0" w:line="240" w:lineRule="auto"/>
        <w:jc w:val="both"/>
        <w:rPr>
          <w:rFonts w:ascii="Candara" w:hAnsi="Candara"/>
          <w:color w:val="000000"/>
          <w:szCs w:val="28"/>
        </w:rPr>
      </w:pPr>
      <w:r>
        <w:rPr>
          <w:rFonts w:ascii="Candara" w:hAnsi="Candara"/>
          <w:b/>
          <w:color w:val="000000"/>
          <w:szCs w:val="28"/>
          <w:u w:val="single"/>
        </w:rPr>
        <w:t>Darbaspēka izmaksas, ES-28=100.</w:t>
      </w:r>
      <w:r>
        <w:rPr>
          <w:rFonts w:ascii="Candara" w:hAnsi="Candara"/>
          <w:color w:val="000000"/>
          <w:szCs w:val="28"/>
        </w:rPr>
        <w:t xml:space="preserve"> Salīdzinot ar darbaspēka izmaksu vidējo līmeni ES, nozarē tas bija augstāks nekā tautsaimniecībā kopumā. 2016.gadā šis rādītājs ir pieaudzis, kaut gan darba samaksa bija nedaudz zemāka nekā tautsaimniecībā kopumā.</w:t>
      </w:r>
    </w:p>
    <w:p w:rsidR="00DB497B" w:rsidP="00DB497B">
      <w:pPr>
        <w:spacing w:after="0" w:line="240" w:lineRule="auto"/>
        <w:jc w:val="both"/>
        <w:rPr>
          <w:rFonts w:ascii="Candara" w:hAnsi="Candara"/>
          <w:color w:val="000000"/>
          <w:szCs w:val="28"/>
        </w:rPr>
      </w:pPr>
      <w:r>
        <w:rPr>
          <w:rFonts w:ascii="Candara" w:hAnsi="Candara"/>
          <w:b/>
          <w:color w:val="000000"/>
          <w:szCs w:val="28"/>
          <w:u w:val="single"/>
        </w:rPr>
        <w:t>Produktivitāte, ES-28=100.</w:t>
      </w:r>
      <w:r>
        <w:rPr>
          <w:rFonts w:ascii="Candara" w:hAnsi="Candara"/>
          <w:color w:val="000000"/>
          <w:szCs w:val="28"/>
        </w:rPr>
        <w:t xml:space="preserve"> Salīdzinot ar vidējo līmeni ES, nozarē produktivitātes līmenis ir zemāks nekā tautsaimniecībā kopumā. Krīzes laikā iegūto konkurētspējas priekšrocību pamatā produktivitāte strauji palielinājās. Pēckrīzes periodā vērojams līmeņa samazinājums, bet kopš 2012.gada tas pieaug un pietuvojas ES vidējam līmenim.</w:t>
      </w:r>
    </w:p>
    <w:p w:rsidR="00DB497B" w:rsidP="00DB497B">
      <w:pPr>
        <w:spacing w:after="0" w:line="240" w:lineRule="auto"/>
        <w:jc w:val="both"/>
        <w:rPr>
          <w:rFonts w:ascii="Candara" w:hAnsi="Candara"/>
          <w:color w:val="000000"/>
          <w:szCs w:val="28"/>
        </w:rPr>
      </w:pPr>
      <w:r>
        <w:rPr>
          <w:rFonts w:ascii="Candara" w:hAnsi="Candara"/>
          <w:b/>
          <w:color w:val="000000"/>
          <w:szCs w:val="28"/>
          <w:u w:val="single"/>
        </w:rPr>
        <w:t>Darbaspēka izmaksas, salīdzinot ar ES valstīm, 2015.gadā.</w:t>
      </w:r>
      <w:r>
        <w:rPr>
          <w:rFonts w:ascii="Candara" w:hAnsi="Candara"/>
          <w:color w:val="000000"/>
          <w:szCs w:val="28"/>
        </w:rPr>
        <w:t xml:space="preserve"> Latvijā 2016.gadā darbaspēka izmaksas nozarē bija vienas no zemākajām starp ES valstīm, zemākas tās bija tikai Lietuvā, Polijā, Ungārijā un Rumānijā.</w:t>
      </w:r>
    </w:p>
    <w:p w:rsidR="00DB497B" w:rsidP="00DB497B">
      <w:pPr>
        <w:spacing w:after="0" w:line="240" w:lineRule="auto"/>
        <w:jc w:val="both"/>
        <w:rPr>
          <w:rFonts w:ascii="Candara" w:hAnsi="Candara"/>
          <w:color w:val="000000"/>
          <w:szCs w:val="28"/>
        </w:rPr>
      </w:pPr>
      <w:r>
        <w:rPr>
          <w:rFonts w:ascii="Candara" w:hAnsi="Candara"/>
          <w:b/>
          <w:color w:val="000000"/>
          <w:szCs w:val="28"/>
          <w:u w:val="single"/>
        </w:rPr>
        <w:t>Produktivitāte, salīdzinot ar ES valstīm, 2015.gadā.</w:t>
      </w:r>
      <w:r>
        <w:rPr>
          <w:rFonts w:ascii="Candara" w:hAnsi="Candara"/>
          <w:color w:val="000000"/>
          <w:szCs w:val="28"/>
        </w:rPr>
        <w:t xml:space="preserve"> Latvijā 2016.gadā produktivitāte nozarē bija viena no zemākajām starp ES valstīm, zemāka tā bija tikai Ungārijā un Kiprā.</w:t>
      </w:r>
    </w:p>
    <w:p w:rsidR="00DB497B" w:rsidP="00DB497B">
      <w:pPr>
        <w:spacing w:after="0" w:line="240" w:lineRule="auto"/>
        <w:jc w:val="both"/>
        <w:rPr>
          <w:rFonts w:ascii="Candara" w:hAnsi="Candara"/>
          <w:color w:val="000000"/>
          <w:szCs w:val="28"/>
        </w:rPr>
      </w:pPr>
      <w:r>
        <w:rPr>
          <w:rFonts w:ascii="Candara" w:hAnsi="Candara"/>
          <w:b/>
          <w:color w:val="000000"/>
          <w:szCs w:val="28"/>
          <w:u w:val="single"/>
        </w:rPr>
        <w:t>Produktivitāte un darbaspēka izmaksas ES-28 valstīs 2010.gadā un 2015.gadā.</w:t>
      </w:r>
      <w:r>
        <w:rPr>
          <w:rFonts w:ascii="Candara" w:hAnsi="Candara"/>
          <w:color w:val="000000"/>
          <w:szCs w:val="28"/>
        </w:rPr>
        <w:t xml:space="preserve"> Darbaspēka izmaksas uz 1 produkcijas vienību (ULC) nozarē Latvijā 2010.gadā bija daudz augstākas nekā ES vidēji. Arī 2015.gadā tas bija augstāks par ES vidējo rādītāju, ULC pieaugot gan Latvijā, gan ES vidēji. Latvijā 2015.gadā, salīdzinot ar 2010.gadu darbaspēka izmaksas uz 1 produkcijas vienību ir pieaugušas par 16%, ko noteica nodarbināto skaita kāpums par 16% un attiecīgi arī produktivitātes kritums bija 11%. Tas liecina, ka nozarē lēta darbaspēka konkurētspējas priekšrocības samazinās.</w:t>
      </w:r>
    </w:p>
    <w:p w:rsidR="008E4CFF" w:rsidP="00762D1E">
      <w:pPr>
        <w:spacing w:after="0" w:line="240" w:lineRule="auto"/>
        <w:rPr>
          <w:rFonts w:ascii="Candara" w:hAnsi="Candara"/>
          <w:color w:val="000000"/>
          <w:szCs w:val="28"/>
        </w:rPr>
      </w:pPr>
      <w:r>
        <w:rPr>
          <w:rFonts w:ascii="Candara" w:hAnsi="Candara"/>
          <w:color w:val="000000"/>
          <w:szCs w:val="28"/>
        </w:rPr>
        <w:br w:type="page"/>
      </w:r>
    </w:p>
    <w:p w:rsidR="008E4CFF" w:rsidRPr="00C23A95" w:rsidP="00C23A95">
      <w:pPr>
        <w:pStyle w:val="Heading1"/>
        <w:jc w:val="center"/>
        <w:rPr>
          <w:b/>
          <w:sz w:val="22"/>
        </w:rPr>
      </w:pPr>
      <w:bookmarkStart w:id="12" w:name="_Toc482792401"/>
      <w:bookmarkStart w:id="13" w:name="_Toc256000003"/>
      <w:bookmarkStart w:id="14" w:name="_Toc256000029"/>
      <w:r w:rsidRPr="00C23A95">
        <w:rPr>
          <w:b/>
          <w:sz w:val="22"/>
        </w:rPr>
        <w:t>C APSTRĀDES RŪPNIECĪBA</w:t>
      </w:r>
      <w:bookmarkEnd w:id="14"/>
      <w:bookmarkEnd w:id="13"/>
      <w:bookmarkEnd w:id="12"/>
    </w:p>
    <w:tbl>
      <w:tblPr>
        <w:tblW w:w="10495"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3576"/>
        <w:gridCol w:w="1723"/>
        <w:gridCol w:w="1855"/>
        <w:gridCol w:w="3341"/>
      </w:tblGrid>
      <w:tr w:rsidTr="003B0F04">
        <w:tblPrEx>
          <w:tblW w:w="10495"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Ex>
        <w:trPr>
          <w:jc w:val="center"/>
        </w:trPr>
        <w:tc>
          <w:tcPr>
            <w:tcW w:w="3576" w:type="dxa"/>
            <w:shd w:val="clear" w:color="auto" w:fill="D9D9D9" w:themeFill="background1" w:themeFillShade="D9"/>
          </w:tcPr>
          <w:p w:rsidR="008E4CFF" w:rsidRPr="00B347DE" w:rsidP="00762D1E">
            <w:pPr>
              <w:spacing w:after="0" w:line="240" w:lineRule="auto"/>
              <w:jc w:val="center"/>
              <w:rPr>
                <w:rFonts w:ascii="Candara" w:hAnsi="Candara"/>
                <w:sz w:val="18"/>
                <w:szCs w:val="20"/>
              </w:rPr>
            </w:pPr>
            <w:r w:rsidRPr="00B347DE">
              <w:rPr>
                <w:rFonts w:ascii="Candara" w:hAnsi="Candara"/>
                <w:sz w:val="18"/>
                <w:szCs w:val="20"/>
              </w:rPr>
              <w:t>Nozares īpatsvars tautsaimniecībā</w:t>
            </w:r>
            <w:r w:rsidR="00703211">
              <w:rPr>
                <w:rFonts w:ascii="Candara" w:hAnsi="Candara"/>
                <w:sz w:val="18"/>
                <w:szCs w:val="20"/>
              </w:rPr>
              <w:t xml:space="preserve"> (faktiskajās cenās)</w:t>
            </w:r>
            <w:r w:rsidRPr="00B347DE">
              <w:rPr>
                <w:rFonts w:ascii="Candara" w:hAnsi="Candara"/>
                <w:sz w:val="18"/>
                <w:szCs w:val="20"/>
              </w:rPr>
              <w:t>, %</w:t>
            </w:r>
          </w:p>
        </w:tc>
        <w:tc>
          <w:tcPr>
            <w:tcW w:w="3578" w:type="dxa"/>
            <w:gridSpan w:val="2"/>
            <w:shd w:val="clear" w:color="auto" w:fill="D9D9D9" w:themeFill="background1" w:themeFillShade="D9"/>
          </w:tcPr>
          <w:p w:rsidR="008E4CFF" w:rsidRPr="00B347DE" w:rsidP="00762D1E">
            <w:pPr>
              <w:spacing w:after="0" w:line="240" w:lineRule="auto"/>
              <w:jc w:val="center"/>
              <w:rPr>
                <w:rFonts w:ascii="Candara" w:hAnsi="Candara"/>
                <w:sz w:val="18"/>
                <w:szCs w:val="20"/>
              </w:rPr>
            </w:pPr>
            <w:r w:rsidRPr="00B347DE">
              <w:rPr>
                <w:rFonts w:ascii="Candara" w:hAnsi="Candara"/>
                <w:sz w:val="18"/>
                <w:szCs w:val="20"/>
              </w:rPr>
              <w:t>Pievienotās vērtības un darba vietu skaita izmaiņas</w:t>
            </w:r>
            <w:r w:rsidR="007E4C0E">
              <w:rPr>
                <w:rFonts w:ascii="Candara" w:hAnsi="Candara"/>
                <w:sz w:val="18"/>
                <w:szCs w:val="20"/>
              </w:rPr>
              <w:t xml:space="preserve"> (2005=100)</w:t>
            </w:r>
          </w:p>
        </w:tc>
        <w:tc>
          <w:tcPr>
            <w:tcW w:w="3341" w:type="dxa"/>
            <w:shd w:val="clear" w:color="auto" w:fill="D9D9D9" w:themeFill="background1" w:themeFillShade="D9"/>
          </w:tcPr>
          <w:p w:rsidR="008E4CFF" w:rsidRPr="00B347DE" w:rsidP="00762D1E">
            <w:pPr>
              <w:spacing w:after="0" w:line="240" w:lineRule="auto"/>
              <w:jc w:val="center"/>
              <w:rPr>
                <w:rFonts w:ascii="Candara" w:hAnsi="Candara"/>
                <w:sz w:val="18"/>
                <w:szCs w:val="20"/>
              </w:rPr>
            </w:pPr>
            <w:r w:rsidRPr="00B347DE">
              <w:rPr>
                <w:rFonts w:ascii="Candara" w:hAnsi="Candara"/>
                <w:sz w:val="18"/>
                <w:szCs w:val="20"/>
              </w:rPr>
              <w:t>Produkcijas eksports</w:t>
            </w:r>
            <w:r w:rsidR="00F86EC0">
              <w:rPr>
                <w:rFonts w:ascii="Candara" w:hAnsi="Candara"/>
                <w:sz w:val="18"/>
                <w:szCs w:val="20"/>
              </w:rPr>
              <w:t>,</w:t>
            </w:r>
            <w:r w:rsidRPr="00B347DE">
              <w:rPr>
                <w:rFonts w:ascii="Candara" w:hAnsi="Candara"/>
                <w:sz w:val="18"/>
                <w:szCs w:val="20"/>
              </w:rPr>
              <w:t xml:space="preserve"> milj. EUR</w:t>
            </w:r>
            <w:r w:rsidR="00E75013">
              <w:rPr>
                <w:rFonts w:ascii="Candara" w:hAnsi="Candara"/>
                <w:sz w:val="18"/>
                <w:szCs w:val="20"/>
              </w:rPr>
              <w:t>*</w:t>
            </w:r>
          </w:p>
        </w:tc>
      </w:tr>
      <w:tr w:rsidTr="003B0F04">
        <w:tblPrEx>
          <w:tblW w:w="10495" w:type="dxa"/>
          <w:jc w:val="center"/>
          <w:tblLook w:val="04A0"/>
        </w:tblPrEx>
        <w:trPr>
          <w:jc w:val="center"/>
        </w:trPr>
        <w:tc>
          <w:tcPr>
            <w:tcW w:w="3576" w:type="dxa"/>
          </w:tcPr>
          <w:p w:rsidR="008E4CFF" w:rsidRPr="00B347DE" w:rsidP="00762D1E">
            <w:pPr>
              <w:spacing w:after="0" w:line="240" w:lineRule="auto"/>
              <w:rPr>
                <w:rFonts w:ascii="Candara" w:hAnsi="Candara"/>
              </w:rPr>
            </w:pPr>
            <w:r w:rsidRPr="00B347DE">
              <w:rPr>
                <w:rFonts w:ascii="Candara" w:hAnsi="Candara"/>
                <w:noProof/>
                <w:sz w:val="18"/>
                <w:szCs w:val="18"/>
                <w:lang w:eastAsia="lv-LV"/>
              </w:rPr>
              <w:drawing>
                <wp:inline distT="0" distB="0" distL="0" distR="0">
                  <wp:extent cx="2133600" cy="1041400"/>
                  <wp:effectExtent l="0" t="0" r="0" b="0"/>
                  <wp:docPr id="257"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3578" w:type="dxa"/>
            <w:gridSpan w:val="2"/>
          </w:tcPr>
          <w:p w:rsidR="008E4CFF" w:rsidRPr="00B347DE" w:rsidP="00762D1E">
            <w:pPr>
              <w:spacing w:after="0" w:line="240" w:lineRule="auto"/>
              <w:rPr>
                <w:rFonts w:ascii="Candara" w:hAnsi="Candara"/>
              </w:rPr>
            </w:pPr>
            <w:r w:rsidRPr="00B347DE">
              <w:rPr>
                <w:rFonts w:ascii="Candara" w:eastAsia="Times New Roman" w:hAnsi="Candara"/>
                <w:noProof/>
                <w:sz w:val="18"/>
                <w:szCs w:val="18"/>
                <w:lang w:eastAsia="lv-LV"/>
              </w:rPr>
              <w:drawing>
                <wp:inline distT="0" distB="0" distL="0" distR="0">
                  <wp:extent cx="1943100" cy="1022350"/>
                  <wp:effectExtent l="0" t="0" r="0" b="6350"/>
                  <wp:docPr id="258" name="Chart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3341" w:type="dxa"/>
          </w:tcPr>
          <w:p w:rsidR="008E4CFF" w:rsidP="00762D1E">
            <w:pPr>
              <w:spacing w:after="0" w:line="240" w:lineRule="auto"/>
              <w:rPr>
                <w:rFonts w:ascii="Candara" w:hAnsi="Candara"/>
              </w:rPr>
            </w:pPr>
            <w:r>
              <w:rPr>
                <w:noProof/>
                <w:lang w:eastAsia="lv-LV"/>
              </w:rPr>
              <w:drawing>
                <wp:inline distT="0" distB="0" distL="0" distR="0">
                  <wp:extent cx="1981200" cy="873125"/>
                  <wp:effectExtent l="0" t="0" r="0" b="0"/>
                  <wp:docPr id="167339878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75013" w:rsidRPr="00B347DE" w:rsidP="00762D1E">
            <w:pPr>
              <w:spacing w:after="0" w:line="240" w:lineRule="auto"/>
              <w:rPr>
                <w:rFonts w:ascii="Candara" w:hAnsi="Candara"/>
              </w:rPr>
            </w:pPr>
            <w:r w:rsidRPr="00E75013">
              <w:rPr>
                <w:rFonts w:ascii="Candara" w:hAnsi="Candara"/>
                <w:sz w:val="14"/>
                <w:szCs w:val="14"/>
              </w:rPr>
              <w:t>* EM novērtējums pēc KN produktu klasifikācijas</w:t>
            </w:r>
          </w:p>
        </w:tc>
      </w:tr>
      <w:tr w:rsidTr="003B0F04">
        <w:tblPrEx>
          <w:tblW w:w="10495" w:type="dxa"/>
          <w:jc w:val="center"/>
          <w:tblLook w:val="04A0"/>
        </w:tblPrEx>
        <w:trPr>
          <w:jc w:val="center"/>
        </w:trPr>
        <w:tc>
          <w:tcPr>
            <w:tcW w:w="3576" w:type="dxa"/>
            <w:shd w:val="clear" w:color="auto" w:fill="D9D9D9" w:themeFill="background1" w:themeFillShade="D9"/>
          </w:tcPr>
          <w:p w:rsidR="008E4CFF" w:rsidRPr="00B347DE" w:rsidP="00762D1E">
            <w:pPr>
              <w:spacing w:after="0" w:line="240" w:lineRule="auto"/>
              <w:jc w:val="center"/>
              <w:rPr>
                <w:rFonts w:ascii="Candara" w:hAnsi="Candara"/>
                <w:sz w:val="18"/>
              </w:rPr>
            </w:pPr>
            <w:r w:rsidRPr="00B347DE">
              <w:rPr>
                <w:rFonts w:ascii="Candara" w:hAnsi="Candara"/>
                <w:sz w:val="18"/>
                <w:szCs w:val="20"/>
              </w:rPr>
              <w:t>Eksports uz 1 strādājošo, tūkst. EUR</w:t>
            </w:r>
          </w:p>
        </w:tc>
        <w:tc>
          <w:tcPr>
            <w:tcW w:w="6919" w:type="dxa"/>
            <w:gridSpan w:val="3"/>
            <w:shd w:val="clear" w:color="auto" w:fill="D9D9D9" w:themeFill="background1" w:themeFillShade="D9"/>
          </w:tcPr>
          <w:p w:rsidR="008E4CFF" w:rsidRPr="00352C75" w:rsidP="00762D1E">
            <w:pPr>
              <w:spacing w:after="0" w:line="240" w:lineRule="auto"/>
              <w:jc w:val="center"/>
              <w:rPr>
                <w:rFonts w:ascii="Candara" w:hAnsi="Candara"/>
                <w:sz w:val="18"/>
              </w:rPr>
            </w:pPr>
            <w:r w:rsidRPr="00B347DE">
              <w:rPr>
                <w:rFonts w:ascii="Candara" w:hAnsi="Candara"/>
                <w:sz w:val="18"/>
                <w:szCs w:val="20"/>
              </w:rPr>
              <w:t>Eksports uz 1 strādājošo ES</w:t>
            </w:r>
            <w:r w:rsidR="00B8597F">
              <w:rPr>
                <w:rFonts w:ascii="Candara" w:hAnsi="Candara"/>
                <w:sz w:val="18"/>
                <w:szCs w:val="20"/>
              </w:rPr>
              <w:t>-</w:t>
            </w:r>
            <w:r w:rsidRPr="00B347DE">
              <w:rPr>
                <w:rFonts w:ascii="Candara" w:hAnsi="Candara"/>
                <w:sz w:val="18"/>
                <w:szCs w:val="20"/>
              </w:rPr>
              <w:t>28 valstīs, tūkst. EUR</w:t>
            </w:r>
          </w:p>
        </w:tc>
      </w:tr>
      <w:tr w:rsidTr="003B0F04">
        <w:tblPrEx>
          <w:tblW w:w="10495" w:type="dxa"/>
          <w:jc w:val="center"/>
          <w:tblLook w:val="04A0"/>
        </w:tblPrEx>
        <w:trPr>
          <w:jc w:val="center"/>
        </w:trPr>
        <w:tc>
          <w:tcPr>
            <w:tcW w:w="3576" w:type="dxa"/>
          </w:tcPr>
          <w:p w:rsidR="008E4CFF" w:rsidP="00762D1E">
            <w:pPr>
              <w:spacing w:after="0" w:line="240" w:lineRule="auto"/>
              <w:jc w:val="center"/>
              <w:rPr>
                <w:rFonts w:ascii="Candara" w:hAnsi="Candara"/>
              </w:rPr>
            </w:pPr>
            <w:r>
              <w:rPr>
                <w:noProof/>
                <w:lang w:eastAsia="lv-LV"/>
              </w:rPr>
              <w:drawing>
                <wp:inline distT="0" distB="0" distL="0" distR="0">
                  <wp:extent cx="2133600" cy="117157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6919" w:type="dxa"/>
            <w:gridSpan w:val="3"/>
          </w:tcPr>
          <w:p w:rsidR="008E4CFF" w:rsidP="00762D1E">
            <w:pPr>
              <w:spacing w:after="0" w:line="240" w:lineRule="auto"/>
              <w:jc w:val="center"/>
              <w:rPr>
                <w:rFonts w:ascii="Candara" w:hAnsi="Candara"/>
              </w:rPr>
            </w:pPr>
            <w:r>
              <w:rPr>
                <w:noProof/>
                <w:lang w:eastAsia="lv-LV"/>
              </w:rPr>
              <w:drawing>
                <wp:inline distT="0" distB="0" distL="0" distR="0">
                  <wp:extent cx="4114800" cy="117157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Tr="003B0F04">
        <w:tblPrEx>
          <w:tblW w:w="10495" w:type="dxa"/>
          <w:jc w:val="center"/>
          <w:tblLook w:val="04A0"/>
        </w:tblPrEx>
        <w:trPr>
          <w:jc w:val="center"/>
        </w:trPr>
        <w:tc>
          <w:tcPr>
            <w:tcW w:w="3576" w:type="dxa"/>
            <w:shd w:val="clear" w:color="auto" w:fill="D9D9D9" w:themeFill="background1" w:themeFillShade="D9"/>
          </w:tcPr>
          <w:p w:rsidR="008E4CFF" w:rsidRPr="00DC4198" w:rsidP="00762D1E">
            <w:pPr>
              <w:spacing w:after="0" w:line="240" w:lineRule="auto"/>
              <w:jc w:val="center"/>
              <w:rPr>
                <w:rFonts w:ascii="Candara" w:hAnsi="Candara"/>
                <w:sz w:val="18"/>
                <w:szCs w:val="20"/>
              </w:rPr>
            </w:pPr>
            <w:r w:rsidRPr="00DC4198">
              <w:rPr>
                <w:rFonts w:ascii="Candara" w:hAnsi="Candara"/>
                <w:sz w:val="18"/>
                <w:szCs w:val="20"/>
              </w:rPr>
              <w:t>Eksporta tirgi</w:t>
            </w:r>
            <w:r w:rsidR="00091211">
              <w:rPr>
                <w:rFonts w:ascii="Candara" w:hAnsi="Candara"/>
                <w:sz w:val="18"/>
                <w:szCs w:val="20"/>
              </w:rPr>
              <w:t>, 201</w:t>
            </w:r>
            <w:r w:rsidR="003B1124">
              <w:rPr>
                <w:rFonts w:ascii="Candara" w:hAnsi="Candara"/>
                <w:sz w:val="18"/>
                <w:szCs w:val="20"/>
              </w:rPr>
              <w:t>6</w:t>
            </w:r>
            <w:r w:rsidR="00091211">
              <w:rPr>
                <w:rFonts w:ascii="Candara" w:hAnsi="Candara"/>
                <w:sz w:val="18"/>
                <w:szCs w:val="20"/>
              </w:rPr>
              <w:t>.g.</w:t>
            </w:r>
          </w:p>
        </w:tc>
        <w:tc>
          <w:tcPr>
            <w:tcW w:w="6919" w:type="dxa"/>
            <w:gridSpan w:val="3"/>
            <w:shd w:val="clear" w:color="auto" w:fill="D9D9D9" w:themeFill="background1" w:themeFillShade="D9"/>
          </w:tcPr>
          <w:p w:rsidR="008E4CFF" w:rsidRPr="00483382" w:rsidP="00762D1E">
            <w:pPr>
              <w:spacing w:after="0" w:line="240" w:lineRule="auto"/>
              <w:jc w:val="center"/>
              <w:rPr>
                <w:rFonts w:ascii="Candara" w:hAnsi="Candara"/>
                <w:sz w:val="18"/>
              </w:rPr>
            </w:pPr>
            <w:r w:rsidRPr="00DC4198">
              <w:rPr>
                <w:rFonts w:ascii="Candara" w:hAnsi="Candara"/>
                <w:sz w:val="18"/>
                <w:szCs w:val="20"/>
              </w:rPr>
              <w:t>Eksporta struktūra</w:t>
            </w:r>
          </w:p>
        </w:tc>
      </w:tr>
      <w:tr w:rsidTr="003B0F04">
        <w:tblPrEx>
          <w:tblW w:w="10495" w:type="dxa"/>
          <w:jc w:val="center"/>
          <w:tblLook w:val="04A0"/>
        </w:tblPrEx>
        <w:trPr>
          <w:jc w:val="center"/>
        </w:trPr>
        <w:tc>
          <w:tcPr>
            <w:tcW w:w="3576" w:type="dxa"/>
          </w:tcPr>
          <w:p w:rsidR="008E4CFF" w:rsidRPr="00B612F1" w:rsidP="00762D1E">
            <w:pPr>
              <w:spacing w:after="0" w:line="240" w:lineRule="auto"/>
              <w:jc w:val="center"/>
              <w:rPr>
                <w:rFonts w:ascii="Candara" w:hAnsi="Candara"/>
                <w:b/>
                <w:szCs w:val="28"/>
              </w:rPr>
            </w:pPr>
            <w:r w:rsidRPr="004F3DC7">
              <w:rPr>
                <w:noProof/>
                <w:sz w:val="18"/>
                <w:szCs w:val="18"/>
                <w:lang w:eastAsia="lv-LV"/>
              </w:rPr>
              <w:drawing>
                <wp:inline distT="0" distB="0" distL="0" distR="0">
                  <wp:extent cx="1657350" cy="1368000"/>
                  <wp:effectExtent l="0" t="0" r="0" b="3810"/>
                  <wp:docPr id="26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6919" w:type="dxa"/>
            <w:gridSpan w:val="3"/>
          </w:tcPr>
          <w:p w:rsidR="008E4CFF" w:rsidRPr="004B5C57" w:rsidP="00762D1E">
            <w:pPr>
              <w:tabs>
                <w:tab w:val="left" w:pos="8080"/>
              </w:tabs>
              <w:spacing w:after="0" w:line="240" w:lineRule="auto"/>
              <w:ind w:right="-31"/>
              <w:jc w:val="center"/>
              <w:rPr>
                <w:sz w:val="18"/>
              </w:rPr>
            </w:pPr>
            <w:r w:rsidRPr="004B5C57">
              <w:rPr>
                <w:sz w:val="18"/>
              </w:rPr>
              <w:t xml:space="preserve">Latvija </w:t>
            </w:r>
            <w:r>
              <w:rPr>
                <w:sz w:val="18"/>
              </w:rPr>
              <w:t xml:space="preserve">                                                                                      </w:t>
            </w:r>
            <w:r w:rsidRPr="004B5C57">
              <w:rPr>
                <w:sz w:val="18"/>
              </w:rPr>
              <w:t>ES-28</w:t>
            </w:r>
          </w:p>
          <w:p w:rsidR="008E4CFF" w:rsidRPr="004B5C57" w:rsidP="00762D1E">
            <w:pPr>
              <w:tabs>
                <w:tab w:val="left" w:pos="8080"/>
              </w:tabs>
              <w:spacing w:after="0" w:line="240" w:lineRule="auto"/>
              <w:ind w:right="-31"/>
            </w:pPr>
            <w:r>
              <w:rPr>
                <w:noProof/>
                <w:lang w:eastAsia="lv-LV"/>
              </w:rPr>
              <w:drawing>
                <wp:inline distT="0" distB="0" distL="0" distR="0">
                  <wp:extent cx="2617393" cy="1242725"/>
                  <wp:effectExtent l="0" t="0" r="0" b="0"/>
                  <wp:docPr id="263" name="Chart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noProof/>
                <w:lang w:eastAsia="lv-LV"/>
              </w:rPr>
              <w:drawing>
                <wp:inline distT="0" distB="0" distL="0" distR="0">
                  <wp:extent cx="1356258" cy="1242725"/>
                  <wp:effectExtent l="0" t="0" r="0" b="0"/>
                  <wp:docPr id="264" name="Chart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Tr="003B0F04">
        <w:tblPrEx>
          <w:tblW w:w="10495" w:type="dxa"/>
          <w:jc w:val="center"/>
          <w:tblLook w:val="04A0"/>
        </w:tblPrEx>
        <w:trPr>
          <w:jc w:val="center"/>
        </w:trPr>
        <w:tc>
          <w:tcPr>
            <w:tcW w:w="3576" w:type="dxa"/>
            <w:shd w:val="clear" w:color="auto" w:fill="D9D9D9" w:themeFill="background1" w:themeFillShade="D9"/>
          </w:tcPr>
          <w:p w:rsidR="008E4CFF" w:rsidRPr="00483382" w:rsidP="00762D1E">
            <w:pPr>
              <w:spacing w:after="0" w:line="240" w:lineRule="auto"/>
              <w:jc w:val="center"/>
              <w:rPr>
                <w:rFonts w:ascii="Candara" w:hAnsi="Candara"/>
                <w:sz w:val="18"/>
              </w:rPr>
            </w:pPr>
            <w:r w:rsidRPr="00483382">
              <w:rPr>
                <w:rFonts w:ascii="Candara" w:hAnsi="Candara"/>
                <w:sz w:val="18"/>
                <w:szCs w:val="20"/>
              </w:rPr>
              <w:t>Darbaspēka izmaksu dinamika</w:t>
            </w:r>
            <w:r>
              <w:rPr>
                <w:rFonts w:ascii="Candara" w:hAnsi="Candara"/>
                <w:sz w:val="18"/>
                <w:szCs w:val="20"/>
              </w:rPr>
              <w:t>, tūkst. EUR</w:t>
            </w:r>
          </w:p>
        </w:tc>
        <w:tc>
          <w:tcPr>
            <w:tcW w:w="3578" w:type="dxa"/>
            <w:gridSpan w:val="2"/>
            <w:shd w:val="clear" w:color="auto" w:fill="D9D9D9" w:themeFill="background1" w:themeFillShade="D9"/>
          </w:tcPr>
          <w:p w:rsidR="008E4CFF" w:rsidRPr="00483382" w:rsidP="00762D1E">
            <w:pPr>
              <w:spacing w:after="0" w:line="240" w:lineRule="auto"/>
              <w:jc w:val="center"/>
              <w:rPr>
                <w:rFonts w:ascii="Candara" w:hAnsi="Candara"/>
                <w:sz w:val="18"/>
              </w:rPr>
            </w:pPr>
            <w:r w:rsidRPr="00483382">
              <w:rPr>
                <w:rFonts w:ascii="Candara" w:hAnsi="Candara"/>
                <w:sz w:val="18"/>
                <w:szCs w:val="20"/>
              </w:rPr>
              <w:t>Produktivitātes dinamika</w:t>
            </w:r>
            <w:r>
              <w:rPr>
                <w:rFonts w:ascii="Candara" w:hAnsi="Candara"/>
                <w:sz w:val="18"/>
                <w:szCs w:val="20"/>
              </w:rPr>
              <w:t>, tūkst. EUR</w:t>
            </w:r>
          </w:p>
        </w:tc>
        <w:tc>
          <w:tcPr>
            <w:tcW w:w="3341" w:type="dxa"/>
            <w:shd w:val="clear" w:color="auto" w:fill="D9D9D9" w:themeFill="background1" w:themeFillShade="D9"/>
          </w:tcPr>
          <w:p w:rsidR="008E4CFF" w:rsidRPr="00483382" w:rsidP="00762D1E">
            <w:pPr>
              <w:spacing w:after="0" w:line="240" w:lineRule="auto"/>
              <w:jc w:val="center"/>
              <w:rPr>
                <w:rFonts w:ascii="Candara" w:hAnsi="Candara"/>
                <w:sz w:val="18"/>
              </w:rPr>
            </w:pPr>
            <w:r w:rsidRPr="00483382">
              <w:rPr>
                <w:rFonts w:ascii="Candara" w:hAnsi="Candara"/>
                <w:sz w:val="18"/>
                <w:szCs w:val="20"/>
              </w:rPr>
              <w:t>Produktivitāte un darbaspēka izmaksas</w:t>
            </w:r>
          </w:p>
        </w:tc>
      </w:tr>
      <w:tr w:rsidTr="003B0F04">
        <w:tblPrEx>
          <w:tblW w:w="10495" w:type="dxa"/>
          <w:jc w:val="center"/>
          <w:tblLook w:val="04A0"/>
        </w:tblPrEx>
        <w:trPr>
          <w:jc w:val="center"/>
        </w:trPr>
        <w:tc>
          <w:tcPr>
            <w:tcW w:w="3576" w:type="dxa"/>
          </w:tcPr>
          <w:p w:rsidR="008E4CFF" w:rsidP="00762D1E">
            <w:pPr>
              <w:spacing w:after="0" w:line="240" w:lineRule="auto"/>
              <w:jc w:val="center"/>
              <w:rPr>
                <w:rFonts w:ascii="Candara" w:hAnsi="Candara"/>
              </w:rPr>
            </w:pPr>
            <w:r w:rsidRPr="00B612F1">
              <w:rPr>
                <w:rFonts w:ascii="Candara" w:hAnsi="Candara"/>
                <w:noProof/>
                <w:sz w:val="18"/>
                <w:szCs w:val="18"/>
                <w:lang w:eastAsia="lv-LV"/>
              </w:rPr>
              <w:drawing>
                <wp:inline distT="0" distB="0" distL="0" distR="0">
                  <wp:extent cx="2133600" cy="1171575"/>
                  <wp:effectExtent l="0" t="0" r="0" b="0"/>
                  <wp:docPr id="265"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3578" w:type="dxa"/>
            <w:gridSpan w:val="2"/>
          </w:tcPr>
          <w:p w:rsidR="008E4CFF" w:rsidP="00762D1E">
            <w:pPr>
              <w:spacing w:after="0" w:line="240" w:lineRule="auto"/>
              <w:jc w:val="center"/>
              <w:rPr>
                <w:rFonts w:ascii="Candara" w:hAnsi="Candara"/>
              </w:rPr>
            </w:pPr>
            <w:r w:rsidRPr="00B612F1">
              <w:rPr>
                <w:rFonts w:ascii="Candara" w:hAnsi="Candara"/>
                <w:noProof/>
                <w:sz w:val="18"/>
                <w:szCs w:val="18"/>
                <w:lang w:eastAsia="lv-LV"/>
              </w:rPr>
              <w:drawing>
                <wp:inline distT="0" distB="0" distL="0" distR="0">
                  <wp:extent cx="2133600" cy="1171575"/>
                  <wp:effectExtent l="0" t="0" r="0" b="0"/>
                  <wp:docPr id="266"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3341" w:type="dxa"/>
            <w:vMerge w:val="restart"/>
          </w:tcPr>
          <w:p w:rsidR="008E4CFF" w:rsidP="00762D1E">
            <w:pPr>
              <w:spacing w:after="0" w:line="240" w:lineRule="auto"/>
              <w:jc w:val="center"/>
              <w:rPr>
                <w:rFonts w:ascii="Candara" w:hAnsi="Candara"/>
              </w:rPr>
            </w:pPr>
            <w:r w:rsidRPr="00B612F1">
              <w:rPr>
                <w:rFonts w:ascii="Candara" w:eastAsia="Times New Roman" w:hAnsi="Candara"/>
                <w:noProof/>
                <w:sz w:val="18"/>
                <w:szCs w:val="18"/>
                <w:lang w:eastAsia="lv-LV"/>
              </w:rPr>
              <w:drawing>
                <wp:inline distT="0" distB="0" distL="0" distR="0">
                  <wp:extent cx="1847850" cy="2228850"/>
                  <wp:effectExtent l="0" t="0" r="0" b="0"/>
                  <wp:docPr id="267" name="Chart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Tr="003B0F04">
        <w:tblPrEx>
          <w:tblW w:w="10495" w:type="dxa"/>
          <w:jc w:val="center"/>
          <w:tblLook w:val="04A0"/>
        </w:tblPrEx>
        <w:trPr>
          <w:jc w:val="center"/>
        </w:trPr>
        <w:tc>
          <w:tcPr>
            <w:tcW w:w="3576" w:type="dxa"/>
            <w:shd w:val="clear" w:color="auto" w:fill="D9D9D9" w:themeFill="background1" w:themeFillShade="D9"/>
          </w:tcPr>
          <w:p w:rsidR="008E4CFF" w:rsidRPr="00483382" w:rsidP="00762D1E">
            <w:pPr>
              <w:spacing w:after="0" w:line="240" w:lineRule="auto"/>
              <w:jc w:val="center"/>
              <w:rPr>
                <w:rFonts w:ascii="Candara" w:hAnsi="Candara"/>
                <w:sz w:val="18"/>
              </w:rPr>
            </w:pPr>
            <w:r w:rsidRPr="00483382">
              <w:rPr>
                <w:rFonts w:ascii="Candara" w:hAnsi="Candara"/>
                <w:sz w:val="18"/>
                <w:szCs w:val="20"/>
              </w:rPr>
              <w:t>Darbaspēka izmaksas, ES-28=100</w:t>
            </w:r>
          </w:p>
        </w:tc>
        <w:tc>
          <w:tcPr>
            <w:tcW w:w="3578" w:type="dxa"/>
            <w:gridSpan w:val="2"/>
            <w:shd w:val="clear" w:color="auto" w:fill="D9D9D9" w:themeFill="background1" w:themeFillShade="D9"/>
          </w:tcPr>
          <w:p w:rsidR="008E4CFF" w:rsidRPr="00483382" w:rsidP="00762D1E">
            <w:pPr>
              <w:spacing w:after="0" w:line="240" w:lineRule="auto"/>
              <w:jc w:val="center"/>
              <w:rPr>
                <w:rFonts w:ascii="Candara" w:hAnsi="Candara"/>
                <w:sz w:val="18"/>
              </w:rPr>
            </w:pPr>
            <w:r w:rsidRPr="00483382">
              <w:rPr>
                <w:rFonts w:ascii="Candara" w:hAnsi="Candara"/>
                <w:sz w:val="18"/>
                <w:szCs w:val="20"/>
              </w:rPr>
              <w:t>Produktivitāte, ES-28=100</w:t>
            </w:r>
          </w:p>
        </w:tc>
        <w:tc>
          <w:tcPr>
            <w:tcW w:w="3341" w:type="dxa"/>
            <w:vMerge/>
            <w:shd w:val="clear" w:color="auto" w:fill="D9D9D9" w:themeFill="background1" w:themeFillShade="D9"/>
          </w:tcPr>
          <w:p w:rsidR="008E4CFF" w:rsidRPr="00483382" w:rsidP="003A2C2A">
            <w:pPr>
              <w:jc w:val="center"/>
              <w:rPr>
                <w:rFonts w:ascii="Candara" w:hAnsi="Candara"/>
                <w:sz w:val="18"/>
              </w:rPr>
            </w:pPr>
          </w:p>
        </w:tc>
      </w:tr>
      <w:tr w:rsidTr="003B0F04">
        <w:tblPrEx>
          <w:tblW w:w="10495" w:type="dxa"/>
          <w:jc w:val="center"/>
          <w:tblLook w:val="04A0"/>
        </w:tblPrEx>
        <w:trPr>
          <w:jc w:val="center"/>
        </w:trPr>
        <w:tc>
          <w:tcPr>
            <w:tcW w:w="3576" w:type="dxa"/>
          </w:tcPr>
          <w:p w:rsidR="008E4CFF" w:rsidP="00762D1E">
            <w:pPr>
              <w:spacing w:after="0" w:line="240" w:lineRule="auto"/>
              <w:jc w:val="center"/>
              <w:rPr>
                <w:rFonts w:ascii="Candara" w:hAnsi="Candara"/>
              </w:rPr>
            </w:pPr>
            <w:r w:rsidRPr="00B41842">
              <w:rPr>
                <w:rFonts w:ascii="Arial Narrow" w:hAnsi="Arial Narrow"/>
                <w:noProof/>
                <w:lang w:eastAsia="lv-LV"/>
              </w:rPr>
              <w:drawing>
                <wp:inline distT="0" distB="0" distL="0" distR="0">
                  <wp:extent cx="2124075" cy="1057275"/>
                  <wp:effectExtent l="0" t="0" r="0" b="0"/>
                  <wp:docPr id="26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3578" w:type="dxa"/>
            <w:gridSpan w:val="2"/>
          </w:tcPr>
          <w:p w:rsidR="008E4CFF" w:rsidP="00762D1E">
            <w:pPr>
              <w:spacing w:after="0" w:line="240" w:lineRule="auto"/>
              <w:jc w:val="center"/>
              <w:rPr>
                <w:rFonts w:ascii="Candara" w:hAnsi="Candara"/>
              </w:rPr>
            </w:pPr>
            <w:r w:rsidRPr="00123E9E">
              <w:rPr>
                <w:rFonts w:ascii="Arial Narrow" w:hAnsi="Arial Narrow"/>
                <w:noProof/>
                <w:lang w:eastAsia="lv-LV"/>
              </w:rPr>
              <w:drawing>
                <wp:inline distT="0" distB="0" distL="0" distR="0">
                  <wp:extent cx="2133600" cy="1057275"/>
                  <wp:effectExtent l="0" t="0" r="0" b="0"/>
                  <wp:docPr id="26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3341" w:type="dxa"/>
            <w:vMerge/>
          </w:tcPr>
          <w:p w:rsidR="008E4CFF" w:rsidP="003A2C2A">
            <w:pPr>
              <w:jc w:val="center"/>
              <w:rPr>
                <w:rFonts w:ascii="Candara" w:hAnsi="Candara"/>
              </w:rPr>
            </w:pPr>
          </w:p>
        </w:tc>
      </w:tr>
      <w:tr w:rsidTr="003B0F04">
        <w:tblPrEx>
          <w:tblW w:w="10495" w:type="dxa"/>
          <w:jc w:val="center"/>
          <w:tblLook w:val="04A0"/>
        </w:tblPrEx>
        <w:trPr>
          <w:jc w:val="center"/>
        </w:trPr>
        <w:tc>
          <w:tcPr>
            <w:tcW w:w="5299" w:type="dxa"/>
            <w:gridSpan w:val="2"/>
            <w:shd w:val="clear" w:color="auto" w:fill="D9D9D9" w:themeFill="background1" w:themeFillShade="D9"/>
          </w:tcPr>
          <w:p w:rsidR="008E4CFF" w:rsidRPr="00483382" w:rsidP="00762D1E">
            <w:pPr>
              <w:spacing w:after="0" w:line="240" w:lineRule="auto"/>
              <w:jc w:val="center"/>
              <w:rPr>
                <w:rFonts w:ascii="Candara" w:hAnsi="Candara"/>
                <w:sz w:val="18"/>
                <w:szCs w:val="20"/>
              </w:rPr>
            </w:pPr>
            <w:r w:rsidRPr="00483382">
              <w:rPr>
                <w:rFonts w:ascii="Candara" w:hAnsi="Candara"/>
                <w:sz w:val="18"/>
                <w:szCs w:val="20"/>
              </w:rPr>
              <w:t>Darbaspēka izmaksas</w:t>
            </w:r>
            <w:r w:rsidR="00586757">
              <w:rPr>
                <w:rFonts w:ascii="Candara" w:hAnsi="Candara"/>
                <w:sz w:val="18"/>
                <w:szCs w:val="20"/>
              </w:rPr>
              <w:t xml:space="preserve"> uz 1 nodarbināto</w:t>
            </w:r>
            <w:r w:rsidR="005C1E6F">
              <w:rPr>
                <w:rFonts w:ascii="Candara" w:hAnsi="Candara"/>
                <w:sz w:val="18"/>
                <w:szCs w:val="20"/>
              </w:rPr>
              <w:t xml:space="preserve"> 2016.g.</w:t>
            </w:r>
            <w:r>
              <w:rPr>
                <w:rFonts w:ascii="Candara" w:hAnsi="Candara"/>
                <w:sz w:val="18"/>
                <w:szCs w:val="20"/>
              </w:rPr>
              <w:t>, tūkst. EUR</w:t>
            </w:r>
          </w:p>
        </w:tc>
        <w:tc>
          <w:tcPr>
            <w:tcW w:w="5196" w:type="dxa"/>
            <w:gridSpan w:val="2"/>
            <w:shd w:val="clear" w:color="auto" w:fill="D9D9D9" w:themeFill="background1" w:themeFillShade="D9"/>
          </w:tcPr>
          <w:p w:rsidR="008E4CFF" w:rsidRPr="00483382" w:rsidP="00762D1E">
            <w:pPr>
              <w:spacing w:after="0" w:line="240" w:lineRule="auto"/>
              <w:jc w:val="center"/>
              <w:rPr>
                <w:rFonts w:ascii="Candara" w:hAnsi="Candara"/>
                <w:sz w:val="18"/>
                <w:szCs w:val="20"/>
              </w:rPr>
            </w:pPr>
            <w:r w:rsidRPr="00483382">
              <w:rPr>
                <w:rFonts w:ascii="Candara" w:hAnsi="Candara"/>
                <w:sz w:val="18"/>
                <w:szCs w:val="20"/>
              </w:rPr>
              <w:t>Produktivitāte</w:t>
            </w:r>
            <w:r w:rsidR="005C1E6F">
              <w:rPr>
                <w:rFonts w:ascii="Candara" w:hAnsi="Candara"/>
                <w:sz w:val="18"/>
                <w:szCs w:val="20"/>
              </w:rPr>
              <w:t xml:space="preserve"> (PV uz 1 nodarbināto) 2016.g.</w:t>
            </w:r>
            <w:r>
              <w:rPr>
                <w:rFonts w:ascii="Candara" w:hAnsi="Candara"/>
                <w:sz w:val="18"/>
                <w:szCs w:val="20"/>
              </w:rPr>
              <w:t>, tūkst. EUR</w:t>
            </w:r>
          </w:p>
        </w:tc>
      </w:tr>
      <w:tr w:rsidTr="003B0F04">
        <w:tblPrEx>
          <w:tblW w:w="10495" w:type="dxa"/>
          <w:jc w:val="center"/>
          <w:tblLook w:val="04A0"/>
        </w:tblPrEx>
        <w:trPr>
          <w:jc w:val="center"/>
        </w:trPr>
        <w:tc>
          <w:tcPr>
            <w:tcW w:w="5299" w:type="dxa"/>
            <w:gridSpan w:val="2"/>
          </w:tcPr>
          <w:p w:rsidR="008E4CFF" w:rsidP="00762D1E">
            <w:pPr>
              <w:spacing w:after="0" w:line="240" w:lineRule="auto"/>
              <w:jc w:val="center"/>
              <w:rPr>
                <w:rFonts w:ascii="Candara" w:hAnsi="Candara"/>
              </w:rPr>
            </w:pPr>
            <w:r w:rsidRPr="00421CA2">
              <w:rPr>
                <w:noProof/>
                <w:lang w:eastAsia="lv-LV"/>
              </w:rPr>
              <w:drawing>
                <wp:inline distT="0" distB="0" distL="0" distR="0">
                  <wp:extent cx="3152775" cy="1171575"/>
                  <wp:effectExtent l="0" t="0" r="0" b="0"/>
                  <wp:docPr id="270" name="Chart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5196" w:type="dxa"/>
            <w:gridSpan w:val="2"/>
          </w:tcPr>
          <w:p w:rsidR="008E4CFF" w:rsidP="00762D1E">
            <w:pPr>
              <w:spacing w:after="0" w:line="240" w:lineRule="auto"/>
              <w:jc w:val="center"/>
              <w:rPr>
                <w:rFonts w:ascii="Candara" w:hAnsi="Candara"/>
              </w:rPr>
            </w:pPr>
            <w:r w:rsidRPr="00421CA2">
              <w:rPr>
                <w:noProof/>
                <w:lang w:eastAsia="lv-LV"/>
              </w:rPr>
              <w:drawing>
                <wp:inline distT="0" distB="0" distL="0" distR="0">
                  <wp:extent cx="3162300" cy="1171575"/>
                  <wp:effectExtent l="0" t="0" r="0" b="0"/>
                  <wp:docPr id="272" name="Chart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r w:rsidTr="003B0F04">
        <w:tblPrEx>
          <w:tblW w:w="10495" w:type="dxa"/>
          <w:jc w:val="center"/>
          <w:tblLook w:val="04A0"/>
        </w:tblPrEx>
        <w:trPr>
          <w:jc w:val="center"/>
        </w:trPr>
        <w:tc>
          <w:tcPr>
            <w:tcW w:w="5299" w:type="dxa"/>
            <w:gridSpan w:val="2"/>
            <w:shd w:val="clear" w:color="auto" w:fill="D9D9D9" w:themeFill="background1" w:themeFillShade="D9"/>
          </w:tcPr>
          <w:p w:rsidR="008E4CFF" w:rsidRPr="00483382" w:rsidP="00762D1E">
            <w:pPr>
              <w:spacing w:after="0" w:line="240" w:lineRule="auto"/>
              <w:jc w:val="center"/>
              <w:rPr>
                <w:rFonts w:ascii="Candara" w:hAnsi="Candara"/>
                <w:sz w:val="18"/>
              </w:rPr>
            </w:pPr>
            <w:r w:rsidRPr="00483382">
              <w:rPr>
                <w:rFonts w:ascii="Candara" w:hAnsi="Candara"/>
                <w:sz w:val="18"/>
                <w:szCs w:val="20"/>
              </w:rPr>
              <w:t>Produktivitāte un darbaspēka izmaksas ES-28 valstīs 2010.g</w:t>
            </w:r>
            <w:r w:rsidR="00F86EC0">
              <w:rPr>
                <w:rFonts w:ascii="Candara" w:hAnsi="Candara"/>
                <w:sz w:val="18"/>
                <w:szCs w:val="20"/>
              </w:rPr>
              <w:t>.</w:t>
            </w:r>
          </w:p>
        </w:tc>
        <w:tc>
          <w:tcPr>
            <w:tcW w:w="5196" w:type="dxa"/>
            <w:gridSpan w:val="2"/>
            <w:shd w:val="clear" w:color="auto" w:fill="D9D9D9" w:themeFill="background1" w:themeFillShade="D9"/>
          </w:tcPr>
          <w:p w:rsidR="008E4CFF" w:rsidRPr="00483382" w:rsidP="00762D1E">
            <w:pPr>
              <w:spacing w:after="0" w:line="240" w:lineRule="auto"/>
              <w:jc w:val="center"/>
              <w:rPr>
                <w:rFonts w:ascii="Candara" w:hAnsi="Candara"/>
                <w:sz w:val="18"/>
              </w:rPr>
            </w:pPr>
            <w:r w:rsidRPr="00483382">
              <w:rPr>
                <w:rFonts w:ascii="Candara" w:hAnsi="Candara"/>
                <w:sz w:val="18"/>
                <w:szCs w:val="20"/>
              </w:rPr>
              <w:t>Produktivitāte un darbaspēka izmaksas ES-28 valstīs 201</w:t>
            </w:r>
            <w:r w:rsidR="00A034DE">
              <w:rPr>
                <w:rFonts w:ascii="Candara" w:hAnsi="Candara"/>
                <w:sz w:val="18"/>
                <w:szCs w:val="20"/>
              </w:rPr>
              <w:t>6</w:t>
            </w:r>
            <w:r w:rsidRPr="00483382">
              <w:rPr>
                <w:rFonts w:ascii="Candara" w:hAnsi="Candara"/>
                <w:sz w:val="18"/>
                <w:szCs w:val="20"/>
              </w:rPr>
              <w:t>.g</w:t>
            </w:r>
            <w:r w:rsidR="00F86EC0">
              <w:rPr>
                <w:rFonts w:ascii="Candara" w:hAnsi="Candara"/>
                <w:sz w:val="18"/>
                <w:szCs w:val="20"/>
              </w:rPr>
              <w:t>.</w:t>
            </w:r>
          </w:p>
        </w:tc>
      </w:tr>
      <w:tr w:rsidTr="003B0F04">
        <w:tblPrEx>
          <w:tblW w:w="10495" w:type="dxa"/>
          <w:jc w:val="center"/>
          <w:tblLook w:val="04A0"/>
        </w:tblPrEx>
        <w:trPr>
          <w:jc w:val="center"/>
        </w:trPr>
        <w:tc>
          <w:tcPr>
            <w:tcW w:w="5299" w:type="dxa"/>
            <w:gridSpan w:val="2"/>
          </w:tcPr>
          <w:p w:rsidR="008E4CFF" w:rsidP="00762D1E">
            <w:pPr>
              <w:spacing w:after="0" w:line="240" w:lineRule="auto"/>
              <w:rPr>
                <w:rFonts w:ascii="Candara" w:hAnsi="Candara"/>
              </w:rPr>
            </w:pPr>
            <w:r w:rsidRPr="00B612F1">
              <w:rPr>
                <w:rFonts w:ascii="Candara" w:eastAsia="Times New Roman" w:hAnsi="Candara"/>
                <w:noProof/>
                <w:sz w:val="18"/>
                <w:szCs w:val="18"/>
                <w:lang w:eastAsia="lv-LV"/>
              </w:rPr>
              <w:drawing>
                <wp:inline distT="0" distB="0" distL="0" distR="0">
                  <wp:extent cx="3057525" cy="1228725"/>
                  <wp:effectExtent l="0" t="0" r="0" b="0"/>
                  <wp:docPr id="273" name="Chart 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5196" w:type="dxa"/>
            <w:gridSpan w:val="2"/>
          </w:tcPr>
          <w:p w:rsidR="008E4CFF" w:rsidP="00762D1E">
            <w:pPr>
              <w:spacing w:after="0" w:line="240" w:lineRule="auto"/>
              <w:rPr>
                <w:rFonts w:ascii="Candara" w:hAnsi="Candara"/>
              </w:rPr>
            </w:pPr>
            <w:r w:rsidRPr="00B612F1">
              <w:rPr>
                <w:rFonts w:ascii="Candara" w:eastAsia="Times New Roman" w:hAnsi="Candara"/>
                <w:noProof/>
                <w:sz w:val="18"/>
                <w:szCs w:val="18"/>
                <w:lang w:eastAsia="lv-LV"/>
              </w:rPr>
              <w:drawing>
                <wp:inline distT="0" distB="0" distL="0" distR="0">
                  <wp:extent cx="3057525" cy="1200150"/>
                  <wp:effectExtent l="0" t="0" r="0" b="0"/>
                  <wp:docPr id="274" name="Chart 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bl>
    <w:p w:rsidR="008E4CFF" w:rsidP="008E4CFF">
      <w:pPr>
        <w:spacing w:after="0" w:line="240" w:lineRule="auto"/>
        <w:rPr>
          <w:rFonts w:ascii="Candara" w:hAnsi="Candara"/>
          <w:b/>
          <w:color w:val="000000"/>
          <w:szCs w:val="28"/>
        </w:rPr>
      </w:pPr>
    </w:p>
    <w:p w:rsidR="00DB497B" w:rsidP="00DB497B">
      <w:pPr>
        <w:spacing w:after="0" w:line="240" w:lineRule="auto"/>
        <w:jc w:val="both"/>
        <w:rPr>
          <w:rFonts w:ascii="Candara" w:hAnsi="Candara"/>
          <w:color w:val="000000"/>
          <w:szCs w:val="28"/>
        </w:rPr>
      </w:pPr>
      <w:r>
        <w:rPr>
          <w:rFonts w:ascii="Candara" w:hAnsi="Candara"/>
          <w:b/>
          <w:color w:val="000000"/>
          <w:szCs w:val="28"/>
          <w:u w:val="single"/>
        </w:rPr>
        <w:t>Nozares īpatsvars tautsaimniecībā, procentos.</w:t>
      </w:r>
      <w:r>
        <w:rPr>
          <w:rFonts w:ascii="Candara" w:hAnsi="Candara"/>
          <w:color w:val="000000"/>
          <w:szCs w:val="28"/>
        </w:rPr>
        <w:t xml:space="preserve"> Apstrādes rūpniecībā 2010. gadā pieauguma tempi bija krietni straujāki nekā kopējā tautsaimniecības izaugsme, un nozare kļuva par galveno tautsaimniecības izaugsmes virzītāju. Šajā gadā tās īpatsvars tautsaimniecībā bija palielinājies līdz 13,5%. Lai arī nākamajos divos gados nozares izaugsme turpinājās, tā bija lēnāka. 2013. -2015. gadā rūpniecības izaugsmes tempi bija apstājušies, nozares pieaugums atsākās tikai 2016.gadā. Apstrādes rūpniecības daļa tautsaimniecības struktūrā 2016. gadā bija 12,3% un tas ir par 1,2 procentpunktiem zemāk nekā 2010.gadā. </w:t>
      </w:r>
    </w:p>
    <w:p w:rsidR="00DB497B" w:rsidP="00DB497B">
      <w:pPr>
        <w:spacing w:after="0" w:line="240" w:lineRule="auto"/>
        <w:jc w:val="both"/>
        <w:rPr>
          <w:rFonts w:ascii="Candara" w:hAnsi="Candara"/>
          <w:color w:val="000000"/>
          <w:szCs w:val="28"/>
        </w:rPr>
      </w:pPr>
      <w:r>
        <w:rPr>
          <w:rFonts w:ascii="Candara" w:hAnsi="Candara"/>
          <w:b/>
          <w:color w:val="000000"/>
          <w:szCs w:val="28"/>
          <w:u w:val="single"/>
        </w:rPr>
        <w:t>Pievienotās vērtības un darba vietu skaita izmaiņas, 2005=100.</w:t>
      </w:r>
      <w:r>
        <w:rPr>
          <w:rFonts w:ascii="Candara" w:hAnsi="Candara"/>
          <w:color w:val="000000"/>
          <w:szCs w:val="28"/>
        </w:rPr>
        <w:t xml:space="preserve"> 2016.gadā ražošanas apjomi nozarē palielinājās par 5,6%. Kopš krīzes zemākā punkta 2009. gadā nozares izlaides apjomi ir kāpuši par 31%, bet atpaliek par 6% no pirmskrīzes līmeņa. Salīdzinājumā ar ražošanas apjomu kāpumu darbavietu skaits nozarē aug krietni mērenāk, kas liecina par produktivitātes pieaugumu. 2014. un 2015. gada, piebremzējoties nozares izaugsmei, pieprasījums pēc darbaspēka saruka. 2016. gadā aizņemto darbavietu skaits pieauga vien par 0,4%.</w:t>
      </w:r>
      <w:r>
        <w:t xml:space="preserve"> </w:t>
      </w:r>
      <w:r>
        <w:rPr>
          <w:rFonts w:ascii="Candara" w:hAnsi="Candara"/>
          <w:color w:val="000000"/>
          <w:szCs w:val="28"/>
        </w:rPr>
        <w:t>2016.gadā, salīdzinot ar krīzes zemāko punktu 2010.gadā, darbavietu skaits bija pieaudzis par 10%,</w:t>
      </w:r>
      <w:r>
        <w:t xml:space="preserve"> </w:t>
      </w:r>
      <w:r>
        <w:rPr>
          <w:rFonts w:ascii="Candara" w:hAnsi="Candara"/>
          <w:color w:val="000000"/>
          <w:szCs w:val="28"/>
        </w:rPr>
        <w:t>bet par 29% atpaliek no pirmskrīzes līmeņa.</w:t>
      </w:r>
    </w:p>
    <w:p w:rsidR="00DB497B" w:rsidP="00DB497B">
      <w:pPr>
        <w:spacing w:after="0" w:line="240" w:lineRule="auto"/>
        <w:jc w:val="both"/>
        <w:rPr>
          <w:rFonts w:ascii="Candara" w:hAnsi="Candara"/>
          <w:color w:val="000000"/>
          <w:szCs w:val="28"/>
        </w:rPr>
      </w:pPr>
      <w:r>
        <w:rPr>
          <w:rFonts w:ascii="Candara" w:hAnsi="Candara"/>
          <w:b/>
          <w:color w:val="000000"/>
          <w:szCs w:val="28"/>
          <w:u w:val="single"/>
        </w:rPr>
        <w:t>Produkcijas eksports, milj. EUR.</w:t>
      </w:r>
      <w:r>
        <w:rPr>
          <w:rFonts w:ascii="Candara" w:hAnsi="Candara"/>
          <w:color w:val="000000"/>
          <w:szCs w:val="28"/>
        </w:rPr>
        <w:t xml:space="preserve"> Kopš krīzes zemākā punkta 2009. gadā eksportētās produkcijas apjomi ir dubultojušies. Pēdējos gados eksporta pieaugums ir kļuvis mērenāks saistībā ar situāciju ārējā vidē.</w:t>
      </w:r>
    </w:p>
    <w:p w:rsidR="00DB497B" w:rsidP="00DB497B">
      <w:pPr>
        <w:spacing w:after="0" w:line="240" w:lineRule="auto"/>
        <w:jc w:val="both"/>
        <w:rPr>
          <w:rFonts w:ascii="Candara" w:hAnsi="Candara"/>
          <w:b/>
          <w:color w:val="000000"/>
          <w:szCs w:val="28"/>
          <w:u w:val="single"/>
        </w:rPr>
      </w:pPr>
      <w:r>
        <w:rPr>
          <w:rFonts w:ascii="Candara" w:hAnsi="Candara"/>
          <w:b/>
          <w:color w:val="000000"/>
          <w:szCs w:val="28"/>
          <w:u w:val="single"/>
        </w:rPr>
        <w:t>Eksports uz 1 strādājošo, tūkst. EUR.</w:t>
      </w:r>
      <w:r>
        <w:rPr>
          <w:rFonts w:ascii="Candara" w:hAnsi="Candara"/>
          <w:color w:val="000000"/>
          <w:szCs w:val="28"/>
        </w:rPr>
        <w:t xml:space="preserve"> Kopš krīzes perioda eksporta apjoms uz vienu strādājošo pakāpeniski pieaug.</w:t>
      </w:r>
    </w:p>
    <w:p w:rsidR="00DB497B" w:rsidP="00DB497B">
      <w:pPr>
        <w:spacing w:after="0" w:line="240" w:lineRule="auto"/>
        <w:jc w:val="both"/>
        <w:rPr>
          <w:rFonts w:ascii="Candara" w:hAnsi="Candara"/>
          <w:color w:val="000000"/>
          <w:szCs w:val="28"/>
        </w:rPr>
      </w:pPr>
      <w:r>
        <w:rPr>
          <w:rFonts w:ascii="Candara" w:hAnsi="Candara"/>
          <w:b/>
          <w:color w:val="000000"/>
          <w:szCs w:val="28"/>
          <w:u w:val="single"/>
        </w:rPr>
        <w:t>Eksports uz 1 strādājošo ES 28 valstīs, tūkst. EUR.</w:t>
      </w:r>
      <w:r>
        <w:rPr>
          <w:rFonts w:ascii="Candara" w:hAnsi="Candara"/>
          <w:color w:val="000000"/>
          <w:szCs w:val="28"/>
        </w:rPr>
        <w:t xml:space="preserve"> Latvijā eksporta apjoms uz vienu strādājošo apstrādes rūpniecībā bija zemāks nekā Lietuvā un Igaunijā un par 41% zemāks nekā ES vidēji.</w:t>
      </w:r>
    </w:p>
    <w:p w:rsidR="00DB497B" w:rsidP="00DB497B">
      <w:pPr>
        <w:spacing w:after="0" w:line="240" w:lineRule="auto"/>
        <w:jc w:val="both"/>
        <w:rPr>
          <w:rFonts w:ascii="Candara" w:hAnsi="Candara"/>
          <w:b/>
          <w:color w:val="000000"/>
          <w:szCs w:val="28"/>
          <w:u w:val="single"/>
        </w:rPr>
      </w:pPr>
      <w:r>
        <w:rPr>
          <w:rFonts w:ascii="Candara" w:hAnsi="Candara"/>
          <w:b/>
          <w:color w:val="000000"/>
          <w:szCs w:val="28"/>
          <w:u w:val="single"/>
        </w:rPr>
        <w:t>Eksporta tirgi.</w:t>
      </w:r>
      <w:r>
        <w:rPr>
          <w:rFonts w:ascii="Candara" w:hAnsi="Candara"/>
          <w:color w:val="000000"/>
          <w:szCs w:val="28"/>
        </w:rPr>
        <w:t xml:space="preserve"> Lielākie eksporta tirgi apstrādes rūpniecībā ir Lietuva, Igaunija, Krievija, Vācija, Zviedrija, Apvienotā karaliste, Polija un Dānija.</w:t>
      </w:r>
    </w:p>
    <w:p w:rsidR="00DB497B" w:rsidP="00DB497B">
      <w:pPr>
        <w:spacing w:after="0" w:line="240" w:lineRule="auto"/>
        <w:jc w:val="both"/>
        <w:rPr>
          <w:rFonts w:ascii="Candara" w:hAnsi="Candara"/>
          <w:b/>
          <w:color w:val="000000"/>
          <w:szCs w:val="28"/>
          <w:u w:val="single"/>
        </w:rPr>
      </w:pPr>
      <w:r>
        <w:rPr>
          <w:rFonts w:ascii="Candara" w:hAnsi="Candara"/>
          <w:b/>
          <w:color w:val="000000"/>
          <w:szCs w:val="28"/>
          <w:u w:val="single"/>
        </w:rPr>
        <w:t>Eksporta struktūra.</w:t>
      </w:r>
      <w:r>
        <w:rPr>
          <w:rFonts w:ascii="Candara" w:hAnsi="Candara"/>
          <w:color w:val="000000"/>
          <w:szCs w:val="28"/>
        </w:rPr>
        <w:t xml:space="preserve"> Latvijā kopš 2005.gada ir samazinājies kokapstrādes īpatsvars eksporta struktūrā, bet pieaudzis elektronisko un optisko iekārtu īpatsvars.</w:t>
      </w:r>
    </w:p>
    <w:p w:rsidR="00DB497B" w:rsidP="00DB497B">
      <w:pPr>
        <w:spacing w:after="0" w:line="240" w:lineRule="auto"/>
        <w:jc w:val="both"/>
        <w:rPr>
          <w:rFonts w:ascii="Candara" w:hAnsi="Candara"/>
          <w:color w:val="000000"/>
          <w:szCs w:val="28"/>
        </w:rPr>
      </w:pPr>
      <w:r>
        <w:rPr>
          <w:rFonts w:ascii="Candara" w:hAnsi="Candara"/>
          <w:b/>
          <w:color w:val="000000"/>
          <w:szCs w:val="28"/>
          <w:u w:val="single"/>
        </w:rPr>
        <w:t>Darbaspēka izmaksu dinamika, tūkst.</w:t>
      </w:r>
      <w:r>
        <w:rPr>
          <w:rFonts w:ascii="Candara" w:hAnsi="Candara"/>
          <w:color w:val="000000"/>
          <w:szCs w:val="28"/>
        </w:rPr>
        <w:t xml:space="preserve"> Krīzes laikā darbaspēka izmaksas apstrādes rūpniecībā nedaudz samazinājās, bet, atsākoties ekonomikas izaugsmei, 2012.-2016.gadā darba samaksas pieaugums nozarē kļuva straujāks, darbaspēka izmaksām pārsniedzot pirmskrīzes perioda līmeni.</w:t>
      </w:r>
    </w:p>
    <w:p w:rsidR="00DB497B" w:rsidP="00DB497B">
      <w:pPr>
        <w:spacing w:after="0" w:line="240" w:lineRule="auto"/>
        <w:jc w:val="both"/>
        <w:rPr>
          <w:rFonts w:ascii="Candara" w:hAnsi="Candara"/>
          <w:color w:val="000000"/>
          <w:szCs w:val="28"/>
        </w:rPr>
      </w:pPr>
      <w:r>
        <w:rPr>
          <w:rFonts w:ascii="Candara" w:hAnsi="Candara"/>
          <w:b/>
          <w:color w:val="000000"/>
          <w:szCs w:val="28"/>
          <w:u w:val="single"/>
        </w:rPr>
        <w:t>Produktivitātes dinamika, tūkst.</w:t>
      </w:r>
      <w:r>
        <w:rPr>
          <w:rFonts w:ascii="Candara" w:hAnsi="Candara"/>
          <w:color w:val="000000"/>
          <w:szCs w:val="28"/>
        </w:rPr>
        <w:t xml:space="preserve"> Būtisks nodarbināto skaita samazinājums krīzes laikā veicināja strauju produktivitātes kāpumu 2010.-2011.gadā. 2012.-2013.gadā, strauji pieaugot darbaspēka izmaksām, palielinoties nodarbināto skaitam, un ražošanas apjomiem pieaugot lēnākos tempos, produktivitāte samazinājās. Savukārt, 2014.-2016.gadā bija vērojams straujš produktivitātes kāpums, kas saistīts ar ražošanas apjomu kāpumu par 6% un nodarbināto skaita kritumu par 2%.</w:t>
      </w:r>
    </w:p>
    <w:p w:rsidR="00DB497B" w:rsidP="00DB497B">
      <w:pPr>
        <w:spacing w:after="0" w:line="240" w:lineRule="auto"/>
        <w:jc w:val="both"/>
        <w:rPr>
          <w:rFonts w:ascii="Candara" w:hAnsi="Candara"/>
          <w:b/>
          <w:color w:val="000000"/>
          <w:szCs w:val="28"/>
          <w:u w:val="single"/>
        </w:rPr>
      </w:pPr>
      <w:r>
        <w:rPr>
          <w:rFonts w:ascii="Candara" w:hAnsi="Candara"/>
          <w:b/>
          <w:color w:val="000000"/>
          <w:szCs w:val="28"/>
          <w:u w:val="single"/>
        </w:rPr>
        <w:t>Produktivitāte un darbaspēka izmaksas.</w:t>
      </w:r>
      <w:r>
        <w:rPr>
          <w:rFonts w:ascii="Candara" w:hAnsi="Candara"/>
          <w:color w:val="000000"/>
          <w:szCs w:val="28"/>
        </w:rPr>
        <w:t xml:space="preserve"> Krīze pozitīvi ietekmēja nozares konkurētspēju (ULC samazinājās par 26%, ko galvenokārt noteica nodarbināto skaita samazinājums un darbaspēka izmaksu kritums 2009.gadā). Turpmākajos gados ULC strauji pieauga, ko noteica darbaspēka izmaksu straujš kāpums, tomēr produktivitātes kritums bija minimāls, jo ražošanas apjomu kāpums bija līdzīgs nodarbināto pieaugumam. Kopš 2013.gada nozarē darbaspēka izmaksas pieaug straujāk nekā produktivitāte, kas liecina par cenu konkurētspējas (izmaksu) pazemināšanos. 2016.gadā, salīdzinot ar 2013.gadu, darbaspēka izmaksas uz 1 produkcijas vienību Latvijā bija par 12%, darbaspēka izmaksas par 27% un produktivitāte par 13% augstākā līmenī.</w:t>
      </w:r>
    </w:p>
    <w:p w:rsidR="00DB497B" w:rsidP="00DB497B">
      <w:pPr>
        <w:spacing w:after="0" w:line="240" w:lineRule="auto"/>
        <w:jc w:val="both"/>
        <w:rPr>
          <w:rFonts w:ascii="Candara" w:hAnsi="Candara"/>
          <w:color w:val="000000"/>
          <w:szCs w:val="28"/>
        </w:rPr>
      </w:pPr>
      <w:r>
        <w:rPr>
          <w:rFonts w:ascii="Candara" w:hAnsi="Candara"/>
          <w:b/>
          <w:color w:val="000000"/>
          <w:szCs w:val="28"/>
          <w:u w:val="single"/>
        </w:rPr>
        <w:t>Darbaspēka izmaksas, ES-28=100.</w:t>
      </w:r>
      <w:r>
        <w:rPr>
          <w:rFonts w:ascii="Candara" w:hAnsi="Candara"/>
          <w:color w:val="000000"/>
          <w:szCs w:val="28"/>
        </w:rPr>
        <w:t xml:space="preserve"> Salīdzinot ar darbaspēka izmaksu vidējo līmeni ES, nozarē tās ir zemākas nekā tautsaimniecībā kopumā, bet pēdējos gados rādītājs pakāpeniski pieaug.</w:t>
      </w:r>
    </w:p>
    <w:p w:rsidR="00DB497B" w:rsidP="00DB497B">
      <w:pPr>
        <w:spacing w:after="0" w:line="240" w:lineRule="auto"/>
        <w:jc w:val="both"/>
        <w:rPr>
          <w:rFonts w:ascii="Candara" w:hAnsi="Candara"/>
          <w:color w:val="000000"/>
          <w:szCs w:val="28"/>
        </w:rPr>
      </w:pPr>
      <w:r>
        <w:rPr>
          <w:rFonts w:ascii="Candara" w:hAnsi="Candara"/>
          <w:b/>
          <w:color w:val="000000"/>
          <w:szCs w:val="28"/>
          <w:u w:val="single"/>
        </w:rPr>
        <w:t>Produktivitāte, ES-28=100.</w:t>
      </w:r>
      <w:r>
        <w:rPr>
          <w:rFonts w:ascii="Candara" w:hAnsi="Candara"/>
          <w:color w:val="000000"/>
          <w:szCs w:val="28"/>
        </w:rPr>
        <w:t xml:space="preserve"> Salīdzinot ar vidējo līmeni ES, nozarē produktivitātes līmenis ir zemāks nekā tautsaimniecībā kopumā. Krīzes laikā iegūto konkurētspējas priekšrocību pamatā produktivitāte strauji palielinājās un kopš 2011.gada praktiski saglabājas stabili 32-35% līmenī, salīdzinot ar ES vidējo.</w:t>
      </w:r>
    </w:p>
    <w:p w:rsidR="00DB497B" w:rsidP="00DB497B">
      <w:pPr>
        <w:spacing w:after="0" w:line="240" w:lineRule="auto"/>
        <w:jc w:val="both"/>
        <w:rPr>
          <w:rFonts w:ascii="Candara" w:hAnsi="Candara"/>
          <w:color w:val="000000"/>
          <w:szCs w:val="28"/>
        </w:rPr>
      </w:pPr>
      <w:r>
        <w:rPr>
          <w:rFonts w:ascii="Candara" w:hAnsi="Candara"/>
          <w:b/>
          <w:color w:val="000000"/>
          <w:szCs w:val="28"/>
          <w:u w:val="single"/>
        </w:rPr>
        <w:t>Darbaspēka izmaksas, salīdzinot ar ES valstīm, 2016.gadā.</w:t>
      </w:r>
      <w:r>
        <w:rPr>
          <w:rFonts w:ascii="Candara" w:hAnsi="Candara"/>
          <w:color w:val="000000"/>
          <w:szCs w:val="28"/>
        </w:rPr>
        <w:t xml:space="preserve"> Latvijā 2016.gadā darbaspēka izmaksas nozarē bija vienas no zemākajām starp ES valstīm, zemākas tās bija tikai Polijā, Rumānijā un Bulgārijā.</w:t>
      </w:r>
    </w:p>
    <w:p w:rsidR="00DB497B" w:rsidP="00DB497B">
      <w:pPr>
        <w:spacing w:after="0" w:line="240" w:lineRule="auto"/>
        <w:jc w:val="both"/>
        <w:rPr>
          <w:rFonts w:ascii="Candara" w:hAnsi="Candara"/>
          <w:color w:val="000000"/>
          <w:szCs w:val="28"/>
        </w:rPr>
      </w:pPr>
      <w:r>
        <w:rPr>
          <w:rFonts w:ascii="Candara" w:hAnsi="Candara"/>
          <w:b/>
          <w:color w:val="000000"/>
          <w:szCs w:val="28"/>
          <w:u w:val="single"/>
        </w:rPr>
        <w:t>Produktivitāte, salīdzinot ar ES valstīm, 2016.gadā.</w:t>
      </w:r>
      <w:r>
        <w:rPr>
          <w:rFonts w:ascii="Candara" w:hAnsi="Candara"/>
          <w:color w:val="000000"/>
          <w:szCs w:val="28"/>
        </w:rPr>
        <w:t xml:space="preserve"> Latvijā 2016.gadā produktivitāte nozarē bija viena no zemākajām starp ES valstīm, zemāka tā bija tikai Bulgārijā.</w:t>
      </w:r>
    </w:p>
    <w:p w:rsidR="00DB497B" w:rsidP="00DB497B">
      <w:pPr>
        <w:spacing w:after="0" w:line="240" w:lineRule="auto"/>
        <w:jc w:val="both"/>
        <w:rPr>
          <w:rFonts w:ascii="Candara" w:hAnsi="Candara"/>
          <w:color w:val="000000"/>
          <w:szCs w:val="28"/>
        </w:rPr>
      </w:pPr>
      <w:r>
        <w:rPr>
          <w:rFonts w:ascii="Candara" w:hAnsi="Candara"/>
          <w:b/>
          <w:color w:val="000000"/>
          <w:szCs w:val="28"/>
          <w:u w:val="single"/>
        </w:rPr>
        <w:t>Produktivitāte un darbaspēka izmaksas ES-28 valstīs 2010.gadā un 2016.gadā.</w:t>
      </w:r>
      <w:r>
        <w:rPr>
          <w:rFonts w:ascii="Candara" w:hAnsi="Candara"/>
          <w:color w:val="000000"/>
          <w:szCs w:val="28"/>
        </w:rPr>
        <w:t xml:space="preserve"> Darbaspēka izmaksas uz 1 produkcijas vienību (ULC) nozarē Latvijā 2010.gadā bija daudz zemākas nekā ES vidēji, zemāks rādītājs bija 5 valstīs, bet 2016.gadā tas jau bija vistuvāk ES vidējam rādītājam. Latvijā 2016.gadā, salīdzinot ar 2010.gadu darbaspēka izmaksas uz 1 produkcijas vienību ir pieaugušas par 32%, ko noteica darbaspēku izmaksu kāpums par 48%. Tas liecina, ka nozarē lēta darbaspēka konkurētspējas priekšrocības samazinās.</w:t>
      </w:r>
    </w:p>
    <w:p w:rsidR="008E4CFF" w:rsidP="00762D1E">
      <w:pPr>
        <w:spacing w:after="0" w:line="240" w:lineRule="auto"/>
        <w:rPr>
          <w:rFonts w:ascii="Candara" w:hAnsi="Candara"/>
          <w:color w:val="000000"/>
          <w:szCs w:val="28"/>
        </w:rPr>
      </w:pPr>
      <w:r>
        <w:rPr>
          <w:rFonts w:ascii="Candara" w:hAnsi="Candara"/>
          <w:color w:val="000000"/>
          <w:szCs w:val="28"/>
        </w:rPr>
        <w:br w:type="page"/>
      </w:r>
    </w:p>
    <w:p w:rsidR="008E4CFF" w:rsidRPr="009F39B5" w:rsidP="00C23A95">
      <w:pPr>
        <w:pStyle w:val="Heading1"/>
        <w:jc w:val="center"/>
        <w:rPr>
          <w:b/>
          <w:sz w:val="20"/>
        </w:rPr>
      </w:pPr>
      <w:bookmarkStart w:id="15" w:name="_Toc482792402"/>
      <w:bookmarkStart w:id="16" w:name="_Hlk504742737"/>
      <w:bookmarkStart w:id="17" w:name="_Toc256000004"/>
      <w:bookmarkStart w:id="18" w:name="_Toc256000030"/>
      <w:r w:rsidRPr="009F39B5">
        <w:rPr>
          <w:b/>
          <w:sz w:val="20"/>
        </w:rPr>
        <w:t>C10-12 PĀRTIKAS PRODUKTU, DZĒRIENU RAŽOŠANA</w:t>
      </w:r>
      <w:bookmarkEnd w:id="18"/>
      <w:bookmarkEnd w:id="17"/>
      <w:bookmarkEnd w:id="15"/>
    </w:p>
    <w:tbl>
      <w:tblPr>
        <w:tblW w:w="10488"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3576"/>
        <w:gridCol w:w="1723"/>
        <w:gridCol w:w="1853"/>
        <w:gridCol w:w="3336"/>
      </w:tblGrid>
      <w:tr w:rsidTr="003B0F04">
        <w:tblPrEx>
          <w:tblW w:w="10488"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Ex>
        <w:trPr>
          <w:jc w:val="center"/>
        </w:trPr>
        <w:tc>
          <w:tcPr>
            <w:tcW w:w="3576" w:type="dxa"/>
            <w:shd w:val="clear" w:color="auto" w:fill="D9D9D9" w:themeFill="background1" w:themeFillShade="D9"/>
          </w:tcPr>
          <w:p w:rsidR="008E4CFF" w:rsidRPr="00790E21" w:rsidP="00762D1E">
            <w:pPr>
              <w:spacing w:after="0" w:line="240" w:lineRule="auto"/>
              <w:jc w:val="center"/>
              <w:rPr>
                <w:rFonts w:ascii="Candara" w:hAnsi="Candara"/>
                <w:sz w:val="18"/>
                <w:szCs w:val="20"/>
              </w:rPr>
            </w:pPr>
            <w:bookmarkStart w:id="19" w:name="_Hlk504743060"/>
            <w:r w:rsidRPr="00790E21">
              <w:rPr>
                <w:rFonts w:ascii="Candara" w:hAnsi="Candara"/>
                <w:sz w:val="18"/>
                <w:szCs w:val="20"/>
              </w:rPr>
              <w:t>Nozares īpatsvars tautsaimniecībā</w:t>
            </w:r>
            <w:r w:rsidR="00703211">
              <w:rPr>
                <w:rFonts w:ascii="Candara" w:hAnsi="Candara"/>
                <w:sz w:val="18"/>
                <w:szCs w:val="20"/>
              </w:rPr>
              <w:t xml:space="preserve"> (faktiskajās cenās)</w:t>
            </w:r>
            <w:r w:rsidRPr="00790E21">
              <w:rPr>
                <w:rFonts w:ascii="Candara" w:hAnsi="Candara"/>
                <w:sz w:val="18"/>
                <w:szCs w:val="20"/>
              </w:rPr>
              <w:t>, %</w:t>
            </w:r>
            <w:bookmarkEnd w:id="19"/>
          </w:p>
        </w:tc>
        <w:tc>
          <w:tcPr>
            <w:tcW w:w="3576" w:type="dxa"/>
            <w:gridSpan w:val="2"/>
            <w:shd w:val="clear" w:color="auto" w:fill="D9D9D9" w:themeFill="background1" w:themeFillShade="D9"/>
          </w:tcPr>
          <w:p w:rsidR="008E4CFF" w:rsidRPr="00790E21" w:rsidP="00762D1E">
            <w:pPr>
              <w:spacing w:after="0" w:line="240" w:lineRule="auto"/>
              <w:jc w:val="center"/>
              <w:rPr>
                <w:rFonts w:ascii="Candara" w:hAnsi="Candara"/>
                <w:sz w:val="18"/>
                <w:szCs w:val="20"/>
              </w:rPr>
            </w:pPr>
            <w:r w:rsidRPr="00790E21">
              <w:rPr>
                <w:rFonts w:ascii="Candara" w:hAnsi="Candara"/>
                <w:sz w:val="18"/>
                <w:szCs w:val="20"/>
              </w:rPr>
              <w:t>Pievienotās vērtības un darba vietu skaita izmaiņas</w:t>
            </w:r>
            <w:r w:rsidR="007E4C0E">
              <w:rPr>
                <w:rFonts w:ascii="Candara" w:hAnsi="Candara"/>
                <w:sz w:val="18"/>
                <w:szCs w:val="20"/>
              </w:rPr>
              <w:t xml:space="preserve"> (2005=100)</w:t>
            </w:r>
          </w:p>
        </w:tc>
        <w:tc>
          <w:tcPr>
            <w:tcW w:w="3336" w:type="dxa"/>
            <w:shd w:val="clear" w:color="auto" w:fill="D9D9D9" w:themeFill="background1" w:themeFillShade="D9"/>
          </w:tcPr>
          <w:p w:rsidR="008E4CFF" w:rsidRPr="00790E21" w:rsidP="00762D1E">
            <w:pPr>
              <w:spacing w:after="0" w:line="240" w:lineRule="auto"/>
              <w:jc w:val="center"/>
              <w:rPr>
                <w:rFonts w:ascii="Candara" w:hAnsi="Candara"/>
                <w:sz w:val="18"/>
                <w:szCs w:val="20"/>
              </w:rPr>
            </w:pPr>
            <w:r w:rsidRPr="00790E21">
              <w:rPr>
                <w:rFonts w:ascii="Candara" w:hAnsi="Candara"/>
                <w:sz w:val="18"/>
                <w:szCs w:val="20"/>
              </w:rPr>
              <w:t>Produkcijas eksports</w:t>
            </w:r>
            <w:r w:rsidR="00F86EC0">
              <w:rPr>
                <w:rFonts w:ascii="Candara" w:hAnsi="Candara"/>
                <w:sz w:val="18"/>
                <w:szCs w:val="20"/>
              </w:rPr>
              <w:t>,</w:t>
            </w:r>
            <w:r w:rsidRPr="00790E21">
              <w:rPr>
                <w:rFonts w:ascii="Candara" w:hAnsi="Candara"/>
                <w:sz w:val="18"/>
                <w:szCs w:val="20"/>
              </w:rPr>
              <w:t xml:space="preserve"> milj. EUR</w:t>
            </w:r>
            <w:r w:rsidR="00E75013">
              <w:rPr>
                <w:rFonts w:ascii="Candara" w:hAnsi="Candara"/>
                <w:sz w:val="18"/>
                <w:szCs w:val="20"/>
              </w:rPr>
              <w:t>*</w:t>
            </w:r>
          </w:p>
        </w:tc>
      </w:tr>
      <w:tr w:rsidTr="003B0F04">
        <w:tblPrEx>
          <w:tblW w:w="10488" w:type="dxa"/>
          <w:jc w:val="center"/>
          <w:tblLook w:val="04A0"/>
        </w:tblPrEx>
        <w:trPr>
          <w:jc w:val="center"/>
        </w:trPr>
        <w:tc>
          <w:tcPr>
            <w:tcW w:w="3576" w:type="dxa"/>
          </w:tcPr>
          <w:p w:rsidR="008E4CFF" w:rsidRPr="00790E21" w:rsidP="00762D1E">
            <w:pPr>
              <w:spacing w:after="0" w:line="240" w:lineRule="auto"/>
              <w:rPr>
                <w:rFonts w:ascii="Candara" w:hAnsi="Candara"/>
              </w:rPr>
            </w:pPr>
            <w:r w:rsidRPr="00790E21">
              <w:rPr>
                <w:rFonts w:ascii="Candara" w:hAnsi="Candara"/>
                <w:noProof/>
                <w:sz w:val="18"/>
                <w:szCs w:val="18"/>
                <w:lang w:eastAsia="lv-LV"/>
              </w:rPr>
              <w:drawing>
                <wp:inline distT="0" distB="0" distL="0" distR="0">
                  <wp:extent cx="2133600" cy="1016000"/>
                  <wp:effectExtent l="0" t="0" r="0" b="0"/>
                  <wp:docPr id="275"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3576" w:type="dxa"/>
            <w:gridSpan w:val="2"/>
          </w:tcPr>
          <w:p w:rsidR="008E4CFF" w:rsidRPr="00790E21" w:rsidP="00762D1E">
            <w:pPr>
              <w:spacing w:after="0" w:line="240" w:lineRule="auto"/>
              <w:jc w:val="center"/>
              <w:rPr>
                <w:rFonts w:ascii="Candara" w:hAnsi="Candara"/>
              </w:rPr>
            </w:pPr>
            <w:r w:rsidRPr="00790E21">
              <w:rPr>
                <w:rFonts w:ascii="Candara" w:eastAsia="Times New Roman" w:hAnsi="Candara"/>
                <w:noProof/>
                <w:sz w:val="18"/>
                <w:szCs w:val="18"/>
                <w:lang w:eastAsia="lv-LV"/>
              </w:rPr>
              <w:drawing>
                <wp:inline distT="0" distB="0" distL="0" distR="0">
                  <wp:extent cx="1943100" cy="1003300"/>
                  <wp:effectExtent l="0" t="0" r="0" b="6350"/>
                  <wp:docPr id="276" name="Chart 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3336" w:type="dxa"/>
          </w:tcPr>
          <w:p w:rsidR="008E4CFF" w:rsidP="00762D1E">
            <w:pPr>
              <w:spacing w:after="0" w:line="240" w:lineRule="auto"/>
              <w:rPr>
                <w:rFonts w:ascii="Candara" w:hAnsi="Candara"/>
              </w:rPr>
            </w:pPr>
            <w:r>
              <w:rPr>
                <w:noProof/>
                <w:lang w:eastAsia="lv-LV"/>
              </w:rPr>
              <w:drawing>
                <wp:inline distT="0" distB="0" distL="0" distR="0">
                  <wp:extent cx="1981200" cy="893445"/>
                  <wp:effectExtent l="0" t="0" r="0" b="190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E75013" w:rsidRPr="00790E21" w:rsidP="00762D1E">
            <w:pPr>
              <w:spacing w:after="0" w:line="240" w:lineRule="auto"/>
              <w:rPr>
                <w:rFonts w:ascii="Candara" w:hAnsi="Candara"/>
              </w:rPr>
            </w:pPr>
            <w:r w:rsidRPr="00E75013">
              <w:rPr>
                <w:rFonts w:ascii="Candara" w:hAnsi="Candara"/>
                <w:sz w:val="14"/>
                <w:szCs w:val="14"/>
              </w:rPr>
              <w:t>* EM novērtējums pēc KN produktu klasifikācijas</w:t>
            </w:r>
          </w:p>
        </w:tc>
      </w:tr>
      <w:tr w:rsidTr="003B0F04">
        <w:tblPrEx>
          <w:tblW w:w="10488" w:type="dxa"/>
          <w:jc w:val="center"/>
          <w:tblLook w:val="04A0"/>
        </w:tblPrEx>
        <w:trPr>
          <w:jc w:val="center"/>
        </w:trPr>
        <w:tc>
          <w:tcPr>
            <w:tcW w:w="3576" w:type="dxa"/>
            <w:shd w:val="clear" w:color="auto" w:fill="D9D9D9" w:themeFill="background1" w:themeFillShade="D9"/>
          </w:tcPr>
          <w:p w:rsidR="008E4CFF" w:rsidRPr="00790E21" w:rsidP="00762D1E">
            <w:pPr>
              <w:spacing w:after="0" w:line="240" w:lineRule="auto"/>
              <w:jc w:val="center"/>
              <w:rPr>
                <w:rFonts w:ascii="Candara" w:hAnsi="Candara"/>
                <w:sz w:val="18"/>
              </w:rPr>
            </w:pPr>
            <w:r w:rsidRPr="00790E21">
              <w:rPr>
                <w:rFonts w:ascii="Candara" w:hAnsi="Candara"/>
                <w:sz w:val="18"/>
                <w:szCs w:val="20"/>
              </w:rPr>
              <w:t>Eksports uz 1 strādājošo, tūkst. EUR</w:t>
            </w:r>
          </w:p>
        </w:tc>
        <w:tc>
          <w:tcPr>
            <w:tcW w:w="6912" w:type="dxa"/>
            <w:gridSpan w:val="3"/>
            <w:shd w:val="clear" w:color="auto" w:fill="D9D9D9" w:themeFill="background1" w:themeFillShade="D9"/>
          </w:tcPr>
          <w:p w:rsidR="008E4CFF" w:rsidRPr="00790E21" w:rsidP="00762D1E">
            <w:pPr>
              <w:spacing w:after="0" w:line="240" w:lineRule="auto"/>
              <w:jc w:val="center"/>
              <w:rPr>
                <w:rFonts w:ascii="Candara" w:hAnsi="Candara"/>
                <w:sz w:val="18"/>
              </w:rPr>
            </w:pPr>
            <w:r w:rsidRPr="00790E21">
              <w:rPr>
                <w:rFonts w:ascii="Candara" w:hAnsi="Candara"/>
                <w:sz w:val="18"/>
                <w:szCs w:val="20"/>
              </w:rPr>
              <w:t>Eksports uz 1 strādājošo ES</w:t>
            </w:r>
            <w:r w:rsidR="00B8597F">
              <w:rPr>
                <w:rFonts w:ascii="Candara" w:hAnsi="Candara"/>
                <w:sz w:val="18"/>
                <w:szCs w:val="20"/>
              </w:rPr>
              <w:t>-</w:t>
            </w:r>
            <w:r w:rsidRPr="00790E21">
              <w:rPr>
                <w:rFonts w:ascii="Candara" w:hAnsi="Candara"/>
                <w:sz w:val="18"/>
                <w:szCs w:val="20"/>
              </w:rPr>
              <w:t>28 valstīs, tūkst. EUR</w:t>
            </w:r>
          </w:p>
        </w:tc>
      </w:tr>
      <w:tr w:rsidTr="003B0F04">
        <w:tblPrEx>
          <w:tblW w:w="10488" w:type="dxa"/>
          <w:jc w:val="center"/>
          <w:tblLook w:val="04A0"/>
        </w:tblPrEx>
        <w:trPr>
          <w:jc w:val="center"/>
        </w:trPr>
        <w:tc>
          <w:tcPr>
            <w:tcW w:w="3576" w:type="dxa"/>
          </w:tcPr>
          <w:p w:rsidR="008E4CFF" w:rsidRPr="00790E21" w:rsidP="00762D1E">
            <w:pPr>
              <w:spacing w:after="0" w:line="240" w:lineRule="auto"/>
              <w:jc w:val="center"/>
              <w:rPr>
                <w:rFonts w:ascii="Candara" w:hAnsi="Candara"/>
              </w:rPr>
            </w:pPr>
            <w:r>
              <w:rPr>
                <w:noProof/>
                <w:lang w:eastAsia="lv-LV"/>
              </w:rPr>
              <w:drawing>
                <wp:inline distT="0" distB="0" distL="0" distR="0">
                  <wp:extent cx="2133600" cy="1171575"/>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6912" w:type="dxa"/>
            <w:gridSpan w:val="3"/>
          </w:tcPr>
          <w:p w:rsidR="008E4CFF" w:rsidRPr="00790E21" w:rsidP="00762D1E">
            <w:pPr>
              <w:spacing w:after="0" w:line="240" w:lineRule="auto"/>
              <w:jc w:val="center"/>
              <w:rPr>
                <w:rFonts w:ascii="Candara" w:hAnsi="Candara"/>
              </w:rPr>
            </w:pPr>
            <w:r>
              <w:rPr>
                <w:noProof/>
                <w:lang w:eastAsia="lv-LV"/>
              </w:rPr>
              <w:drawing>
                <wp:inline distT="0" distB="0" distL="0" distR="0">
                  <wp:extent cx="4114800" cy="1171575"/>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r w:rsidTr="003B0F04">
        <w:tblPrEx>
          <w:tblW w:w="10488" w:type="dxa"/>
          <w:jc w:val="center"/>
          <w:tblLook w:val="04A0"/>
        </w:tblPrEx>
        <w:trPr>
          <w:jc w:val="center"/>
        </w:trPr>
        <w:tc>
          <w:tcPr>
            <w:tcW w:w="3576" w:type="dxa"/>
            <w:shd w:val="clear" w:color="auto" w:fill="D9D9D9" w:themeFill="background1" w:themeFillShade="D9"/>
          </w:tcPr>
          <w:p w:rsidR="008E4CFF" w:rsidRPr="00790E21" w:rsidP="00762D1E">
            <w:pPr>
              <w:spacing w:after="0" w:line="240" w:lineRule="auto"/>
              <w:jc w:val="center"/>
              <w:rPr>
                <w:rFonts w:ascii="Candara" w:hAnsi="Candara"/>
                <w:sz w:val="18"/>
                <w:szCs w:val="20"/>
              </w:rPr>
            </w:pPr>
            <w:r w:rsidRPr="00790E21">
              <w:rPr>
                <w:rFonts w:ascii="Candara" w:hAnsi="Candara"/>
                <w:sz w:val="18"/>
                <w:szCs w:val="20"/>
              </w:rPr>
              <w:t>Eksporta tirgi</w:t>
            </w:r>
            <w:r w:rsidR="000B56F2">
              <w:rPr>
                <w:rFonts w:ascii="Candara" w:hAnsi="Candara"/>
                <w:sz w:val="18"/>
                <w:szCs w:val="20"/>
              </w:rPr>
              <w:t>, 201</w:t>
            </w:r>
            <w:r w:rsidR="00F740D9">
              <w:rPr>
                <w:rFonts w:ascii="Candara" w:hAnsi="Candara"/>
                <w:sz w:val="18"/>
                <w:szCs w:val="20"/>
              </w:rPr>
              <w:t>6</w:t>
            </w:r>
            <w:r w:rsidR="000B56F2">
              <w:rPr>
                <w:rFonts w:ascii="Candara" w:hAnsi="Candara"/>
                <w:sz w:val="18"/>
                <w:szCs w:val="20"/>
              </w:rPr>
              <w:t>.g.</w:t>
            </w:r>
          </w:p>
        </w:tc>
        <w:tc>
          <w:tcPr>
            <w:tcW w:w="6912" w:type="dxa"/>
            <w:gridSpan w:val="3"/>
            <w:shd w:val="clear" w:color="auto" w:fill="D9D9D9" w:themeFill="background1" w:themeFillShade="D9"/>
          </w:tcPr>
          <w:p w:rsidR="008E4CFF" w:rsidRPr="00790E21" w:rsidP="00762D1E">
            <w:pPr>
              <w:spacing w:after="0" w:line="240" w:lineRule="auto"/>
              <w:jc w:val="center"/>
              <w:rPr>
                <w:rFonts w:ascii="Candara" w:hAnsi="Candara"/>
                <w:sz w:val="18"/>
              </w:rPr>
            </w:pPr>
            <w:r w:rsidRPr="00790E21">
              <w:rPr>
                <w:rFonts w:ascii="Candara" w:hAnsi="Candara"/>
                <w:sz w:val="18"/>
                <w:szCs w:val="20"/>
              </w:rPr>
              <w:t>Eksporta struktūra</w:t>
            </w:r>
          </w:p>
        </w:tc>
      </w:tr>
      <w:tr w:rsidTr="003B0F04">
        <w:tblPrEx>
          <w:tblW w:w="10488" w:type="dxa"/>
          <w:jc w:val="center"/>
          <w:tblLook w:val="04A0"/>
        </w:tblPrEx>
        <w:trPr>
          <w:jc w:val="center"/>
        </w:trPr>
        <w:tc>
          <w:tcPr>
            <w:tcW w:w="3576" w:type="dxa"/>
          </w:tcPr>
          <w:p w:rsidR="008E4CFF" w:rsidRPr="00B612F1" w:rsidP="00762D1E">
            <w:pPr>
              <w:spacing w:after="0" w:line="240" w:lineRule="auto"/>
              <w:jc w:val="center"/>
              <w:rPr>
                <w:rFonts w:ascii="Candara" w:hAnsi="Candara"/>
                <w:b/>
                <w:szCs w:val="28"/>
              </w:rPr>
            </w:pPr>
            <w:r w:rsidRPr="004F3DC7">
              <w:rPr>
                <w:noProof/>
                <w:sz w:val="18"/>
                <w:szCs w:val="18"/>
                <w:lang w:eastAsia="lv-LV"/>
              </w:rPr>
              <w:drawing>
                <wp:inline distT="0" distB="0" distL="0" distR="0">
                  <wp:extent cx="1657350" cy="1368000"/>
                  <wp:effectExtent l="0" t="0" r="0" b="3810"/>
                  <wp:docPr id="280"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c>
          <w:tcPr>
            <w:tcW w:w="6912" w:type="dxa"/>
            <w:gridSpan w:val="3"/>
          </w:tcPr>
          <w:p w:rsidR="008E4CFF" w:rsidRPr="004B5C57" w:rsidP="00762D1E">
            <w:pPr>
              <w:tabs>
                <w:tab w:val="left" w:pos="8080"/>
              </w:tabs>
              <w:spacing w:after="0" w:line="240" w:lineRule="auto"/>
              <w:ind w:right="-31"/>
              <w:jc w:val="center"/>
              <w:rPr>
                <w:sz w:val="18"/>
              </w:rPr>
            </w:pPr>
            <w:r w:rsidRPr="004B5C57">
              <w:rPr>
                <w:sz w:val="18"/>
              </w:rPr>
              <w:t xml:space="preserve">Latvija </w:t>
            </w:r>
            <w:r>
              <w:rPr>
                <w:sz w:val="18"/>
              </w:rPr>
              <w:t xml:space="preserve">                                                                                      </w:t>
            </w:r>
            <w:r w:rsidRPr="004B5C57">
              <w:rPr>
                <w:sz w:val="18"/>
              </w:rPr>
              <w:t>ES-28</w:t>
            </w:r>
          </w:p>
          <w:p w:rsidR="008E4CFF" w:rsidRPr="004B5C57" w:rsidP="00762D1E">
            <w:pPr>
              <w:tabs>
                <w:tab w:val="left" w:pos="8080"/>
              </w:tabs>
              <w:spacing w:after="0" w:line="240" w:lineRule="auto"/>
              <w:ind w:right="-31"/>
            </w:pPr>
            <w:r>
              <w:rPr>
                <w:noProof/>
                <w:lang w:eastAsia="lv-LV"/>
              </w:rPr>
              <w:drawing>
                <wp:inline distT="0" distB="0" distL="0" distR="0">
                  <wp:extent cx="2617393" cy="1242725"/>
                  <wp:effectExtent l="0" t="0" r="0" b="0"/>
                  <wp:docPr id="281" name="Chart 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Pr>
                <w:noProof/>
                <w:lang w:eastAsia="lv-LV"/>
              </w:rPr>
              <w:drawing>
                <wp:inline distT="0" distB="0" distL="0" distR="0">
                  <wp:extent cx="1356258" cy="1242725"/>
                  <wp:effectExtent l="0" t="0" r="0" b="0"/>
                  <wp:docPr id="282" name="Chart 28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r w:rsidTr="003B0F04">
        <w:tblPrEx>
          <w:tblW w:w="10488" w:type="dxa"/>
          <w:jc w:val="center"/>
          <w:tblLook w:val="04A0"/>
        </w:tblPrEx>
        <w:trPr>
          <w:jc w:val="center"/>
        </w:trPr>
        <w:tc>
          <w:tcPr>
            <w:tcW w:w="3576" w:type="dxa"/>
            <w:shd w:val="clear" w:color="auto" w:fill="D9D9D9" w:themeFill="background1" w:themeFillShade="D9"/>
          </w:tcPr>
          <w:p w:rsidR="008E4CFF" w:rsidRPr="00483382" w:rsidP="00762D1E">
            <w:pPr>
              <w:spacing w:after="0" w:line="240" w:lineRule="auto"/>
              <w:jc w:val="center"/>
              <w:rPr>
                <w:rFonts w:ascii="Candara" w:hAnsi="Candara"/>
                <w:sz w:val="18"/>
              </w:rPr>
            </w:pPr>
            <w:r w:rsidRPr="00483382">
              <w:rPr>
                <w:rFonts w:ascii="Candara" w:hAnsi="Candara"/>
                <w:sz w:val="18"/>
                <w:szCs w:val="20"/>
              </w:rPr>
              <w:t>Darbaspēka izmaksu dinamika</w:t>
            </w:r>
            <w:r>
              <w:rPr>
                <w:rFonts w:ascii="Candara" w:hAnsi="Candara"/>
                <w:sz w:val="18"/>
                <w:szCs w:val="20"/>
              </w:rPr>
              <w:t>, tūkst. EUR</w:t>
            </w:r>
          </w:p>
        </w:tc>
        <w:tc>
          <w:tcPr>
            <w:tcW w:w="3576" w:type="dxa"/>
            <w:gridSpan w:val="2"/>
            <w:shd w:val="clear" w:color="auto" w:fill="D9D9D9" w:themeFill="background1" w:themeFillShade="D9"/>
          </w:tcPr>
          <w:p w:rsidR="008E4CFF" w:rsidRPr="00483382" w:rsidP="00762D1E">
            <w:pPr>
              <w:spacing w:after="0" w:line="240" w:lineRule="auto"/>
              <w:jc w:val="center"/>
              <w:rPr>
                <w:rFonts w:ascii="Candara" w:hAnsi="Candara"/>
                <w:sz w:val="18"/>
              </w:rPr>
            </w:pPr>
            <w:r w:rsidRPr="00483382">
              <w:rPr>
                <w:rFonts w:ascii="Candara" w:hAnsi="Candara"/>
                <w:sz w:val="18"/>
                <w:szCs w:val="20"/>
              </w:rPr>
              <w:t>Produktivitātes dinamika</w:t>
            </w:r>
            <w:r>
              <w:rPr>
                <w:rFonts w:ascii="Candara" w:hAnsi="Candara"/>
                <w:sz w:val="18"/>
                <w:szCs w:val="20"/>
              </w:rPr>
              <w:t>, tūkst. EUR</w:t>
            </w:r>
          </w:p>
        </w:tc>
        <w:tc>
          <w:tcPr>
            <w:tcW w:w="3336" w:type="dxa"/>
            <w:shd w:val="clear" w:color="auto" w:fill="D9D9D9" w:themeFill="background1" w:themeFillShade="D9"/>
          </w:tcPr>
          <w:p w:rsidR="008E4CFF" w:rsidRPr="00483382" w:rsidP="00762D1E">
            <w:pPr>
              <w:spacing w:after="0" w:line="240" w:lineRule="auto"/>
              <w:jc w:val="center"/>
              <w:rPr>
                <w:rFonts w:ascii="Candara" w:hAnsi="Candara"/>
                <w:sz w:val="18"/>
              </w:rPr>
            </w:pPr>
            <w:r w:rsidRPr="00483382">
              <w:rPr>
                <w:rFonts w:ascii="Candara" w:hAnsi="Candara"/>
                <w:sz w:val="18"/>
                <w:szCs w:val="20"/>
              </w:rPr>
              <w:t>Produktivitāte un darbaspēka izmaksas</w:t>
            </w:r>
          </w:p>
        </w:tc>
      </w:tr>
      <w:tr w:rsidTr="003B0F04">
        <w:tblPrEx>
          <w:tblW w:w="10488" w:type="dxa"/>
          <w:jc w:val="center"/>
          <w:tblLook w:val="04A0"/>
        </w:tblPrEx>
        <w:trPr>
          <w:jc w:val="center"/>
        </w:trPr>
        <w:tc>
          <w:tcPr>
            <w:tcW w:w="3576" w:type="dxa"/>
          </w:tcPr>
          <w:p w:rsidR="008E4CFF" w:rsidP="00762D1E">
            <w:pPr>
              <w:spacing w:after="0" w:line="240" w:lineRule="auto"/>
              <w:jc w:val="center"/>
              <w:rPr>
                <w:rFonts w:ascii="Candara" w:hAnsi="Candara"/>
              </w:rPr>
            </w:pPr>
            <w:r w:rsidRPr="00B612F1">
              <w:rPr>
                <w:rFonts w:ascii="Candara" w:hAnsi="Candara"/>
                <w:noProof/>
                <w:sz w:val="18"/>
                <w:szCs w:val="18"/>
                <w:lang w:eastAsia="lv-LV"/>
              </w:rPr>
              <w:drawing>
                <wp:inline distT="0" distB="0" distL="0" distR="0">
                  <wp:extent cx="2133600" cy="1073150"/>
                  <wp:effectExtent l="0" t="0" r="0" b="0"/>
                  <wp:docPr id="283"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c>
          <w:tcPr>
            <w:tcW w:w="3576" w:type="dxa"/>
            <w:gridSpan w:val="2"/>
          </w:tcPr>
          <w:p w:rsidR="008E4CFF" w:rsidP="00762D1E">
            <w:pPr>
              <w:spacing w:after="0" w:line="240" w:lineRule="auto"/>
              <w:jc w:val="center"/>
              <w:rPr>
                <w:rFonts w:ascii="Candara" w:hAnsi="Candara"/>
              </w:rPr>
            </w:pPr>
            <w:r w:rsidRPr="00B612F1">
              <w:rPr>
                <w:rFonts w:ascii="Candara" w:hAnsi="Candara"/>
                <w:noProof/>
                <w:sz w:val="18"/>
                <w:szCs w:val="18"/>
                <w:lang w:eastAsia="lv-LV"/>
              </w:rPr>
              <w:drawing>
                <wp:inline distT="0" distB="0" distL="0" distR="0">
                  <wp:extent cx="2133600" cy="1079500"/>
                  <wp:effectExtent l="0" t="0" r="0" b="6350"/>
                  <wp:docPr id="284"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c>
          <w:tcPr>
            <w:tcW w:w="3336" w:type="dxa"/>
            <w:vMerge w:val="restart"/>
          </w:tcPr>
          <w:p w:rsidR="008E4CFF" w:rsidP="00762D1E">
            <w:pPr>
              <w:spacing w:after="0" w:line="240" w:lineRule="auto"/>
              <w:jc w:val="center"/>
              <w:rPr>
                <w:rFonts w:ascii="Candara" w:hAnsi="Candara"/>
              </w:rPr>
            </w:pPr>
            <w:r w:rsidRPr="00B612F1">
              <w:rPr>
                <w:rFonts w:ascii="Candara" w:eastAsia="Times New Roman" w:hAnsi="Candara"/>
                <w:noProof/>
                <w:sz w:val="18"/>
                <w:szCs w:val="18"/>
                <w:lang w:eastAsia="lv-LV"/>
              </w:rPr>
              <w:drawing>
                <wp:inline distT="0" distB="0" distL="0" distR="0">
                  <wp:extent cx="1847850" cy="2228850"/>
                  <wp:effectExtent l="0" t="0" r="0" b="0"/>
                  <wp:docPr id="285" name="Chart 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r w:rsidTr="003B0F04">
        <w:tblPrEx>
          <w:tblW w:w="10488" w:type="dxa"/>
          <w:jc w:val="center"/>
          <w:tblLook w:val="04A0"/>
        </w:tblPrEx>
        <w:trPr>
          <w:jc w:val="center"/>
        </w:trPr>
        <w:tc>
          <w:tcPr>
            <w:tcW w:w="3576" w:type="dxa"/>
            <w:shd w:val="clear" w:color="auto" w:fill="D9D9D9" w:themeFill="background1" w:themeFillShade="D9"/>
          </w:tcPr>
          <w:p w:rsidR="008E4CFF" w:rsidRPr="00483382" w:rsidP="00762D1E">
            <w:pPr>
              <w:spacing w:after="0" w:line="240" w:lineRule="auto"/>
              <w:jc w:val="center"/>
              <w:rPr>
                <w:rFonts w:ascii="Candara" w:hAnsi="Candara"/>
                <w:sz w:val="18"/>
              </w:rPr>
            </w:pPr>
            <w:r w:rsidRPr="00483382">
              <w:rPr>
                <w:rFonts w:ascii="Candara" w:hAnsi="Candara"/>
                <w:sz w:val="18"/>
                <w:szCs w:val="20"/>
              </w:rPr>
              <w:t>Darbaspēka izmaksas, ES-28=100</w:t>
            </w:r>
          </w:p>
        </w:tc>
        <w:tc>
          <w:tcPr>
            <w:tcW w:w="3576" w:type="dxa"/>
            <w:gridSpan w:val="2"/>
            <w:shd w:val="clear" w:color="auto" w:fill="D9D9D9" w:themeFill="background1" w:themeFillShade="D9"/>
          </w:tcPr>
          <w:p w:rsidR="008E4CFF" w:rsidRPr="00483382" w:rsidP="00762D1E">
            <w:pPr>
              <w:spacing w:after="0" w:line="240" w:lineRule="auto"/>
              <w:jc w:val="center"/>
              <w:rPr>
                <w:rFonts w:ascii="Candara" w:hAnsi="Candara"/>
                <w:sz w:val="18"/>
              </w:rPr>
            </w:pPr>
            <w:r w:rsidRPr="00483382">
              <w:rPr>
                <w:rFonts w:ascii="Candara" w:hAnsi="Candara"/>
                <w:sz w:val="18"/>
                <w:szCs w:val="20"/>
              </w:rPr>
              <w:t>Produktivitāte, ES-28=100</w:t>
            </w:r>
          </w:p>
        </w:tc>
        <w:tc>
          <w:tcPr>
            <w:tcW w:w="3336" w:type="dxa"/>
            <w:vMerge/>
            <w:shd w:val="clear" w:color="auto" w:fill="D9D9D9" w:themeFill="background1" w:themeFillShade="D9"/>
          </w:tcPr>
          <w:p w:rsidR="008E4CFF" w:rsidRPr="00483382" w:rsidP="003A2C2A">
            <w:pPr>
              <w:jc w:val="center"/>
              <w:rPr>
                <w:rFonts w:ascii="Candara" w:hAnsi="Candara"/>
                <w:sz w:val="18"/>
              </w:rPr>
            </w:pPr>
          </w:p>
        </w:tc>
      </w:tr>
      <w:tr w:rsidTr="003B0F04">
        <w:tblPrEx>
          <w:tblW w:w="10488" w:type="dxa"/>
          <w:jc w:val="center"/>
          <w:tblLook w:val="04A0"/>
        </w:tblPrEx>
        <w:trPr>
          <w:jc w:val="center"/>
        </w:trPr>
        <w:tc>
          <w:tcPr>
            <w:tcW w:w="3576" w:type="dxa"/>
          </w:tcPr>
          <w:p w:rsidR="008E4CFF" w:rsidP="00762D1E">
            <w:pPr>
              <w:spacing w:after="0" w:line="240" w:lineRule="auto"/>
              <w:jc w:val="center"/>
              <w:rPr>
                <w:rFonts w:ascii="Candara" w:hAnsi="Candara"/>
              </w:rPr>
            </w:pPr>
            <w:r w:rsidRPr="00B41842">
              <w:rPr>
                <w:rFonts w:ascii="Arial Narrow" w:hAnsi="Arial Narrow"/>
                <w:noProof/>
                <w:lang w:eastAsia="lv-LV"/>
              </w:rPr>
              <w:drawing>
                <wp:inline distT="0" distB="0" distL="0" distR="0">
                  <wp:extent cx="2124075" cy="1057275"/>
                  <wp:effectExtent l="0" t="0" r="0" b="0"/>
                  <wp:docPr id="28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c>
          <w:tcPr>
            <w:tcW w:w="3576" w:type="dxa"/>
            <w:gridSpan w:val="2"/>
          </w:tcPr>
          <w:p w:rsidR="008E4CFF" w:rsidP="00762D1E">
            <w:pPr>
              <w:spacing w:after="0" w:line="240" w:lineRule="auto"/>
              <w:jc w:val="center"/>
              <w:rPr>
                <w:rFonts w:ascii="Candara" w:hAnsi="Candara"/>
              </w:rPr>
            </w:pPr>
            <w:r w:rsidRPr="00123E9E">
              <w:rPr>
                <w:rFonts w:ascii="Arial Narrow" w:hAnsi="Arial Narrow"/>
                <w:noProof/>
                <w:lang w:eastAsia="lv-LV"/>
              </w:rPr>
              <w:drawing>
                <wp:inline distT="0" distB="0" distL="0" distR="0">
                  <wp:extent cx="2025650" cy="1057275"/>
                  <wp:effectExtent l="0" t="0" r="0" b="0"/>
                  <wp:docPr id="28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c>
          <w:tcPr>
            <w:tcW w:w="3336" w:type="dxa"/>
            <w:vMerge/>
          </w:tcPr>
          <w:p w:rsidR="008E4CFF" w:rsidP="003A2C2A">
            <w:pPr>
              <w:jc w:val="center"/>
              <w:rPr>
                <w:rFonts w:ascii="Candara" w:hAnsi="Candara"/>
              </w:rPr>
            </w:pPr>
          </w:p>
        </w:tc>
      </w:tr>
      <w:tr w:rsidTr="003B0F04">
        <w:tblPrEx>
          <w:tblW w:w="10488" w:type="dxa"/>
          <w:jc w:val="center"/>
          <w:tblLook w:val="04A0"/>
        </w:tblPrEx>
        <w:trPr>
          <w:jc w:val="center"/>
        </w:trPr>
        <w:tc>
          <w:tcPr>
            <w:tcW w:w="5299" w:type="dxa"/>
            <w:gridSpan w:val="2"/>
            <w:shd w:val="clear" w:color="auto" w:fill="D9D9D9" w:themeFill="background1" w:themeFillShade="D9"/>
          </w:tcPr>
          <w:p w:rsidR="008E4CFF" w:rsidRPr="00483382" w:rsidP="00762D1E">
            <w:pPr>
              <w:spacing w:after="0" w:line="240" w:lineRule="auto"/>
              <w:jc w:val="center"/>
              <w:rPr>
                <w:rFonts w:ascii="Candara" w:hAnsi="Candara"/>
                <w:sz w:val="18"/>
                <w:szCs w:val="20"/>
              </w:rPr>
            </w:pPr>
            <w:r w:rsidRPr="00483382">
              <w:rPr>
                <w:rFonts w:ascii="Candara" w:hAnsi="Candara"/>
                <w:sz w:val="18"/>
                <w:szCs w:val="20"/>
              </w:rPr>
              <w:t>Darbaspēka izmaksas</w:t>
            </w:r>
            <w:r w:rsidR="00F35BE1">
              <w:rPr>
                <w:rFonts w:ascii="Candara" w:hAnsi="Candara"/>
                <w:sz w:val="18"/>
                <w:szCs w:val="20"/>
              </w:rPr>
              <w:t xml:space="preserve"> uz 1 nodarbināto</w:t>
            </w:r>
            <w:r w:rsidR="005C1E6F">
              <w:rPr>
                <w:rFonts w:ascii="Candara" w:hAnsi="Candara"/>
                <w:sz w:val="18"/>
                <w:szCs w:val="20"/>
              </w:rPr>
              <w:t xml:space="preserve"> 201</w:t>
            </w:r>
            <w:r w:rsidR="00D73243">
              <w:rPr>
                <w:rFonts w:ascii="Candara" w:hAnsi="Candara"/>
                <w:sz w:val="18"/>
                <w:szCs w:val="20"/>
              </w:rPr>
              <w:t>5</w:t>
            </w:r>
            <w:r w:rsidR="005C1E6F">
              <w:rPr>
                <w:rFonts w:ascii="Candara" w:hAnsi="Candara"/>
                <w:sz w:val="18"/>
                <w:szCs w:val="20"/>
              </w:rPr>
              <w:t>.g.</w:t>
            </w:r>
            <w:r>
              <w:rPr>
                <w:rFonts w:ascii="Candara" w:hAnsi="Candara"/>
                <w:sz w:val="18"/>
                <w:szCs w:val="20"/>
              </w:rPr>
              <w:t>, tūkst. EUR</w:t>
            </w:r>
          </w:p>
        </w:tc>
        <w:tc>
          <w:tcPr>
            <w:tcW w:w="5189" w:type="dxa"/>
            <w:gridSpan w:val="2"/>
            <w:shd w:val="clear" w:color="auto" w:fill="D9D9D9" w:themeFill="background1" w:themeFillShade="D9"/>
          </w:tcPr>
          <w:p w:rsidR="008E4CFF" w:rsidRPr="00483382" w:rsidP="00762D1E">
            <w:pPr>
              <w:spacing w:after="0" w:line="240" w:lineRule="auto"/>
              <w:jc w:val="center"/>
              <w:rPr>
                <w:rFonts w:ascii="Candara" w:hAnsi="Candara"/>
                <w:sz w:val="18"/>
                <w:szCs w:val="20"/>
              </w:rPr>
            </w:pPr>
            <w:r w:rsidRPr="00483382">
              <w:rPr>
                <w:rFonts w:ascii="Candara" w:hAnsi="Candara"/>
                <w:sz w:val="18"/>
                <w:szCs w:val="20"/>
              </w:rPr>
              <w:t>Produktivitāte</w:t>
            </w:r>
            <w:r w:rsidR="005C1E6F">
              <w:rPr>
                <w:rFonts w:ascii="Candara" w:hAnsi="Candara"/>
                <w:sz w:val="18"/>
                <w:szCs w:val="20"/>
              </w:rPr>
              <w:t xml:space="preserve"> (PV uz 1 nodarbināto) 201</w:t>
            </w:r>
            <w:r w:rsidR="000F79A3">
              <w:rPr>
                <w:rFonts w:ascii="Candara" w:hAnsi="Candara"/>
                <w:sz w:val="18"/>
                <w:szCs w:val="20"/>
              </w:rPr>
              <w:t>5</w:t>
            </w:r>
            <w:r w:rsidR="005C1E6F">
              <w:rPr>
                <w:rFonts w:ascii="Candara" w:hAnsi="Candara"/>
                <w:sz w:val="18"/>
                <w:szCs w:val="20"/>
              </w:rPr>
              <w:t>.g.</w:t>
            </w:r>
            <w:r>
              <w:rPr>
                <w:rFonts w:ascii="Candara" w:hAnsi="Candara"/>
                <w:sz w:val="18"/>
                <w:szCs w:val="20"/>
              </w:rPr>
              <w:t>, tūkst. EUR</w:t>
            </w:r>
          </w:p>
        </w:tc>
      </w:tr>
      <w:tr w:rsidTr="003B0F04">
        <w:tblPrEx>
          <w:tblW w:w="10488" w:type="dxa"/>
          <w:jc w:val="center"/>
          <w:tblLook w:val="04A0"/>
        </w:tblPrEx>
        <w:trPr>
          <w:jc w:val="center"/>
        </w:trPr>
        <w:tc>
          <w:tcPr>
            <w:tcW w:w="5299" w:type="dxa"/>
            <w:gridSpan w:val="2"/>
          </w:tcPr>
          <w:p w:rsidR="008E4CFF" w:rsidP="00762D1E">
            <w:pPr>
              <w:spacing w:after="0" w:line="240" w:lineRule="auto"/>
              <w:jc w:val="center"/>
              <w:rPr>
                <w:rFonts w:ascii="Candara" w:hAnsi="Candara"/>
              </w:rPr>
            </w:pPr>
            <w:r w:rsidRPr="00421CA2">
              <w:rPr>
                <w:noProof/>
                <w:lang w:eastAsia="lv-LV"/>
              </w:rPr>
              <w:drawing>
                <wp:inline distT="0" distB="0" distL="0" distR="0">
                  <wp:extent cx="3152775" cy="1171575"/>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c>
          <w:tcPr>
            <w:tcW w:w="5189" w:type="dxa"/>
            <w:gridSpan w:val="2"/>
          </w:tcPr>
          <w:p w:rsidR="008E4CFF" w:rsidP="00762D1E">
            <w:pPr>
              <w:spacing w:after="0" w:line="240" w:lineRule="auto"/>
              <w:jc w:val="center"/>
              <w:rPr>
                <w:rFonts w:ascii="Candara" w:hAnsi="Candara"/>
              </w:rPr>
            </w:pPr>
            <w:r w:rsidRPr="00421CA2">
              <w:rPr>
                <w:noProof/>
                <w:lang w:eastAsia="lv-LV"/>
              </w:rPr>
              <w:drawing>
                <wp:inline distT="0" distB="0" distL="0" distR="0">
                  <wp:extent cx="3152775" cy="1171575"/>
                  <wp:effectExtent l="0" t="0" r="0"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r w:rsidTr="003B0F04">
        <w:tblPrEx>
          <w:tblW w:w="10488" w:type="dxa"/>
          <w:jc w:val="center"/>
          <w:tblLook w:val="04A0"/>
        </w:tblPrEx>
        <w:trPr>
          <w:jc w:val="center"/>
        </w:trPr>
        <w:tc>
          <w:tcPr>
            <w:tcW w:w="5299" w:type="dxa"/>
            <w:gridSpan w:val="2"/>
            <w:shd w:val="clear" w:color="auto" w:fill="D9D9D9" w:themeFill="background1" w:themeFillShade="D9"/>
          </w:tcPr>
          <w:p w:rsidR="008E4CFF" w:rsidRPr="00483382" w:rsidP="00762D1E">
            <w:pPr>
              <w:spacing w:after="0" w:line="240" w:lineRule="auto"/>
              <w:jc w:val="center"/>
              <w:rPr>
                <w:rFonts w:ascii="Candara" w:hAnsi="Candara"/>
                <w:sz w:val="18"/>
              </w:rPr>
            </w:pPr>
            <w:r w:rsidRPr="00483382">
              <w:rPr>
                <w:rFonts w:ascii="Candara" w:hAnsi="Candara"/>
                <w:sz w:val="18"/>
                <w:szCs w:val="20"/>
              </w:rPr>
              <w:t>Produktivitāte un darbaspēka izmaksas ES-28 valstīs 2010.g</w:t>
            </w:r>
            <w:r w:rsidR="00F86EC0">
              <w:rPr>
                <w:rFonts w:ascii="Candara" w:hAnsi="Candara"/>
                <w:sz w:val="18"/>
                <w:szCs w:val="20"/>
              </w:rPr>
              <w:t>.</w:t>
            </w:r>
          </w:p>
        </w:tc>
        <w:tc>
          <w:tcPr>
            <w:tcW w:w="5189" w:type="dxa"/>
            <w:gridSpan w:val="2"/>
            <w:shd w:val="clear" w:color="auto" w:fill="D9D9D9" w:themeFill="background1" w:themeFillShade="D9"/>
          </w:tcPr>
          <w:p w:rsidR="008E4CFF" w:rsidRPr="00483382" w:rsidP="00762D1E">
            <w:pPr>
              <w:spacing w:after="0" w:line="240" w:lineRule="auto"/>
              <w:jc w:val="center"/>
              <w:rPr>
                <w:rFonts w:ascii="Candara" w:hAnsi="Candara"/>
                <w:sz w:val="18"/>
              </w:rPr>
            </w:pPr>
            <w:r w:rsidRPr="00483382">
              <w:rPr>
                <w:rFonts w:ascii="Candara" w:hAnsi="Candara"/>
                <w:sz w:val="18"/>
                <w:szCs w:val="20"/>
              </w:rPr>
              <w:t>Produktivitāte un darbaspēka izmaksas ES-28 valstīs 201</w:t>
            </w:r>
            <w:r w:rsidR="000B612C">
              <w:rPr>
                <w:rFonts w:ascii="Candara" w:hAnsi="Candara"/>
                <w:sz w:val="18"/>
                <w:szCs w:val="20"/>
              </w:rPr>
              <w:t>5</w:t>
            </w:r>
            <w:r w:rsidRPr="00483382">
              <w:rPr>
                <w:rFonts w:ascii="Candara" w:hAnsi="Candara"/>
                <w:sz w:val="18"/>
                <w:szCs w:val="20"/>
              </w:rPr>
              <w:t>.g</w:t>
            </w:r>
            <w:r w:rsidR="00F86EC0">
              <w:rPr>
                <w:rFonts w:ascii="Candara" w:hAnsi="Candara"/>
                <w:sz w:val="18"/>
                <w:szCs w:val="20"/>
              </w:rPr>
              <w:t>.</w:t>
            </w:r>
          </w:p>
        </w:tc>
      </w:tr>
      <w:tr w:rsidTr="003B0F04">
        <w:tblPrEx>
          <w:tblW w:w="10488" w:type="dxa"/>
          <w:jc w:val="center"/>
          <w:tblLook w:val="04A0"/>
        </w:tblPrEx>
        <w:trPr>
          <w:jc w:val="center"/>
        </w:trPr>
        <w:tc>
          <w:tcPr>
            <w:tcW w:w="5299" w:type="dxa"/>
            <w:gridSpan w:val="2"/>
          </w:tcPr>
          <w:p w:rsidR="008E4CFF" w:rsidP="00762D1E">
            <w:pPr>
              <w:spacing w:after="0" w:line="240" w:lineRule="auto"/>
              <w:rPr>
                <w:rFonts w:ascii="Candara" w:hAnsi="Candara"/>
              </w:rPr>
            </w:pPr>
            <w:r w:rsidRPr="00B612F1">
              <w:rPr>
                <w:rFonts w:ascii="Candara" w:eastAsia="Times New Roman" w:hAnsi="Candara"/>
                <w:noProof/>
                <w:sz w:val="18"/>
                <w:szCs w:val="18"/>
                <w:lang w:eastAsia="lv-LV"/>
              </w:rPr>
              <w:drawing>
                <wp:inline distT="0" distB="0" distL="0" distR="0">
                  <wp:extent cx="3057525" cy="1333500"/>
                  <wp:effectExtent l="0" t="0" r="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c>
          <w:tcPr>
            <w:tcW w:w="5189" w:type="dxa"/>
            <w:gridSpan w:val="2"/>
          </w:tcPr>
          <w:p w:rsidR="008E4CFF" w:rsidP="00762D1E">
            <w:pPr>
              <w:spacing w:after="0" w:line="240" w:lineRule="auto"/>
              <w:rPr>
                <w:rFonts w:ascii="Candara" w:hAnsi="Candara"/>
              </w:rPr>
            </w:pPr>
            <w:r w:rsidRPr="00B612F1">
              <w:rPr>
                <w:rFonts w:ascii="Candara" w:eastAsia="Times New Roman" w:hAnsi="Candara"/>
                <w:noProof/>
                <w:sz w:val="18"/>
                <w:szCs w:val="18"/>
                <w:lang w:eastAsia="lv-LV"/>
              </w:rPr>
              <w:drawing>
                <wp:inline distT="0" distB="0" distL="0" distR="0">
                  <wp:extent cx="3057525" cy="1333500"/>
                  <wp:effectExtent l="0" t="0" r="0"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r>
    </w:tbl>
    <w:p w:rsidR="008E4CFF" w:rsidP="008E4CFF">
      <w:pPr>
        <w:spacing w:after="0" w:line="240" w:lineRule="auto"/>
        <w:rPr>
          <w:rFonts w:ascii="Candara" w:hAnsi="Candara"/>
          <w:b/>
          <w:color w:val="000000"/>
          <w:szCs w:val="28"/>
        </w:rPr>
      </w:pPr>
    </w:p>
    <w:p w:rsidR="00C9657B" w:rsidP="00C9657B">
      <w:pPr>
        <w:spacing w:after="0" w:line="240" w:lineRule="auto"/>
        <w:jc w:val="both"/>
        <w:rPr>
          <w:rFonts w:ascii="Candara" w:hAnsi="Candara"/>
          <w:color w:val="000000"/>
          <w:szCs w:val="28"/>
        </w:rPr>
      </w:pPr>
      <w:bookmarkEnd w:id="16"/>
      <w:r>
        <w:rPr>
          <w:rFonts w:ascii="Candara" w:hAnsi="Candara"/>
          <w:b/>
          <w:color w:val="000000"/>
          <w:szCs w:val="28"/>
          <w:u w:val="single"/>
        </w:rPr>
        <w:t>Nozares īpatsvars tautsaimniecībā, procentos.</w:t>
      </w:r>
      <w:r>
        <w:rPr>
          <w:rFonts w:ascii="Candara" w:hAnsi="Candara"/>
          <w:color w:val="000000"/>
          <w:szCs w:val="28"/>
        </w:rPr>
        <w:t xml:space="preserve"> Nozare ir otra lielākā apstrādes rūpniecības nozare gan pēc izlaides, gan pēc aizņemto darbavietu skaita. Nozares īpatsvars kopējā tautsaimniecībā 2005.gadā bija 3,4%. Pēc krīzes periodā nozares apjomi palielinājās, īpatsvaram pieaugot par 0,7 procentpunktiem no 2,6% 2008.gadā līdz 3,3% 2010.gadā. Savukārt 2011.gadā nozares īpatsvars samazinājās līdz 2,8%, nokrītoties līdz 2,5% 2015.gadā. </w:t>
      </w:r>
      <w:r>
        <w:rPr>
          <w:rFonts w:ascii="Candara" w:hAnsi="Candara"/>
          <w:b/>
          <w:color w:val="000000"/>
          <w:szCs w:val="28"/>
          <w:u w:val="single"/>
        </w:rPr>
        <w:t>Pievienotās vērtības un darba vietu skaita izmaiņas, 2005=100.</w:t>
      </w:r>
      <w:r>
        <w:rPr>
          <w:rFonts w:ascii="Candara" w:hAnsi="Candara"/>
          <w:color w:val="000000"/>
          <w:szCs w:val="28"/>
        </w:rPr>
        <w:t xml:space="preserve"> 2015. gadā ražošanas apjomi nozarē samazinājās par 4,6%. Salīdzinot ar krīzes zemāko punktu 2009. gadā, nozares izlaides apjomi 2015.gadā bija par 5% zemāki un par 41% atpaliek no pirmskrīzes līmeņa.</w:t>
      </w:r>
    </w:p>
    <w:p w:rsidR="00C9657B" w:rsidP="00C9657B">
      <w:pPr>
        <w:spacing w:after="0" w:line="240" w:lineRule="auto"/>
        <w:jc w:val="both"/>
        <w:rPr>
          <w:rFonts w:ascii="Candara" w:hAnsi="Candara"/>
          <w:b/>
          <w:color w:val="000000"/>
          <w:szCs w:val="28"/>
          <w:u w:val="single"/>
        </w:rPr>
      </w:pPr>
      <w:r>
        <w:rPr>
          <w:rFonts w:ascii="Candara" w:hAnsi="Candara"/>
          <w:color w:val="000000"/>
          <w:szCs w:val="28"/>
        </w:rPr>
        <w:t>Darbavietu skaits nozarē kopš 2005.gada samazinās. 2015. gadā darbavietu skaits samazinājās 1,8%, bet, salīdzinot ar zemāko punktu 2011.gadā, darbavietu skaits saruka par 0,1%.</w:t>
      </w:r>
    </w:p>
    <w:p w:rsidR="00C9657B" w:rsidP="00C9657B">
      <w:pPr>
        <w:spacing w:after="0" w:line="240" w:lineRule="auto"/>
        <w:jc w:val="both"/>
        <w:rPr>
          <w:rFonts w:ascii="Candara" w:hAnsi="Candara"/>
          <w:color w:val="000000"/>
          <w:szCs w:val="28"/>
        </w:rPr>
      </w:pPr>
      <w:r>
        <w:rPr>
          <w:rFonts w:ascii="Candara" w:hAnsi="Candara"/>
          <w:b/>
          <w:color w:val="000000"/>
          <w:szCs w:val="28"/>
          <w:u w:val="single"/>
        </w:rPr>
        <w:t>Produkcijas eksports, milj. EUR.</w:t>
      </w:r>
      <w:r>
        <w:rPr>
          <w:rFonts w:ascii="Candara" w:hAnsi="Candara"/>
          <w:color w:val="000000"/>
          <w:szCs w:val="28"/>
        </w:rPr>
        <w:t xml:space="preserve"> Kopš krīzes zemākā punkta 2009. gadā eksportētās produkcijas apjomi ir dubultojušies. 2015.gadā eksporta apjomi samazinājās saistībā ar situāciju ārējā vidē un pasaules cenām.</w:t>
      </w:r>
    </w:p>
    <w:p w:rsidR="00C9657B" w:rsidP="00C9657B">
      <w:pPr>
        <w:spacing w:after="0" w:line="240" w:lineRule="auto"/>
        <w:jc w:val="both"/>
        <w:rPr>
          <w:rFonts w:ascii="Candara" w:hAnsi="Candara"/>
          <w:b/>
          <w:color w:val="000000"/>
          <w:szCs w:val="28"/>
          <w:u w:val="single"/>
        </w:rPr>
      </w:pPr>
      <w:r>
        <w:rPr>
          <w:rFonts w:ascii="Candara" w:hAnsi="Candara"/>
          <w:b/>
          <w:color w:val="000000"/>
          <w:szCs w:val="28"/>
          <w:u w:val="single"/>
        </w:rPr>
        <w:t>Eksports uz 1 strādājošo, tūkst. EUR.</w:t>
      </w:r>
      <w:r>
        <w:rPr>
          <w:rFonts w:ascii="Candara" w:hAnsi="Candara"/>
          <w:color w:val="000000"/>
          <w:szCs w:val="28"/>
        </w:rPr>
        <w:t xml:space="preserve"> Desmit gadu laikā eksporta apjoms uz vienu strādājošo ir vairākkārtīgi pieaudzis.</w:t>
      </w:r>
    </w:p>
    <w:p w:rsidR="00C9657B" w:rsidP="00C9657B">
      <w:pPr>
        <w:spacing w:after="0" w:line="240" w:lineRule="auto"/>
        <w:jc w:val="both"/>
        <w:rPr>
          <w:rFonts w:ascii="Candara" w:hAnsi="Candara"/>
          <w:color w:val="000000"/>
          <w:szCs w:val="28"/>
        </w:rPr>
      </w:pPr>
      <w:r>
        <w:rPr>
          <w:rFonts w:ascii="Candara" w:hAnsi="Candara"/>
          <w:b/>
          <w:color w:val="000000"/>
          <w:szCs w:val="28"/>
          <w:u w:val="single"/>
        </w:rPr>
        <w:t>Eksports uz 1 strādājošo ES 28 valstīs, tūkst. EUR.</w:t>
      </w:r>
      <w:r>
        <w:rPr>
          <w:rFonts w:ascii="Candara" w:hAnsi="Candara"/>
          <w:color w:val="000000"/>
          <w:szCs w:val="28"/>
        </w:rPr>
        <w:t xml:space="preserve"> Latvijā eksports apjoms uz vienu strādājošo pārtikas rūpniecībā ir zemāks nekā Lietuvā un Igaunijā, kā arī ievērojami zemāks nekā ES vidēji.</w:t>
      </w:r>
    </w:p>
    <w:p w:rsidR="00C9657B" w:rsidP="00C9657B">
      <w:pPr>
        <w:spacing w:after="0" w:line="240" w:lineRule="auto"/>
        <w:jc w:val="both"/>
        <w:rPr>
          <w:rFonts w:ascii="Candara" w:hAnsi="Candara"/>
          <w:b/>
          <w:color w:val="000000"/>
          <w:szCs w:val="28"/>
          <w:u w:val="single"/>
        </w:rPr>
      </w:pPr>
      <w:r>
        <w:rPr>
          <w:rFonts w:ascii="Candara" w:hAnsi="Candara"/>
          <w:b/>
          <w:color w:val="000000"/>
          <w:szCs w:val="28"/>
          <w:u w:val="single"/>
        </w:rPr>
        <w:t>Eksporta tirgi.</w:t>
      </w:r>
      <w:r>
        <w:rPr>
          <w:rFonts w:ascii="Candara" w:hAnsi="Candara"/>
          <w:color w:val="000000"/>
          <w:szCs w:val="28"/>
        </w:rPr>
        <w:t xml:space="preserve"> Lielākie eksporta tirgi pārtikas rūpniecības nozarē ir Krievija, Lietuva, Igaunija, Polija, Vācija un Nīderlande.</w:t>
      </w:r>
    </w:p>
    <w:p w:rsidR="00C9657B" w:rsidP="00C9657B">
      <w:pPr>
        <w:spacing w:after="0" w:line="240" w:lineRule="auto"/>
        <w:jc w:val="both"/>
        <w:rPr>
          <w:rFonts w:ascii="Candara" w:hAnsi="Candara"/>
          <w:b/>
          <w:color w:val="000000"/>
          <w:szCs w:val="28"/>
          <w:u w:val="single"/>
        </w:rPr>
      </w:pPr>
      <w:r>
        <w:rPr>
          <w:rFonts w:ascii="Candara" w:hAnsi="Candara"/>
          <w:b/>
          <w:color w:val="000000"/>
          <w:szCs w:val="28"/>
          <w:u w:val="single"/>
        </w:rPr>
        <w:t>Eksporta struktūra.</w:t>
      </w:r>
      <w:r>
        <w:rPr>
          <w:rFonts w:ascii="Candara" w:hAnsi="Candara"/>
          <w:color w:val="000000"/>
          <w:szCs w:val="28"/>
        </w:rPr>
        <w:t xml:space="preserve"> Latvijā kopš 2005.gada ir samazinājies gaļas un zivju izstrādājumu īpatsvars eksporta struktūrā, bet pieaudzis dzērienu eksporta īpatsvars.</w:t>
      </w:r>
    </w:p>
    <w:p w:rsidR="00C9657B" w:rsidP="00C9657B">
      <w:pPr>
        <w:spacing w:after="0" w:line="240" w:lineRule="auto"/>
        <w:jc w:val="both"/>
        <w:rPr>
          <w:rFonts w:ascii="Candara" w:hAnsi="Candara"/>
          <w:b/>
          <w:color w:val="000000"/>
          <w:szCs w:val="28"/>
          <w:u w:val="single"/>
        </w:rPr>
      </w:pPr>
      <w:r>
        <w:rPr>
          <w:rFonts w:ascii="Candara" w:hAnsi="Candara"/>
          <w:b/>
          <w:color w:val="000000"/>
          <w:szCs w:val="28"/>
          <w:u w:val="single"/>
        </w:rPr>
        <w:t>Darbaspēka izmaksu dinamika, tūkst.</w:t>
      </w:r>
      <w:r>
        <w:rPr>
          <w:rFonts w:ascii="Candara" w:hAnsi="Candara"/>
          <w:color w:val="000000"/>
          <w:szCs w:val="28"/>
        </w:rPr>
        <w:t xml:space="preserve"> Atsākoties ekonomikas izaugsmei, kopš 2011.gada darba samaksas pieaugums nozarē kļūst arvien straujāks, 2014.gadā darbaspēka izmaksām sasniedzot jau pirmskrīzes perioda līmeni un 2015.gadā pārsniedzot to. </w:t>
      </w:r>
    </w:p>
    <w:p w:rsidR="00C9657B" w:rsidP="00C9657B">
      <w:pPr>
        <w:spacing w:after="0" w:line="240" w:lineRule="auto"/>
        <w:jc w:val="both"/>
        <w:rPr>
          <w:rFonts w:ascii="Candara" w:hAnsi="Candara"/>
          <w:color w:val="000000"/>
          <w:szCs w:val="28"/>
        </w:rPr>
      </w:pPr>
      <w:r>
        <w:rPr>
          <w:rFonts w:ascii="Candara" w:hAnsi="Candara"/>
          <w:b/>
          <w:color w:val="000000"/>
          <w:szCs w:val="28"/>
          <w:u w:val="single"/>
        </w:rPr>
        <w:t>Produktivitātes dinamika, tūkst.</w:t>
      </w:r>
      <w:r>
        <w:rPr>
          <w:rFonts w:ascii="Candara" w:hAnsi="Candara"/>
          <w:color w:val="000000"/>
          <w:szCs w:val="28"/>
        </w:rPr>
        <w:t xml:space="preserve"> Būtisks ražošanas apjomu samazinājums krīzes laikā veicināja strauju produktivitātes kritumu 2009.gadā. 2010.gadā produktivitāte pieauga nodarbināto skaita krituma un ražošanas apjomu kāpuma dēļ. Pēc krituma 2011.gadā, pēdējos gados, ražošanas apjomiem pieaugot un nodarbināto skaitam samazinoties, produktivitāte pakāpeniski pieaug.</w:t>
      </w:r>
    </w:p>
    <w:p w:rsidR="00C9657B" w:rsidP="00C9657B">
      <w:pPr>
        <w:spacing w:after="0" w:line="240" w:lineRule="auto"/>
        <w:jc w:val="both"/>
        <w:rPr>
          <w:rFonts w:ascii="Candara" w:hAnsi="Candara"/>
          <w:b/>
          <w:color w:val="000000"/>
          <w:szCs w:val="28"/>
          <w:u w:val="single"/>
        </w:rPr>
      </w:pPr>
      <w:r>
        <w:rPr>
          <w:rFonts w:ascii="Candara" w:hAnsi="Candara"/>
          <w:b/>
          <w:color w:val="000000"/>
          <w:szCs w:val="28"/>
          <w:u w:val="single"/>
        </w:rPr>
        <w:t>Produktivitāte un darbaspēka izmaksas.</w:t>
      </w:r>
      <w:r>
        <w:rPr>
          <w:rFonts w:ascii="Candara" w:hAnsi="Candara"/>
          <w:color w:val="000000"/>
          <w:szCs w:val="28"/>
        </w:rPr>
        <w:t xml:space="preserve"> Ekonomikas lejupslīdes jeb krīzes periodā ULC samazinājās, ko galvenokārt noteica nodarbināto skaita un būtisks darbaspēka izmaksu samazinājums 2009.-2010.gadā. Kopš 2011.gada būtiski pieaug darbaspēka izmaksas, ULC nozarē Latvijā vidēji gadā pieauga par 5%, bet vidēji ES pieauga par 1,4%. Vienlaikus jāatzīmē, ka kopš 2012.gada produktivitāte pieauga par 18%, tomēr darbaspēka izmaksas pieauga straujāk – par 30%. Darbaspēka izmaksas ES vidēji pieauga par 6%, kamēr produktivitāte saglabājās nemainīga. Arī 2015.gadā nozarē darbaspēka izmaksas pieauga straujāk nekā produktivitāte, kas liecinās par cenu konkurētspējas (izmaksu) pazemināšanos, ja šāda tendence turpināsies arī turpmākajos gados.</w:t>
      </w:r>
    </w:p>
    <w:p w:rsidR="00C9657B" w:rsidP="00C9657B">
      <w:pPr>
        <w:spacing w:after="0" w:line="240" w:lineRule="auto"/>
        <w:jc w:val="both"/>
        <w:rPr>
          <w:rFonts w:ascii="Candara" w:hAnsi="Candara"/>
          <w:color w:val="000000"/>
          <w:szCs w:val="28"/>
        </w:rPr>
      </w:pPr>
      <w:r>
        <w:rPr>
          <w:rFonts w:ascii="Candara" w:hAnsi="Candara"/>
          <w:b/>
          <w:color w:val="000000"/>
          <w:szCs w:val="28"/>
          <w:u w:val="single"/>
        </w:rPr>
        <w:t>Darbaspēka izmaksas, ES-28=100.</w:t>
      </w:r>
      <w:r>
        <w:rPr>
          <w:rFonts w:ascii="Candara" w:hAnsi="Candara"/>
          <w:color w:val="000000"/>
          <w:szCs w:val="28"/>
        </w:rPr>
        <w:t xml:space="preserve"> Salīdzinot ar darbaspēka izmaksu vidējo līmeni ES, nozarē tās ir zemākas nekā tautsaimniecībā kopumā, bet pēdējos gados tās pieaug vairāk tuvojoties ES vidējam līmenim.</w:t>
      </w:r>
    </w:p>
    <w:p w:rsidR="00C9657B" w:rsidP="00C9657B">
      <w:pPr>
        <w:spacing w:after="0" w:line="240" w:lineRule="auto"/>
        <w:jc w:val="both"/>
        <w:rPr>
          <w:rFonts w:ascii="Candara" w:hAnsi="Candara"/>
          <w:color w:val="000000"/>
          <w:szCs w:val="28"/>
        </w:rPr>
      </w:pPr>
      <w:r>
        <w:rPr>
          <w:rFonts w:ascii="Candara" w:hAnsi="Candara"/>
          <w:b/>
          <w:color w:val="000000"/>
          <w:szCs w:val="28"/>
          <w:u w:val="single"/>
        </w:rPr>
        <w:t>Produktivitāte, ES-28=100.</w:t>
      </w:r>
      <w:r>
        <w:rPr>
          <w:rFonts w:ascii="Candara" w:hAnsi="Candara"/>
          <w:color w:val="000000"/>
          <w:szCs w:val="28"/>
        </w:rPr>
        <w:t xml:space="preserve"> Salīdzinot ar vidējo līmeni ES, nozarē produktivitātes līmenis ir zemāks nekā tautsaimniecībā kopumā, bet pēdējos gados tas pieaug vairāk tuvojoties ES vidējam līmenim.</w:t>
      </w:r>
    </w:p>
    <w:p w:rsidR="00C9657B" w:rsidP="00C9657B">
      <w:pPr>
        <w:spacing w:after="0" w:line="240" w:lineRule="auto"/>
        <w:jc w:val="both"/>
        <w:rPr>
          <w:rFonts w:ascii="Candara" w:hAnsi="Candara"/>
          <w:color w:val="000000"/>
          <w:szCs w:val="28"/>
        </w:rPr>
      </w:pPr>
      <w:r>
        <w:rPr>
          <w:rFonts w:ascii="Candara" w:hAnsi="Candara"/>
          <w:b/>
          <w:color w:val="000000"/>
          <w:szCs w:val="28"/>
          <w:u w:val="single"/>
        </w:rPr>
        <w:t>Darbaspēka izmaksas, salīdzinot ar ES valstīm, 2015.gadā.</w:t>
      </w:r>
      <w:r>
        <w:rPr>
          <w:rFonts w:ascii="Candara" w:hAnsi="Candara"/>
          <w:color w:val="000000"/>
          <w:szCs w:val="28"/>
        </w:rPr>
        <w:t xml:space="preserve"> Latvijā 2015.gadā darbaspēka izmaksas nozarē bija nedaudz zemākas nekā Lietuvā un Igaunijā. Kopumā starp ES valstīm Latvija bija 25.vietā.</w:t>
      </w:r>
    </w:p>
    <w:p w:rsidR="00C9657B" w:rsidP="00C9657B">
      <w:pPr>
        <w:spacing w:after="0" w:line="240" w:lineRule="auto"/>
        <w:jc w:val="both"/>
        <w:rPr>
          <w:rFonts w:ascii="Candara" w:hAnsi="Candara"/>
          <w:color w:val="000000"/>
          <w:szCs w:val="28"/>
        </w:rPr>
      </w:pPr>
      <w:r>
        <w:rPr>
          <w:rFonts w:ascii="Candara" w:hAnsi="Candara"/>
          <w:b/>
          <w:color w:val="000000"/>
          <w:szCs w:val="28"/>
          <w:u w:val="single"/>
        </w:rPr>
        <w:t>Produktivitāte, salīdzinot ar ES valstīm, 2015.gadā.</w:t>
      </w:r>
      <w:r>
        <w:rPr>
          <w:rFonts w:ascii="Candara" w:hAnsi="Candara"/>
          <w:color w:val="000000"/>
          <w:szCs w:val="28"/>
        </w:rPr>
        <w:t xml:space="preserve"> Latvijā 2015.gadā produktivitāte nozarē bija augstāka nekā Igaunijā, bet zemāka nekā Lietuvā. Kopumā starp ES valstīm Latvija bija 23.vietā.</w:t>
      </w:r>
    </w:p>
    <w:p w:rsidR="00C9657B" w:rsidP="00C9657B">
      <w:pPr>
        <w:spacing w:after="0" w:line="240" w:lineRule="auto"/>
        <w:jc w:val="both"/>
        <w:rPr>
          <w:rFonts w:ascii="Candara" w:hAnsi="Candara"/>
          <w:color w:val="000000"/>
          <w:szCs w:val="28"/>
        </w:rPr>
      </w:pPr>
      <w:r>
        <w:rPr>
          <w:rFonts w:ascii="Candara" w:hAnsi="Candara"/>
          <w:b/>
          <w:color w:val="000000"/>
          <w:szCs w:val="28"/>
          <w:u w:val="single"/>
        </w:rPr>
        <w:t>Produktivitāte un darbaspēka izmaksas ES-28 valstīs 2010.gadā un 2015.gadā.</w:t>
      </w:r>
      <w:r>
        <w:rPr>
          <w:rFonts w:ascii="Candara" w:hAnsi="Candara"/>
          <w:color w:val="000000"/>
          <w:szCs w:val="28"/>
        </w:rPr>
        <w:t xml:space="preserve"> Darbaspēka izmaksas uz 1 produkcijas vienību (ULC) nozarē Latvijā 2010.gadā bija viens no zemākajiem rādītājiem starp ES valstīm, zemāks tas bija tikai Lietuvā, Īrijā un Rumānijā. Latvijā 2015.gadā, salīdzinot ar 2010.gadu ULC ir pieaudzis par 33%, ko noteica darbaspēka izmaksu pieaugums par 46%, kas liecina, ka nozarē lēta darbaspēka konkurētspējas priekšrocības samazinās.</w:t>
      </w:r>
    </w:p>
    <w:p w:rsidR="008E4CFF" w:rsidP="00762D1E">
      <w:pPr>
        <w:spacing w:after="0" w:line="240" w:lineRule="auto"/>
        <w:rPr>
          <w:rFonts w:ascii="Candara" w:hAnsi="Candara"/>
          <w:color w:val="000000"/>
          <w:szCs w:val="28"/>
        </w:rPr>
      </w:pPr>
      <w:r>
        <w:rPr>
          <w:rFonts w:ascii="Candara" w:hAnsi="Candara"/>
          <w:color w:val="000000"/>
          <w:szCs w:val="28"/>
        </w:rPr>
        <w:br w:type="page"/>
      </w:r>
    </w:p>
    <w:p w:rsidR="0076123C" w:rsidRPr="009F39B5" w:rsidP="00C23A95">
      <w:pPr>
        <w:pStyle w:val="Heading1"/>
        <w:jc w:val="center"/>
        <w:rPr>
          <w:b/>
          <w:sz w:val="20"/>
        </w:rPr>
      </w:pPr>
      <w:bookmarkStart w:id="20" w:name="_Toc482792403"/>
      <w:bookmarkStart w:id="21" w:name="_Toc256000005"/>
      <w:bookmarkStart w:id="22" w:name="_Toc256000031"/>
      <w:r w:rsidRPr="009F39B5">
        <w:rPr>
          <w:b/>
          <w:sz w:val="20"/>
        </w:rPr>
        <w:t>C13-15 VIEGLĀ RŪPNIECĪBA</w:t>
      </w:r>
      <w:bookmarkEnd w:id="22"/>
      <w:bookmarkEnd w:id="21"/>
      <w:bookmarkEnd w:id="20"/>
    </w:p>
    <w:tbl>
      <w:tblPr>
        <w:tblW w:w="10488"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3576"/>
        <w:gridCol w:w="1723"/>
        <w:gridCol w:w="1853"/>
        <w:gridCol w:w="3336"/>
      </w:tblGrid>
      <w:tr w:rsidTr="003B0F04">
        <w:tblPrEx>
          <w:tblW w:w="10488"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Ex>
        <w:trPr>
          <w:jc w:val="center"/>
        </w:trPr>
        <w:tc>
          <w:tcPr>
            <w:tcW w:w="3576" w:type="dxa"/>
            <w:shd w:val="clear" w:color="auto" w:fill="D9D9D9" w:themeFill="background1" w:themeFillShade="D9"/>
          </w:tcPr>
          <w:p w:rsidR="0076123C" w:rsidRPr="007A06BA" w:rsidP="00762D1E">
            <w:pPr>
              <w:spacing w:after="0" w:line="240" w:lineRule="auto"/>
              <w:jc w:val="center"/>
              <w:rPr>
                <w:rFonts w:ascii="Candara" w:hAnsi="Candara"/>
                <w:sz w:val="18"/>
                <w:szCs w:val="20"/>
              </w:rPr>
            </w:pPr>
            <w:r w:rsidRPr="007A06BA">
              <w:rPr>
                <w:rFonts w:ascii="Candara" w:hAnsi="Candara"/>
                <w:sz w:val="18"/>
                <w:szCs w:val="20"/>
              </w:rPr>
              <w:t>Nozares īpatsvars tautsaimniecībā</w:t>
            </w:r>
            <w:r w:rsidR="00703211">
              <w:rPr>
                <w:rFonts w:ascii="Candara" w:hAnsi="Candara"/>
                <w:sz w:val="18"/>
                <w:szCs w:val="20"/>
              </w:rPr>
              <w:t xml:space="preserve"> (faktiskajās cenās)</w:t>
            </w:r>
            <w:r w:rsidRPr="007A06BA">
              <w:rPr>
                <w:rFonts w:ascii="Candara" w:hAnsi="Candara"/>
                <w:sz w:val="18"/>
                <w:szCs w:val="20"/>
              </w:rPr>
              <w:t>, %</w:t>
            </w:r>
          </w:p>
        </w:tc>
        <w:tc>
          <w:tcPr>
            <w:tcW w:w="3576" w:type="dxa"/>
            <w:gridSpan w:val="2"/>
            <w:shd w:val="clear" w:color="auto" w:fill="D9D9D9" w:themeFill="background1" w:themeFillShade="D9"/>
          </w:tcPr>
          <w:p w:rsidR="0076123C" w:rsidRPr="007A06BA" w:rsidP="00762D1E">
            <w:pPr>
              <w:spacing w:after="0" w:line="240" w:lineRule="auto"/>
              <w:jc w:val="center"/>
              <w:rPr>
                <w:rFonts w:ascii="Candara" w:hAnsi="Candara"/>
                <w:sz w:val="18"/>
                <w:szCs w:val="20"/>
              </w:rPr>
            </w:pPr>
            <w:r w:rsidRPr="007A06BA">
              <w:rPr>
                <w:rFonts w:ascii="Candara" w:hAnsi="Candara"/>
                <w:sz w:val="18"/>
                <w:szCs w:val="20"/>
              </w:rPr>
              <w:t>Pievienotās vērtības un darba vietu skaita izmaiņas</w:t>
            </w:r>
            <w:r w:rsidR="007E4C0E">
              <w:rPr>
                <w:rFonts w:ascii="Candara" w:hAnsi="Candara"/>
                <w:sz w:val="18"/>
                <w:szCs w:val="20"/>
              </w:rPr>
              <w:t xml:space="preserve"> (2005=100)</w:t>
            </w:r>
          </w:p>
        </w:tc>
        <w:tc>
          <w:tcPr>
            <w:tcW w:w="3336" w:type="dxa"/>
            <w:shd w:val="clear" w:color="auto" w:fill="D9D9D9" w:themeFill="background1" w:themeFillShade="D9"/>
          </w:tcPr>
          <w:p w:rsidR="0076123C" w:rsidRPr="007A06BA" w:rsidP="00762D1E">
            <w:pPr>
              <w:spacing w:after="0" w:line="240" w:lineRule="auto"/>
              <w:jc w:val="center"/>
              <w:rPr>
                <w:rFonts w:ascii="Candara" w:hAnsi="Candara"/>
                <w:sz w:val="18"/>
                <w:szCs w:val="20"/>
              </w:rPr>
            </w:pPr>
            <w:r w:rsidRPr="007A06BA">
              <w:rPr>
                <w:rFonts w:ascii="Candara" w:hAnsi="Candara"/>
                <w:sz w:val="18"/>
                <w:szCs w:val="20"/>
              </w:rPr>
              <w:t>Produkcijas eksports</w:t>
            </w:r>
            <w:r w:rsidR="00F86EC0">
              <w:rPr>
                <w:rFonts w:ascii="Candara" w:hAnsi="Candara"/>
                <w:sz w:val="18"/>
                <w:szCs w:val="20"/>
              </w:rPr>
              <w:t>,</w:t>
            </w:r>
            <w:r w:rsidRPr="007A06BA">
              <w:rPr>
                <w:rFonts w:ascii="Candara" w:hAnsi="Candara"/>
                <w:sz w:val="18"/>
                <w:szCs w:val="20"/>
              </w:rPr>
              <w:t xml:space="preserve"> milj. EUR</w:t>
            </w:r>
            <w:r w:rsidR="00E75013">
              <w:rPr>
                <w:rFonts w:ascii="Candara" w:hAnsi="Candara"/>
                <w:sz w:val="18"/>
                <w:szCs w:val="20"/>
              </w:rPr>
              <w:t>*</w:t>
            </w:r>
          </w:p>
        </w:tc>
      </w:tr>
      <w:tr w:rsidTr="003B0F04">
        <w:tblPrEx>
          <w:tblW w:w="10488" w:type="dxa"/>
          <w:jc w:val="center"/>
          <w:tblLook w:val="04A0"/>
        </w:tblPrEx>
        <w:trPr>
          <w:jc w:val="center"/>
        </w:trPr>
        <w:tc>
          <w:tcPr>
            <w:tcW w:w="3576" w:type="dxa"/>
          </w:tcPr>
          <w:p w:rsidR="0076123C" w:rsidRPr="007A06BA" w:rsidP="00762D1E">
            <w:pPr>
              <w:spacing w:after="0" w:line="240" w:lineRule="auto"/>
              <w:rPr>
                <w:rFonts w:ascii="Candara" w:hAnsi="Candara"/>
              </w:rPr>
            </w:pPr>
            <w:r w:rsidRPr="007A06BA">
              <w:rPr>
                <w:rFonts w:ascii="Candara" w:hAnsi="Candara"/>
                <w:noProof/>
                <w:sz w:val="18"/>
                <w:szCs w:val="18"/>
                <w:lang w:eastAsia="lv-LV"/>
              </w:rPr>
              <w:drawing>
                <wp:inline distT="0" distB="0" distL="0" distR="0">
                  <wp:extent cx="2133600" cy="1041400"/>
                  <wp:effectExtent l="0" t="0" r="0" b="6350"/>
                  <wp:docPr id="68"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c>
          <w:tcPr>
            <w:tcW w:w="3576" w:type="dxa"/>
            <w:gridSpan w:val="2"/>
          </w:tcPr>
          <w:p w:rsidR="0076123C" w:rsidRPr="007A06BA" w:rsidP="00762D1E">
            <w:pPr>
              <w:spacing w:after="0" w:line="240" w:lineRule="auto"/>
              <w:jc w:val="center"/>
              <w:rPr>
                <w:rFonts w:ascii="Candara" w:hAnsi="Candara"/>
              </w:rPr>
            </w:pPr>
            <w:r w:rsidRPr="007A06BA">
              <w:rPr>
                <w:rFonts w:ascii="Candara" w:eastAsia="Times New Roman" w:hAnsi="Candara"/>
                <w:noProof/>
                <w:sz w:val="18"/>
                <w:szCs w:val="18"/>
                <w:lang w:eastAsia="lv-LV"/>
              </w:rPr>
              <w:drawing>
                <wp:inline distT="0" distB="0" distL="0" distR="0">
                  <wp:extent cx="1943100" cy="1066800"/>
                  <wp:effectExtent l="0" t="0" r="0"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c>
          <w:tcPr>
            <w:tcW w:w="3336" w:type="dxa"/>
          </w:tcPr>
          <w:p w:rsidR="0076123C" w:rsidP="00762D1E">
            <w:pPr>
              <w:spacing w:after="0" w:line="240" w:lineRule="auto"/>
              <w:rPr>
                <w:rFonts w:ascii="Candara" w:hAnsi="Candara"/>
              </w:rPr>
            </w:pPr>
            <w:r>
              <w:rPr>
                <w:noProof/>
                <w:lang w:eastAsia="lv-LV"/>
              </w:rPr>
              <w:drawing>
                <wp:inline distT="0" distB="0" distL="0" distR="0">
                  <wp:extent cx="1981200" cy="893445"/>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E75013" w:rsidRPr="007A06BA" w:rsidP="00762D1E">
            <w:pPr>
              <w:spacing w:after="0" w:line="240" w:lineRule="auto"/>
              <w:rPr>
                <w:rFonts w:ascii="Candara" w:hAnsi="Candara"/>
              </w:rPr>
            </w:pPr>
            <w:r w:rsidRPr="00E75013">
              <w:rPr>
                <w:rFonts w:ascii="Candara" w:hAnsi="Candara"/>
                <w:sz w:val="14"/>
                <w:szCs w:val="14"/>
              </w:rPr>
              <w:t>* EM novērtējums pēc KN produktu klasifikācijas</w:t>
            </w:r>
          </w:p>
        </w:tc>
      </w:tr>
      <w:tr w:rsidTr="003B0F04">
        <w:tblPrEx>
          <w:tblW w:w="10488" w:type="dxa"/>
          <w:jc w:val="center"/>
          <w:tblLook w:val="04A0"/>
        </w:tblPrEx>
        <w:trPr>
          <w:jc w:val="center"/>
        </w:trPr>
        <w:tc>
          <w:tcPr>
            <w:tcW w:w="3576" w:type="dxa"/>
            <w:shd w:val="clear" w:color="auto" w:fill="D9D9D9" w:themeFill="background1" w:themeFillShade="D9"/>
          </w:tcPr>
          <w:p w:rsidR="0076123C" w:rsidRPr="007A06BA" w:rsidP="00762D1E">
            <w:pPr>
              <w:spacing w:after="0" w:line="240" w:lineRule="auto"/>
              <w:jc w:val="center"/>
              <w:rPr>
                <w:rFonts w:ascii="Candara" w:hAnsi="Candara"/>
                <w:sz w:val="18"/>
              </w:rPr>
            </w:pPr>
            <w:r w:rsidRPr="007A06BA">
              <w:rPr>
                <w:rFonts w:ascii="Candara" w:hAnsi="Candara"/>
                <w:sz w:val="18"/>
                <w:szCs w:val="20"/>
              </w:rPr>
              <w:t>Eksports uz 1 strādājošo, tūkst. EUR</w:t>
            </w:r>
          </w:p>
        </w:tc>
        <w:tc>
          <w:tcPr>
            <w:tcW w:w="6912" w:type="dxa"/>
            <w:gridSpan w:val="3"/>
            <w:shd w:val="clear" w:color="auto" w:fill="D9D9D9" w:themeFill="background1" w:themeFillShade="D9"/>
          </w:tcPr>
          <w:p w:rsidR="0076123C" w:rsidRPr="007A06BA" w:rsidP="00762D1E">
            <w:pPr>
              <w:spacing w:after="0" w:line="240" w:lineRule="auto"/>
              <w:jc w:val="center"/>
              <w:rPr>
                <w:rFonts w:ascii="Candara" w:hAnsi="Candara"/>
                <w:sz w:val="18"/>
              </w:rPr>
            </w:pPr>
            <w:r w:rsidRPr="007A06BA">
              <w:rPr>
                <w:rFonts w:ascii="Candara" w:hAnsi="Candara"/>
                <w:sz w:val="18"/>
                <w:szCs w:val="20"/>
              </w:rPr>
              <w:t>Eksports uz 1 strādājošo ES</w:t>
            </w:r>
            <w:r w:rsidR="00B8597F">
              <w:rPr>
                <w:rFonts w:ascii="Candara" w:hAnsi="Candara"/>
                <w:sz w:val="18"/>
                <w:szCs w:val="20"/>
              </w:rPr>
              <w:t>-</w:t>
            </w:r>
            <w:r w:rsidRPr="007A06BA">
              <w:rPr>
                <w:rFonts w:ascii="Candara" w:hAnsi="Candara"/>
                <w:sz w:val="18"/>
                <w:szCs w:val="20"/>
              </w:rPr>
              <w:t>28 valstīs, tūkst. EUR</w:t>
            </w:r>
          </w:p>
        </w:tc>
      </w:tr>
      <w:tr w:rsidTr="003B0F04">
        <w:tblPrEx>
          <w:tblW w:w="10488" w:type="dxa"/>
          <w:jc w:val="center"/>
          <w:tblLook w:val="04A0"/>
        </w:tblPrEx>
        <w:trPr>
          <w:jc w:val="center"/>
        </w:trPr>
        <w:tc>
          <w:tcPr>
            <w:tcW w:w="3576" w:type="dxa"/>
          </w:tcPr>
          <w:p w:rsidR="0076123C" w:rsidRPr="007A06BA" w:rsidP="00762D1E">
            <w:pPr>
              <w:spacing w:after="0" w:line="240" w:lineRule="auto"/>
              <w:jc w:val="center"/>
              <w:rPr>
                <w:rFonts w:ascii="Candara" w:hAnsi="Candara"/>
              </w:rPr>
            </w:pPr>
            <w:r>
              <w:rPr>
                <w:noProof/>
                <w:lang w:eastAsia="lv-LV"/>
              </w:rPr>
              <w:drawing>
                <wp:inline distT="0" distB="0" distL="0" distR="0">
                  <wp:extent cx="2133600" cy="1171575"/>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c>
          <w:tcPr>
            <w:tcW w:w="6912" w:type="dxa"/>
            <w:gridSpan w:val="3"/>
          </w:tcPr>
          <w:p w:rsidR="0076123C" w:rsidRPr="007A06BA" w:rsidP="00762D1E">
            <w:pPr>
              <w:spacing w:after="0" w:line="240" w:lineRule="auto"/>
              <w:jc w:val="center"/>
              <w:rPr>
                <w:rFonts w:ascii="Candara" w:hAnsi="Candara"/>
              </w:rPr>
            </w:pPr>
            <w:r>
              <w:rPr>
                <w:noProof/>
                <w:lang w:eastAsia="lv-LV"/>
              </w:rPr>
              <w:drawing>
                <wp:inline distT="0" distB="0" distL="0" distR="0">
                  <wp:extent cx="4114800" cy="1171575"/>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r>
      <w:tr w:rsidTr="003B0F04">
        <w:tblPrEx>
          <w:tblW w:w="10488" w:type="dxa"/>
          <w:jc w:val="center"/>
          <w:tblLook w:val="04A0"/>
        </w:tblPrEx>
        <w:trPr>
          <w:jc w:val="center"/>
        </w:trPr>
        <w:tc>
          <w:tcPr>
            <w:tcW w:w="3576" w:type="dxa"/>
            <w:shd w:val="clear" w:color="auto" w:fill="D9D9D9" w:themeFill="background1" w:themeFillShade="D9"/>
          </w:tcPr>
          <w:p w:rsidR="0076123C" w:rsidRPr="007A06BA" w:rsidP="00762D1E">
            <w:pPr>
              <w:spacing w:after="0" w:line="240" w:lineRule="auto"/>
              <w:jc w:val="center"/>
              <w:rPr>
                <w:rFonts w:ascii="Candara" w:hAnsi="Candara"/>
                <w:sz w:val="18"/>
                <w:szCs w:val="20"/>
              </w:rPr>
            </w:pPr>
            <w:r w:rsidRPr="007A06BA">
              <w:rPr>
                <w:rFonts w:ascii="Candara" w:hAnsi="Candara"/>
                <w:sz w:val="18"/>
                <w:szCs w:val="20"/>
              </w:rPr>
              <w:t>Eksporta tirgi</w:t>
            </w:r>
            <w:r w:rsidR="00B10F04">
              <w:rPr>
                <w:rFonts w:ascii="Candara" w:hAnsi="Candara"/>
                <w:sz w:val="18"/>
                <w:szCs w:val="20"/>
              </w:rPr>
              <w:t>, 201</w:t>
            </w:r>
            <w:r w:rsidR="00DD1D17">
              <w:rPr>
                <w:rFonts w:ascii="Candara" w:hAnsi="Candara"/>
                <w:sz w:val="18"/>
                <w:szCs w:val="20"/>
              </w:rPr>
              <w:t>6</w:t>
            </w:r>
            <w:r w:rsidR="00B10F04">
              <w:rPr>
                <w:rFonts w:ascii="Candara" w:hAnsi="Candara"/>
                <w:sz w:val="18"/>
                <w:szCs w:val="20"/>
              </w:rPr>
              <w:t>.g.</w:t>
            </w:r>
          </w:p>
        </w:tc>
        <w:tc>
          <w:tcPr>
            <w:tcW w:w="6912" w:type="dxa"/>
            <w:gridSpan w:val="3"/>
            <w:shd w:val="clear" w:color="auto" w:fill="D9D9D9" w:themeFill="background1" w:themeFillShade="D9"/>
          </w:tcPr>
          <w:p w:rsidR="0076123C" w:rsidRPr="007A06BA" w:rsidP="00762D1E">
            <w:pPr>
              <w:spacing w:after="0" w:line="240" w:lineRule="auto"/>
              <w:jc w:val="center"/>
              <w:rPr>
                <w:rFonts w:ascii="Candara" w:hAnsi="Candara"/>
                <w:sz w:val="18"/>
              </w:rPr>
            </w:pPr>
            <w:r w:rsidRPr="007A06BA">
              <w:rPr>
                <w:rFonts w:ascii="Candara" w:hAnsi="Candara"/>
                <w:sz w:val="18"/>
                <w:szCs w:val="20"/>
              </w:rPr>
              <w:t>Eksporta struktūra</w:t>
            </w:r>
          </w:p>
        </w:tc>
      </w:tr>
      <w:tr w:rsidTr="003B0F04">
        <w:tblPrEx>
          <w:tblW w:w="10488" w:type="dxa"/>
          <w:jc w:val="center"/>
          <w:tblLook w:val="04A0"/>
        </w:tblPrEx>
        <w:trPr>
          <w:jc w:val="center"/>
        </w:trPr>
        <w:tc>
          <w:tcPr>
            <w:tcW w:w="3576" w:type="dxa"/>
          </w:tcPr>
          <w:p w:rsidR="0076123C" w:rsidRPr="00B612F1" w:rsidP="00762D1E">
            <w:pPr>
              <w:spacing w:after="0" w:line="240" w:lineRule="auto"/>
              <w:jc w:val="center"/>
              <w:rPr>
                <w:rFonts w:ascii="Candara" w:hAnsi="Candara"/>
                <w:b/>
                <w:szCs w:val="28"/>
              </w:rPr>
            </w:pPr>
            <w:r w:rsidRPr="004F3DC7">
              <w:rPr>
                <w:noProof/>
                <w:sz w:val="18"/>
                <w:szCs w:val="18"/>
                <w:lang w:eastAsia="lv-LV"/>
              </w:rPr>
              <w:drawing>
                <wp:inline distT="0" distB="0" distL="0" distR="0">
                  <wp:extent cx="1657350" cy="1368000"/>
                  <wp:effectExtent l="0" t="0" r="0" b="0"/>
                  <wp:docPr id="73"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c>
          <w:tcPr>
            <w:tcW w:w="6912" w:type="dxa"/>
            <w:gridSpan w:val="3"/>
          </w:tcPr>
          <w:p w:rsidR="0076123C" w:rsidRPr="004B5C57" w:rsidP="00762D1E">
            <w:pPr>
              <w:tabs>
                <w:tab w:val="left" w:pos="8080"/>
              </w:tabs>
              <w:spacing w:after="0" w:line="240" w:lineRule="auto"/>
              <w:ind w:right="-31"/>
              <w:jc w:val="center"/>
              <w:rPr>
                <w:sz w:val="18"/>
              </w:rPr>
            </w:pPr>
            <w:r w:rsidRPr="004B5C57">
              <w:rPr>
                <w:sz w:val="18"/>
              </w:rPr>
              <w:t xml:space="preserve">Latvija </w:t>
            </w:r>
            <w:r>
              <w:rPr>
                <w:sz w:val="18"/>
              </w:rPr>
              <w:t xml:space="preserve">                                                                                      </w:t>
            </w:r>
            <w:r w:rsidRPr="004B5C57">
              <w:rPr>
                <w:sz w:val="18"/>
              </w:rPr>
              <w:t>ES-28</w:t>
            </w:r>
          </w:p>
          <w:p w:rsidR="0076123C" w:rsidRPr="004B5C57" w:rsidP="00762D1E">
            <w:pPr>
              <w:tabs>
                <w:tab w:val="left" w:pos="8080"/>
              </w:tabs>
              <w:spacing w:after="0" w:line="240" w:lineRule="auto"/>
              <w:ind w:right="-31"/>
            </w:pPr>
            <w:r>
              <w:rPr>
                <w:noProof/>
                <w:lang w:eastAsia="lv-LV"/>
              </w:rPr>
              <w:drawing>
                <wp:inline distT="0" distB="0" distL="0" distR="0">
                  <wp:extent cx="2617393" cy="1242725"/>
                  <wp:effectExtent l="0" t="0" r="0" b="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Pr>
                <w:noProof/>
                <w:lang w:eastAsia="lv-LV"/>
              </w:rPr>
              <w:drawing>
                <wp:inline distT="0" distB="0" distL="0" distR="0">
                  <wp:extent cx="1356258" cy="1242725"/>
                  <wp:effectExtent l="0" t="0" r="0" b="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r>
      <w:tr w:rsidTr="003B0F04">
        <w:tblPrEx>
          <w:tblW w:w="10488" w:type="dxa"/>
          <w:jc w:val="center"/>
          <w:tblLook w:val="04A0"/>
        </w:tblPrEx>
        <w:trPr>
          <w:jc w:val="center"/>
        </w:trPr>
        <w:tc>
          <w:tcPr>
            <w:tcW w:w="3576" w:type="dxa"/>
            <w:shd w:val="clear" w:color="auto" w:fill="D9D9D9" w:themeFill="background1" w:themeFillShade="D9"/>
          </w:tcPr>
          <w:p w:rsidR="0076123C" w:rsidRPr="00483382" w:rsidP="00762D1E">
            <w:pPr>
              <w:spacing w:after="0" w:line="240" w:lineRule="auto"/>
              <w:jc w:val="center"/>
              <w:rPr>
                <w:rFonts w:ascii="Candara" w:hAnsi="Candara"/>
                <w:sz w:val="18"/>
              </w:rPr>
            </w:pPr>
            <w:r w:rsidRPr="00483382">
              <w:rPr>
                <w:rFonts w:ascii="Candara" w:hAnsi="Candara"/>
                <w:sz w:val="18"/>
                <w:szCs w:val="20"/>
              </w:rPr>
              <w:t>Darbaspēka izmaksu dinamika</w:t>
            </w:r>
            <w:r>
              <w:rPr>
                <w:rFonts w:ascii="Candara" w:hAnsi="Candara"/>
                <w:sz w:val="18"/>
                <w:szCs w:val="20"/>
              </w:rPr>
              <w:t>, tūkst. EUR</w:t>
            </w:r>
          </w:p>
        </w:tc>
        <w:tc>
          <w:tcPr>
            <w:tcW w:w="3576" w:type="dxa"/>
            <w:gridSpan w:val="2"/>
            <w:shd w:val="clear" w:color="auto" w:fill="D9D9D9" w:themeFill="background1" w:themeFillShade="D9"/>
          </w:tcPr>
          <w:p w:rsidR="0076123C" w:rsidRPr="00483382" w:rsidP="00762D1E">
            <w:pPr>
              <w:spacing w:after="0" w:line="240" w:lineRule="auto"/>
              <w:jc w:val="center"/>
              <w:rPr>
                <w:rFonts w:ascii="Candara" w:hAnsi="Candara"/>
                <w:sz w:val="18"/>
              </w:rPr>
            </w:pPr>
            <w:r w:rsidRPr="00483382">
              <w:rPr>
                <w:rFonts w:ascii="Candara" w:hAnsi="Candara"/>
                <w:sz w:val="18"/>
                <w:szCs w:val="20"/>
              </w:rPr>
              <w:t>Produktivitātes dinamika</w:t>
            </w:r>
            <w:r>
              <w:rPr>
                <w:rFonts w:ascii="Candara" w:hAnsi="Candara"/>
                <w:sz w:val="18"/>
                <w:szCs w:val="20"/>
              </w:rPr>
              <w:t>, tūkst. EUR</w:t>
            </w:r>
          </w:p>
        </w:tc>
        <w:tc>
          <w:tcPr>
            <w:tcW w:w="3336" w:type="dxa"/>
            <w:shd w:val="clear" w:color="auto" w:fill="D9D9D9" w:themeFill="background1" w:themeFillShade="D9"/>
          </w:tcPr>
          <w:p w:rsidR="0076123C" w:rsidRPr="00483382" w:rsidP="00762D1E">
            <w:pPr>
              <w:spacing w:after="0" w:line="240" w:lineRule="auto"/>
              <w:jc w:val="center"/>
              <w:rPr>
                <w:rFonts w:ascii="Candara" w:hAnsi="Candara"/>
                <w:sz w:val="18"/>
              </w:rPr>
            </w:pPr>
            <w:r w:rsidRPr="00483382">
              <w:rPr>
                <w:rFonts w:ascii="Candara" w:hAnsi="Candara"/>
                <w:sz w:val="18"/>
                <w:szCs w:val="20"/>
              </w:rPr>
              <w:t>Produktivitāte un darbaspēka izmaksas</w:t>
            </w:r>
          </w:p>
        </w:tc>
      </w:tr>
      <w:tr w:rsidTr="003B0F04">
        <w:tblPrEx>
          <w:tblW w:w="10488" w:type="dxa"/>
          <w:jc w:val="center"/>
          <w:tblLook w:val="04A0"/>
        </w:tblPrEx>
        <w:trPr>
          <w:jc w:val="center"/>
        </w:trPr>
        <w:tc>
          <w:tcPr>
            <w:tcW w:w="3576" w:type="dxa"/>
          </w:tcPr>
          <w:p w:rsidR="0076123C" w:rsidP="00762D1E">
            <w:pPr>
              <w:spacing w:after="0" w:line="240" w:lineRule="auto"/>
              <w:jc w:val="center"/>
              <w:rPr>
                <w:rFonts w:ascii="Candara" w:hAnsi="Candara"/>
              </w:rPr>
            </w:pPr>
            <w:r w:rsidRPr="00B612F1">
              <w:rPr>
                <w:rFonts w:ascii="Candara" w:hAnsi="Candara"/>
                <w:noProof/>
                <w:sz w:val="18"/>
                <w:szCs w:val="18"/>
                <w:lang w:eastAsia="lv-LV"/>
              </w:rPr>
              <w:drawing>
                <wp:inline distT="0" distB="0" distL="0" distR="0">
                  <wp:extent cx="2133600" cy="1111250"/>
                  <wp:effectExtent l="0" t="0" r="0" b="0"/>
                  <wp:docPr id="76"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c>
        <w:tc>
          <w:tcPr>
            <w:tcW w:w="3576" w:type="dxa"/>
            <w:gridSpan w:val="2"/>
          </w:tcPr>
          <w:p w:rsidR="0076123C" w:rsidP="00762D1E">
            <w:pPr>
              <w:spacing w:after="0" w:line="240" w:lineRule="auto"/>
              <w:jc w:val="center"/>
              <w:rPr>
                <w:rFonts w:ascii="Candara" w:hAnsi="Candara"/>
              </w:rPr>
            </w:pPr>
            <w:r w:rsidRPr="00B612F1">
              <w:rPr>
                <w:rFonts w:ascii="Candara" w:hAnsi="Candara"/>
                <w:noProof/>
                <w:sz w:val="18"/>
                <w:szCs w:val="18"/>
                <w:lang w:eastAsia="lv-LV"/>
              </w:rPr>
              <w:drawing>
                <wp:inline distT="0" distB="0" distL="0" distR="0">
                  <wp:extent cx="2133600" cy="1104900"/>
                  <wp:effectExtent l="0" t="0" r="0" b="0"/>
                  <wp:docPr id="77"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c>
        <w:tc>
          <w:tcPr>
            <w:tcW w:w="3336" w:type="dxa"/>
            <w:vMerge w:val="restart"/>
          </w:tcPr>
          <w:p w:rsidR="0076123C" w:rsidP="00762D1E">
            <w:pPr>
              <w:spacing w:after="0" w:line="240" w:lineRule="auto"/>
              <w:jc w:val="center"/>
              <w:rPr>
                <w:rFonts w:ascii="Candara" w:hAnsi="Candara"/>
              </w:rPr>
            </w:pPr>
            <w:r w:rsidRPr="00B612F1">
              <w:rPr>
                <w:rFonts w:ascii="Candara" w:eastAsia="Times New Roman" w:hAnsi="Candara"/>
                <w:noProof/>
                <w:sz w:val="18"/>
                <w:szCs w:val="18"/>
                <w:lang w:eastAsia="lv-LV"/>
              </w:rPr>
              <w:drawing>
                <wp:inline distT="0" distB="0" distL="0" distR="0">
                  <wp:extent cx="1847850" cy="2228850"/>
                  <wp:effectExtent l="0" t="0" r="0" b="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r>
      <w:tr w:rsidTr="003B0F04">
        <w:tblPrEx>
          <w:tblW w:w="10488" w:type="dxa"/>
          <w:jc w:val="center"/>
          <w:tblLook w:val="04A0"/>
        </w:tblPrEx>
        <w:trPr>
          <w:jc w:val="center"/>
        </w:trPr>
        <w:tc>
          <w:tcPr>
            <w:tcW w:w="3576" w:type="dxa"/>
            <w:shd w:val="clear" w:color="auto" w:fill="D9D9D9" w:themeFill="background1" w:themeFillShade="D9"/>
          </w:tcPr>
          <w:p w:rsidR="0076123C" w:rsidRPr="00483382" w:rsidP="00762D1E">
            <w:pPr>
              <w:spacing w:after="0" w:line="240" w:lineRule="auto"/>
              <w:jc w:val="center"/>
              <w:rPr>
                <w:rFonts w:ascii="Candara" w:hAnsi="Candara"/>
                <w:sz w:val="18"/>
              </w:rPr>
            </w:pPr>
            <w:r w:rsidRPr="00483382">
              <w:rPr>
                <w:rFonts w:ascii="Candara" w:hAnsi="Candara"/>
                <w:sz w:val="18"/>
                <w:szCs w:val="20"/>
              </w:rPr>
              <w:t>Darbaspēka izmaksas, ES-28=100</w:t>
            </w:r>
          </w:p>
        </w:tc>
        <w:tc>
          <w:tcPr>
            <w:tcW w:w="3576" w:type="dxa"/>
            <w:gridSpan w:val="2"/>
            <w:shd w:val="clear" w:color="auto" w:fill="D9D9D9" w:themeFill="background1" w:themeFillShade="D9"/>
          </w:tcPr>
          <w:p w:rsidR="0076123C" w:rsidRPr="00483382" w:rsidP="00762D1E">
            <w:pPr>
              <w:spacing w:after="0" w:line="240" w:lineRule="auto"/>
              <w:jc w:val="center"/>
              <w:rPr>
                <w:rFonts w:ascii="Candara" w:hAnsi="Candara"/>
                <w:sz w:val="18"/>
              </w:rPr>
            </w:pPr>
            <w:r w:rsidRPr="00483382">
              <w:rPr>
                <w:rFonts w:ascii="Candara" w:hAnsi="Candara"/>
                <w:sz w:val="18"/>
                <w:szCs w:val="20"/>
              </w:rPr>
              <w:t>Produktivitāte, ES-28=100</w:t>
            </w:r>
          </w:p>
        </w:tc>
        <w:tc>
          <w:tcPr>
            <w:tcW w:w="3336" w:type="dxa"/>
            <w:vMerge/>
            <w:shd w:val="clear" w:color="auto" w:fill="D9D9D9" w:themeFill="background1" w:themeFillShade="D9"/>
          </w:tcPr>
          <w:p w:rsidR="0076123C" w:rsidRPr="00483382" w:rsidP="003A2C2A">
            <w:pPr>
              <w:jc w:val="center"/>
              <w:rPr>
                <w:rFonts w:ascii="Candara" w:hAnsi="Candara"/>
                <w:sz w:val="18"/>
              </w:rPr>
            </w:pPr>
          </w:p>
        </w:tc>
      </w:tr>
      <w:tr w:rsidTr="003B0F04">
        <w:tblPrEx>
          <w:tblW w:w="10488" w:type="dxa"/>
          <w:jc w:val="center"/>
          <w:tblLook w:val="04A0"/>
        </w:tblPrEx>
        <w:trPr>
          <w:jc w:val="center"/>
        </w:trPr>
        <w:tc>
          <w:tcPr>
            <w:tcW w:w="3576" w:type="dxa"/>
          </w:tcPr>
          <w:p w:rsidR="0076123C" w:rsidP="00762D1E">
            <w:pPr>
              <w:spacing w:after="0" w:line="240" w:lineRule="auto"/>
              <w:jc w:val="center"/>
              <w:rPr>
                <w:rFonts w:ascii="Candara" w:hAnsi="Candara"/>
              </w:rPr>
            </w:pPr>
            <w:r w:rsidRPr="00B41842">
              <w:rPr>
                <w:rFonts w:ascii="Arial Narrow" w:hAnsi="Arial Narrow"/>
                <w:noProof/>
                <w:lang w:eastAsia="lv-LV"/>
              </w:rPr>
              <w:drawing>
                <wp:inline distT="0" distB="0" distL="0" distR="0">
                  <wp:extent cx="2124075" cy="1057275"/>
                  <wp:effectExtent l="0" t="0" r="0" b="0"/>
                  <wp:docPr id="7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c>
          <w:tcPr>
            <w:tcW w:w="3576" w:type="dxa"/>
            <w:gridSpan w:val="2"/>
          </w:tcPr>
          <w:p w:rsidR="0076123C" w:rsidP="00762D1E">
            <w:pPr>
              <w:spacing w:after="0" w:line="240" w:lineRule="auto"/>
              <w:jc w:val="center"/>
              <w:rPr>
                <w:rFonts w:ascii="Candara" w:hAnsi="Candara"/>
              </w:rPr>
            </w:pPr>
            <w:r w:rsidRPr="00123E9E">
              <w:rPr>
                <w:rFonts w:ascii="Arial Narrow" w:hAnsi="Arial Narrow"/>
                <w:noProof/>
                <w:lang w:eastAsia="lv-LV"/>
              </w:rPr>
              <w:drawing>
                <wp:inline distT="0" distB="0" distL="0" distR="0">
                  <wp:extent cx="1943100" cy="1057275"/>
                  <wp:effectExtent l="0" t="0" r="0" b="0"/>
                  <wp:docPr id="8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c>
          <w:tcPr>
            <w:tcW w:w="3336" w:type="dxa"/>
            <w:vMerge/>
          </w:tcPr>
          <w:p w:rsidR="0076123C" w:rsidP="003A2C2A">
            <w:pPr>
              <w:jc w:val="center"/>
              <w:rPr>
                <w:rFonts w:ascii="Candara" w:hAnsi="Candara"/>
              </w:rPr>
            </w:pPr>
          </w:p>
        </w:tc>
      </w:tr>
      <w:tr w:rsidTr="003B0F04">
        <w:tblPrEx>
          <w:tblW w:w="10488" w:type="dxa"/>
          <w:jc w:val="center"/>
          <w:tblLook w:val="04A0"/>
        </w:tblPrEx>
        <w:trPr>
          <w:jc w:val="center"/>
        </w:trPr>
        <w:tc>
          <w:tcPr>
            <w:tcW w:w="5299" w:type="dxa"/>
            <w:gridSpan w:val="2"/>
            <w:shd w:val="clear" w:color="auto" w:fill="D9D9D9" w:themeFill="background1" w:themeFillShade="D9"/>
          </w:tcPr>
          <w:p w:rsidR="0076123C" w:rsidRPr="00483382" w:rsidP="00762D1E">
            <w:pPr>
              <w:spacing w:after="0" w:line="240" w:lineRule="auto"/>
              <w:jc w:val="center"/>
              <w:rPr>
                <w:rFonts w:ascii="Candara" w:hAnsi="Candara"/>
                <w:sz w:val="18"/>
                <w:szCs w:val="20"/>
              </w:rPr>
            </w:pPr>
            <w:r w:rsidRPr="00483382">
              <w:rPr>
                <w:rFonts w:ascii="Candara" w:hAnsi="Candara"/>
                <w:sz w:val="18"/>
                <w:szCs w:val="20"/>
              </w:rPr>
              <w:t>Darbaspēka izmaksas</w:t>
            </w:r>
            <w:r w:rsidR="00F35BE1">
              <w:rPr>
                <w:rFonts w:ascii="Candara" w:hAnsi="Candara"/>
                <w:sz w:val="18"/>
                <w:szCs w:val="20"/>
              </w:rPr>
              <w:t xml:space="preserve"> uz 1 nodarbināto</w:t>
            </w:r>
            <w:r w:rsidR="005C1E6F">
              <w:rPr>
                <w:rFonts w:ascii="Candara" w:hAnsi="Candara"/>
                <w:sz w:val="18"/>
                <w:szCs w:val="20"/>
              </w:rPr>
              <w:t xml:space="preserve"> 201</w:t>
            </w:r>
            <w:r w:rsidR="006D0997">
              <w:rPr>
                <w:rFonts w:ascii="Candara" w:hAnsi="Candara"/>
                <w:sz w:val="18"/>
                <w:szCs w:val="20"/>
              </w:rPr>
              <w:t>5</w:t>
            </w:r>
            <w:r w:rsidR="005C1E6F">
              <w:rPr>
                <w:rFonts w:ascii="Candara" w:hAnsi="Candara"/>
                <w:sz w:val="18"/>
                <w:szCs w:val="20"/>
              </w:rPr>
              <w:t>.g.</w:t>
            </w:r>
            <w:r>
              <w:rPr>
                <w:rFonts w:ascii="Candara" w:hAnsi="Candara"/>
                <w:sz w:val="18"/>
                <w:szCs w:val="20"/>
              </w:rPr>
              <w:t>, tūkst. EUR</w:t>
            </w:r>
          </w:p>
        </w:tc>
        <w:tc>
          <w:tcPr>
            <w:tcW w:w="5189" w:type="dxa"/>
            <w:gridSpan w:val="2"/>
            <w:shd w:val="clear" w:color="auto" w:fill="D9D9D9" w:themeFill="background1" w:themeFillShade="D9"/>
          </w:tcPr>
          <w:p w:rsidR="0076123C" w:rsidRPr="00483382" w:rsidP="00762D1E">
            <w:pPr>
              <w:spacing w:after="0" w:line="240" w:lineRule="auto"/>
              <w:jc w:val="center"/>
              <w:rPr>
                <w:rFonts w:ascii="Candara" w:hAnsi="Candara"/>
                <w:sz w:val="18"/>
                <w:szCs w:val="20"/>
              </w:rPr>
            </w:pPr>
            <w:r w:rsidRPr="00483382">
              <w:rPr>
                <w:rFonts w:ascii="Candara" w:hAnsi="Candara"/>
                <w:sz w:val="18"/>
                <w:szCs w:val="20"/>
              </w:rPr>
              <w:t>Produktivitāte</w:t>
            </w:r>
            <w:r w:rsidR="005C1E6F">
              <w:rPr>
                <w:rFonts w:ascii="Candara" w:hAnsi="Candara"/>
                <w:sz w:val="18"/>
                <w:szCs w:val="20"/>
              </w:rPr>
              <w:t xml:space="preserve"> (PV uz 1 nodarbināto) 201</w:t>
            </w:r>
            <w:r w:rsidR="006D0997">
              <w:rPr>
                <w:rFonts w:ascii="Candara" w:hAnsi="Candara"/>
                <w:sz w:val="18"/>
                <w:szCs w:val="20"/>
              </w:rPr>
              <w:t>5</w:t>
            </w:r>
            <w:r w:rsidR="005C1E6F">
              <w:rPr>
                <w:rFonts w:ascii="Candara" w:hAnsi="Candara"/>
                <w:sz w:val="18"/>
                <w:szCs w:val="20"/>
              </w:rPr>
              <w:t>.g.</w:t>
            </w:r>
            <w:r>
              <w:rPr>
                <w:rFonts w:ascii="Candara" w:hAnsi="Candara"/>
                <w:sz w:val="18"/>
                <w:szCs w:val="20"/>
              </w:rPr>
              <w:t>, tūkst. EUR</w:t>
            </w:r>
          </w:p>
        </w:tc>
      </w:tr>
      <w:tr w:rsidTr="003B0F04">
        <w:tblPrEx>
          <w:tblW w:w="10488" w:type="dxa"/>
          <w:jc w:val="center"/>
          <w:tblLook w:val="04A0"/>
        </w:tblPrEx>
        <w:trPr>
          <w:jc w:val="center"/>
        </w:trPr>
        <w:tc>
          <w:tcPr>
            <w:tcW w:w="5299" w:type="dxa"/>
            <w:gridSpan w:val="2"/>
          </w:tcPr>
          <w:p w:rsidR="0076123C" w:rsidP="00762D1E">
            <w:pPr>
              <w:spacing w:after="0" w:line="240" w:lineRule="auto"/>
              <w:jc w:val="center"/>
              <w:rPr>
                <w:rFonts w:ascii="Candara" w:hAnsi="Candara"/>
              </w:rPr>
            </w:pPr>
            <w:r w:rsidRPr="00421CA2">
              <w:rPr>
                <w:noProof/>
                <w:lang w:eastAsia="lv-LV"/>
              </w:rPr>
              <w:drawing>
                <wp:inline distT="0" distB="0" distL="0" distR="0">
                  <wp:extent cx="3152775" cy="1171575"/>
                  <wp:effectExtent l="0" t="0" r="0" b="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c>
          <w:tcPr>
            <w:tcW w:w="5189" w:type="dxa"/>
            <w:gridSpan w:val="2"/>
          </w:tcPr>
          <w:p w:rsidR="0076123C" w:rsidP="00762D1E">
            <w:pPr>
              <w:spacing w:after="0" w:line="240" w:lineRule="auto"/>
              <w:jc w:val="center"/>
              <w:rPr>
                <w:rFonts w:ascii="Candara" w:hAnsi="Candara"/>
              </w:rPr>
            </w:pPr>
            <w:r w:rsidRPr="00421CA2">
              <w:rPr>
                <w:noProof/>
                <w:lang w:eastAsia="lv-LV"/>
              </w:rPr>
              <w:drawing>
                <wp:inline distT="0" distB="0" distL="0" distR="0">
                  <wp:extent cx="3152775" cy="1171575"/>
                  <wp:effectExtent l="0" t="0" r="0" b="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r>
      <w:tr w:rsidTr="003B0F04">
        <w:tblPrEx>
          <w:tblW w:w="10488" w:type="dxa"/>
          <w:jc w:val="center"/>
          <w:tblLook w:val="04A0"/>
        </w:tblPrEx>
        <w:trPr>
          <w:jc w:val="center"/>
        </w:trPr>
        <w:tc>
          <w:tcPr>
            <w:tcW w:w="5299" w:type="dxa"/>
            <w:gridSpan w:val="2"/>
            <w:shd w:val="clear" w:color="auto" w:fill="D9D9D9" w:themeFill="background1" w:themeFillShade="D9"/>
          </w:tcPr>
          <w:p w:rsidR="0076123C" w:rsidRPr="00483382" w:rsidP="00762D1E">
            <w:pPr>
              <w:spacing w:after="0" w:line="240" w:lineRule="auto"/>
              <w:jc w:val="center"/>
              <w:rPr>
                <w:rFonts w:ascii="Candara" w:hAnsi="Candara"/>
                <w:sz w:val="18"/>
              </w:rPr>
            </w:pPr>
            <w:r w:rsidRPr="00483382">
              <w:rPr>
                <w:rFonts w:ascii="Candara" w:hAnsi="Candara"/>
                <w:sz w:val="18"/>
                <w:szCs w:val="20"/>
              </w:rPr>
              <w:t>Produktivitāte un darbaspēka izmaksas ES-28 valstīs 2010.g</w:t>
            </w:r>
            <w:r w:rsidR="00F86EC0">
              <w:rPr>
                <w:rFonts w:ascii="Candara" w:hAnsi="Candara"/>
                <w:sz w:val="18"/>
                <w:szCs w:val="20"/>
              </w:rPr>
              <w:t>.</w:t>
            </w:r>
          </w:p>
        </w:tc>
        <w:tc>
          <w:tcPr>
            <w:tcW w:w="5189" w:type="dxa"/>
            <w:gridSpan w:val="2"/>
            <w:shd w:val="clear" w:color="auto" w:fill="D9D9D9" w:themeFill="background1" w:themeFillShade="D9"/>
          </w:tcPr>
          <w:p w:rsidR="0076123C" w:rsidRPr="00483382" w:rsidP="00762D1E">
            <w:pPr>
              <w:spacing w:after="0" w:line="240" w:lineRule="auto"/>
              <w:jc w:val="center"/>
              <w:rPr>
                <w:rFonts w:ascii="Candara" w:hAnsi="Candara"/>
                <w:sz w:val="18"/>
              </w:rPr>
            </w:pPr>
            <w:r w:rsidRPr="00483382">
              <w:rPr>
                <w:rFonts w:ascii="Candara" w:hAnsi="Candara"/>
                <w:sz w:val="18"/>
                <w:szCs w:val="20"/>
              </w:rPr>
              <w:t>Produktivitāte un darbaspēka izmaksas ES-28 valstīs 201</w:t>
            </w:r>
            <w:r w:rsidR="006D0997">
              <w:rPr>
                <w:rFonts w:ascii="Candara" w:hAnsi="Candara"/>
                <w:sz w:val="18"/>
                <w:szCs w:val="20"/>
              </w:rPr>
              <w:t>5</w:t>
            </w:r>
            <w:r w:rsidRPr="00483382">
              <w:rPr>
                <w:rFonts w:ascii="Candara" w:hAnsi="Candara"/>
                <w:sz w:val="18"/>
                <w:szCs w:val="20"/>
              </w:rPr>
              <w:t>.g</w:t>
            </w:r>
            <w:r w:rsidR="00F86EC0">
              <w:rPr>
                <w:rFonts w:ascii="Candara" w:hAnsi="Candara"/>
                <w:sz w:val="18"/>
                <w:szCs w:val="20"/>
              </w:rPr>
              <w:t>.</w:t>
            </w:r>
          </w:p>
        </w:tc>
      </w:tr>
      <w:tr w:rsidTr="003B0F04">
        <w:tblPrEx>
          <w:tblW w:w="10488" w:type="dxa"/>
          <w:jc w:val="center"/>
          <w:tblLook w:val="04A0"/>
        </w:tblPrEx>
        <w:trPr>
          <w:jc w:val="center"/>
        </w:trPr>
        <w:tc>
          <w:tcPr>
            <w:tcW w:w="5299" w:type="dxa"/>
            <w:gridSpan w:val="2"/>
          </w:tcPr>
          <w:p w:rsidR="0076123C" w:rsidP="00762D1E">
            <w:pPr>
              <w:spacing w:after="0" w:line="240" w:lineRule="auto"/>
              <w:rPr>
                <w:rFonts w:ascii="Candara" w:hAnsi="Candara"/>
              </w:rPr>
            </w:pPr>
            <w:r w:rsidRPr="00B612F1">
              <w:rPr>
                <w:rFonts w:ascii="Candara" w:eastAsia="Times New Roman" w:hAnsi="Candara"/>
                <w:noProof/>
                <w:sz w:val="18"/>
                <w:szCs w:val="18"/>
                <w:lang w:eastAsia="lv-LV"/>
              </w:rPr>
              <w:drawing>
                <wp:inline distT="0" distB="0" distL="0" distR="0">
                  <wp:extent cx="3057525" cy="1333500"/>
                  <wp:effectExtent l="0" t="0" r="0" b="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c>
          <w:tcPr>
            <w:tcW w:w="5189" w:type="dxa"/>
            <w:gridSpan w:val="2"/>
          </w:tcPr>
          <w:p w:rsidR="0076123C" w:rsidP="00762D1E">
            <w:pPr>
              <w:spacing w:after="0" w:line="240" w:lineRule="auto"/>
              <w:rPr>
                <w:rFonts w:ascii="Candara" w:hAnsi="Candara"/>
              </w:rPr>
            </w:pPr>
            <w:r w:rsidRPr="00B612F1">
              <w:rPr>
                <w:rFonts w:ascii="Candara" w:eastAsia="Times New Roman" w:hAnsi="Candara"/>
                <w:noProof/>
                <w:sz w:val="18"/>
                <w:szCs w:val="18"/>
                <w:lang w:eastAsia="lv-LV"/>
              </w:rPr>
              <w:drawing>
                <wp:inline distT="0" distB="0" distL="0" distR="0">
                  <wp:extent cx="3057525" cy="1333500"/>
                  <wp:effectExtent l="0" t="0" r="0" b="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c>
      </w:tr>
    </w:tbl>
    <w:p w:rsidR="0076123C" w:rsidP="0076123C">
      <w:pPr>
        <w:spacing w:after="0" w:line="240" w:lineRule="auto"/>
        <w:rPr>
          <w:rFonts w:ascii="Candara" w:hAnsi="Candara"/>
          <w:b/>
          <w:color w:val="000000"/>
          <w:szCs w:val="28"/>
        </w:rPr>
      </w:pPr>
    </w:p>
    <w:p w:rsidR="0021616C" w:rsidP="0021616C">
      <w:pPr>
        <w:spacing w:after="0" w:line="240" w:lineRule="auto"/>
        <w:jc w:val="both"/>
        <w:rPr>
          <w:rFonts w:ascii="Candara" w:hAnsi="Candara"/>
          <w:color w:val="000000"/>
          <w:szCs w:val="28"/>
        </w:rPr>
      </w:pPr>
      <w:r>
        <w:rPr>
          <w:rFonts w:ascii="Candara" w:hAnsi="Candara"/>
          <w:b/>
          <w:color w:val="000000"/>
          <w:szCs w:val="28"/>
          <w:u w:val="single"/>
        </w:rPr>
        <w:t>Nozares īpatsvars tautsaimniecībā, procentos</w:t>
      </w:r>
      <w:r>
        <w:rPr>
          <w:rFonts w:ascii="Candara" w:hAnsi="Candara"/>
          <w:color w:val="000000"/>
          <w:szCs w:val="28"/>
        </w:rPr>
        <w:t>. Nozares īpatsvars kopējā tautsaimniecībā 2005.gadā bija 1,3%. Pēc krīzes periodā nozares apjomi nedaudz palielinājās, īpatsvaram pieaugot par 0,2 procentpunktiem no 0,6% 2009.gadā līdz 0,8% 2010.-2011.gadā. Savukārt 2012.gadā nozares īpatsvars samazinājās līdz 0,7% un tādā līmenī saglabājās arī 2013.gadā, līdz 2015.gadam tās īpatsvars tautsaimniecībā samazinājās līdz 0,5%.</w:t>
      </w:r>
    </w:p>
    <w:p w:rsidR="0021616C" w:rsidP="0021616C">
      <w:pPr>
        <w:spacing w:after="0" w:line="240" w:lineRule="auto"/>
        <w:jc w:val="both"/>
        <w:rPr>
          <w:rFonts w:ascii="Candara" w:hAnsi="Candara"/>
          <w:color w:val="000000"/>
          <w:szCs w:val="28"/>
        </w:rPr>
      </w:pPr>
      <w:r>
        <w:rPr>
          <w:rFonts w:ascii="Candara" w:hAnsi="Candara"/>
          <w:b/>
          <w:color w:val="000000"/>
          <w:szCs w:val="28"/>
          <w:u w:val="single"/>
        </w:rPr>
        <w:t>Pievienotās vērtības un darba vietu skaita izmaiņas, 2005=100.</w:t>
      </w:r>
      <w:r>
        <w:rPr>
          <w:rFonts w:ascii="Candara" w:hAnsi="Candara"/>
          <w:color w:val="000000"/>
          <w:szCs w:val="28"/>
        </w:rPr>
        <w:t xml:space="preserve"> Nozare salīdzinoši sekmīgi atguvās no krīzes, tomēr pēdējos gados nozares attīstība ir vāja. 2015.gadā bija vērojams  liels ražošanas apjomu samazinājums par 11%. Salīdzinot ar krīzes zemāko punktu 2009. gadā, nozares izlaides apjomi 2015.gadā bija par 1% zemāki, un par 38% atpaliek no pirmskrīzes līmeņa.</w:t>
      </w:r>
    </w:p>
    <w:p w:rsidR="0021616C" w:rsidP="0021616C">
      <w:pPr>
        <w:spacing w:after="0" w:line="240" w:lineRule="auto"/>
        <w:jc w:val="both"/>
        <w:rPr>
          <w:rFonts w:ascii="Candara" w:hAnsi="Candara"/>
          <w:b/>
          <w:color w:val="000000"/>
          <w:szCs w:val="28"/>
          <w:u w:val="single"/>
        </w:rPr>
      </w:pPr>
      <w:r>
        <w:rPr>
          <w:rFonts w:ascii="Candara" w:hAnsi="Candara"/>
          <w:color w:val="000000"/>
          <w:szCs w:val="28"/>
        </w:rPr>
        <w:t>Salīdzinājumā ar ražošanas apjomu kāpumu darbavietu skaits nozarē aug krietni mērenāk, kas liecina par produktivitātes pieaugumu. Darbavietu skaits nozarē pēc krīzes pieauga, tomēr no 2014. gada darbavietu skaits samazinās, 2015.gadā samazinājums ir par 8%. Salīdzinot ar zemāko punktu 2009.gadā, darbavietu skaits samazinājies par 3%.</w:t>
      </w:r>
    </w:p>
    <w:p w:rsidR="0021616C" w:rsidP="0021616C">
      <w:pPr>
        <w:spacing w:after="0" w:line="240" w:lineRule="auto"/>
        <w:jc w:val="both"/>
        <w:rPr>
          <w:rFonts w:ascii="Candara" w:hAnsi="Candara"/>
          <w:color w:val="000000"/>
          <w:szCs w:val="28"/>
        </w:rPr>
      </w:pPr>
      <w:r>
        <w:rPr>
          <w:rFonts w:ascii="Candara" w:hAnsi="Candara"/>
          <w:b/>
          <w:color w:val="000000"/>
          <w:szCs w:val="28"/>
          <w:u w:val="single"/>
        </w:rPr>
        <w:t>Produkcijas eksports, milj. EUR.</w:t>
      </w:r>
      <w:r>
        <w:rPr>
          <w:rFonts w:ascii="Candara" w:hAnsi="Candara"/>
          <w:color w:val="000000"/>
          <w:szCs w:val="28"/>
        </w:rPr>
        <w:t xml:space="preserve"> Kopš krīzes zemākā punkta 2009. gadā eksportētās produkcijas apjomi atsāka pieaugt. 2014.-2016.gadā eksporta apjomi samazinās vāja ārējā pieprasījuma dēļ.</w:t>
      </w:r>
    </w:p>
    <w:p w:rsidR="0021616C" w:rsidP="0021616C">
      <w:pPr>
        <w:spacing w:after="0" w:line="240" w:lineRule="auto"/>
        <w:jc w:val="both"/>
        <w:rPr>
          <w:rFonts w:ascii="Candara" w:hAnsi="Candara"/>
          <w:b/>
          <w:color w:val="000000"/>
          <w:szCs w:val="28"/>
          <w:u w:val="single"/>
        </w:rPr>
      </w:pPr>
      <w:r>
        <w:rPr>
          <w:rFonts w:ascii="Candara" w:hAnsi="Candara"/>
          <w:b/>
          <w:color w:val="000000"/>
          <w:szCs w:val="28"/>
          <w:u w:val="single"/>
        </w:rPr>
        <w:t>Eksports uz 1 strādājošo, tūkst. EUR.</w:t>
      </w:r>
      <w:r>
        <w:rPr>
          <w:rFonts w:ascii="Candara" w:hAnsi="Candara"/>
          <w:color w:val="000000"/>
          <w:szCs w:val="28"/>
        </w:rPr>
        <w:t xml:space="preserve"> Kopš 2005.gada eksporta apjoms uz vienu strādājošo ik gadu lēnām, bet stabili aug.</w:t>
      </w:r>
    </w:p>
    <w:p w:rsidR="0021616C" w:rsidP="0021616C">
      <w:pPr>
        <w:spacing w:after="0" w:line="240" w:lineRule="auto"/>
        <w:jc w:val="both"/>
        <w:rPr>
          <w:rFonts w:ascii="Candara" w:hAnsi="Candara"/>
          <w:color w:val="000000"/>
          <w:szCs w:val="28"/>
        </w:rPr>
      </w:pPr>
      <w:r>
        <w:rPr>
          <w:rFonts w:ascii="Candara" w:hAnsi="Candara"/>
          <w:b/>
          <w:color w:val="000000"/>
          <w:szCs w:val="28"/>
          <w:u w:val="single"/>
        </w:rPr>
        <w:t>Eksports uz 1 strādājošo ES 28 valstīs, tūkst. EUR.</w:t>
      </w:r>
      <w:r>
        <w:rPr>
          <w:rFonts w:ascii="Candara" w:hAnsi="Candara"/>
          <w:color w:val="000000"/>
          <w:szCs w:val="28"/>
        </w:rPr>
        <w:t xml:space="preserve"> Latvijā eksports apjoms uz vienu strādājošo vieglās rūpniecības nozarē ir nedaudz augstāks nekā Igaunijā, zemāks nekā Lietuvā, un ievērojami zemāks nekā ES vidēji.</w:t>
      </w:r>
    </w:p>
    <w:p w:rsidR="0021616C" w:rsidP="0021616C">
      <w:pPr>
        <w:spacing w:after="0" w:line="240" w:lineRule="auto"/>
        <w:jc w:val="both"/>
        <w:rPr>
          <w:rFonts w:ascii="Candara" w:hAnsi="Candara"/>
          <w:b/>
          <w:color w:val="000000"/>
          <w:szCs w:val="28"/>
          <w:u w:val="single"/>
        </w:rPr>
      </w:pPr>
      <w:r>
        <w:rPr>
          <w:rFonts w:ascii="Candara" w:hAnsi="Candara"/>
          <w:b/>
          <w:color w:val="000000"/>
          <w:szCs w:val="28"/>
          <w:u w:val="single"/>
        </w:rPr>
        <w:t>Eksporta tirgi.</w:t>
      </w:r>
      <w:r>
        <w:rPr>
          <w:rFonts w:ascii="Candara" w:hAnsi="Candara"/>
          <w:color w:val="000000"/>
          <w:szCs w:val="28"/>
        </w:rPr>
        <w:t xml:space="preserve"> Lielākie eksporta tirgi vieglās rūpniecības precēm ir Igaunija, Lietuva, Dānija, Polija, Zviedrija, Vācija un Krievija.</w:t>
      </w:r>
    </w:p>
    <w:p w:rsidR="0021616C" w:rsidP="0021616C">
      <w:pPr>
        <w:spacing w:after="0" w:line="240" w:lineRule="auto"/>
        <w:jc w:val="both"/>
        <w:rPr>
          <w:rFonts w:ascii="Candara" w:hAnsi="Candara"/>
          <w:b/>
          <w:color w:val="000000"/>
          <w:szCs w:val="28"/>
          <w:u w:val="single"/>
        </w:rPr>
      </w:pPr>
      <w:r>
        <w:rPr>
          <w:rFonts w:ascii="Candara" w:hAnsi="Candara"/>
          <w:b/>
          <w:color w:val="000000"/>
          <w:szCs w:val="28"/>
          <w:u w:val="single"/>
        </w:rPr>
        <w:t>Eksporta struktūra.</w:t>
      </w:r>
      <w:r>
        <w:rPr>
          <w:rFonts w:ascii="Candara" w:hAnsi="Candara"/>
          <w:color w:val="000000"/>
          <w:szCs w:val="28"/>
        </w:rPr>
        <w:t xml:space="preserve"> Latvijā kopš 2005.gada nav būtiski mainījusies, vien nedaudz sarucis tekstila apģērba un tā piederumu īpatsvars.</w:t>
      </w:r>
    </w:p>
    <w:p w:rsidR="0021616C" w:rsidP="0021616C">
      <w:pPr>
        <w:spacing w:after="0" w:line="240" w:lineRule="auto"/>
        <w:jc w:val="both"/>
        <w:rPr>
          <w:rFonts w:ascii="Candara" w:hAnsi="Candara"/>
          <w:b/>
          <w:color w:val="000000"/>
          <w:szCs w:val="28"/>
          <w:u w:val="single"/>
        </w:rPr>
      </w:pPr>
      <w:r>
        <w:rPr>
          <w:rFonts w:ascii="Candara" w:hAnsi="Candara"/>
          <w:b/>
          <w:color w:val="000000"/>
          <w:szCs w:val="28"/>
          <w:u w:val="single"/>
        </w:rPr>
        <w:t>Darbaspēka izmaksu dinamika, tūkst.</w:t>
      </w:r>
      <w:r>
        <w:rPr>
          <w:rFonts w:ascii="Candara" w:hAnsi="Candara"/>
          <w:color w:val="000000"/>
          <w:szCs w:val="28"/>
        </w:rPr>
        <w:t xml:space="preserve"> Krīzes laikā un atsākoties ekonomikas izaugsmei darbaspēka izmaksas nozarē samazinājās. Izmaksu kāpums atsākās 2013.gadā, un  2015.gadā tika sasniegts pirmskrīzes perioda līmenis.</w:t>
      </w:r>
    </w:p>
    <w:p w:rsidR="0021616C" w:rsidP="0021616C">
      <w:pPr>
        <w:spacing w:after="0" w:line="240" w:lineRule="auto"/>
        <w:jc w:val="both"/>
        <w:rPr>
          <w:rFonts w:ascii="Candara" w:hAnsi="Candara"/>
          <w:color w:val="000000"/>
          <w:szCs w:val="28"/>
        </w:rPr>
      </w:pPr>
      <w:r>
        <w:rPr>
          <w:rFonts w:ascii="Candara" w:hAnsi="Candara"/>
          <w:b/>
          <w:color w:val="000000"/>
          <w:szCs w:val="28"/>
          <w:u w:val="single"/>
        </w:rPr>
        <w:t>Produktivitātes dinamika, tūkst.</w:t>
      </w:r>
      <w:r>
        <w:rPr>
          <w:rFonts w:ascii="Candara" w:hAnsi="Candara"/>
          <w:color w:val="000000"/>
          <w:szCs w:val="28"/>
        </w:rPr>
        <w:t xml:space="preserve"> Būtisks ražošanas apjomu samazinājums pirmskrīzes laikā veicināja strauju produktivitātes kritumu 2007.gadā, kas turpinājās arī 2008.-2009.gadā. 2010.-2011.gadā produktivitāte pieauga, ražošanas apjomu kāpumam pieaugot daudz straujāk nekā nodarbināto skaitam. Savukārt, 2012.gadā produktivitāte samazinājās ražošanas apjomu krituma dēļ. Nākamos divos gados bija vērojams mērens produktivitātes kāpums nodarbināto skaita krituma dēļ. 2015.gadā produktivitāte ir noslīdējusi 2012.gada līmenī straujāku ražošanas apjomu krituma dēļ.</w:t>
      </w:r>
    </w:p>
    <w:p w:rsidR="0021616C" w:rsidP="0021616C">
      <w:pPr>
        <w:spacing w:after="0" w:line="240" w:lineRule="auto"/>
        <w:jc w:val="both"/>
        <w:rPr>
          <w:rFonts w:ascii="Candara" w:hAnsi="Candara"/>
          <w:b/>
          <w:color w:val="000000"/>
          <w:szCs w:val="28"/>
          <w:u w:val="single"/>
        </w:rPr>
      </w:pPr>
      <w:r>
        <w:rPr>
          <w:rFonts w:ascii="Candara" w:hAnsi="Candara"/>
          <w:b/>
          <w:color w:val="000000"/>
          <w:szCs w:val="28"/>
          <w:u w:val="single"/>
        </w:rPr>
        <w:t>Produktivitāte un darbaspēka izmaksas.</w:t>
      </w:r>
      <w:r>
        <w:rPr>
          <w:rFonts w:ascii="Candara" w:hAnsi="Candara"/>
          <w:color w:val="000000"/>
          <w:szCs w:val="28"/>
        </w:rPr>
        <w:t xml:space="preserve"> Ekonomikas lejupslīdes jeb krīzes periodā ULC samazinājās, ko noteica būtisks darbaspēka izmaksu un nodarbināto skaita samazinājums, izmaksām samazinoties straujāk nekā nodarbināto skaitam. Kopš 2012.gada ULC pieaug, kamēr produktivitāte samazinās vai pieaug minimāli. Šādu nozares attīstības modeli var raksturot kā ekstensīvu. 2015.gadā nozarē darbaspēka izmaksas pieauga UN produktivitāte samazinājās, kas liecina par cenu konkurētspējas (izmaksu) pazemināšanos.</w:t>
      </w:r>
    </w:p>
    <w:p w:rsidR="0021616C" w:rsidP="0021616C">
      <w:pPr>
        <w:spacing w:after="0" w:line="240" w:lineRule="auto"/>
        <w:jc w:val="both"/>
        <w:rPr>
          <w:rFonts w:ascii="Candara" w:hAnsi="Candara"/>
          <w:color w:val="000000"/>
          <w:szCs w:val="28"/>
        </w:rPr>
      </w:pPr>
      <w:r>
        <w:rPr>
          <w:rFonts w:ascii="Candara" w:hAnsi="Candara"/>
          <w:b/>
          <w:color w:val="000000"/>
          <w:szCs w:val="28"/>
          <w:u w:val="single"/>
        </w:rPr>
        <w:t>Darbaspēka izmaksas, ES-28=100.</w:t>
      </w:r>
      <w:r>
        <w:rPr>
          <w:rFonts w:ascii="Candara" w:hAnsi="Candara"/>
          <w:color w:val="000000"/>
          <w:szCs w:val="28"/>
        </w:rPr>
        <w:t xml:space="preserve"> Salīdzinot ar darbaspēka izmaksu vidējo līmeni ES, nozarē tās aptuveni ir tautsaimniecības vidējā līmenī.</w:t>
      </w:r>
    </w:p>
    <w:p w:rsidR="0021616C" w:rsidP="0021616C">
      <w:pPr>
        <w:spacing w:after="0" w:line="240" w:lineRule="auto"/>
        <w:jc w:val="both"/>
        <w:rPr>
          <w:rFonts w:ascii="Candara" w:hAnsi="Candara"/>
          <w:color w:val="000000"/>
          <w:szCs w:val="28"/>
        </w:rPr>
      </w:pPr>
      <w:r>
        <w:rPr>
          <w:rFonts w:ascii="Candara" w:hAnsi="Candara"/>
          <w:b/>
          <w:color w:val="000000"/>
          <w:szCs w:val="28"/>
          <w:u w:val="single"/>
        </w:rPr>
        <w:t>Produktivitāte, ES-28=100.</w:t>
      </w:r>
      <w:r>
        <w:rPr>
          <w:rFonts w:ascii="Candara" w:hAnsi="Candara"/>
          <w:color w:val="000000"/>
          <w:szCs w:val="28"/>
        </w:rPr>
        <w:t xml:space="preserve"> Salīdzinot ar vidējo līmeni ES, nozarē produktivitātes līmenis ir zemāks nekā tautsaimniecībā kopumā (izņemot 2010.-2011.gadu). Kopš 2012.gada produktivitāte praktiski saglabājas vienā līmenī un būtiski atpaliek no vidējā līmeņa tautsaimniecībā kopumā.</w:t>
      </w:r>
    </w:p>
    <w:p w:rsidR="0021616C" w:rsidP="0021616C">
      <w:pPr>
        <w:spacing w:after="0" w:line="240" w:lineRule="auto"/>
        <w:jc w:val="both"/>
        <w:rPr>
          <w:rFonts w:ascii="Candara" w:hAnsi="Candara"/>
          <w:color w:val="000000"/>
          <w:szCs w:val="28"/>
        </w:rPr>
      </w:pPr>
      <w:r>
        <w:rPr>
          <w:rFonts w:ascii="Candara" w:hAnsi="Candara"/>
          <w:b/>
          <w:color w:val="000000"/>
          <w:szCs w:val="28"/>
          <w:u w:val="single"/>
        </w:rPr>
        <w:t>Darbaspēka izmaksas, salīdzinot ar ES valstīm, 2015.gadā.</w:t>
      </w:r>
      <w:r>
        <w:rPr>
          <w:rFonts w:ascii="Candara" w:hAnsi="Candara"/>
          <w:color w:val="000000"/>
          <w:szCs w:val="28"/>
        </w:rPr>
        <w:t xml:space="preserve"> Latvijā 2015.gadā darbaspēka izmaksas nozarē bija zemākas nekā Lietuvā un Igaunijā. Kopumā starp ES valstīm Latvija bija 24.vietā.</w:t>
      </w:r>
    </w:p>
    <w:p w:rsidR="0021616C" w:rsidP="0021616C">
      <w:pPr>
        <w:spacing w:after="0" w:line="240" w:lineRule="auto"/>
        <w:jc w:val="both"/>
        <w:rPr>
          <w:rFonts w:ascii="Candara" w:hAnsi="Candara"/>
          <w:color w:val="000000"/>
          <w:szCs w:val="28"/>
        </w:rPr>
      </w:pPr>
      <w:r>
        <w:rPr>
          <w:rFonts w:ascii="Candara" w:hAnsi="Candara"/>
          <w:b/>
          <w:color w:val="000000"/>
          <w:szCs w:val="28"/>
          <w:u w:val="single"/>
        </w:rPr>
        <w:t>Produktivitāte, salīdzinot ar ES valstīm, 2015.gadā.</w:t>
      </w:r>
      <w:r>
        <w:rPr>
          <w:rFonts w:ascii="Candara" w:hAnsi="Candara"/>
          <w:color w:val="000000"/>
          <w:szCs w:val="28"/>
        </w:rPr>
        <w:t xml:space="preserve"> Latvijā 2015.gadā produktivitāte nozarē bija zemāka nekā Lietuvā un Igaunijā. Kopumā starp ES valstīm Latvija bija 25.vietā.</w:t>
      </w:r>
    </w:p>
    <w:p w:rsidR="0021616C" w:rsidP="0021616C">
      <w:pPr>
        <w:spacing w:after="0" w:line="240" w:lineRule="auto"/>
        <w:jc w:val="both"/>
        <w:rPr>
          <w:rFonts w:ascii="Candara" w:hAnsi="Candara"/>
          <w:color w:val="000000"/>
          <w:szCs w:val="28"/>
        </w:rPr>
      </w:pPr>
      <w:r>
        <w:rPr>
          <w:rFonts w:ascii="Candara" w:hAnsi="Candara"/>
          <w:b/>
          <w:color w:val="000000"/>
          <w:szCs w:val="28"/>
          <w:u w:val="single"/>
        </w:rPr>
        <w:t>Produktivitāte un darbaspēka izmaksas ES-28 valstīs 2010.gadā un 2015.gadā.</w:t>
      </w:r>
      <w:r>
        <w:rPr>
          <w:rFonts w:ascii="Candara" w:hAnsi="Candara"/>
          <w:color w:val="000000"/>
          <w:szCs w:val="28"/>
        </w:rPr>
        <w:t xml:space="preserve"> Darbaspēka izmaksas uz 1 produkcijas vienību (ULC) nozarē Latvijā 2010.gadā bija viens no zemākajiem rādītājiem starp ES valstīm, zemāks tas bija 6 valstīs, bet 2014.gadā ULC Latvijā bija vienāds ar vidējo rādītāju ES. Latvijā 2015.gadā, salīdzinot ar 2010.gadu ULC ir pieaudzis par 8%, ko noteica nodarbināto skaita kritums par 4% un ražošanas apjomu kritums par 7%, kas liecina, ka nozarē lēta darbaspēka konkurētspējas priekšrocības samazinās.</w:t>
      </w:r>
    </w:p>
    <w:p w:rsidR="0076123C" w:rsidP="00762D1E">
      <w:pPr>
        <w:spacing w:after="0" w:line="240" w:lineRule="auto"/>
        <w:rPr>
          <w:rFonts w:ascii="Candara" w:hAnsi="Candara"/>
          <w:color w:val="000000"/>
          <w:szCs w:val="28"/>
        </w:rPr>
      </w:pPr>
      <w:r>
        <w:rPr>
          <w:rFonts w:ascii="Candara" w:hAnsi="Candara"/>
          <w:color w:val="000000"/>
          <w:szCs w:val="28"/>
        </w:rPr>
        <w:br w:type="page"/>
      </w:r>
    </w:p>
    <w:p w:rsidR="00C23A95" w:rsidRPr="009F39B5" w:rsidP="00C23A95">
      <w:pPr>
        <w:pStyle w:val="Heading1"/>
        <w:jc w:val="center"/>
        <w:rPr>
          <w:b/>
          <w:sz w:val="20"/>
        </w:rPr>
      </w:pPr>
      <w:bookmarkStart w:id="23" w:name="_Toc482792404"/>
      <w:bookmarkStart w:id="24" w:name="_Toc256000006"/>
      <w:bookmarkStart w:id="25" w:name="_Toc256000032"/>
      <w:r w:rsidRPr="009F39B5">
        <w:rPr>
          <w:b/>
          <w:sz w:val="20"/>
        </w:rPr>
        <w:t>C16 KOKAPSTRĀDE</w:t>
      </w:r>
      <w:bookmarkEnd w:id="25"/>
      <w:bookmarkEnd w:id="24"/>
      <w:bookmarkEnd w:id="23"/>
    </w:p>
    <w:tbl>
      <w:tblPr>
        <w:tblW w:w="10488"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3576"/>
        <w:gridCol w:w="1723"/>
        <w:gridCol w:w="1853"/>
        <w:gridCol w:w="3336"/>
      </w:tblGrid>
      <w:tr w:rsidTr="003B0F04">
        <w:tblPrEx>
          <w:tblW w:w="10488"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Ex>
        <w:trPr>
          <w:jc w:val="center"/>
        </w:trPr>
        <w:tc>
          <w:tcPr>
            <w:tcW w:w="3576" w:type="dxa"/>
            <w:shd w:val="clear" w:color="auto" w:fill="D9D9D9" w:themeFill="background1" w:themeFillShade="D9"/>
          </w:tcPr>
          <w:p w:rsidR="00C23A95" w:rsidRPr="00483382" w:rsidP="00762D1E">
            <w:pPr>
              <w:spacing w:after="0" w:line="240" w:lineRule="auto"/>
              <w:jc w:val="center"/>
              <w:rPr>
                <w:rFonts w:ascii="Candara" w:hAnsi="Candara"/>
                <w:sz w:val="18"/>
                <w:szCs w:val="20"/>
              </w:rPr>
            </w:pPr>
            <w:r w:rsidRPr="00483382">
              <w:rPr>
                <w:rFonts w:ascii="Candara" w:hAnsi="Candara"/>
                <w:sz w:val="18"/>
                <w:szCs w:val="20"/>
              </w:rPr>
              <w:t>Nozares īpatsvars tautsaimniecībā</w:t>
            </w:r>
            <w:r w:rsidR="00703211">
              <w:rPr>
                <w:rFonts w:ascii="Candara" w:hAnsi="Candara"/>
                <w:sz w:val="18"/>
                <w:szCs w:val="20"/>
              </w:rPr>
              <w:t xml:space="preserve"> (faktiskajās cenās)</w:t>
            </w:r>
            <w:r w:rsidRPr="00483382">
              <w:rPr>
                <w:rFonts w:ascii="Candara" w:hAnsi="Candara"/>
                <w:sz w:val="18"/>
                <w:szCs w:val="20"/>
              </w:rPr>
              <w:t>, %</w:t>
            </w:r>
          </w:p>
        </w:tc>
        <w:tc>
          <w:tcPr>
            <w:tcW w:w="3576" w:type="dxa"/>
            <w:gridSpan w:val="2"/>
            <w:shd w:val="clear" w:color="auto" w:fill="D9D9D9" w:themeFill="background1" w:themeFillShade="D9"/>
          </w:tcPr>
          <w:p w:rsidR="00C23A95" w:rsidRPr="00483382" w:rsidP="00762D1E">
            <w:pPr>
              <w:spacing w:after="0" w:line="240" w:lineRule="auto"/>
              <w:jc w:val="center"/>
              <w:rPr>
                <w:rFonts w:ascii="Candara" w:hAnsi="Candara"/>
                <w:sz w:val="18"/>
                <w:szCs w:val="20"/>
              </w:rPr>
            </w:pPr>
            <w:r w:rsidRPr="00483382">
              <w:rPr>
                <w:rFonts w:ascii="Candara" w:hAnsi="Candara"/>
                <w:sz w:val="18"/>
                <w:szCs w:val="20"/>
              </w:rPr>
              <w:t>Pievienotās vērtības un darba vietu skaita izmaiņas</w:t>
            </w:r>
            <w:r w:rsidR="007E4C0E">
              <w:rPr>
                <w:rFonts w:ascii="Candara" w:hAnsi="Candara"/>
                <w:sz w:val="18"/>
                <w:szCs w:val="20"/>
              </w:rPr>
              <w:t xml:space="preserve"> (2005=100)</w:t>
            </w:r>
          </w:p>
        </w:tc>
        <w:tc>
          <w:tcPr>
            <w:tcW w:w="3336" w:type="dxa"/>
            <w:shd w:val="clear" w:color="auto" w:fill="D9D9D9" w:themeFill="background1" w:themeFillShade="D9"/>
          </w:tcPr>
          <w:p w:rsidR="00C23A95" w:rsidRPr="00483382" w:rsidP="00762D1E">
            <w:pPr>
              <w:spacing w:after="0" w:line="240" w:lineRule="auto"/>
              <w:jc w:val="center"/>
              <w:rPr>
                <w:rFonts w:ascii="Candara" w:hAnsi="Candara"/>
                <w:sz w:val="18"/>
                <w:szCs w:val="20"/>
              </w:rPr>
            </w:pPr>
            <w:r w:rsidRPr="00483382">
              <w:rPr>
                <w:rFonts w:ascii="Candara" w:hAnsi="Candara"/>
                <w:sz w:val="18"/>
                <w:szCs w:val="20"/>
              </w:rPr>
              <w:t>Produkcijas eksports</w:t>
            </w:r>
            <w:r w:rsidR="00F86EC0">
              <w:rPr>
                <w:rFonts w:ascii="Candara" w:hAnsi="Candara"/>
                <w:sz w:val="18"/>
                <w:szCs w:val="20"/>
              </w:rPr>
              <w:t>,</w:t>
            </w:r>
            <w:r>
              <w:rPr>
                <w:rFonts w:ascii="Candara" w:hAnsi="Candara"/>
                <w:sz w:val="18"/>
                <w:szCs w:val="20"/>
              </w:rPr>
              <w:t xml:space="preserve"> milj. EUR</w:t>
            </w:r>
            <w:r w:rsidR="00E75013">
              <w:rPr>
                <w:rFonts w:ascii="Candara" w:hAnsi="Candara"/>
                <w:sz w:val="18"/>
                <w:szCs w:val="20"/>
              </w:rPr>
              <w:t>*</w:t>
            </w:r>
          </w:p>
        </w:tc>
      </w:tr>
      <w:tr w:rsidTr="003B0F04">
        <w:tblPrEx>
          <w:tblW w:w="10488" w:type="dxa"/>
          <w:jc w:val="center"/>
          <w:tblLook w:val="04A0"/>
        </w:tblPrEx>
        <w:trPr>
          <w:jc w:val="center"/>
        </w:trPr>
        <w:tc>
          <w:tcPr>
            <w:tcW w:w="3576" w:type="dxa"/>
          </w:tcPr>
          <w:p w:rsidR="00C23A95" w:rsidRPr="00B612F1" w:rsidP="00762D1E">
            <w:pPr>
              <w:spacing w:after="0" w:line="240" w:lineRule="auto"/>
              <w:rPr>
                <w:rFonts w:ascii="Candara" w:hAnsi="Candara"/>
              </w:rPr>
            </w:pPr>
            <w:r w:rsidRPr="00B612F1">
              <w:rPr>
                <w:rFonts w:ascii="Candara" w:hAnsi="Candara"/>
                <w:noProof/>
                <w:sz w:val="18"/>
                <w:szCs w:val="18"/>
                <w:lang w:eastAsia="lv-LV"/>
              </w:rPr>
              <w:drawing>
                <wp:inline distT="0" distB="0" distL="0" distR="0">
                  <wp:extent cx="2133600" cy="1022350"/>
                  <wp:effectExtent l="0" t="0" r="0" b="6350"/>
                  <wp:docPr id="85"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c>
        <w:tc>
          <w:tcPr>
            <w:tcW w:w="3576" w:type="dxa"/>
            <w:gridSpan w:val="2"/>
          </w:tcPr>
          <w:p w:rsidR="00C23A95" w:rsidRPr="00B612F1" w:rsidP="00762D1E">
            <w:pPr>
              <w:spacing w:after="0" w:line="240" w:lineRule="auto"/>
              <w:jc w:val="center"/>
              <w:rPr>
                <w:rFonts w:ascii="Candara" w:hAnsi="Candara"/>
              </w:rPr>
            </w:pPr>
            <w:r w:rsidRPr="00B612F1">
              <w:rPr>
                <w:rFonts w:ascii="Candara" w:eastAsia="Times New Roman" w:hAnsi="Candara"/>
                <w:noProof/>
                <w:sz w:val="18"/>
                <w:szCs w:val="18"/>
                <w:lang w:eastAsia="lv-LV"/>
              </w:rPr>
              <w:drawing>
                <wp:inline distT="0" distB="0" distL="0" distR="0">
                  <wp:extent cx="1943100" cy="1047750"/>
                  <wp:effectExtent l="0" t="0" r="0" b="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c>
        <w:tc>
          <w:tcPr>
            <w:tcW w:w="3336" w:type="dxa"/>
          </w:tcPr>
          <w:p w:rsidR="00C23A95" w:rsidP="00762D1E">
            <w:pPr>
              <w:spacing w:after="0" w:line="240" w:lineRule="auto"/>
              <w:rPr>
                <w:rFonts w:ascii="Candara" w:hAnsi="Candara"/>
              </w:rPr>
            </w:pPr>
            <w:r>
              <w:rPr>
                <w:noProof/>
                <w:lang w:eastAsia="lv-LV"/>
              </w:rPr>
              <w:drawing>
                <wp:inline distT="0" distB="0" distL="0" distR="0">
                  <wp:extent cx="1981200" cy="903605"/>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E75013" w:rsidRPr="00B612F1" w:rsidP="00762D1E">
            <w:pPr>
              <w:spacing w:after="0" w:line="240" w:lineRule="auto"/>
              <w:rPr>
                <w:rFonts w:ascii="Candara" w:hAnsi="Candara"/>
              </w:rPr>
            </w:pPr>
            <w:r w:rsidRPr="00E75013">
              <w:rPr>
                <w:rFonts w:ascii="Candara" w:hAnsi="Candara"/>
                <w:sz w:val="14"/>
                <w:szCs w:val="14"/>
              </w:rPr>
              <w:t>* EM novērtējums pēc KN produktu klasifikācijas</w:t>
            </w:r>
          </w:p>
        </w:tc>
      </w:tr>
      <w:tr w:rsidTr="003B0F04">
        <w:tblPrEx>
          <w:tblW w:w="10488" w:type="dxa"/>
          <w:jc w:val="center"/>
          <w:tblLook w:val="04A0"/>
        </w:tblPrEx>
        <w:trPr>
          <w:jc w:val="center"/>
        </w:trPr>
        <w:tc>
          <w:tcPr>
            <w:tcW w:w="3576" w:type="dxa"/>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 xml:space="preserve">Eksports uz 1 strādājošo, </w:t>
            </w:r>
            <w:r>
              <w:rPr>
                <w:rFonts w:ascii="Candara" w:hAnsi="Candara"/>
                <w:sz w:val="18"/>
                <w:szCs w:val="20"/>
              </w:rPr>
              <w:t>tūkst. EUR</w:t>
            </w:r>
          </w:p>
        </w:tc>
        <w:tc>
          <w:tcPr>
            <w:tcW w:w="6912" w:type="dxa"/>
            <w:gridSpan w:val="3"/>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Eksports uz 1 strādājošo ES</w:t>
            </w:r>
            <w:r w:rsidR="00B8597F">
              <w:rPr>
                <w:rFonts w:ascii="Candara" w:hAnsi="Candara"/>
                <w:sz w:val="18"/>
                <w:szCs w:val="20"/>
              </w:rPr>
              <w:t>-</w:t>
            </w:r>
            <w:r w:rsidRPr="00483382">
              <w:rPr>
                <w:rFonts w:ascii="Candara" w:hAnsi="Candara"/>
                <w:sz w:val="18"/>
                <w:szCs w:val="20"/>
              </w:rPr>
              <w:t>28 valstīs</w:t>
            </w:r>
            <w:r>
              <w:rPr>
                <w:rFonts w:ascii="Candara" w:hAnsi="Candara"/>
                <w:sz w:val="18"/>
                <w:szCs w:val="20"/>
              </w:rPr>
              <w:t>, tūkst. EUR</w:t>
            </w:r>
          </w:p>
        </w:tc>
      </w:tr>
      <w:tr w:rsidTr="003B0F04">
        <w:tblPrEx>
          <w:tblW w:w="10488" w:type="dxa"/>
          <w:jc w:val="center"/>
          <w:tblLook w:val="04A0"/>
        </w:tblPrEx>
        <w:trPr>
          <w:jc w:val="center"/>
        </w:trPr>
        <w:tc>
          <w:tcPr>
            <w:tcW w:w="3576" w:type="dxa"/>
          </w:tcPr>
          <w:p w:rsidR="00C23A95" w:rsidP="00762D1E">
            <w:pPr>
              <w:spacing w:after="0" w:line="240" w:lineRule="auto"/>
              <w:jc w:val="center"/>
              <w:rPr>
                <w:rFonts w:ascii="Candara" w:hAnsi="Candara"/>
              </w:rPr>
            </w:pPr>
            <w:r>
              <w:rPr>
                <w:noProof/>
                <w:lang w:eastAsia="lv-LV"/>
              </w:rPr>
              <w:drawing>
                <wp:inline distT="0" distB="0" distL="0" distR="0">
                  <wp:extent cx="2133600" cy="1171575"/>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c>
        <w:tc>
          <w:tcPr>
            <w:tcW w:w="6912" w:type="dxa"/>
            <w:gridSpan w:val="3"/>
          </w:tcPr>
          <w:p w:rsidR="00C23A95" w:rsidP="00762D1E">
            <w:pPr>
              <w:spacing w:after="0" w:line="240" w:lineRule="auto"/>
              <w:jc w:val="center"/>
              <w:rPr>
                <w:rFonts w:ascii="Candara" w:hAnsi="Candara"/>
              </w:rPr>
            </w:pPr>
            <w:r>
              <w:rPr>
                <w:noProof/>
                <w:lang w:eastAsia="lv-LV"/>
              </w:rPr>
              <w:drawing>
                <wp:inline distT="0" distB="0" distL="0" distR="0">
                  <wp:extent cx="4114800" cy="1171575"/>
                  <wp:effectExtent l="0" t="0" r="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c>
      </w:tr>
      <w:tr w:rsidTr="003B0F04">
        <w:tblPrEx>
          <w:tblW w:w="10488" w:type="dxa"/>
          <w:jc w:val="center"/>
          <w:tblLook w:val="04A0"/>
        </w:tblPrEx>
        <w:trPr>
          <w:jc w:val="center"/>
        </w:trPr>
        <w:tc>
          <w:tcPr>
            <w:tcW w:w="3576" w:type="dxa"/>
            <w:shd w:val="clear" w:color="auto" w:fill="D9D9D9" w:themeFill="background1" w:themeFillShade="D9"/>
          </w:tcPr>
          <w:p w:rsidR="00C23A95" w:rsidRPr="00483382" w:rsidP="00762D1E">
            <w:pPr>
              <w:spacing w:after="0" w:line="240" w:lineRule="auto"/>
              <w:jc w:val="center"/>
              <w:rPr>
                <w:rFonts w:ascii="Candara" w:hAnsi="Candara"/>
                <w:sz w:val="18"/>
                <w:szCs w:val="20"/>
              </w:rPr>
            </w:pPr>
            <w:r w:rsidRPr="00483382">
              <w:rPr>
                <w:rFonts w:ascii="Candara" w:hAnsi="Candara"/>
                <w:sz w:val="18"/>
                <w:szCs w:val="20"/>
              </w:rPr>
              <w:t>Eksporta tirgi</w:t>
            </w:r>
            <w:r w:rsidR="00A36974">
              <w:rPr>
                <w:rFonts w:ascii="Candara" w:hAnsi="Candara"/>
                <w:sz w:val="18"/>
                <w:szCs w:val="20"/>
              </w:rPr>
              <w:t>, 201</w:t>
            </w:r>
            <w:r w:rsidR="00DD1D17">
              <w:rPr>
                <w:rFonts w:ascii="Candara" w:hAnsi="Candara"/>
                <w:sz w:val="18"/>
                <w:szCs w:val="20"/>
              </w:rPr>
              <w:t>6</w:t>
            </w:r>
            <w:r w:rsidR="00A36974">
              <w:rPr>
                <w:rFonts w:ascii="Candara" w:hAnsi="Candara"/>
                <w:sz w:val="18"/>
                <w:szCs w:val="20"/>
              </w:rPr>
              <w:t>.g.</w:t>
            </w:r>
          </w:p>
        </w:tc>
        <w:tc>
          <w:tcPr>
            <w:tcW w:w="6912" w:type="dxa"/>
            <w:gridSpan w:val="3"/>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Eksporta struktūra</w:t>
            </w:r>
          </w:p>
        </w:tc>
      </w:tr>
      <w:tr w:rsidTr="003B0F04">
        <w:tblPrEx>
          <w:tblW w:w="10488" w:type="dxa"/>
          <w:jc w:val="center"/>
          <w:tblLook w:val="04A0"/>
        </w:tblPrEx>
        <w:trPr>
          <w:jc w:val="center"/>
        </w:trPr>
        <w:tc>
          <w:tcPr>
            <w:tcW w:w="3576" w:type="dxa"/>
          </w:tcPr>
          <w:p w:rsidR="00C23A95" w:rsidRPr="00B612F1" w:rsidP="00762D1E">
            <w:pPr>
              <w:spacing w:after="0" w:line="240" w:lineRule="auto"/>
              <w:jc w:val="center"/>
              <w:rPr>
                <w:rFonts w:ascii="Candara" w:hAnsi="Candara"/>
                <w:b/>
                <w:szCs w:val="28"/>
              </w:rPr>
            </w:pPr>
            <w:r w:rsidRPr="004F3DC7">
              <w:rPr>
                <w:noProof/>
                <w:sz w:val="18"/>
                <w:szCs w:val="18"/>
                <w:lang w:eastAsia="lv-LV"/>
              </w:rPr>
              <w:drawing>
                <wp:inline distT="0" distB="0" distL="0" distR="0">
                  <wp:extent cx="1657350" cy="1368000"/>
                  <wp:effectExtent l="0" t="0" r="0" b="3810"/>
                  <wp:docPr id="90"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c>
        <w:tc>
          <w:tcPr>
            <w:tcW w:w="6912" w:type="dxa"/>
            <w:gridSpan w:val="3"/>
          </w:tcPr>
          <w:p w:rsidR="00C23A95" w:rsidRPr="004B5C57" w:rsidP="00762D1E">
            <w:pPr>
              <w:tabs>
                <w:tab w:val="left" w:pos="8080"/>
              </w:tabs>
              <w:spacing w:after="0" w:line="240" w:lineRule="auto"/>
              <w:ind w:right="-31"/>
              <w:jc w:val="center"/>
              <w:rPr>
                <w:sz w:val="18"/>
              </w:rPr>
            </w:pPr>
            <w:r w:rsidRPr="004B5C57">
              <w:rPr>
                <w:sz w:val="18"/>
              </w:rPr>
              <w:t xml:space="preserve">Latvija </w:t>
            </w:r>
            <w:r>
              <w:rPr>
                <w:sz w:val="18"/>
              </w:rPr>
              <w:t xml:space="preserve">                                                                                      </w:t>
            </w:r>
            <w:r w:rsidRPr="004B5C57">
              <w:rPr>
                <w:sz w:val="18"/>
              </w:rPr>
              <w:t>ES-28</w:t>
            </w:r>
          </w:p>
          <w:p w:rsidR="00C23A95" w:rsidRPr="004B5C57" w:rsidP="00762D1E">
            <w:pPr>
              <w:tabs>
                <w:tab w:val="left" w:pos="8080"/>
              </w:tabs>
              <w:spacing w:after="0" w:line="240" w:lineRule="auto"/>
              <w:ind w:right="-31"/>
            </w:pPr>
            <w:r>
              <w:rPr>
                <w:noProof/>
                <w:lang w:eastAsia="lv-LV"/>
              </w:rPr>
              <w:drawing>
                <wp:inline distT="0" distB="0" distL="0" distR="0">
                  <wp:extent cx="2617393" cy="1242725"/>
                  <wp:effectExtent l="0" t="0" r="0" b="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r>
              <w:rPr>
                <w:noProof/>
                <w:lang w:eastAsia="lv-LV"/>
              </w:rPr>
              <w:drawing>
                <wp:inline distT="0" distB="0" distL="0" distR="0">
                  <wp:extent cx="1356258" cy="1242725"/>
                  <wp:effectExtent l="0" t="0" r="0" b="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c>
      </w:tr>
      <w:tr w:rsidTr="003B0F04">
        <w:tblPrEx>
          <w:tblW w:w="10488" w:type="dxa"/>
          <w:jc w:val="center"/>
          <w:tblLook w:val="04A0"/>
        </w:tblPrEx>
        <w:trPr>
          <w:jc w:val="center"/>
        </w:trPr>
        <w:tc>
          <w:tcPr>
            <w:tcW w:w="3576" w:type="dxa"/>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Darbaspēka izmaksu dinamika</w:t>
            </w:r>
            <w:r>
              <w:rPr>
                <w:rFonts w:ascii="Candara" w:hAnsi="Candara"/>
                <w:sz w:val="18"/>
                <w:szCs w:val="20"/>
              </w:rPr>
              <w:t>, tūkst. EUR</w:t>
            </w:r>
          </w:p>
        </w:tc>
        <w:tc>
          <w:tcPr>
            <w:tcW w:w="3576" w:type="dxa"/>
            <w:gridSpan w:val="2"/>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Produktivitātes dinamika</w:t>
            </w:r>
            <w:r>
              <w:rPr>
                <w:rFonts w:ascii="Candara" w:hAnsi="Candara"/>
                <w:sz w:val="18"/>
                <w:szCs w:val="20"/>
              </w:rPr>
              <w:t>, tūkst. EUR</w:t>
            </w:r>
          </w:p>
        </w:tc>
        <w:tc>
          <w:tcPr>
            <w:tcW w:w="3336" w:type="dxa"/>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Produktivitāte un darbaspēka izmaksas</w:t>
            </w:r>
          </w:p>
        </w:tc>
      </w:tr>
      <w:tr w:rsidTr="003B0F04">
        <w:tblPrEx>
          <w:tblW w:w="10488" w:type="dxa"/>
          <w:jc w:val="center"/>
          <w:tblLook w:val="04A0"/>
        </w:tblPrEx>
        <w:trPr>
          <w:jc w:val="center"/>
        </w:trPr>
        <w:tc>
          <w:tcPr>
            <w:tcW w:w="3576" w:type="dxa"/>
          </w:tcPr>
          <w:p w:rsidR="00C23A95" w:rsidP="00762D1E">
            <w:pPr>
              <w:spacing w:after="0" w:line="240" w:lineRule="auto"/>
              <w:jc w:val="center"/>
              <w:rPr>
                <w:rFonts w:ascii="Candara" w:hAnsi="Candara"/>
              </w:rPr>
            </w:pPr>
            <w:r w:rsidRPr="00B612F1">
              <w:rPr>
                <w:rFonts w:ascii="Candara" w:hAnsi="Candara"/>
                <w:noProof/>
                <w:sz w:val="18"/>
                <w:szCs w:val="18"/>
                <w:lang w:eastAsia="lv-LV"/>
              </w:rPr>
              <w:drawing>
                <wp:inline distT="0" distB="0" distL="0" distR="0">
                  <wp:extent cx="2133600" cy="1098550"/>
                  <wp:effectExtent l="0" t="0" r="0" b="6350"/>
                  <wp:docPr id="93"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c>
        <w:tc>
          <w:tcPr>
            <w:tcW w:w="3576" w:type="dxa"/>
            <w:gridSpan w:val="2"/>
          </w:tcPr>
          <w:p w:rsidR="00C23A95" w:rsidP="00762D1E">
            <w:pPr>
              <w:spacing w:after="0" w:line="240" w:lineRule="auto"/>
              <w:jc w:val="center"/>
              <w:rPr>
                <w:rFonts w:ascii="Candara" w:hAnsi="Candara"/>
              </w:rPr>
            </w:pPr>
            <w:r w:rsidRPr="00B612F1">
              <w:rPr>
                <w:rFonts w:ascii="Candara" w:hAnsi="Candara"/>
                <w:noProof/>
                <w:sz w:val="18"/>
                <w:szCs w:val="18"/>
                <w:lang w:eastAsia="lv-LV"/>
              </w:rPr>
              <w:drawing>
                <wp:inline distT="0" distB="0" distL="0" distR="0">
                  <wp:extent cx="2133600" cy="1092200"/>
                  <wp:effectExtent l="0" t="0" r="0" b="0"/>
                  <wp:docPr id="95"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c>
        <w:tc>
          <w:tcPr>
            <w:tcW w:w="3336" w:type="dxa"/>
            <w:vMerge w:val="restart"/>
          </w:tcPr>
          <w:p w:rsidR="00C23A95" w:rsidP="00762D1E">
            <w:pPr>
              <w:spacing w:after="0" w:line="240" w:lineRule="auto"/>
              <w:jc w:val="center"/>
              <w:rPr>
                <w:rFonts w:ascii="Candara" w:hAnsi="Candara"/>
              </w:rPr>
            </w:pPr>
            <w:r w:rsidRPr="00B612F1">
              <w:rPr>
                <w:rFonts w:ascii="Candara" w:eastAsia="Times New Roman" w:hAnsi="Candara"/>
                <w:noProof/>
                <w:sz w:val="18"/>
                <w:szCs w:val="18"/>
                <w:lang w:eastAsia="lv-LV"/>
              </w:rPr>
              <w:drawing>
                <wp:inline distT="0" distB="0" distL="0" distR="0">
                  <wp:extent cx="1847850" cy="2228850"/>
                  <wp:effectExtent l="0" t="0" r="0" b="0"/>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c>
      </w:tr>
      <w:tr w:rsidTr="003B0F04">
        <w:tblPrEx>
          <w:tblW w:w="10488" w:type="dxa"/>
          <w:jc w:val="center"/>
          <w:tblLook w:val="04A0"/>
        </w:tblPrEx>
        <w:trPr>
          <w:jc w:val="center"/>
        </w:trPr>
        <w:tc>
          <w:tcPr>
            <w:tcW w:w="3576" w:type="dxa"/>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Darbaspēka izmaksas, ES-28=100</w:t>
            </w:r>
          </w:p>
        </w:tc>
        <w:tc>
          <w:tcPr>
            <w:tcW w:w="3576" w:type="dxa"/>
            <w:gridSpan w:val="2"/>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Produktivitāte, ES-28=100</w:t>
            </w:r>
          </w:p>
        </w:tc>
        <w:tc>
          <w:tcPr>
            <w:tcW w:w="3336" w:type="dxa"/>
            <w:vMerge/>
            <w:shd w:val="clear" w:color="auto" w:fill="D9D9D9" w:themeFill="background1" w:themeFillShade="D9"/>
          </w:tcPr>
          <w:p w:rsidR="00C23A95" w:rsidRPr="00483382" w:rsidP="003A2C2A">
            <w:pPr>
              <w:jc w:val="center"/>
              <w:rPr>
                <w:rFonts w:ascii="Candara" w:hAnsi="Candara"/>
                <w:sz w:val="18"/>
              </w:rPr>
            </w:pPr>
          </w:p>
        </w:tc>
      </w:tr>
      <w:tr w:rsidTr="003B0F04">
        <w:tblPrEx>
          <w:tblW w:w="10488" w:type="dxa"/>
          <w:jc w:val="center"/>
          <w:tblLook w:val="04A0"/>
        </w:tblPrEx>
        <w:trPr>
          <w:jc w:val="center"/>
        </w:trPr>
        <w:tc>
          <w:tcPr>
            <w:tcW w:w="3576" w:type="dxa"/>
          </w:tcPr>
          <w:p w:rsidR="00C23A95" w:rsidP="00762D1E">
            <w:pPr>
              <w:spacing w:after="0" w:line="240" w:lineRule="auto"/>
              <w:jc w:val="center"/>
              <w:rPr>
                <w:rFonts w:ascii="Candara" w:hAnsi="Candara"/>
              </w:rPr>
            </w:pPr>
            <w:r w:rsidRPr="00B41842">
              <w:rPr>
                <w:rFonts w:ascii="Arial Narrow" w:hAnsi="Arial Narrow"/>
                <w:noProof/>
                <w:lang w:eastAsia="lv-LV"/>
              </w:rPr>
              <w:drawing>
                <wp:inline distT="0" distB="0" distL="0" distR="0">
                  <wp:extent cx="2124075" cy="1057275"/>
                  <wp:effectExtent l="0" t="0" r="0" b="0"/>
                  <wp:docPr id="28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c>
        <w:tc>
          <w:tcPr>
            <w:tcW w:w="3576" w:type="dxa"/>
            <w:gridSpan w:val="2"/>
          </w:tcPr>
          <w:p w:rsidR="00C23A95" w:rsidP="00762D1E">
            <w:pPr>
              <w:spacing w:after="0" w:line="240" w:lineRule="auto"/>
              <w:jc w:val="center"/>
              <w:rPr>
                <w:rFonts w:ascii="Candara" w:hAnsi="Candara"/>
              </w:rPr>
            </w:pPr>
            <w:r w:rsidRPr="00123E9E">
              <w:rPr>
                <w:rFonts w:ascii="Arial Narrow" w:hAnsi="Arial Narrow"/>
                <w:noProof/>
                <w:lang w:eastAsia="lv-LV"/>
              </w:rPr>
              <w:drawing>
                <wp:inline distT="0" distB="0" distL="0" distR="0">
                  <wp:extent cx="1943100" cy="1057275"/>
                  <wp:effectExtent l="0" t="0" r="0" b="0"/>
                  <wp:docPr id="29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c>
        <w:tc>
          <w:tcPr>
            <w:tcW w:w="3336" w:type="dxa"/>
            <w:vMerge/>
          </w:tcPr>
          <w:p w:rsidR="00C23A95" w:rsidP="003A2C2A">
            <w:pPr>
              <w:jc w:val="center"/>
              <w:rPr>
                <w:rFonts w:ascii="Candara" w:hAnsi="Candara"/>
              </w:rPr>
            </w:pPr>
          </w:p>
        </w:tc>
      </w:tr>
      <w:tr w:rsidTr="003B0F04">
        <w:tblPrEx>
          <w:tblW w:w="10488" w:type="dxa"/>
          <w:jc w:val="center"/>
          <w:tblLook w:val="04A0"/>
        </w:tblPrEx>
        <w:trPr>
          <w:jc w:val="center"/>
        </w:trPr>
        <w:tc>
          <w:tcPr>
            <w:tcW w:w="5299" w:type="dxa"/>
            <w:gridSpan w:val="2"/>
            <w:shd w:val="clear" w:color="auto" w:fill="D9D9D9" w:themeFill="background1" w:themeFillShade="D9"/>
          </w:tcPr>
          <w:p w:rsidR="00C23A95" w:rsidRPr="00483382" w:rsidP="00762D1E">
            <w:pPr>
              <w:spacing w:after="0" w:line="240" w:lineRule="auto"/>
              <w:jc w:val="center"/>
              <w:rPr>
                <w:rFonts w:ascii="Candara" w:hAnsi="Candara"/>
                <w:sz w:val="18"/>
                <w:szCs w:val="20"/>
              </w:rPr>
            </w:pPr>
            <w:r w:rsidRPr="00483382">
              <w:rPr>
                <w:rFonts w:ascii="Candara" w:hAnsi="Candara"/>
                <w:sz w:val="18"/>
                <w:szCs w:val="20"/>
              </w:rPr>
              <w:t>Darbaspēka izmaksas</w:t>
            </w:r>
            <w:r w:rsidR="00F35BE1">
              <w:rPr>
                <w:rFonts w:ascii="Candara" w:hAnsi="Candara"/>
                <w:sz w:val="18"/>
                <w:szCs w:val="20"/>
              </w:rPr>
              <w:t xml:space="preserve"> uz 1 nodarbināto</w:t>
            </w:r>
            <w:r w:rsidR="005C1E6F">
              <w:rPr>
                <w:rFonts w:ascii="Candara" w:hAnsi="Candara"/>
                <w:sz w:val="18"/>
                <w:szCs w:val="20"/>
              </w:rPr>
              <w:t xml:space="preserve"> 201</w:t>
            </w:r>
            <w:r w:rsidR="00531E40">
              <w:rPr>
                <w:rFonts w:ascii="Candara" w:hAnsi="Candara"/>
                <w:sz w:val="18"/>
                <w:szCs w:val="20"/>
              </w:rPr>
              <w:t>5</w:t>
            </w:r>
            <w:r w:rsidR="005C1E6F">
              <w:rPr>
                <w:rFonts w:ascii="Candara" w:hAnsi="Candara"/>
                <w:sz w:val="18"/>
                <w:szCs w:val="20"/>
              </w:rPr>
              <w:t>.g.</w:t>
            </w:r>
            <w:r>
              <w:rPr>
                <w:rFonts w:ascii="Candara" w:hAnsi="Candara"/>
                <w:sz w:val="18"/>
                <w:szCs w:val="20"/>
              </w:rPr>
              <w:t>, tūkst. EUR</w:t>
            </w:r>
          </w:p>
        </w:tc>
        <w:tc>
          <w:tcPr>
            <w:tcW w:w="5189" w:type="dxa"/>
            <w:gridSpan w:val="2"/>
            <w:shd w:val="clear" w:color="auto" w:fill="D9D9D9" w:themeFill="background1" w:themeFillShade="D9"/>
          </w:tcPr>
          <w:p w:rsidR="00C23A95" w:rsidRPr="00483382" w:rsidP="00762D1E">
            <w:pPr>
              <w:spacing w:after="0" w:line="240" w:lineRule="auto"/>
              <w:jc w:val="center"/>
              <w:rPr>
                <w:rFonts w:ascii="Candara" w:hAnsi="Candara"/>
                <w:sz w:val="18"/>
                <w:szCs w:val="20"/>
              </w:rPr>
            </w:pPr>
            <w:r w:rsidRPr="00483382">
              <w:rPr>
                <w:rFonts w:ascii="Candara" w:hAnsi="Candara"/>
                <w:sz w:val="18"/>
                <w:szCs w:val="20"/>
              </w:rPr>
              <w:t>Produktivitāte</w:t>
            </w:r>
            <w:r w:rsidR="005C1E6F">
              <w:rPr>
                <w:rFonts w:ascii="Candara" w:hAnsi="Candara"/>
                <w:sz w:val="18"/>
                <w:szCs w:val="20"/>
              </w:rPr>
              <w:t xml:space="preserve"> (PV uz 1 nodarbināto) 201</w:t>
            </w:r>
            <w:r w:rsidR="00531E40">
              <w:rPr>
                <w:rFonts w:ascii="Candara" w:hAnsi="Candara"/>
                <w:sz w:val="18"/>
                <w:szCs w:val="20"/>
              </w:rPr>
              <w:t>5</w:t>
            </w:r>
            <w:r w:rsidR="005C1E6F">
              <w:rPr>
                <w:rFonts w:ascii="Candara" w:hAnsi="Candara"/>
                <w:sz w:val="18"/>
                <w:szCs w:val="20"/>
              </w:rPr>
              <w:t>.g.</w:t>
            </w:r>
            <w:r>
              <w:rPr>
                <w:rFonts w:ascii="Candara" w:hAnsi="Candara"/>
                <w:sz w:val="18"/>
                <w:szCs w:val="20"/>
              </w:rPr>
              <w:t>, tūkst. EUR</w:t>
            </w:r>
          </w:p>
        </w:tc>
      </w:tr>
      <w:tr w:rsidTr="003B0F04">
        <w:tblPrEx>
          <w:tblW w:w="10488" w:type="dxa"/>
          <w:jc w:val="center"/>
          <w:tblLook w:val="04A0"/>
        </w:tblPrEx>
        <w:trPr>
          <w:jc w:val="center"/>
        </w:trPr>
        <w:tc>
          <w:tcPr>
            <w:tcW w:w="5299" w:type="dxa"/>
            <w:gridSpan w:val="2"/>
          </w:tcPr>
          <w:p w:rsidR="00C23A95" w:rsidP="00762D1E">
            <w:pPr>
              <w:spacing w:after="0" w:line="240" w:lineRule="auto"/>
              <w:jc w:val="center"/>
              <w:rPr>
                <w:rFonts w:ascii="Candara" w:hAnsi="Candara"/>
              </w:rPr>
            </w:pPr>
            <w:r w:rsidRPr="00421CA2">
              <w:rPr>
                <w:noProof/>
                <w:lang w:eastAsia="lv-LV"/>
              </w:rPr>
              <w:drawing>
                <wp:inline distT="0" distB="0" distL="0" distR="0">
                  <wp:extent cx="3152775" cy="1171575"/>
                  <wp:effectExtent l="0" t="0" r="0" b="0"/>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c>
        <w:tc>
          <w:tcPr>
            <w:tcW w:w="5189" w:type="dxa"/>
            <w:gridSpan w:val="2"/>
          </w:tcPr>
          <w:p w:rsidR="00C23A95" w:rsidP="00762D1E">
            <w:pPr>
              <w:spacing w:after="0" w:line="240" w:lineRule="auto"/>
              <w:jc w:val="center"/>
              <w:rPr>
                <w:rFonts w:ascii="Candara" w:hAnsi="Candara"/>
              </w:rPr>
            </w:pPr>
            <w:r w:rsidRPr="00421CA2">
              <w:rPr>
                <w:noProof/>
                <w:lang w:eastAsia="lv-LV"/>
              </w:rPr>
              <w:drawing>
                <wp:inline distT="0" distB="0" distL="0" distR="0">
                  <wp:extent cx="3152775" cy="1171575"/>
                  <wp:effectExtent l="0" t="0" r="0" b="0"/>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c>
      </w:tr>
      <w:tr w:rsidTr="003B0F04">
        <w:tblPrEx>
          <w:tblW w:w="10488" w:type="dxa"/>
          <w:jc w:val="center"/>
          <w:tblLook w:val="04A0"/>
        </w:tblPrEx>
        <w:trPr>
          <w:jc w:val="center"/>
        </w:trPr>
        <w:tc>
          <w:tcPr>
            <w:tcW w:w="5299" w:type="dxa"/>
            <w:gridSpan w:val="2"/>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Produktivitāte un darbaspēka izmaksas ES-28 valstīs 2010.g</w:t>
            </w:r>
            <w:r w:rsidR="00F86EC0">
              <w:rPr>
                <w:rFonts w:ascii="Candara" w:hAnsi="Candara"/>
                <w:sz w:val="18"/>
                <w:szCs w:val="20"/>
              </w:rPr>
              <w:t>.</w:t>
            </w:r>
          </w:p>
        </w:tc>
        <w:tc>
          <w:tcPr>
            <w:tcW w:w="5189" w:type="dxa"/>
            <w:gridSpan w:val="2"/>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Produktivitāte un darbaspēka izmaksas ES-28 valstīs 201</w:t>
            </w:r>
            <w:r w:rsidR="00531E40">
              <w:rPr>
                <w:rFonts w:ascii="Candara" w:hAnsi="Candara"/>
                <w:sz w:val="18"/>
                <w:szCs w:val="20"/>
              </w:rPr>
              <w:t>5</w:t>
            </w:r>
            <w:r w:rsidRPr="00483382">
              <w:rPr>
                <w:rFonts w:ascii="Candara" w:hAnsi="Candara"/>
                <w:sz w:val="18"/>
                <w:szCs w:val="20"/>
              </w:rPr>
              <w:t>.g</w:t>
            </w:r>
            <w:r w:rsidR="00F86EC0">
              <w:rPr>
                <w:rFonts w:ascii="Candara" w:hAnsi="Candara"/>
                <w:sz w:val="18"/>
                <w:szCs w:val="20"/>
              </w:rPr>
              <w:t>.</w:t>
            </w:r>
          </w:p>
        </w:tc>
      </w:tr>
      <w:tr w:rsidTr="003B0F04">
        <w:tblPrEx>
          <w:tblW w:w="10488" w:type="dxa"/>
          <w:jc w:val="center"/>
          <w:tblLook w:val="04A0"/>
        </w:tblPrEx>
        <w:trPr>
          <w:jc w:val="center"/>
        </w:trPr>
        <w:tc>
          <w:tcPr>
            <w:tcW w:w="5299" w:type="dxa"/>
            <w:gridSpan w:val="2"/>
          </w:tcPr>
          <w:p w:rsidR="00C23A95" w:rsidP="00762D1E">
            <w:pPr>
              <w:spacing w:after="0" w:line="240" w:lineRule="auto"/>
              <w:rPr>
                <w:rFonts w:ascii="Candara" w:hAnsi="Candara"/>
              </w:rPr>
            </w:pPr>
            <w:r w:rsidRPr="00B612F1">
              <w:rPr>
                <w:rFonts w:ascii="Candara" w:eastAsia="Times New Roman" w:hAnsi="Candara"/>
                <w:noProof/>
                <w:sz w:val="18"/>
                <w:szCs w:val="18"/>
                <w:lang w:eastAsia="lv-LV"/>
              </w:rPr>
              <w:drawing>
                <wp:inline distT="0" distB="0" distL="0" distR="0">
                  <wp:extent cx="3057525" cy="1333500"/>
                  <wp:effectExtent l="0" t="0" r="0" b="0"/>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c>
        <w:tc>
          <w:tcPr>
            <w:tcW w:w="5189" w:type="dxa"/>
            <w:gridSpan w:val="2"/>
          </w:tcPr>
          <w:p w:rsidR="00C23A95" w:rsidP="00762D1E">
            <w:pPr>
              <w:spacing w:after="0" w:line="240" w:lineRule="auto"/>
              <w:rPr>
                <w:rFonts w:ascii="Candara" w:hAnsi="Candara"/>
              </w:rPr>
            </w:pPr>
            <w:r w:rsidRPr="00B612F1">
              <w:rPr>
                <w:rFonts w:ascii="Candara" w:eastAsia="Times New Roman" w:hAnsi="Candara"/>
                <w:noProof/>
                <w:sz w:val="18"/>
                <w:szCs w:val="18"/>
                <w:lang w:eastAsia="lv-LV"/>
              </w:rPr>
              <w:drawing>
                <wp:inline distT="0" distB="0" distL="0" distR="0">
                  <wp:extent cx="3057525" cy="1333500"/>
                  <wp:effectExtent l="0" t="0" r="0" b="0"/>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c>
      </w:tr>
    </w:tbl>
    <w:p w:rsidR="00C23A95" w:rsidP="00C23A95">
      <w:pPr>
        <w:spacing w:after="0" w:line="240" w:lineRule="auto"/>
        <w:rPr>
          <w:rFonts w:ascii="Candara" w:hAnsi="Candara"/>
          <w:b/>
          <w:color w:val="000000"/>
          <w:szCs w:val="28"/>
        </w:rPr>
      </w:pPr>
    </w:p>
    <w:p w:rsidR="00C9657B" w:rsidP="00C9657B">
      <w:pPr>
        <w:spacing w:after="0" w:line="240" w:lineRule="auto"/>
        <w:jc w:val="both"/>
        <w:rPr>
          <w:rFonts w:ascii="Candara" w:hAnsi="Candara"/>
          <w:b/>
          <w:color w:val="000000"/>
          <w:szCs w:val="28"/>
          <w:u w:val="single"/>
        </w:rPr>
      </w:pPr>
      <w:r>
        <w:rPr>
          <w:rFonts w:ascii="Candara" w:hAnsi="Candara"/>
          <w:b/>
          <w:color w:val="000000"/>
          <w:szCs w:val="28"/>
          <w:u w:val="single"/>
        </w:rPr>
        <w:t>Nozares īpatsvars tautsaimniecībā, procentos.</w:t>
      </w:r>
      <w:r>
        <w:rPr>
          <w:rFonts w:ascii="Candara" w:hAnsi="Candara"/>
          <w:color w:val="000000"/>
          <w:szCs w:val="28"/>
        </w:rPr>
        <w:t xml:space="preserve"> Kokapstrādes īpatsvars kopējā tautsaimniecībā 2005.gadā bija 2,6%.  Krīzes laikā kokapstrādes apjomi strauji palielinājās, īpatsvaram pieaugot par 1,2 procentpunktiem no 1,7% 2008.gadā līdz 2,9% 2010.gadā. Savukārt 2013.gadā nozares īpatsvars samazinājās līdz 2,6%, bet 2014.gadā pieauga līdz 2,8%. 2016.gadā nozares īpatsvars tautsaimniecībā nedaudz saruka un bija 2,6%. Kokapstrāde ir lielākā Latvijas apstrādes rūpniecības nozare. Tā veido 27% no kopējās apstrādes rūpniecības izlaides un vairāk nekā 1/5 no apstrādes rūpniecībā strādājošo skaita. Nozare eksportē aptuveni 75% no visas saražotās produkcijas. Lielākais eksporta tirgus tradicionāli ir ES-15 valstis.</w:t>
      </w:r>
    </w:p>
    <w:p w:rsidR="00C9657B" w:rsidP="00C9657B">
      <w:pPr>
        <w:spacing w:after="0" w:line="240" w:lineRule="auto"/>
        <w:jc w:val="both"/>
        <w:rPr>
          <w:rFonts w:ascii="Candara" w:hAnsi="Candara"/>
          <w:color w:val="000000"/>
          <w:szCs w:val="28"/>
        </w:rPr>
      </w:pPr>
      <w:r>
        <w:rPr>
          <w:rFonts w:ascii="Candara" w:hAnsi="Candara"/>
          <w:b/>
          <w:color w:val="000000"/>
          <w:szCs w:val="28"/>
          <w:u w:val="single"/>
        </w:rPr>
        <w:t>Pievienotās vērtības un darba vietu skaita izmaiņas, 2005=100.</w:t>
      </w:r>
      <w:r>
        <w:rPr>
          <w:rFonts w:ascii="Candara" w:hAnsi="Candara"/>
          <w:color w:val="000000"/>
          <w:szCs w:val="28"/>
        </w:rPr>
        <w:t xml:space="preserve"> 2015. gadā ražošanas apjomi kokapstrādē saruka par 1,5%. Kopš krīzes zemākā punkta 2009. gadā nozares izlaides apjomi ir pieauguši par gandrīz 56% un par 9% pārsniedz pirmskrīzes līmeni.</w:t>
      </w:r>
    </w:p>
    <w:p w:rsidR="00C9657B" w:rsidP="00C9657B">
      <w:pPr>
        <w:spacing w:after="0" w:line="240" w:lineRule="auto"/>
        <w:jc w:val="both"/>
        <w:rPr>
          <w:rFonts w:ascii="Candara" w:hAnsi="Candara"/>
          <w:b/>
          <w:color w:val="000000"/>
          <w:szCs w:val="28"/>
          <w:u w:val="single"/>
        </w:rPr>
      </w:pPr>
      <w:r>
        <w:rPr>
          <w:rFonts w:ascii="Candara" w:hAnsi="Candara"/>
          <w:color w:val="000000"/>
          <w:szCs w:val="28"/>
        </w:rPr>
        <w:t>Salīdzinājumā ar ražošanas apjomu kāpumu darbavietu skaits nozarē aug krietni mērenāk, kas liecina par produktivitātes pieaugumu. 2015. gadā aizņemto darbavietu skaits saruka par 1,5%.</w:t>
      </w:r>
      <w:r>
        <w:t xml:space="preserve"> </w:t>
      </w:r>
      <w:r>
        <w:rPr>
          <w:rFonts w:ascii="Candara" w:hAnsi="Candara"/>
          <w:color w:val="000000"/>
          <w:szCs w:val="28"/>
        </w:rPr>
        <w:t>Kopš krīzes zemākā punkta 2009. gadā nozarē aizņemto darbavietu skaits ir pieaudzis par 27%, bet par 25% atpaliek no pirmskrīzes līmeņa.</w:t>
      </w:r>
    </w:p>
    <w:p w:rsidR="00C9657B" w:rsidP="00C9657B">
      <w:pPr>
        <w:spacing w:after="0" w:line="240" w:lineRule="auto"/>
        <w:jc w:val="both"/>
        <w:rPr>
          <w:rFonts w:ascii="Candara" w:hAnsi="Candara"/>
          <w:color w:val="000000"/>
          <w:szCs w:val="28"/>
        </w:rPr>
      </w:pPr>
      <w:r>
        <w:rPr>
          <w:rFonts w:ascii="Candara" w:hAnsi="Candara"/>
          <w:b/>
          <w:color w:val="000000"/>
          <w:szCs w:val="28"/>
          <w:u w:val="single"/>
        </w:rPr>
        <w:t>Produkcijas eksports, milj. EUR.</w:t>
      </w:r>
      <w:r>
        <w:rPr>
          <w:rFonts w:ascii="Candara" w:hAnsi="Candara"/>
          <w:color w:val="000000"/>
          <w:szCs w:val="28"/>
        </w:rPr>
        <w:t xml:space="preserve"> Kopš krīzes zemākā punkta 2009. gadā eksportētās produkcijas apjomi ir dubultojušies. Pēdējos gados eksporta pieaugums ir kļuvis mērenāks saistībā ar situāciju ārējā vidē.</w:t>
      </w:r>
    </w:p>
    <w:p w:rsidR="00C9657B" w:rsidP="00C9657B">
      <w:pPr>
        <w:spacing w:after="0" w:line="240" w:lineRule="auto"/>
        <w:jc w:val="both"/>
        <w:rPr>
          <w:rFonts w:ascii="Candara" w:hAnsi="Candara"/>
          <w:b/>
          <w:color w:val="000000"/>
          <w:szCs w:val="28"/>
          <w:u w:val="single"/>
        </w:rPr>
      </w:pPr>
      <w:r>
        <w:rPr>
          <w:rFonts w:ascii="Candara" w:hAnsi="Candara"/>
          <w:b/>
          <w:color w:val="000000"/>
          <w:szCs w:val="28"/>
          <w:u w:val="single"/>
        </w:rPr>
        <w:t>Eksports uz 1 strādājošo, tūkst. EUR.</w:t>
      </w:r>
      <w:r>
        <w:rPr>
          <w:rFonts w:ascii="Candara" w:hAnsi="Candara"/>
          <w:color w:val="000000"/>
          <w:szCs w:val="28"/>
        </w:rPr>
        <w:t xml:space="preserve"> Kopš krīzes perioda 2007.gadā, eksporta apjoms uz vienu strādājošo ir pieaudzis par gandrīz par 70%.</w:t>
      </w:r>
    </w:p>
    <w:p w:rsidR="00C9657B" w:rsidP="00C9657B">
      <w:pPr>
        <w:spacing w:after="0" w:line="240" w:lineRule="auto"/>
        <w:jc w:val="both"/>
        <w:rPr>
          <w:rFonts w:ascii="Candara" w:hAnsi="Candara"/>
          <w:color w:val="000000"/>
          <w:szCs w:val="28"/>
        </w:rPr>
      </w:pPr>
      <w:r>
        <w:rPr>
          <w:rFonts w:ascii="Candara" w:hAnsi="Candara"/>
          <w:b/>
          <w:color w:val="000000"/>
          <w:szCs w:val="28"/>
          <w:u w:val="single"/>
        </w:rPr>
        <w:t>Eksports uz 1 strādājošo ES 28 valstīs, tūkst. EUR.</w:t>
      </w:r>
      <w:r>
        <w:rPr>
          <w:rFonts w:ascii="Candara" w:hAnsi="Candara"/>
          <w:color w:val="000000"/>
          <w:szCs w:val="28"/>
        </w:rPr>
        <w:t xml:space="preserve"> Latvijā eksporta apjoms uz vienu strādājošo kokapstrādē bija augstāks nekā Lietuvā un Igaunijā. Kopumā starp ES valstīm Latvija bija 10.vietā.</w:t>
      </w:r>
    </w:p>
    <w:p w:rsidR="00C9657B" w:rsidP="00C9657B">
      <w:pPr>
        <w:spacing w:after="0" w:line="240" w:lineRule="auto"/>
        <w:jc w:val="both"/>
        <w:rPr>
          <w:rFonts w:ascii="Candara" w:hAnsi="Candara"/>
          <w:b/>
          <w:color w:val="000000"/>
          <w:szCs w:val="28"/>
          <w:u w:val="single"/>
        </w:rPr>
      </w:pPr>
      <w:r>
        <w:rPr>
          <w:rFonts w:ascii="Candara" w:hAnsi="Candara"/>
          <w:b/>
          <w:color w:val="000000"/>
          <w:szCs w:val="28"/>
          <w:u w:val="single"/>
        </w:rPr>
        <w:t>Eksporta tirgi.</w:t>
      </w:r>
      <w:r>
        <w:rPr>
          <w:rFonts w:ascii="Candara" w:hAnsi="Candara"/>
          <w:color w:val="000000"/>
          <w:szCs w:val="28"/>
        </w:rPr>
        <w:t xml:space="preserve"> Lielākie eksporta tirgi kokapstrādes nozarē ir Apvienotā karaliste, Igaunija, Vācija, Zviedrija, Dānija un Lietuva.</w:t>
      </w:r>
    </w:p>
    <w:p w:rsidR="00C9657B" w:rsidP="00C9657B">
      <w:pPr>
        <w:spacing w:after="0" w:line="240" w:lineRule="auto"/>
        <w:jc w:val="both"/>
        <w:rPr>
          <w:rFonts w:ascii="Candara" w:hAnsi="Candara"/>
          <w:b/>
          <w:color w:val="000000"/>
          <w:szCs w:val="28"/>
          <w:u w:val="single"/>
        </w:rPr>
      </w:pPr>
      <w:r>
        <w:rPr>
          <w:rFonts w:ascii="Candara" w:hAnsi="Candara"/>
          <w:b/>
          <w:color w:val="000000"/>
          <w:szCs w:val="28"/>
          <w:u w:val="single"/>
        </w:rPr>
        <w:t>Eksporta struktūra.</w:t>
      </w:r>
      <w:r>
        <w:rPr>
          <w:rFonts w:ascii="Candara" w:hAnsi="Candara"/>
          <w:color w:val="000000"/>
          <w:szCs w:val="28"/>
        </w:rPr>
        <w:t xml:space="preserve"> Latvijā kopš 2005.gada ir samazinājies zāģēto un neapstrādāto kokmateriālu īpatsvars eksporta struktūrā, bet pieaudzis malkas, šķeldas un skaidu īpatsvars.</w:t>
      </w:r>
    </w:p>
    <w:p w:rsidR="00C9657B" w:rsidP="00C9657B">
      <w:pPr>
        <w:spacing w:after="0" w:line="240" w:lineRule="auto"/>
        <w:jc w:val="both"/>
        <w:rPr>
          <w:rFonts w:ascii="Candara" w:hAnsi="Candara"/>
          <w:b/>
          <w:color w:val="000000"/>
          <w:szCs w:val="28"/>
          <w:u w:val="single"/>
        </w:rPr>
      </w:pPr>
      <w:r>
        <w:rPr>
          <w:rFonts w:ascii="Candara" w:hAnsi="Candara"/>
          <w:b/>
          <w:color w:val="000000"/>
          <w:szCs w:val="28"/>
          <w:u w:val="single"/>
        </w:rPr>
        <w:t>Darbaspēka izmaksu dinamika, tūkst.</w:t>
      </w:r>
      <w:r>
        <w:rPr>
          <w:rFonts w:ascii="Candara" w:hAnsi="Candara"/>
          <w:color w:val="000000"/>
          <w:szCs w:val="28"/>
        </w:rPr>
        <w:t xml:space="preserve"> Atsākoties ekonomikas izaugsmei, kopš 2011.gada darba samaksas pieaugums kokapstrādē kļūst arvien straujāks, 2013.gadā darbaspēka izmaksām sasniedzot jau pirmskrīzes perioda līmeni. 2015.gadā darbaspēka izmaksas pieauga par 13%, salīdzinot ar 2014.gadu. </w:t>
      </w:r>
    </w:p>
    <w:p w:rsidR="00C9657B" w:rsidP="00C9657B">
      <w:pPr>
        <w:spacing w:after="0" w:line="240" w:lineRule="auto"/>
        <w:jc w:val="both"/>
        <w:rPr>
          <w:rFonts w:ascii="Candara" w:hAnsi="Candara"/>
          <w:color w:val="000000"/>
          <w:szCs w:val="28"/>
        </w:rPr>
      </w:pPr>
      <w:r>
        <w:rPr>
          <w:rFonts w:ascii="Candara" w:hAnsi="Candara"/>
          <w:b/>
          <w:color w:val="000000"/>
          <w:szCs w:val="28"/>
          <w:u w:val="single"/>
        </w:rPr>
        <w:t>Produktivitātes dinamika, tūkst.</w:t>
      </w:r>
      <w:r>
        <w:rPr>
          <w:rFonts w:ascii="Candara" w:hAnsi="Candara"/>
          <w:color w:val="000000"/>
          <w:szCs w:val="28"/>
        </w:rPr>
        <w:t xml:space="preserve"> Būtisks nodarbināto skaita samazinājums un ražošanas apjomu kāpums krīzes laikā veicināja strauju produktivitātes kāpumu 2009.-2010.gadā. Savukārt, turpinoties darbaspēka izmaksu kāpumam, produktivitātes kāpums pēdējos gados ir daudz mērenāks. 2013.gadā bija vērojams produktivitātes kritums, kas 2014.un 2015.gadā atgriezās 2011. un 2012.gada līmenī. </w:t>
      </w:r>
    </w:p>
    <w:p w:rsidR="00C9657B" w:rsidP="00C9657B">
      <w:pPr>
        <w:spacing w:after="0" w:line="240" w:lineRule="auto"/>
        <w:jc w:val="both"/>
        <w:rPr>
          <w:rFonts w:ascii="Candara" w:hAnsi="Candara"/>
          <w:color w:val="000000"/>
          <w:szCs w:val="28"/>
        </w:rPr>
      </w:pPr>
      <w:r>
        <w:rPr>
          <w:rFonts w:ascii="Candara" w:hAnsi="Candara"/>
          <w:b/>
          <w:color w:val="000000"/>
          <w:szCs w:val="28"/>
          <w:u w:val="single"/>
        </w:rPr>
        <w:t>Produktivitāte un darbaspēka izmaksas</w:t>
      </w:r>
      <w:r>
        <w:rPr>
          <w:rFonts w:ascii="Candara" w:hAnsi="Candara"/>
          <w:color w:val="000000"/>
          <w:szCs w:val="28"/>
        </w:rPr>
        <w:t>. Ekonomikas lejupslīdes jeb krīzes periodā ULC samazinājās, ko galvenokārt noteica būtisks nodarbināto skaita samazinājums un ražošanas apjomu kāpums. Kopš 2011.gada gan nodarbināto skaits, gan darbaspēka izmaksas pieauga, kamēr produktivitāte pieaug minimāli vai samazinās. Šādu nozares attīstības modeli var raksturot kā ekstensīvu. Vienlaikus jāatzīmē, ka kopš 2011.gada ULC kokapstrādes nozarē Latvijā vidēji gadā pieauga četras reizes straujāk nekā vidēji ES, Latvijā par 5,4%, ES – par 1,2% vidēji gadā. 2015.gadā kokapstrādē darbaspēka izmaksas pieaug straujāk nekā produktivitāte, kas liecina par cenu konkurētspējas (izmaksu) pazemināšanos.</w:t>
      </w:r>
    </w:p>
    <w:p w:rsidR="00C9657B" w:rsidP="00C9657B">
      <w:pPr>
        <w:spacing w:after="0" w:line="240" w:lineRule="auto"/>
        <w:jc w:val="both"/>
        <w:rPr>
          <w:rFonts w:ascii="Candara" w:hAnsi="Candara"/>
          <w:color w:val="000000"/>
          <w:szCs w:val="28"/>
        </w:rPr>
      </w:pPr>
      <w:r>
        <w:rPr>
          <w:rFonts w:ascii="Candara" w:hAnsi="Candara"/>
          <w:b/>
          <w:color w:val="000000"/>
          <w:szCs w:val="28"/>
          <w:u w:val="single"/>
        </w:rPr>
        <w:t>Darbaspēka izmaksas, ES-28=100.</w:t>
      </w:r>
      <w:r>
        <w:rPr>
          <w:rFonts w:ascii="Candara" w:hAnsi="Candara"/>
          <w:color w:val="000000"/>
          <w:szCs w:val="28"/>
        </w:rPr>
        <w:t xml:space="preserve"> Salīdzinot ar darbaspēka izmaksu vidējo līmeni ES, kokapstrādē tas ir tuvāk ES vidējam līmenim nekā tautsaimniecībā kopumā un pēdējos gados tas pieaug vairāk tuvojoties ES vidējam līmenim.</w:t>
      </w:r>
    </w:p>
    <w:p w:rsidR="00C9657B" w:rsidP="00C9657B">
      <w:pPr>
        <w:spacing w:after="0" w:line="240" w:lineRule="auto"/>
        <w:jc w:val="both"/>
        <w:rPr>
          <w:rFonts w:ascii="Candara" w:hAnsi="Candara"/>
          <w:color w:val="000000"/>
          <w:szCs w:val="28"/>
        </w:rPr>
      </w:pPr>
      <w:r>
        <w:rPr>
          <w:rFonts w:ascii="Candara" w:hAnsi="Candara"/>
          <w:b/>
          <w:color w:val="000000"/>
          <w:szCs w:val="28"/>
          <w:u w:val="single"/>
        </w:rPr>
        <w:t>Produktivitāte, ES-28=100.</w:t>
      </w:r>
      <w:r>
        <w:rPr>
          <w:rFonts w:ascii="Candara" w:hAnsi="Candara"/>
          <w:color w:val="000000"/>
          <w:szCs w:val="28"/>
        </w:rPr>
        <w:t xml:space="preserve"> Salīdzinot ar vidējo līmeni ES, kokapstrādē produktivitātes līmenis ir ļoti tuvu ES vidējam līmenim un būtiski pārsniedz līmeni tautsaimniecībā kopumā. 2014.gadā tas bija par 28 procentpunktiem augstāks nekā 2008.gadā.</w:t>
      </w:r>
    </w:p>
    <w:p w:rsidR="00C9657B" w:rsidP="00C9657B">
      <w:pPr>
        <w:spacing w:after="0" w:line="240" w:lineRule="auto"/>
        <w:jc w:val="both"/>
        <w:rPr>
          <w:rFonts w:ascii="Candara" w:hAnsi="Candara"/>
          <w:color w:val="000000"/>
          <w:szCs w:val="28"/>
        </w:rPr>
      </w:pPr>
      <w:r>
        <w:rPr>
          <w:rFonts w:ascii="Candara" w:hAnsi="Candara"/>
          <w:b/>
          <w:color w:val="000000"/>
          <w:szCs w:val="28"/>
          <w:u w:val="single"/>
        </w:rPr>
        <w:t>Darbaspēka izmaksas, salīdzinot ar ES valstīm, 2015.gadā.</w:t>
      </w:r>
      <w:r>
        <w:rPr>
          <w:rFonts w:ascii="Candara" w:hAnsi="Candara"/>
          <w:color w:val="000000"/>
          <w:szCs w:val="28"/>
        </w:rPr>
        <w:t xml:space="preserve"> Latvijā 2015.gadā darbaspēka izmaksas kokapstrādē bija augstākas nekā Lietuvā, bet zemākas nekā Igaunijā. Kopumā Latvija bija 19.vietā.</w:t>
      </w:r>
    </w:p>
    <w:p w:rsidR="00C9657B" w:rsidP="00C9657B">
      <w:pPr>
        <w:spacing w:after="0" w:line="240" w:lineRule="auto"/>
        <w:jc w:val="both"/>
        <w:rPr>
          <w:rFonts w:ascii="Candara" w:hAnsi="Candara"/>
          <w:color w:val="000000"/>
          <w:szCs w:val="28"/>
        </w:rPr>
      </w:pPr>
      <w:r>
        <w:rPr>
          <w:rFonts w:ascii="Candara" w:hAnsi="Candara"/>
          <w:b/>
          <w:color w:val="000000"/>
          <w:szCs w:val="28"/>
          <w:u w:val="single"/>
        </w:rPr>
        <w:t>Produktivitāte, salīdzinot ar ES valstīm, 2015.gadā.</w:t>
      </w:r>
      <w:r>
        <w:rPr>
          <w:rFonts w:ascii="Candara" w:hAnsi="Candara"/>
          <w:color w:val="000000"/>
          <w:szCs w:val="28"/>
        </w:rPr>
        <w:t xml:space="preserve"> Latvijā 2015.gadā produktivitāte kokapstrādē bija augstāka nekā Lietuvā, bet zemāka nekā Igaunijā. Kopumā starp ES valstīm Latvija bija 17.vietā.</w:t>
      </w:r>
    </w:p>
    <w:p w:rsidR="00C9657B" w:rsidP="00C9657B">
      <w:pPr>
        <w:spacing w:after="0" w:line="240" w:lineRule="auto"/>
        <w:jc w:val="both"/>
        <w:rPr>
          <w:rFonts w:ascii="Candara" w:hAnsi="Candara"/>
          <w:color w:val="000000"/>
          <w:szCs w:val="28"/>
        </w:rPr>
      </w:pPr>
      <w:r>
        <w:rPr>
          <w:rFonts w:ascii="Candara" w:hAnsi="Candara"/>
          <w:b/>
          <w:color w:val="000000"/>
          <w:szCs w:val="28"/>
          <w:u w:val="single"/>
        </w:rPr>
        <w:t>Produktivitāte un darbaspēka izmaksas ES-28 valstīs 2010.gadā un 2015.gadā.</w:t>
      </w:r>
      <w:r>
        <w:rPr>
          <w:rFonts w:ascii="Candara" w:hAnsi="Candara"/>
          <w:color w:val="000000"/>
          <w:szCs w:val="28"/>
        </w:rPr>
        <w:t xml:space="preserve"> Darbaspēka izmaksas uz 1 produkcijas vienību (ULC) kokapstrādes nozarē Latvijā ir viens no zemākajiem rādītājiem starp ES valstīm, 2010.gadā zemāks tas bija tikai Rumānijā, bet 2015.gadā – Polijā, Rumānijā un Slovākijā. Latvijā 2015.gadā, salīdzinot ar 2010.gadu darbaspēka izmaksas uz 1 produkcijas vienību ir pieaugušas, ko noteica darbaspēka izmaksu pieaugums par 44%. Neskatoties uz darbaspēka izmaksu strauju kāpumu, ULC līmenis Latvijā joprojām ir zemāks nekā citām ES valstīm, kas liecina, ka nozarē saglabājas lēta darbaspēka konkurētspējas priekšrocības.</w:t>
      </w:r>
    </w:p>
    <w:p w:rsidR="00C23A95" w:rsidP="00762D1E">
      <w:pPr>
        <w:spacing w:after="0" w:line="240" w:lineRule="auto"/>
        <w:rPr>
          <w:rFonts w:ascii="Candara" w:hAnsi="Candara"/>
          <w:b/>
          <w:color w:val="000000"/>
          <w:szCs w:val="28"/>
          <w:u w:val="single"/>
        </w:rPr>
      </w:pPr>
      <w:r>
        <w:rPr>
          <w:rFonts w:ascii="Candara" w:hAnsi="Candara"/>
          <w:b/>
          <w:color w:val="000000"/>
          <w:szCs w:val="28"/>
          <w:u w:val="single"/>
        </w:rPr>
        <w:br w:type="page"/>
      </w:r>
    </w:p>
    <w:p w:rsidR="00C23A95" w:rsidRPr="009F39B5" w:rsidP="00C23A95">
      <w:pPr>
        <w:pStyle w:val="Heading1"/>
        <w:jc w:val="center"/>
        <w:rPr>
          <w:b/>
          <w:sz w:val="20"/>
        </w:rPr>
      </w:pPr>
      <w:bookmarkStart w:id="26" w:name="_Toc482792405"/>
      <w:bookmarkStart w:id="27" w:name="_Hlk504750308"/>
      <w:bookmarkStart w:id="28" w:name="_Toc256000007"/>
      <w:bookmarkStart w:id="29" w:name="_Toc256000033"/>
      <w:r w:rsidRPr="009F39B5">
        <w:rPr>
          <w:b/>
          <w:sz w:val="20"/>
        </w:rPr>
        <w:t>C17-18 PAPĪRA RAŽOŠANA UN POLIGRĀFIJA</w:t>
      </w:r>
      <w:bookmarkEnd w:id="29"/>
      <w:bookmarkEnd w:id="28"/>
      <w:bookmarkEnd w:id="26"/>
    </w:p>
    <w:tbl>
      <w:tblPr>
        <w:tblW w:w="10488"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3576"/>
        <w:gridCol w:w="1723"/>
        <w:gridCol w:w="1853"/>
        <w:gridCol w:w="3336"/>
      </w:tblGrid>
      <w:tr w:rsidTr="003B0F04">
        <w:tblPrEx>
          <w:tblW w:w="10488"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Ex>
        <w:trPr>
          <w:jc w:val="center"/>
        </w:trPr>
        <w:tc>
          <w:tcPr>
            <w:tcW w:w="3576" w:type="dxa"/>
            <w:shd w:val="clear" w:color="auto" w:fill="D9D9D9" w:themeFill="background1" w:themeFillShade="D9"/>
          </w:tcPr>
          <w:p w:rsidR="00C23A95" w:rsidRPr="00FE0DAC" w:rsidP="00762D1E">
            <w:pPr>
              <w:spacing w:after="0" w:line="240" w:lineRule="auto"/>
              <w:jc w:val="center"/>
              <w:rPr>
                <w:rFonts w:ascii="Candara" w:hAnsi="Candara"/>
                <w:sz w:val="18"/>
                <w:szCs w:val="20"/>
              </w:rPr>
            </w:pPr>
            <w:r w:rsidRPr="00FE0DAC">
              <w:rPr>
                <w:rFonts w:ascii="Candara" w:hAnsi="Candara"/>
                <w:sz w:val="18"/>
                <w:szCs w:val="20"/>
              </w:rPr>
              <w:t>Nozares īpatsvars tautsaimniecībā</w:t>
            </w:r>
            <w:r w:rsidR="00703211">
              <w:rPr>
                <w:rFonts w:ascii="Candara" w:hAnsi="Candara"/>
                <w:sz w:val="18"/>
                <w:szCs w:val="20"/>
              </w:rPr>
              <w:t xml:space="preserve"> (faktiskajās cenās)</w:t>
            </w:r>
            <w:r w:rsidRPr="00FE0DAC">
              <w:rPr>
                <w:rFonts w:ascii="Candara" w:hAnsi="Candara"/>
                <w:sz w:val="18"/>
                <w:szCs w:val="20"/>
              </w:rPr>
              <w:t>, %</w:t>
            </w:r>
          </w:p>
        </w:tc>
        <w:tc>
          <w:tcPr>
            <w:tcW w:w="3576" w:type="dxa"/>
            <w:gridSpan w:val="2"/>
            <w:shd w:val="clear" w:color="auto" w:fill="D9D9D9" w:themeFill="background1" w:themeFillShade="D9"/>
          </w:tcPr>
          <w:p w:rsidR="00C23A95" w:rsidRPr="00FE0DAC" w:rsidP="00762D1E">
            <w:pPr>
              <w:spacing w:after="0" w:line="240" w:lineRule="auto"/>
              <w:jc w:val="center"/>
              <w:rPr>
                <w:rFonts w:ascii="Candara" w:hAnsi="Candara"/>
                <w:sz w:val="18"/>
                <w:szCs w:val="20"/>
              </w:rPr>
            </w:pPr>
            <w:r w:rsidRPr="00FE0DAC">
              <w:rPr>
                <w:rFonts w:ascii="Candara" w:hAnsi="Candara"/>
                <w:sz w:val="18"/>
                <w:szCs w:val="20"/>
              </w:rPr>
              <w:t>Pievienotās vērtības un darba vietu skaita izmaiņas</w:t>
            </w:r>
            <w:r w:rsidR="007E4C0E">
              <w:rPr>
                <w:rFonts w:ascii="Candara" w:hAnsi="Candara"/>
                <w:sz w:val="18"/>
                <w:szCs w:val="20"/>
              </w:rPr>
              <w:t xml:space="preserve"> (2005=100)</w:t>
            </w:r>
          </w:p>
        </w:tc>
        <w:tc>
          <w:tcPr>
            <w:tcW w:w="3336" w:type="dxa"/>
            <w:shd w:val="clear" w:color="auto" w:fill="D9D9D9" w:themeFill="background1" w:themeFillShade="D9"/>
          </w:tcPr>
          <w:p w:rsidR="00C23A95" w:rsidRPr="00FE0DAC" w:rsidP="00762D1E">
            <w:pPr>
              <w:spacing w:after="0" w:line="240" w:lineRule="auto"/>
              <w:jc w:val="center"/>
              <w:rPr>
                <w:rFonts w:ascii="Candara" w:hAnsi="Candara"/>
                <w:sz w:val="18"/>
                <w:szCs w:val="20"/>
              </w:rPr>
            </w:pPr>
            <w:r w:rsidRPr="00FE0DAC">
              <w:rPr>
                <w:rFonts w:ascii="Candara" w:hAnsi="Candara"/>
                <w:sz w:val="18"/>
                <w:szCs w:val="20"/>
              </w:rPr>
              <w:t>Produkcijas eksports</w:t>
            </w:r>
            <w:r w:rsidR="00F86EC0">
              <w:rPr>
                <w:rFonts w:ascii="Candara" w:hAnsi="Candara"/>
                <w:sz w:val="18"/>
                <w:szCs w:val="20"/>
              </w:rPr>
              <w:t>,</w:t>
            </w:r>
            <w:r w:rsidRPr="00FE0DAC">
              <w:rPr>
                <w:rFonts w:ascii="Candara" w:hAnsi="Candara"/>
                <w:sz w:val="18"/>
                <w:szCs w:val="20"/>
              </w:rPr>
              <w:t xml:space="preserve"> milj. EUR</w:t>
            </w:r>
          </w:p>
        </w:tc>
      </w:tr>
      <w:tr w:rsidTr="003B0F04">
        <w:tblPrEx>
          <w:tblW w:w="10488" w:type="dxa"/>
          <w:jc w:val="center"/>
          <w:tblLook w:val="04A0"/>
        </w:tblPrEx>
        <w:trPr>
          <w:jc w:val="center"/>
        </w:trPr>
        <w:tc>
          <w:tcPr>
            <w:tcW w:w="3576" w:type="dxa"/>
          </w:tcPr>
          <w:p w:rsidR="00C23A95" w:rsidRPr="00FE0DAC" w:rsidP="00762D1E">
            <w:pPr>
              <w:spacing w:after="0" w:line="240" w:lineRule="auto"/>
              <w:rPr>
                <w:rFonts w:ascii="Candara" w:hAnsi="Candara"/>
              </w:rPr>
            </w:pPr>
            <w:r w:rsidRPr="00FE0DAC">
              <w:rPr>
                <w:rFonts w:ascii="Candara" w:hAnsi="Candara"/>
                <w:noProof/>
                <w:sz w:val="18"/>
                <w:szCs w:val="18"/>
                <w:lang w:eastAsia="lv-LV"/>
              </w:rPr>
              <w:drawing>
                <wp:inline distT="0" distB="0" distL="0" distR="0">
                  <wp:extent cx="2133600" cy="1035050"/>
                  <wp:effectExtent l="0" t="0" r="0" b="0"/>
                  <wp:docPr id="295"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c>
        <w:tc>
          <w:tcPr>
            <w:tcW w:w="3576" w:type="dxa"/>
            <w:gridSpan w:val="2"/>
          </w:tcPr>
          <w:p w:rsidR="00C23A95" w:rsidRPr="00FE0DAC" w:rsidP="00762D1E">
            <w:pPr>
              <w:spacing w:after="0" w:line="240" w:lineRule="auto"/>
              <w:rPr>
                <w:rFonts w:ascii="Candara" w:hAnsi="Candara"/>
              </w:rPr>
            </w:pPr>
            <w:r w:rsidRPr="00FE0DAC">
              <w:rPr>
                <w:rFonts w:ascii="Candara" w:eastAsia="Times New Roman" w:hAnsi="Candara"/>
                <w:noProof/>
                <w:sz w:val="18"/>
                <w:szCs w:val="18"/>
                <w:lang w:eastAsia="lv-LV"/>
              </w:rPr>
              <w:drawing>
                <wp:inline distT="0" distB="0" distL="0" distR="0">
                  <wp:extent cx="2067151" cy="1066800"/>
                  <wp:effectExtent l="0" t="0" r="0" b="0"/>
                  <wp:docPr id="296"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c>
        <w:tc>
          <w:tcPr>
            <w:tcW w:w="3336" w:type="dxa"/>
          </w:tcPr>
          <w:p w:rsidR="00C23A95" w:rsidP="00762D1E">
            <w:pPr>
              <w:spacing w:after="0" w:line="240" w:lineRule="auto"/>
              <w:rPr>
                <w:rFonts w:ascii="Candara" w:hAnsi="Candara"/>
              </w:rPr>
            </w:pPr>
            <w:r>
              <w:rPr>
                <w:noProof/>
                <w:lang w:eastAsia="lv-LV"/>
              </w:rPr>
              <w:drawing>
                <wp:inline distT="0" distB="0" distL="0" distR="0">
                  <wp:extent cx="1981200" cy="914400"/>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E75013" w:rsidRPr="00FE0DAC" w:rsidP="00762D1E">
            <w:pPr>
              <w:spacing w:after="0" w:line="240" w:lineRule="auto"/>
              <w:rPr>
                <w:rFonts w:ascii="Candara" w:hAnsi="Candara"/>
              </w:rPr>
            </w:pPr>
            <w:r w:rsidRPr="00E75013">
              <w:rPr>
                <w:rFonts w:ascii="Candara" w:hAnsi="Candara"/>
                <w:sz w:val="14"/>
                <w:szCs w:val="14"/>
              </w:rPr>
              <w:t>* EM novērtējums pēc KN produktu klasifikācijas</w:t>
            </w:r>
          </w:p>
        </w:tc>
      </w:tr>
      <w:tr w:rsidTr="003B0F04">
        <w:tblPrEx>
          <w:tblW w:w="10488" w:type="dxa"/>
          <w:jc w:val="center"/>
          <w:tblLook w:val="04A0"/>
        </w:tblPrEx>
        <w:trPr>
          <w:jc w:val="center"/>
        </w:trPr>
        <w:tc>
          <w:tcPr>
            <w:tcW w:w="3576" w:type="dxa"/>
            <w:shd w:val="clear" w:color="auto" w:fill="D9D9D9" w:themeFill="background1" w:themeFillShade="D9"/>
          </w:tcPr>
          <w:p w:rsidR="00C23A95" w:rsidRPr="00FE0DAC" w:rsidP="00762D1E">
            <w:pPr>
              <w:spacing w:after="0" w:line="240" w:lineRule="auto"/>
              <w:jc w:val="center"/>
              <w:rPr>
                <w:rFonts w:ascii="Candara" w:hAnsi="Candara"/>
                <w:sz w:val="18"/>
              </w:rPr>
            </w:pPr>
            <w:r w:rsidRPr="00FE0DAC">
              <w:rPr>
                <w:rFonts w:ascii="Candara" w:hAnsi="Candara"/>
                <w:sz w:val="18"/>
                <w:szCs w:val="20"/>
              </w:rPr>
              <w:t>Eksports uz 1 strādājošo, tūkst. EUR</w:t>
            </w:r>
          </w:p>
        </w:tc>
        <w:tc>
          <w:tcPr>
            <w:tcW w:w="6912" w:type="dxa"/>
            <w:gridSpan w:val="3"/>
            <w:shd w:val="clear" w:color="auto" w:fill="D9D9D9" w:themeFill="background1" w:themeFillShade="D9"/>
          </w:tcPr>
          <w:p w:rsidR="00C23A95" w:rsidRPr="00FE0DAC" w:rsidP="00762D1E">
            <w:pPr>
              <w:spacing w:after="0" w:line="240" w:lineRule="auto"/>
              <w:jc w:val="center"/>
              <w:rPr>
                <w:rFonts w:ascii="Candara" w:hAnsi="Candara"/>
                <w:sz w:val="18"/>
              </w:rPr>
            </w:pPr>
            <w:r w:rsidRPr="00FE0DAC">
              <w:rPr>
                <w:rFonts w:ascii="Candara" w:hAnsi="Candara"/>
                <w:sz w:val="18"/>
                <w:szCs w:val="20"/>
              </w:rPr>
              <w:t>Eksports uz 1 strādājošo ES</w:t>
            </w:r>
            <w:r w:rsidR="00C5533D">
              <w:rPr>
                <w:rFonts w:ascii="Candara" w:hAnsi="Candara"/>
                <w:sz w:val="18"/>
                <w:szCs w:val="20"/>
              </w:rPr>
              <w:t>-</w:t>
            </w:r>
            <w:r w:rsidRPr="00FE0DAC">
              <w:rPr>
                <w:rFonts w:ascii="Candara" w:hAnsi="Candara"/>
                <w:sz w:val="18"/>
                <w:szCs w:val="20"/>
              </w:rPr>
              <w:t>28 valstīs, tūkst. EUR</w:t>
            </w:r>
          </w:p>
        </w:tc>
      </w:tr>
      <w:tr w:rsidTr="003B0F04">
        <w:tblPrEx>
          <w:tblW w:w="10488" w:type="dxa"/>
          <w:jc w:val="center"/>
          <w:tblLook w:val="04A0"/>
        </w:tblPrEx>
        <w:trPr>
          <w:jc w:val="center"/>
        </w:trPr>
        <w:tc>
          <w:tcPr>
            <w:tcW w:w="3576" w:type="dxa"/>
          </w:tcPr>
          <w:p w:rsidR="00C23A95" w:rsidRPr="00FE0DAC" w:rsidP="00762D1E">
            <w:pPr>
              <w:spacing w:after="0" w:line="240" w:lineRule="auto"/>
              <w:jc w:val="center"/>
              <w:rPr>
                <w:rFonts w:ascii="Candara" w:hAnsi="Candara"/>
              </w:rPr>
            </w:pPr>
            <w:r>
              <w:rPr>
                <w:noProof/>
                <w:lang w:eastAsia="lv-LV"/>
              </w:rPr>
              <w:drawing>
                <wp:inline distT="0" distB="0" distL="0" distR="0">
                  <wp:extent cx="2133600" cy="1171575"/>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c>
        <w:tc>
          <w:tcPr>
            <w:tcW w:w="6912" w:type="dxa"/>
            <w:gridSpan w:val="3"/>
          </w:tcPr>
          <w:p w:rsidR="00C23A95" w:rsidRPr="00FE0DAC" w:rsidP="00762D1E">
            <w:pPr>
              <w:spacing w:after="0" w:line="240" w:lineRule="auto"/>
              <w:jc w:val="center"/>
              <w:rPr>
                <w:rFonts w:ascii="Candara" w:hAnsi="Candara"/>
              </w:rPr>
            </w:pPr>
            <w:r>
              <w:rPr>
                <w:noProof/>
                <w:lang w:eastAsia="lv-LV"/>
              </w:rPr>
              <w:drawing>
                <wp:inline distT="0" distB="0" distL="0" distR="0">
                  <wp:extent cx="4114800" cy="1171575"/>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c>
      </w:tr>
      <w:tr w:rsidTr="003B0F04">
        <w:tblPrEx>
          <w:tblW w:w="10488" w:type="dxa"/>
          <w:jc w:val="center"/>
          <w:tblLook w:val="04A0"/>
        </w:tblPrEx>
        <w:trPr>
          <w:jc w:val="center"/>
        </w:trPr>
        <w:tc>
          <w:tcPr>
            <w:tcW w:w="3576" w:type="dxa"/>
            <w:shd w:val="clear" w:color="auto" w:fill="D9D9D9" w:themeFill="background1" w:themeFillShade="D9"/>
          </w:tcPr>
          <w:p w:rsidR="00C23A95" w:rsidRPr="00FE0DAC" w:rsidP="00762D1E">
            <w:pPr>
              <w:spacing w:after="0" w:line="240" w:lineRule="auto"/>
              <w:jc w:val="center"/>
              <w:rPr>
                <w:rFonts w:ascii="Candara" w:hAnsi="Candara"/>
                <w:sz w:val="18"/>
                <w:szCs w:val="20"/>
              </w:rPr>
            </w:pPr>
            <w:r w:rsidRPr="00FE0DAC">
              <w:rPr>
                <w:rFonts w:ascii="Candara" w:hAnsi="Candara"/>
                <w:sz w:val="18"/>
                <w:szCs w:val="20"/>
              </w:rPr>
              <w:t>Eksporta tirgi</w:t>
            </w:r>
            <w:r w:rsidR="007A072E">
              <w:rPr>
                <w:rFonts w:ascii="Candara" w:hAnsi="Candara"/>
                <w:sz w:val="18"/>
                <w:szCs w:val="20"/>
              </w:rPr>
              <w:t>, 201</w:t>
            </w:r>
            <w:r w:rsidR="00594101">
              <w:rPr>
                <w:rFonts w:ascii="Candara" w:hAnsi="Candara"/>
                <w:sz w:val="18"/>
                <w:szCs w:val="20"/>
              </w:rPr>
              <w:t>6</w:t>
            </w:r>
            <w:r w:rsidR="007A072E">
              <w:rPr>
                <w:rFonts w:ascii="Candara" w:hAnsi="Candara"/>
                <w:sz w:val="18"/>
                <w:szCs w:val="20"/>
              </w:rPr>
              <w:t>.g.</w:t>
            </w:r>
          </w:p>
        </w:tc>
        <w:tc>
          <w:tcPr>
            <w:tcW w:w="6912" w:type="dxa"/>
            <w:gridSpan w:val="3"/>
            <w:shd w:val="clear" w:color="auto" w:fill="D9D9D9" w:themeFill="background1" w:themeFillShade="D9"/>
          </w:tcPr>
          <w:p w:rsidR="00C23A95" w:rsidRPr="00FE0DAC" w:rsidP="00762D1E">
            <w:pPr>
              <w:spacing w:after="0" w:line="240" w:lineRule="auto"/>
              <w:jc w:val="center"/>
              <w:rPr>
                <w:rFonts w:ascii="Candara" w:hAnsi="Candara"/>
                <w:sz w:val="18"/>
              </w:rPr>
            </w:pPr>
            <w:r w:rsidRPr="00FE0DAC">
              <w:rPr>
                <w:rFonts w:ascii="Candara" w:hAnsi="Candara"/>
                <w:sz w:val="18"/>
                <w:szCs w:val="20"/>
              </w:rPr>
              <w:t>Eksporta struktūra</w:t>
            </w:r>
          </w:p>
        </w:tc>
      </w:tr>
      <w:tr w:rsidTr="003B0F04">
        <w:tblPrEx>
          <w:tblW w:w="10488" w:type="dxa"/>
          <w:jc w:val="center"/>
          <w:tblLook w:val="04A0"/>
        </w:tblPrEx>
        <w:trPr>
          <w:jc w:val="center"/>
        </w:trPr>
        <w:tc>
          <w:tcPr>
            <w:tcW w:w="3576" w:type="dxa"/>
          </w:tcPr>
          <w:p w:rsidR="00C23A95" w:rsidRPr="00B612F1" w:rsidP="00762D1E">
            <w:pPr>
              <w:spacing w:after="0" w:line="240" w:lineRule="auto"/>
              <w:jc w:val="center"/>
              <w:rPr>
                <w:rFonts w:ascii="Candara" w:hAnsi="Candara"/>
                <w:b/>
                <w:szCs w:val="28"/>
              </w:rPr>
            </w:pPr>
            <w:r w:rsidRPr="004F3DC7">
              <w:rPr>
                <w:noProof/>
                <w:sz w:val="18"/>
                <w:szCs w:val="18"/>
                <w:lang w:eastAsia="lv-LV"/>
              </w:rPr>
              <w:drawing>
                <wp:inline distT="0" distB="0" distL="0" distR="0">
                  <wp:extent cx="1657350" cy="1368000"/>
                  <wp:effectExtent l="0" t="0" r="0" b="0"/>
                  <wp:docPr id="300"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tc>
        <w:tc>
          <w:tcPr>
            <w:tcW w:w="6912" w:type="dxa"/>
            <w:gridSpan w:val="3"/>
          </w:tcPr>
          <w:p w:rsidR="00C23A95" w:rsidRPr="004B5C57" w:rsidP="00762D1E">
            <w:pPr>
              <w:tabs>
                <w:tab w:val="left" w:pos="8080"/>
              </w:tabs>
              <w:spacing w:after="0" w:line="240" w:lineRule="auto"/>
              <w:ind w:right="-31"/>
              <w:jc w:val="center"/>
              <w:rPr>
                <w:sz w:val="18"/>
              </w:rPr>
            </w:pPr>
            <w:r w:rsidRPr="004B5C57">
              <w:rPr>
                <w:sz w:val="18"/>
              </w:rPr>
              <w:t xml:space="preserve">Latvija </w:t>
            </w:r>
            <w:r>
              <w:rPr>
                <w:sz w:val="18"/>
              </w:rPr>
              <w:t xml:space="preserve">                                                                                      </w:t>
            </w:r>
            <w:r w:rsidRPr="004B5C57">
              <w:rPr>
                <w:sz w:val="18"/>
              </w:rPr>
              <w:t>ES-28</w:t>
            </w:r>
          </w:p>
          <w:p w:rsidR="00C23A95" w:rsidRPr="004B5C57" w:rsidP="00762D1E">
            <w:pPr>
              <w:tabs>
                <w:tab w:val="left" w:pos="8080"/>
              </w:tabs>
              <w:spacing w:after="0" w:line="240" w:lineRule="auto"/>
              <w:ind w:right="-31"/>
            </w:pPr>
            <w:r>
              <w:rPr>
                <w:noProof/>
                <w:lang w:eastAsia="lv-LV"/>
              </w:rPr>
              <w:drawing>
                <wp:inline distT="0" distB="0" distL="0" distR="0">
                  <wp:extent cx="2617393" cy="1242725"/>
                  <wp:effectExtent l="0" t="0" r="0" b="0"/>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r>
              <w:rPr>
                <w:noProof/>
                <w:lang w:eastAsia="lv-LV"/>
              </w:rPr>
              <w:drawing>
                <wp:inline distT="0" distB="0" distL="0" distR="0">
                  <wp:extent cx="1356258" cy="1242725"/>
                  <wp:effectExtent l="0" t="0" r="0" b="0"/>
                  <wp:docPr id="302" name="Chart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tc>
      </w:tr>
      <w:tr w:rsidTr="003B0F04">
        <w:tblPrEx>
          <w:tblW w:w="10488" w:type="dxa"/>
          <w:jc w:val="center"/>
          <w:tblLook w:val="04A0"/>
        </w:tblPrEx>
        <w:trPr>
          <w:jc w:val="center"/>
        </w:trPr>
        <w:tc>
          <w:tcPr>
            <w:tcW w:w="3576" w:type="dxa"/>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Darbaspēka izmaksu dinamika</w:t>
            </w:r>
            <w:r>
              <w:rPr>
                <w:rFonts w:ascii="Candara" w:hAnsi="Candara"/>
                <w:sz w:val="18"/>
                <w:szCs w:val="20"/>
              </w:rPr>
              <w:t>, tūkst. EUR</w:t>
            </w:r>
          </w:p>
        </w:tc>
        <w:tc>
          <w:tcPr>
            <w:tcW w:w="3576" w:type="dxa"/>
            <w:gridSpan w:val="2"/>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Produktivitātes dinamika</w:t>
            </w:r>
            <w:r>
              <w:rPr>
                <w:rFonts w:ascii="Candara" w:hAnsi="Candara"/>
                <w:sz w:val="18"/>
                <w:szCs w:val="20"/>
              </w:rPr>
              <w:t>, tūkst. EUR</w:t>
            </w:r>
          </w:p>
        </w:tc>
        <w:tc>
          <w:tcPr>
            <w:tcW w:w="3336" w:type="dxa"/>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Produktivitāte un darbaspēka izmaksas</w:t>
            </w:r>
          </w:p>
        </w:tc>
      </w:tr>
      <w:tr w:rsidTr="003B0F04">
        <w:tblPrEx>
          <w:tblW w:w="10488" w:type="dxa"/>
          <w:jc w:val="center"/>
          <w:tblLook w:val="04A0"/>
        </w:tblPrEx>
        <w:trPr>
          <w:jc w:val="center"/>
        </w:trPr>
        <w:tc>
          <w:tcPr>
            <w:tcW w:w="3576" w:type="dxa"/>
          </w:tcPr>
          <w:p w:rsidR="00C23A95" w:rsidP="00762D1E">
            <w:pPr>
              <w:spacing w:after="0" w:line="240" w:lineRule="auto"/>
              <w:jc w:val="center"/>
              <w:rPr>
                <w:rFonts w:ascii="Candara" w:hAnsi="Candara"/>
              </w:rPr>
            </w:pPr>
            <w:r w:rsidRPr="00B612F1">
              <w:rPr>
                <w:rFonts w:ascii="Candara" w:hAnsi="Candara"/>
                <w:noProof/>
                <w:sz w:val="18"/>
                <w:szCs w:val="18"/>
                <w:lang w:eastAsia="lv-LV"/>
              </w:rPr>
              <w:drawing>
                <wp:inline distT="0" distB="0" distL="0" distR="0">
                  <wp:extent cx="2133600" cy="1066800"/>
                  <wp:effectExtent l="0" t="0" r="0" b="0"/>
                  <wp:docPr id="303"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tc>
        <w:tc>
          <w:tcPr>
            <w:tcW w:w="3576" w:type="dxa"/>
            <w:gridSpan w:val="2"/>
          </w:tcPr>
          <w:p w:rsidR="00C23A95" w:rsidP="00762D1E">
            <w:pPr>
              <w:spacing w:after="0" w:line="240" w:lineRule="auto"/>
              <w:jc w:val="center"/>
              <w:rPr>
                <w:rFonts w:ascii="Candara" w:hAnsi="Candara"/>
              </w:rPr>
            </w:pPr>
            <w:r w:rsidRPr="00B612F1">
              <w:rPr>
                <w:rFonts w:ascii="Candara" w:hAnsi="Candara"/>
                <w:noProof/>
                <w:sz w:val="18"/>
                <w:szCs w:val="18"/>
                <w:lang w:eastAsia="lv-LV"/>
              </w:rPr>
              <w:drawing>
                <wp:inline distT="0" distB="0" distL="0" distR="0">
                  <wp:extent cx="2133600" cy="1060450"/>
                  <wp:effectExtent l="0" t="0" r="0" b="6350"/>
                  <wp:docPr id="304"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tc>
        <w:tc>
          <w:tcPr>
            <w:tcW w:w="3336" w:type="dxa"/>
            <w:vMerge w:val="restart"/>
          </w:tcPr>
          <w:p w:rsidR="00C23A95" w:rsidP="00762D1E">
            <w:pPr>
              <w:spacing w:after="0" w:line="240" w:lineRule="auto"/>
              <w:jc w:val="center"/>
              <w:rPr>
                <w:rFonts w:ascii="Candara" w:hAnsi="Candara"/>
              </w:rPr>
            </w:pPr>
            <w:r w:rsidRPr="00B612F1">
              <w:rPr>
                <w:rFonts w:ascii="Candara" w:eastAsia="Times New Roman" w:hAnsi="Candara"/>
                <w:noProof/>
                <w:sz w:val="18"/>
                <w:szCs w:val="18"/>
                <w:lang w:eastAsia="lv-LV"/>
              </w:rPr>
              <w:drawing>
                <wp:inline distT="0" distB="0" distL="0" distR="0">
                  <wp:extent cx="1847850" cy="2228850"/>
                  <wp:effectExtent l="0" t="0" r="0" b="0"/>
                  <wp:docPr id="305" name="Chart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tc>
      </w:tr>
      <w:tr w:rsidTr="003B0F04">
        <w:tblPrEx>
          <w:tblW w:w="10488" w:type="dxa"/>
          <w:jc w:val="center"/>
          <w:tblLook w:val="04A0"/>
        </w:tblPrEx>
        <w:trPr>
          <w:jc w:val="center"/>
        </w:trPr>
        <w:tc>
          <w:tcPr>
            <w:tcW w:w="3576" w:type="dxa"/>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Darbaspēka izmaksas, ES-28=100</w:t>
            </w:r>
          </w:p>
        </w:tc>
        <w:tc>
          <w:tcPr>
            <w:tcW w:w="3576" w:type="dxa"/>
            <w:gridSpan w:val="2"/>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Produktivitāte, ES-28=100</w:t>
            </w:r>
          </w:p>
        </w:tc>
        <w:tc>
          <w:tcPr>
            <w:tcW w:w="3336" w:type="dxa"/>
            <w:vMerge/>
            <w:shd w:val="clear" w:color="auto" w:fill="D9D9D9" w:themeFill="background1" w:themeFillShade="D9"/>
          </w:tcPr>
          <w:p w:rsidR="00C23A95" w:rsidRPr="00483382" w:rsidP="003A2C2A">
            <w:pPr>
              <w:jc w:val="center"/>
              <w:rPr>
                <w:rFonts w:ascii="Candara" w:hAnsi="Candara"/>
                <w:sz w:val="18"/>
              </w:rPr>
            </w:pPr>
          </w:p>
        </w:tc>
      </w:tr>
      <w:tr w:rsidTr="003B0F04">
        <w:tblPrEx>
          <w:tblW w:w="10488" w:type="dxa"/>
          <w:jc w:val="center"/>
          <w:tblLook w:val="04A0"/>
        </w:tblPrEx>
        <w:trPr>
          <w:jc w:val="center"/>
        </w:trPr>
        <w:tc>
          <w:tcPr>
            <w:tcW w:w="3576" w:type="dxa"/>
          </w:tcPr>
          <w:p w:rsidR="00C23A95" w:rsidP="00762D1E">
            <w:pPr>
              <w:spacing w:after="0" w:line="240" w:lineRule="auto"/>
              <w:jc w:val="center"/>
              <w:rPr>
                <w:rFonts w:ascii="Candara" w:hAnsi="Candara"/>
              </w:rPr>
            </w:pPr>
            <w:r w:rsidRPr="00B41842">
              <w:rPr>
                <w:rFonts w:ascii="Arial Narrow" w:hAnsi="Arial Narrow"/>
                <w:noProof/>
                <w:lang w:eastAsia="lv-LV"/>
              </w:rPr>
              <w:drawing>
                <wp:inline distT="0" distB="0" distL="0" distR="0">
                  <wp:extent cx="2124075" cy="1057275"/>
                  <wp:effectExtent l="0" t="0" r="0" b="0"/>
                  <wp:docPr id="30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tc>
        <w:tc>
          <w:tcPr>
            <w:tcW w:w="3576" w:type="dxa"/>
            <w:gridSpan w:val="2"/>
          </w:tcPr>
          <w:p w:rsidR="00C23A95" w:rsidP="00762D1E">
            <w:pPr>
              <w:spacing w:after="0" w:line="240" w:lineRule="auto"/>
              <w:jc w:val="center"/>
              <w:rPr>
                <w:rFonts w:ascii="Candara" w:hAnsi="Candara"/>
              </w:rPr>
            </w:pPr>
            <w:r w:rsidRPr="00123E9E">
              <w:rPr>
                <w:rFonts w:ascii="Arial Narrow" w:hAnsi="Arial Narrow"/>
                <w:noProof/>
                <w:lang w:eastAsia="lv-LV"/>
              </w:rPr>
              <w:drawing>
                <wp:inline distT="0" distB="0" distL="0" distR="0">
                  <wp:extent cx="1943100" cy="1057275"/>
                  <wp:effectExtent l="0" t="0" r="0" b="0"/>
                  <wp:docPr id="30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tc>
        <w:tc>
          <w:tcPr>
            <w:tcW w:w="3336" w:type="dxa"/>
            <w:vMerge/>
          </w:tcPr>
          <w:p w:rsidR="00C23A95" w:rsidP="003A2C2A">
            <w:pPr>
              <w:jc w:val="center"/>
              <w:rPr>
                <w:rFonts w:ascii="Candara" w:hAnsi="Candara"/>
              </w:rPr>
            </w:pPr>
          </w:p>
        </w:tc>
      </w:tr>
      <w:tr w:rsidTr="003B0F04">
        <w:tblPrEx>
          <w:tblW w:w="10488" w:type="dxa"/>
          <w:jc w:val="center"/>
          <w:tblLook w:val="04A0"/>
        </w:tblPrEx>
        <w:trPr>
          <w:jc w:val="center"/>
        </w:trPr>
        <w:tc>
          <w:tcPr>
            <w:tcW w:w="5299" w:type="dxa"/>
            <w:gridSpan w:val="2"/>
            <w:shd w:val="clear" w:color="auto" w:fill="D9D9D9" w:themeFill="background1" w:themeFillShade="D9"/>
          </w:tcPr>
          <w:p w:rsidR="00C23A95" w:rsidRPr="00483382" w:rsidP="00762D1E">
            <w:pPr>
              <w:spacing w:after="0" w:line="240" w:lineRule="auto"/>
              <w:jc w:val="center"/>
              <w:rPr>
                <w:rFonts w:ascii="Candara" w:hAnsi="Candara"/>
                <w:sz w:val="18"/>
                <w:szCs w:val="20"/>
              </w:rPr>
            </w:pPr>
            <w:r w:rsidRPr="00483382">
              <w:rPr>
                <w:rFonts w:ascii="Candara" w:hAnsi="Candara"/>
                <w:sz w:val="18"/>
                <w:szCs w:val="20"/>
              </w:rPr>
              <w:t>Darbaspēka izmaksas</w:t>
            </w:r>
            <w:r w:rsidR="00F35BE1">
              <w:rPr>
                <w:rFonts w:ascii="Candara" w:hAnsi="Candara"/>
                <w:sz w:val="18"/>
                <w:szCs w:val="20"/>
              </w:rPr>
              <w:t xml:space="preserve"> uz 1 nodarbināto</w:t>
            </w:r>
            <w:r w:rsidR="005C1E6F">
              <w:rPr>
                <w:rFonts w:ascii="Candara" w:hAnsi="Candara"/>
                <w:sz w:val="18"/>
                <w:szCs w:val="20"/>
              </w:rPr>
              <w:t xml:space="preserve"> 201</w:t>
            </w:r>
            <w:r w:rsidR="00335CEF">
              <w:rPr>
                <w:rFonts w:ascii="Candara" w:hAnsi="Candara"/>
                <w:sz w:val="18"/>
                <w:szCs w:val="20"/>
              </w:rPr>
              <w:t>5</w:t>
            </w:r>
            <w:r w:rsidR="005C1E6F">
              <w:rPr>
                <w:rFonts w:ascii="Candara" w:hAnsi="Candara"/>
                <w:sz w:val="18"/>
                <w:szCs w:val="20"/>
              </w:rPr>
              <w:t>.g.</w:t>
            </w:r>
            <w:r>
              <w:rPr>
                <w:rFonts w:ascii="Candara" w:hAnsi="Candara"/>
                <w:sz w:val="18"/>
                <w:szCs w:val="20"/>
              </w:rPr>
              <w:t>, tūkst. EUR</w:t>
            </w:r>
          </w:p>
        </w:tc>
        <w:tc>
          <w:tcPr>
            <w:tcW w:w="5189" w:type="dxa"/>
            <w:gridSpan w:val="2"/>
            <w:shd w:val="clear" w:color="auto" w:fill="D9D9D9" w:themeFill="background1" w:themeFillShade="D9"/>
          </w:tcPr>
          <w:p w:rsidR="00C23A95" w:rsidRPr="00483382" w:rsidP="00762D1E">
            <w:pPr>
              <w:spacing w:after="0" w:line="240" w:lineRule="auto"/>
              <w:jc w:val="center"/>
              <w:rPr>
                <w:rFonts w:ascii="Candara" w:hAnsi="Candara"/>
                <w:sz w:val="18"/>
                <w:szCs w:val="20"/>
              </w:rPr>
            </w:pPr>
            <w:r w:rsidRPr="00483382">
              <w:rPr>
                <w:rFonts w:ascii="Candara" w:hAnsi="Candara"/>
                <w:sz w:val="18"/>
                <w:szCs w:val="20"/>
              </w:rPr>
              <w:t>Produktivitāte</w:t>
            </w:r>
            <w:r w:rsidR="005C1E6F">
              <w:rPr>
                <w:rFonts w:ascii="Candara" w:hAnsi="Candara"/>
                <w:sz w:val="18"/>
                <w:szCs w:val="20"/>
              </w:rPr>
              <w:t xml:space="preserve"> (PV uz 1 nodarbināto) 201</w:t>
            </w:r>
            <w:r w:rsidR="00335CEF">
              <w:rPr>
                <w:rFonts w:ascii="Candara" w:hAnsi="Candara"/>
                <w:sz w:val="18"/>
                <w:szCs w:val="20"/>
              </w:rPr>
              <w:t>5</w:t>
            </w:r>
            <w:r w:rsidR="005C1E6F">
              <w:rPr>
                <w:rFonts w:ascii="Candara" w:hAnsi="Candara"/>
                <w:sz w:val="18"/>
                <w:szCs w:val="20"/>
              </w:rPr>
              <w:t>.g.</w:t>
            </w:r>
            <w:r>
              <w:rPr>
                <w:rFonts w:ascii="Candara" w:hAnsi="Candara"/>
                <w:sz w:val="18"/>
                <w:szCs w:val="20"/>
              </w:rPr>
              <w:t>, tūkst. EUR</w:t>
            </w:r>
          </w:p>
        </w:tc>
      </w:tr>
      <w:tr w:rsidTr="003B0F04">
        <w:tblPrEx>
          <w:tblW w:w="10488" w:type="dxa"/>
          <w:jc w:val="center"/>
          <w:tblLook w:val="04A0"/>
        </w:tblPrEx>
        <w:trPr>
          <w:jc w:val="center"/>
        </w:trPr>
        <w:tc>
          <w:tcPr>
            <w:tcW w:w="5299" w:type="dxa"/>
            <w:gridSpan w:val="2"/>
          </w:tcPr>
          <w:p w:rsidR="00C23A95" w:rsidP="00762D1E">
            <w:pPr>
              <w:spacing w:after="0" w:line="240" w:lineRule="auto"/>
              <w:jc w:val="center"/>
              <w:rPr>
                <w:rFonts w:ascii="Candara" w:hAnsi="Candara"/>
              </w:rPr>
            </w:pPr>
            <w:r w:rsidRPr="00421CA2">
              <w:rPr>
                <w:noProof/>
                <w:lang w:eastAsia="lv-LV"/>
              </w:rPr>
              <w:drawing>
                <wp:inline distT="0" distB="0" distL="0" distR="0">
                  <wp:extent cx="3152775" cy="1171575"/>
                  <wp:effectExtent l="0" t="0" r="0" b="0"/>
                  <wp:docPr id="308" name="Chart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tc>
        <w:tc>
          <w:tcPr>
            <w:tcW w:w="5189" w:type="dxa"/>
            <w:gridSpan w:val="2"/>
          </w:tcPr>
          <w:p w:rsidR="00C23A95" w:rsidP="00762D1E">
            <w:pPr>
              <w:spacing w:after="0" w:line="240" w:lineRule="auto"/>
              <w:jc w:val="center"/>
              <w:rPr>
                <w:rFonts w:ascii="Candara" w:hAnsi="Candara"/>
              </w:rPr>
            </w:pPr>
            <w:r w:rsidRPr="00421CA2">
              <w:rPr>
                <w:noProof/>
                <w:lang w:eastAsia="lv-LV"/>
              </w:rPr>
              <w:drawing>
                <wp:inline distT="0" distB="0" distL="0" distR="0">
                  <wp:extent cx="3152775" cy="1171575"/>
                  <wp:effectExtent l="0" t="0" r="0" b="0"/>
                  <wp:docPr id="309" name="Chart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tc>
      </w:tr>
      <w:tr w:rsidTr="003B0F04">
        <w:tblPrEx>
          <w:tblW w:w="10488" w:type="dxa"/>
          <w:jc w:val="center"/>
          <w:tblLook w:val="04A0"/>
        </w:tblPrEx>
        <w:trPr>
          <w:jc w:val="center"/>
        </w:trPr>
        <w:tc>
          <w:tcPr>
            <w:tcW w:w="5299" w:type="dxa"/>
            <w:gridSpan w:val="2"/>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Produktivitāte un darbaspēka izmaksas ES-28 valstīs 2010.g</w:t>
            </w:r>
            <w:r w:rsidR="00F86EC0">
              <w:rPr>
                <w:rFonts w:ascii="Candara" w:hAnsi="Candara"/>
                <w:sz w:val="18"/>
                <w:szCs w:val="20"/>
              </w:rPr>
              <w:t>.</w:t>
            </w:r>
          </w:p>
        </w:tc>
        <w:tc>
          <w:tcPr>
            <w:tcW w:w="5189" w:type="dxa"/>
            <w:gridSpan w:val="2"/>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Produktivitāte un darbaspēka izmaksas ES-28 valstīs 201</w:t>
            </w:r>
            <w:r w:rsidR="00335CEF">
              <w:rPr>
                <w:rFonts w:ascii="Candara" w:hAnsi="Candara"/>
                <w:sz w:val="18"/>
                <w:szCs w:val="20"/>
              </w:rPr>
              <w:t>5</w:t>
            </w:r>
            <w:r w:rsidRPr="00483382">
              <w:rPr>
                <w:rFonts w:ascii="Candara" w:hAnsi="Candara"/>
                <w:sz w:val="18"/>
                <w:szCs w:val="20"/>
              </w:rPr>
              <w:t>.g</w:t>
            </w:r>
            <w:r w:rsidR="00F86EC0">
              <w:rPr>
                <w:rFonts w:ascii="Candara" w:hAnsi="Candara"/>
                <w:sz w:val="18"/>
                <w:szCs w:val="20"/>
              </w:rPr>
              <w:t>.</w:t>
            </w:r>
          </w:p>
        </w:tc>
      </w:tr>
      <w:tr w:rsidTr="003B0F04">
        <w:tblPrEx>
          <w:tblW w:w="10488" w:type="dxa"/>
          <w:jc w:val="center"/>
          <w:tblLook w:val="04A0"/>
        </w:tblPrEx>
        <w:trPr>
          <w:jc w:val="center"/>
        </w:trPr>
        <w:tc>
          <w:tcPr>
            <w:tcW w:w="5299" w:type="dxa"/>
            <w:gridSpan w:val="2"/>
          </w:tcPr>
          <w:p w:rsidR="00C23A95" w:rsidP="00762D1E">
            <w:pPr>
              <w:spacing w:after="0" w:line="240" w:lineRule="auto"/>
              <w:rPr>
                <w:rFonts w:ascii="Candara" w:hAnsi="Candara"/>
              </w:rPr>
            </w:pPr>
            <w:r w:rsidRPr="00B612F1">
              <w:rPr>
                <w:rFonts w:ascii="Candara" w:eastAsia="Times New Roman" w:hAnsi="Candara"/>
                <w:noProof/>
                <w:sz w:val="18"/>
                <w:szCs w:val="18"/>
                <w:lang w:eastAsia="lv-LV"/>
              </w:rPr>
              <w:drawing>
                <wp:inline distT="0" distB="0" distL="0" distR="0">
                  <wp:extent cx="3057525" cy="1333500"/>
                  <wp:effectExtent l="0" t="0" r="0" b="0"/>
                  <wp:docPr id="310" name="Chart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tc>
        <w:tc>
          <w:tcPr>
            <w:tcW w:w="5189" w:type="dxa"/>
            <w:gridSpan w:val="2"/>
          </w:tcPr>
          <w:p w:rsidR="00C23A95" w:rsidP="00762D1E">
            <w:pPr>
              <w:spacing w:after="0" w:line="240" w:lineRule="auto"/>
              <w:rPr>
                <w:rFonts w:ascii="Candara" w:hAnsi="Candara"/>
              </w:rPr>
            </w:pPr>
            <w:r w:rsidRPr="00B612F1">
              <w:rPr>
                <w:rFonts w:ascii="Candara" w:eastAsia="Times New Roman" w:hAnsi="Candara"/>
                <w:noProof/>
                <w:sz w:val="18"/>
                <w:szCs w:val="18"/>
                <w:lang w:eastAsia="lv-LV"/>
              </w:rPr>
              <w:drawing>
                <wp:inline distT="0" distB="0" distL="0" distR="0">
                  <wp:extent cx="3057525" cy="1333500"/>
                  <wp:effectExtent l="0" t="0" r="0" b="0"/>
                  <wp:docPr id="311" name="Chart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tc>
      </w:tr>
    </w:tbl>
    <w:p w:rsidR="00C23A95" w:rsidP="00C23A95">
      <w:pPr>
        <w:spacing w:after="0" w:line="240" w:lineRule="auto"/>
        <w:rPr>
          <w:rFonts w:ascii="Candara" w:hAnsi="Candara"/>
          <w:b/>
          <w:color w:val="000000"/>
          <w:szCs w:val="28"/>
        </w:rPr>
      </w:pPr>
    </w:p>
    <w:p w:rsidR="0021616C" w:rsidP="0021616C">
      <w:pPr>
        <w:spacing w:after="0" w:line="240" w:lineRule="auto"/>
        <w:jc w:val="both"/>
        <w:rPr>
          <w:rFonts w:ascii="Candara" w:hAnsi="Candara"/>
          <w:color w:val="000000"/>
          <w:szCs w:val="28"/>
        </w:rPr>
      </w:pPr>
      <w:bookmarkEnd w:id="27"/>
      <w:r>
        <w:rPr>
          <w:rFonts w:ascii="Candara" w:hAnsi="Candara"/>
          <w:b/>
          <w:color w:val="000000"/>
          <w:szCs w:val="28"/>
          <w:u w:val="single"/>
        </w:rPr>
        <w:t>Nozares īpatsvars tautsaimniecībā, procentos</w:t>
      </w:r>
      <w:r>
        <w:rPr>
          <w:rFonts w:ascii="Candara" w:hAnsi="Candara"/>
          <w:color w:val="000000"/>
          <w:szCs w:val="28"/>
        </w:rPr>
        <w:t>. Nozares īpatsvars kopējā tautsaimniecībā 2005.gadā bija 0,7%. No 2007.gada līdz 2015.gadam nozares īpatsvars saglabājas praktiski vienādā līmenī – 0,5%.</w:t>
      </w:r>
    </w:p>
    <w:p w:rsidR="0021616C" w:rsidP="0021616C">
      <w:pPr>
        <w:spacing w:after="0" w:line="240" w:lineRule="auto"/>
        <w:jc w:val="both"/>
        <w:rPr>
          <w:rFonts w:ascii="Candara" w:hAnsi="Candara"/>
          <w:color w:val="000000"/>
          <w:szCs w:val="28"/>
        </w:rPr>
      </w:pPr>
      <w:r>
        <w:rPr>
          <w:rFonts w:ascii="Candara" w:hAnsi="Candara"/>
          <w:b/>
          <w:color w:val="000000"/>
          <w:szCs w:val="28"/>
          <w:u w:val="single"/>
        </w:rPr>
        <w:t>Pievienotās vērtības un darba vietu skaita izmaiņas, 2005=100.</w:t>
      </w:r>
      <w:r>
        <w:rPr>
          <w:rFonts w:ascii="Candara" w:hAnsi="Candara"/>
          <w:color w:val="000000"/>
          <w:szCs w:val="28"/>
        </w:rPr>
        <w:t xml:space="preserve"> Nozare pakāpeniski pārorientējas no iekšējā tirgus uz eksporta tirgiem. 2011. gadā nozarē ražošanas apjomi samazinājās, bet 2012.gadā bija vērojams straujš apjomu kāpums un arī 2013.-2014.gadā nozarē saglabājās stabila izaugsme. Turpretim 2015.gadā bija vērojama neliela samazināšanās. Salīdzinot ar krīzes zemāko punktu 2009. gadā, nozares izlaides apjomi 2015.gadā bija par 11% augstāki, bet par 18% atpaliek no pirmskrīzes līmeņa.</w:t>
      </w:r>
    </w:p>
    <w:p w:rsidR="0021616C" w:rsidP="0021616C">
      <w:pPr>
        <w:spacing w:after="0" w:line="240" w:lineRule="auto"/>
        <w:jc w:val="both"/>
        <w:rPr>
          <w:rFonts w:ascii="Candara" w:hAnsi="Candara"/>
          <w:b/>
          <w:color w:val="000000"/>
          <w:szCs w:val="28"/>
          <w:u w:val="single"/>
        </w:rPr>
      </w:pPr>
      <w:r>
        <w:rPr>
          <w:rFonts w:ascii="Candara" w:hAnsi="Candara"/>
          <w:color w:val="000000"/>
          <w:szCs w:val="28"/>
        </w:rPr>
        <w:t>Salīdzinājumā ar ražošanas apjomu kāpumu darbavietu skaits nozarē aug mērenāk, kas liecina par produktivitātes kāpumu. Darbavietu skaits nozarē pēc krīzes pieauga katru gadu līdz 2015.gadam, kad, salīdzinot ar zemāko punktu 2010.gadā, darbavietu skaits bija pieaudzis par 15%, bet par 31% atpaliek no pirmskrīzes līmeņa.</w:t>
      </w:r>
    </w:p>
    <w:p w:rsidR="0021616C" w:rsidP="0021616C">
      <w:pPr>
        <w:spacing w:after="0" w:line="240" w:lineRule="auto"/>
        <w:jc w:val="both"/>
        <w:rPr>
          <w:rFonts w:ascii="Candara" w:hAnsi="Candara"/>
          <w:color w:val="000000"/>
          <w:szCs w:val="28"/>
        </w:rPr>
      </w:pPr>
      <w:r>
        <w:rPr>
          <w:rFonts w:ascii="Candara" w:hAnsi="Candara"/>
          <w:b/>
          <w:color w:val="000000"/>
          <w:szCs w:val="28"/>
          <w:u w:val="single"/>
        </w:rPr>
        <w:t>Produkcijas eksports, milj. EUR.</w:t>
      </w:r>
      <w:r>
        <w:rPr>
          <w:rFonts w:ascii="Candara" w:hAnsi="Candara"/>
          <w:color w:val="000000"/>
          <w:szCs w:val="28"/>
        </w:rPr>
        <w:t xml:space="preserve"> Pēc krīzes 2009. gadā eksportētās produkcijas apjomi stabili aug. Eksportētās produkcijas apjomi faktiskajās cenās 2015.gadā ir 2,5 reizes lielāki.</w:t>
      </w:r>
    </w:p>
    <w:p w:rsidR="0021616C" w:rsidP="0021616C">
      <w:pPr>
        <w:spacing w:after="0" w:line="240" w:lineRule="auto"/>
        <w:jc w:val="both"/>
        <w:rPr>
          <w:rFonts w:ascii="Candara" w:hAnsi="Candara"/>
          <w:b/>
          <w:color w:val="000000"/>
          <w:szCs w:val="28"/>
          <w:u w:val="single"/>
        </w:rPr>
      </w:pPr>
      <w:r>
        <w:rPr>
          <w:rFonts w:ascii="Candara" w:hAnsi="Candara"/>
          <w:b/>
          <w:color w:val="000000"/>
          <w:szCs w:val="28"/>
          <w:u w:val="single"/>
        </w:rPr>
        <w:t>Eksports uz 1 strādājošo, tūkst. EUR.</w:t>
      </w:r>
      <w:r>
        <w:rPr>
          <w:rFonts w:ascii="Candara" w:hAnsi="Candara"/>
          <w:color w:val="000000"/>
          <w:szCs w:val="28"/>
        </w:rPr>
        <w:t xml:space="preserve"> Pēc krīzes kopš 2010.gada eksporta apjoms uz vienu strādājošo ir ievērojami pieaudzis.</w:t>
      </w:r>
    </w:p>
    <w:p w:rsidR="0021616C" w:rsidP="0021616C">
      <w:pPr>
        <w:spacing w:after="0" w:line="240" w:lineRule="auto"/>
        <w:jc w:val="both"/>
        <w:rPr>
          <w:rFonts w:ascii="Candara" w:hAnsi="Candara"/>
          <w:color w:val="000000"/>
          <w:szCs w:val="28"/>
        </w:rPr>
      </w:pPr>
      <w:r>
        <w:rPr>
          <w:rFonts w:ascii="Candara" w:hAnsi="Candara"/>
          <w:b/>
          <w:color w:val="000000"/>
          <w:szCs w:val="28"/>
          <w:u w:val="single"/>
        </w:rPr>
        <w:t>Eksports uz 1 strādājošo ES 28 valstīs, tūkst. EUR.</w:t>
      </w:r>
      <w:r>
        <w:rPr>
          <w:rFonts w:ascii="Candara" w:hAnsi="Candara"/>
          <w:color w:val="000000"/>
          <w:szCs w:val="28"/>
        </w:rPr>
        <w:t xml:space="preserve"> Latvijā eksports apjoms uz vienu strādājošo papīra ražošanas un poligrāfijas nozarē bija līdzīgs kā Lietuvā, bet zemāks nekā Igaunijā un ES vidēji.</w:t>
      </w:r>
    </w:p>
    <w:p w:rsidR="0021616C" w:rsidP="0021616C">
      <w:pPr>
        <w:spacing w:after="0" w:line="240" w:lineRule="auto"/>
        <w:jc w:val="both"/>
        <w:rPr>
          <w:rFonts w:ascii="Candara" w:hAnsi="Candara"/>
          <w:b/>
          <w:color w:val="000000"/>
          <w:szCs w:val="28"/>
          <w:u w:val="single"/>
        </w:rPr>
      </w:pPr>
      <w:r>
        <w:rPr>
          <w:rFonts w:ascii="Candara" w:hAnsi="Candara"/>
          <w:b/>
          <w:color w:val="000000"/>
          <w:szCs w:val="28"/>
          <w:u w:val="single"/>
        </w:rPr>
        <w:t>Eksporta tirgi.</w:t>
      </w:r>
      <w:r>
        <w:rPr>
          <w:rFonts w:ascii="Candara" w:hAnsi="Candara"/>
          <w:color w:val="000000"/>
          <w:szCs w:val="28"/>
        </w:rPr>
        <w:t xml:space="preserve"> Lielākie eksporta tirgi nozarē ir Lietuva, Igaunija, Zviedrija, Norvēģija, Krievija un Dānija.</w:t>
      </w:r>
    </w:p>
    <w:p w:rsidR="0021616C" w:rsidP="0021616C">
      <w:pPr>
        <w:spacing w:after="0" w:line="240" w:lineRule="auto"/>
        <w:jc w:val="both"/>
        <w:rPr>
          <w:rFonts w:ascii="Candara" w:hAnsi="Candara"/>
          <w:b/>
          <w:color w:val="000000"/>
          <w:szCs w:val="28"/>
          <w:u w:val="single"/>
        </w:rPr>
      </w:pPr>
      <w:r>
        <w:rPr>
          <w:rFonts w:ascii="Candara" w:hAnsi="Candara"/>
          <w:b/>
          <w:color w:val="000000"/>
          <w:szCs w:val="28"/>
          <w:u w:val="single"/>
        </w:rPr>
        <w:t>Eksporta struktūra.</w:t>
      </w:r>
      <w:r>
        <w:rPr>
          <w:rFonts w:ascii="Candara" w:hAnsi="Candara"/>
          <w:color w:val="000000"/>
          <w:szCs w:val="28"/>
        </w:rPr>
        <w:t xml:space="preserve"> Latvijā kopš 2005.gada ir samazinājies papīra un kartona un to izstrādājumu īpatsvars eksporta struktūrā, bet pieaudzis poligrāfijas rūpniecības izstrādājumu īpatsvars. ES valstīs vidēji nozares eksporta struktūra desmit gadu laikā nav būtiski mainījusies.</w:t>
      </w:r>
    </w:p>
    <w:p w:rsidR="0021616C" w:rsidP="0021616C">
      <w:pPr>
        <w:spacing w:after="0" w:line="240" w:lineRule="auto"/>
        <w:jc w:val="both"/>
        <w:rPr>
          <w:rFonts w:ascii="Candara" w:hAnsi="Candara"/>
          <w:b/>
          <w:color w:val="000000"/>
          <w:szCs w:val="28"/>
          <w:u w:val="single"/>
        </w:rPr>
      </w:pPr>
      <w:r>
        <w:rPr>
          <w:rFonts w:ascii="Candara" w:hAnsi="Candara"/>
          <w:b/>
          <w:color w:val="000000"/>
          <w:szCs w:val="28"/>
          <w:u w:val="single"/>
        </w:rPr>
        <w:t>Darbaspēka izmaksu dinamika, tūkst.</w:t>
      </w:r>
      <w:r>
        <w:rPr>
          <w:rFonts w:ascii="Candara" w:hAnsi="Candara"/>
          <w:color w:val="000000"/>
          <w:szCs w:val="28"/>
        </w:rPr>
        <w:t xml:space="preserve"> Atsākoties ekonomikas izaugsmei, kopš 2011.gada darba samaksas pieaugums nozarē kļūst arvien straujāks, 2012.gadā darbaspēka izmaksām sasniedzot jau pirmskrīzes perioda līmeni. Nākamajos gados izmaksas turpina pieaugt.</w:t>
      </w:r>
    </w:p>
    <w:p w:rsidR="0021616C" w:rsidP="0021616C">
      <w:pPr>
        <w:spacing w:after="0" w:line="240" w:lineRule="auto"/>
        <w:jc w:val="both"/>
        <w:rPr>
          <w:rFonts w:ascii="Candara" w:hAnsi="Candara"/>
          <w:color w:val="000000"/>
          <w:szCs w:val="28"/>
        </w:rPr>
      </w:pPr>
      <w:r>
        <w:rPr>
          <w:rFonts w:ascii="Candara" w:hAnsi="Candara"/>
          <w:b/>
          <w:color w:val="000000"/>
          <w:szCs w:val="28"/>
          <w:u w:val="single"/>
        </w:rPr>
        <w:t>Produktivitātes dinamika, tūkst.</w:t>
      </w:r>
      <w:r>
        <w:rPr>
          <w:rFonts w:ascii="Candara" w:hAnsi="Candara"/>
          <w:color w:val="000000"/>
          <w:szCs w:val="28"/>
        </w:rPr>
        <w:t xml:space="preserve"> Būtisks ražošanas apjomu samazinājums pirmskrīzes laikā veicināja strauju produktivitātes kritumu 2007.gadā, kas turpinājās arī 2008.-2009.gadā. 2010.gadā produktivitāte pieauga ražošanas apjomu kāpuma un strauja nodarbināto skaita krituma dēļ. Savukārt, 2011.gadā produktivitāte samazinājās strauja ražošanas apjomu krituma dēļ. Pēdējos gados vērojams mērens produktivitātes kāpums.</w:t>
      </w:r>
    </w:p>
    <w:p w:rsidR="0021616C" w:rsidP="0021616C">
      <w:pPr>
        <w:spacing w:after="0" w:line="240" w:lineRule="auto"/>
        <w:jc w:val="both"/>
        <w:rPr>
          <w:rFonts w:ascii="Candara" w:hAnsi="Candara"/>
          <w:b/>
          <w:color w:val="000000"/>
          <w:szCs w:val="28"/>
          <w:u w:val="single"/>
        </w:rPr>
      </w:pPr>
      <w:r>
        <w:rPr>
          <w:rFonts w:ascii="Candara" w:hAnsi="Candara"/>
          <w:b/>
          <w:color w:val="000000"/>
          <w:szCs w:val="28"/>
          <w:u w:val="single"/>
        </w:rPr>
        <w:t>Produktivitāte un darbaspēka izmaksas.</w:t>
      </w:r>
      <w:r>
        <w:rPr>
          <w:rFonts w:ascii="Candara" w:hAnsi="Candara"/>
          <w:color w:val="000000"/>
          <w:szCs w:val="28"/>
        </w:rPr>
        <w:t xml:space="preserve"> Pēdējos gados nozarē darbaspēka izmaksas pieaug straujāk nekā produktivitāte, kas liecina par cenu konkurētspējas (izmaksu) pazemināšanos. Šīs tendences ir līdzīgas pirms krīzes periodā vērojamām. Ekonomikas lejupslīdes jeb krīzes periodā ULC samazinājās, ko noteica būtisks nodarbināto skaita samazinājums, darbaspēka izmaksām samazinoties straujāk un ražošanas apjomiem samazinoties mazāk nekā nodarbināto skaitam. No 2012.gada līdz 2014.gadam darbaspēka izmaksas pieaug, kamēr šajā laikā produktivitāte ir pieaugusi daudz lēnāk. Šādu nozares attīstības modeli var raksturot kā ekstensīvu. </w:t>
      </w:r>
    </w:p>
    <w:p w:rsidR="0021616C" w:rsidP="0021616C">
      <w:pPr>
        <w:spacing w:after="0" w:line="240" w:lineRule="auto"/>
        <w:jc w:val="both"/>
        <w:rPr>
          <w:rFonts w:ascii="Candara" w:hAnsi="Candara"/>
          <w:color w:val="000000"/>
          <w:szCs w:val="28"/>
        </w:rPr>
      </w:pPr>
      <w:r>
        <w:rPr>
          <w:rFonts w:ascii="Candara" w:hAnsi="Candara"/>
          <w:b/>
          <w:color w:val="000000"/>
          <w:szCs w:val="28"/>
          <w:u w:val="single"/>
        </w:rPr>
        <w:t>Darbaspēka izmaksas, ES-28=100.</w:t>
      </w:r>
      <w:r>
        <w:rPr>
          <w:rFonts w:ascii="Candara" w:hAnsi="Candara"/>
          <w:color w:val="000000"/>
          <w:szCs w:val="28"/>
        </w:rPr>
        <w:t xml:space="preserve"> Salīdzinot ar darbaspēka izmaksu vidējo līmeni ES, nozarē tas ir zemāks nekā tautsaimniecībā kopumā, bet pēdējos gados tas pieaug vairāk tuvojoties ES vidējam līmenim.</w:t>
      </w:r>
    </w:p>
    <w:p w:rsidR="0021616C" w:rsidP="0021616C">
      <w:pPr>
        <w:spacing w:after="0" w:line="240" w:lineRule="auto"/>
        <w:jc w:val="both"/>
        <w:rPr>
          <w:rFonts w:ascii="Candara" w:hAnsi="Candara"/>
          <w:color w:val="000000"/>
          <w:szCs w:val="28"/>
        </w:rPr>
      </w:pPr>
      <w:r>
        <w:rPr>
          <w:rFonts w:ascii="Candara" w:hAnsi="Candara"/>
          <w:b/>
          <w:color w:val="000000"/>
          <w:szCs w:val="28"/>
          <w:u w:val="single"/>
        </w:rPr>
        <w:t>Produktivitāte, ES-28=100.</w:t>
      </w:r>
      <w:r>
        <w:rPr>
          <w:rFonts w:ascii="Candara" w:hAnsi="Candara"/>
          <w:color w:val="000000"/>
          <w:szCs w:val="28"/>
        </w:rPr>
        <w:t xml:space="preserve"> Salīdzinot ar vidējo līmeni ES, nozarē produktivitātes līmenis ir zemāks nekā tautsaimniecībā kopumā. Kopš 2012.gada produktivitāte pakāpeniski pieaug, bet joprojām atpaliek no vidējā līmeņa tautsaimniecībā kopumā.</w:t>
      </w:r>
    </w:p>
    <w:p w:rsidR="0021616C" w:rsidP="0021616C">
      <w:pPr>
        <w:spacing w:after="0" w:line="240" w:lineRule="auto"/>
        <w:jc w:val="both"/>
        <w:rPr>
          <w:rFonts w:ascii="Candara" w:hAnsi="Candara"/>
          <w:color w:val="000000"/>
          <w:szCs w:val="28"/>
        </w:rPr>
      </w:pPr>
      <w:r>
        <w:rPr>
          <w:rFonts w:ascii="Candara" w:hAnsi="Candara"/>
          <w:b/>
          <w:color w:val="000000"/>
          <w:szCs w:val="28"/>
          <w:u w:val="single"/>
        </w:rPr>
        <w:t>Darbaspēka izmaksas, salīdzinot ar ES valstīm, 2015.gadā.</w:t>
      </w:r>
      <w:r>
        <w:rPr>
          <w:rFonts w:ascii="Candara" w:hAnsi="Candara"/>
          <w:color w:val="000000"/>
          <w:szCs w:val="28"/>
        </w:rPr>
        <w:t xml:space="preserve"> Latvijā 2015.gadā darbaspēka izmaksas nozarē bija zemākas nekā Lietuvā, bet augstākas nekā Igaunijā. </w:t>
      </w:r>
    </w:p>
    <w:p w:rsidR="0021616C" w:rsidP="0021616C">
      <w:pPr>
        <w:spacing w:after="0" w:line="240" w:lineRule="auto"/>
        <w:jc w:val="both"/>
        <w:rPr>
          <w:rFonts w:ascii="Candara" w:hAnsi="Candara"/>
          <w:color w:val="000000"/>
          <w:szCs w:val="28"/>
        </w:rPr>
      </w:pPr>
      <w:r>
        <w:rPr>
          <w:rFonts w:ascii="Candara" w:hAnsi="Candara"/>
          <w:b/>
          <w:color w:val="000000"/>
          <w:szCs w:val="28"/>
          <w:u w:val="single"/>
        </w:rPr>
        <w:t>Produktivitāte, salīdzinot ar ES valstīm, 2015.gadā.</w:t>
      </w:r>
      <w:r>
        <w:rPr>
          <w:rFonts w:ascii="Candara" w:hAnsi="Candara"/>
          <w:color w:val="000000"/>
          <w:szCs w:val="28"/>
        </w:rPr>
        <w:t xml:space="preserve"> Latvijā 2015.gadā produktivitāte nozarē bija zemāka nekā Lietuvā un Igaunijā. </w:t>
      </w:r>
    </w:p>
    <w:p w:rsidR="00C23A95" w:rsidP="0021616C">
      <w:pPr>
        <w:spacing w:after="0" w:line="240" w:lineRule="auto"/>
        <w:jc w:val="both"/>
        <w:rPr>
          <w:rFonts w:ascii="Candara" w:hAnsi="Candara"/>
          <w:color w:val="000000"/>
          <w:szCs w:val="28"/>
        </w:rPr>
      </w:pPr>
      <w:r>
        <w:rPr>
          <w:rFonts w:ascii="Candara" w:hAnsi="Candara"/>
          <w:b/>
          <w:color w:val="000000"/>
          <w:szCs w:val="28"/>
          <w:u w:val="single"/>
        </w:rPr>
        <w:t>Produktivitāte un darbaspēka izmaksas ES-28 valstīs 2010.gadā un 2015.gadā.</w:t>
      </w:r>
      <w:r>
        <w:rPr>
          <w:rFonts w:ascii="Candara" w:hAnsi="Candara"/>
          <w:color w:val="000000"/>
          <w:szCs w:val="28"/>
        </w:rPr>
        <w:t xml:space="preserve"> Darbaspēka izmaksas uz 1 produkcijas vienību (ULC) nozarē Latvijā 2010.gadā bija viens no zemākajiem rādītājiem starp ES valstīm, zemāks tas bija 6 valstīs (ieskaitot Lietuvu un Igauniju), bet 2014.gadā ULC Latvijā bija augstāks par vidējo rādītāju ES. Jāatzīmē, ka 2014.gadā ULC Lietuvā praktiski saglabājās tāds pats, bet Igaunijā zemāks kā 2010.gadā. Latvijā 2014.gadā, salīdzinot ar 2010.gadu, ULC ir pieaudzis par 40%, ko noteica darbaspēka izmaksu kāpums par 39% un nodarbināto skaita kāpums par 11%, kas liecina, ka nozarē lēta darbaspēka konkurētspējas priekšrocības samazinās.</w:t>
      </w:r>
      <w:r>
        <w:rPr>
          <w:rFonts w:ascii="Candara" w:hAnsi="Candara"/>
          <w:color w:val="000000"/>
          <w:szCs w:val="28"/>
        </w:rPr>
        <w:br w:type="page"/>
      </w:r>
    </w:p>
    <w:p w:rsidR="00C23A95" w:rsidRPr="009F39B5" w:rsidP="00C23A95">
      <w:pPr>
        <w:pStyle w:val="Heading1"/>
        <w:jc w:val="center"/>
        <w:rPr>
          <w:b/>
          <w:sz w:val="20"/>
        </w:rPr>
      </w:pPr>
      <w:bookmarkStart w:id="30" w:name="_Toc482792406"/>
      <w:bookmarkStart w:id="31" w:name="_Hlk504751960"/>
      <w:bookmarkStart w:id="32" w:name="_Toc256000008"/>
      <w:bookmarkStart w:id="33" w:name="_Toc256000034"/>
      <w:r w:rsidRPr="009F39B5">
        <w:rPr>
          <w:b/>
          <w:sz w:val="20"/>
        </w:rPr>
        <w:t>C19-22 ĶĪMISKĀ RŪPNIECĪBA UN TĀS SASKARNOZARES</w:t>
      </w:r>
      <w:bookmarkEnd w:id="33"/>
      <w:bookmarkEnd w:id="32"/>
      <w:bookmarkEnd w:id="30"/>
    </w:p>
    <w:tbl>
      <w:tblPr>
        <w:tblW w:w="10488"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3576"/>
        <w:gridCol w:w="1863"/>
        <w:gridCol w:w="1845"/>
        <w:gridCol w:w="3336"/>
      </w:tblGrid>
      <w:tr w:rsidTr="003B0F04">
        <w:tblPrEx>
          <w:tblW w:w="10488"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Ex>
        <w:trPr>
          <w:jc w:val="center"/>
        </w:trPr>
        <w:tc>
          <w:tcPr>
            <w:tcW w:w="3576" w:type="dxa"/>
            <w:shd w:val="clear" w:color="auto" w:fill="D9D9D9" w:themeFill="background1" w:themeFillShade="D9"/>
          </w:tcPr>
          <w:p w:rsidR="00C23A95" w:rsidRPr="0015262A" w:rsidP="00762D1E">
            <w:pPr>
              <w:spacing w:after="0" w:line="240" w:lineRule="auto"/>
              <w:jc w:val="center"/>
              <w:rPr>
                <w:rFonts w:ascii="Candara" w:hAnsi="Candara"/>
                <w:sz w:val="18"/>
                <w:szCs w:val="20"/>
              </w:rPr>
            </w:pPr>
            <w:r w:rsidRPr="0015262A">
              <w:rPr>
                <w:rFonts w:ascii="Candara" w:hAnsi="Candara"/>
                <w:sz w:val="18"/>
                <w:szCs w:val="20"/>
              </w:rPr>
              <w:t>Nozares īpatsvars tautsaimniecībā</w:t>
            </w:r>
            <w:r w:rsidR="00703211">
              <w:rPr>
                <w:rFonts w:ascii="Candara" w:hAnsi="Candara"/>
                <w:sz w:val="18"/>
                <w:szCs w:val="20"/>
              </w:rPr>
              <w:t xml:space="preserve"> (faktiskajās cenās)</w:t>
            </w:r>
            <w:r w:rsidRPr="0015262A">
              <w:rPr>
                <w:rFonts w:ascii="Candara" w:hAnsi="Candara"/>
                <w:sz w:val="18"/>
                <w:szCs w:val="20"/>
              </w:rPr>
              <w:t>, %</w:t>
            </w:r>
          </w:p>
        </w:tc>
        <w:tc>
          <w:tcPr>
            <w:tcW w:w="3576" w:type="dxa"/>
            <w:gridSpan w:val="2"/>
            <w:shd w:val="clear" w:color="auto" w:fill="D9D9D9" w:themeFill="background1" w:themeFillShade="D9"/>
          </w:tcPr>
          <w:p w:rsidR="00C23A95" w:rsidRPr="0015262A" w:rsidP="00762D1E">
            <w:pPr>
              <w:spacing w:after="0" w:line="240" w:lineRule="auto"/>
              <w:jc w:val="center"/>
              <w:rPr>
                <w:rFonts w:ascii="Candara" w:hAnsi="Candara"/>
                <w:sz w:val="18"/>
                <w:szCs w:val="20"/>
              </w:rPr>
            </w:pPr>
            <w:r w:rsidRPr="0015262A">
              <w:rPr>
                <w:rFonts w:ascii="Candara" w:hAnsi="Candara"/>
                <w:sz w:val="18"/>
                <w:szCs w:val="20"/>
              </w:rPr>
              <w:t>Pievienotās vērtības un darba vietu skaita izmaiņas</w:t>
            </w:r>
            <w:r w:rsidR="007E4C0E">
              <w:rPr>
                <w:rFonts w:ascii="Candara" w:hAnsi="Candara"/>
                <w:sz w:val="18"/>
                <w:szCs w:val="20"/>
              </w:rPr>
              <w:t xml:space="preserve"> (2005=100)</w:t>
            </w:r>
          </w:p>
        </w:tc>
        <w:tc>
          <w:tcPr>
            <w:tcW w:w="3336" w:type="dxa"/>
            <w:shd w:val="clear" w:color="auto" w:fill="D9D9D9" w:themeFill="background1" w:themeFillShade="D9"/>
          </w:tcPr>
          <w:p w:rsidR="00C23A95" w:rsidRPr="0015262A" w:rsidP="00762D1E">
            <w:pPr>
              <w:spacing w:after="0" w:line="240" w:lineRule="auto"/>
              <w:jc w:val="center"/>
              <w:rPr>
                <w:rFonts w:ascii="Candara" w:hAnsi="Candara"/>
                <w:sz w:val="18"/>
                <w:szCs w:val="20"/>
              </w:rPr>
            </w:pPr>
            <w:r w:rsidRPr="0015262A">
              <w:rPr>
                <w:rFonts w:ascii="Candara" w:hAnsi="Candara"/>
                <w:sz w:val="18"/>
                <w:szCs w:val="20"/>
              </w:rPr>
              <w:t>Produkcijas eksports</w:t>
            </w:r>
            <w:r w:rsidR="00F86EC0">
              <w:rPr>
                <w:rFonts w:ascii="Candara" w:hAnsi="Candara"/>
                <w:sz w:val="18"/>
                <w:szCs w:val="20"/>
              </w:rPr>
              <w:t>,</w:t>
            </w:r>
            <w:r w:rsidRPr="0015262A">
              <w:rPr>
                <w:rFonts w:ascii="Candara" w:hAnsi="Candara"/>
                <w:sz w:val="18"/>
                <w:szCs w:val="20"/>
              </w:rPr>
              <w:t xml:space="preserve"> milj. EUR</w:t>
            </w:r>
            <w:r w:rsidR="00E75013">
              <w:rPr>
                <w:rFonts w:ascii="Candara" w:hAnsi="Candara"/>
                <w:sz w:val="18"/>
                <w:szCs w:val="20"/>
              </w:rPr>
              <w:t>*</w:t>
            </w:r>
          </w:p>
        </w:tc>
      </w:tr>
      <w:tr w:rsidTr="003B0F04">
        <w:tblPrEx>
          <w:tblW w:w="10488" w:type="dxa"/>
          <w:jc w:val="center"/>
          <w:tblLook w:val="04A0"/>
        </w:tblPrEx>
        <w:trPr>
          <w:jc w:val="center"/>
        </w:trPr>
        <w:tc>
          <w:tcPr>
            <w:tcW w:w="3576" w:type="dxa"/>
          </w:tcPr>
          <w:p w:rsidR="00C23A95" w:rsidRPr="0015262A" w:rsidP="00762D1E">
            <w:pPr>
              <w:spacing w:after="0" w:line="240" w:lineRule="auto"/>
              <w:rPr>
                <w:rFonts w:ascii="Candara" w:hAnsi="Candara"/>
              </w:rPr>
            </w:pPr>
            <w:r w:rsidRPr="0015262A">
              <w:rPr>
                <w:rFonts w:ascii="Candara" w:hAnsi="Candara"/>
                <w:noProof/>
                <w:sz w:val="18"/>
                <w:szCs w:val="18"/>
                <w:lang w:eastAsia="lv-LV"/>
              </w:rPr>
              <w:drawing>
                <wp:inline distT="0" distB="0" distL="0" distR="0">
                  <wp:extent cx="2133600" cy="1003300"/>
                  <wp:effectExtent l="0" t="0" r="0" b="0"/>
                  <wp:docPr id="312"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tc>
        <w:tc>
          <w:tcPr>
            <w:tcW w:w="3576" w:type="dxa"/>
            <w:gridSpan w:val="2"/>
          </w:tcPr>
          <w:p w:rsidR="00C23A95" w:rsidRPr="0015262A" w:rsidP="00762D1E">
            <w:pPr>
              <w:spacing w:after="0" w:line="240" w:lineRule="auto"/>
              <w:rPr>
                <w:rFonts w:ascii="Candara" w:hAnsi="Candara"/>
              </w:rPr>
            </w:pPr>
            <w:r w:rsidRPr="0015262A">
              <w:rPr>
                <w:rFonts w:ascii="Candara" w:eastAsia="Times New Roman" w:hAnsi="Candara"/>
                <w:noProof/>
                <w:sz w:val="18"/>
                <w:szCs w:val="18"/>
                <w:lang w:eastAsia="lv-LV"/>
              </w:rPr>
              <w:drawing>
                <wp:inline distT="0" distB="0" distL="0" distR="0">
                  <wp:extent cx="2179826" cy="1060450"/>
                  <wp:effectExtent l="0" t="0" r="0" b="0"/>
                  <wp:docPr id="313" name="Chart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tc>
        <w:tc>
          <w:tcPr>
            <w:tcW w:w="3336" w:type="dxa"/>
          </w:tcPr>
          <w:p w:rsidR="00C23A95" w:rsidP="00762D1E">
            <w:pPr>
              <w:spacing w:after="0" w:line="240" w:lineRule="auto"/>
              <w:rPr>
                <w:rFonts w:ascii="Candara" w:hAnsi="Candara"/>
              </w:rPr>
            </w:pPr>
            <w:r>
              <w:rPr>
                <w:noProof/>
                <w:lang w:eastAsia="lv-LV"/>
              </w:rPr>
              <w:drawing>
                <wp:inline distT="0" distB="0" distL="0" distR="0">
                  <wp:extent cx="1981200" cy="929640"/>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E75013" w:rsidRPr="0015262A" w:rsidP="00762D1E">
            <w:pPr>
              <w:spacing w:after="0" w:line="240" w:lineRule="auto"/>
              <w:rPr>
                <w:rFonts w:ascii="Candara" w:hAnsi="Candara"/>
              </w:rPr>
            </w:pPr>
            <w:r w:rsidRPr="00E75013">
              <w:rPr>
                <w:rFonts w:ascii="Candara" w:hAnsi="Candara"/>
                <w:sz w:val="14"/>
                <w:szCs w:val="14"/>
              </w:rPr>
              <w:t>* EM novērtējums pēc KN produktu klasifikācijas</w:t>
            </w:r>
          </w:p>
        </w:tc>
      </w:tr>
      <w:tr w:rsidTr="003B0F04">
        <w:tblPrEx>
          <w:tblW w:w="10488" w:type="dxa"/>
          <w:jc w:val="center"/>
          <w:tblLook w:val="04A0"/>
        </w:tblPrEx>
        <w:trPr>
          <w:jc w:val="center"/>
        </w:trPr>
        <w:tc>
          <w:tcPr>
            <w:tcW w:w="3576" w:type="dxa"/>
            <w:shd w:val="clear" w:color="auto" w:fill="D9D9D9" w:themeFill="background1" w:themeFillShade="D9"/>
          </w:tcPr>
          <w:p w:rsidR="00C23A95" w:rsidRPr="0015262A" w:rsidP="00762D1E">
            <w:pPr>
              <w:spacing w:after="0" w:line="240" w:lineRule="auto"/>
              <w:jc w:val="center"/>
              <w:rPr>
                <w:rFonts w:ascii="Candara" w:hAnsi="Candara"/>
                <w:sz w:val="18"/>
              </w:rPr>
            </w:pPr>
            <w:r w:rsidRPr="0015262A">
              <w:rPr>
                <w:rFonts w:ascii="Candara" w:hAnsi="Candara"/>
                <w:sz w:val="18"/>
                <w:szCs w:val="20"/>
              </w:rPr>
              <w:t>Eksports uz 1 strādājošo, tūkst. EUR</w:t>
            </w:r>
          </w:p>
        </w:tc>
        <w:tc>
          <w:tcPr>
            <w:tcW w:w="6912" w:type="dxa"/>
            <w:gridSpan w:val="3"/>
            <w:shd w:val="clear" w:color="auto" w:fill="D9D9D9" w:themeFill="background1" w:themeFillShade="D9"/>
          </w:tcPr>
          <w:p w:rsidR="00C23A95" w:rsidRPr="0015262A" w:rsidP="00762D1E">
            <w:pPr>
              <w:spacing w:after="0" w:line="240" w:lineRule="auto"/>
              <w:jc w:val="center"/>
              <w:rPr>
                <w:rFonts w:ascii="Candara" w:hAnsi="Candara"/>
                <w:sz w:val="18"/>
              </w:rPr>
            </w:pPr>
            <w:r w:rsidRPr="0015262A">
              <w:rPr>
                <w:rFonts w:ascii="Candara" w:hAnsi="Candara"/>
                <w:sz w:val="18"/>
                <w:szCs w:val="20"/>
              </w:rPr>
              <w:t>Eksports uz 1 strādājošo ES</w:t>
            </w:r>
            <w:r w:rsidR="008F4DF5">
              <w:rPr>
                <w:rFonts w:ascii="Candara" w:hAnsi="Candara"/>
                <w:sz w:val="18"/>
                <w:szCs w:val="20"/>
              </w:rPr>
              <w:t>-</w:t>
            </w:r>
            <w:r w:rsidRPr="0015262A">
              <w:rPr>
                <w:rFonts w:ascii="Candara" w:hAnsi="Candara"/>
                <w:sz w:val="18"/>
                <w:szCs w:val="20"/>
              </w:rPr>
              <w:t>28 valstīs, tūkst. EUR</w:t>
            </w:r>
          </w:p>
        </w:tc>
      </w:tr>
      <w:tr w:rsidTr="003B0F04">
        <w:tblPrEx>
          <w:tblW w:w="10488" w:type="dxa"/>
          <w:jc w:val="center"/>
          <w:tblLook w:val="04A0"/>
        </w:tblPrEx>
        <w:trPr>
          <w:jc w:val="center"/>
        </w:trPr>
        <w:tc>
          <w:tcPr>
            <w:tcW w:w="3576" w:type="dxa"/>
          </w:tcPr>
          <w:p w:rsidR="00C23A95" w:rsidRPr="0015262A" w:rsidP="00762D1E">
            <w:pPr>
              <w:spacing w:after="0" w:line="240" w:lineRule="auto"/>
              <w:jc w:val="center"/>
              <w:rPr>
                <w:rFonts w:ascii="Candara" w:hAnsi="Candara"/>
              </w:rPr>
            </w:pPr>
            <w:r>
              <w:rPr>
                <w:noProof/>
                <w:lang w:eastAsia="lv-LV"/>
              </w:rPr>
              <w:drawing>
                <wp:inline distT="0" distB="0" distL="0" distR="0">
                  <wp:extent cx="2133600" cy="1171575"/>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tc>
        <w:tc>
          <w:tcPr>
            <w:tcW w:w="6912" w:type="dxa"/>
            <w:gridSpan w:val="3"/>
          </w:tcPr>
          <w:p w:rsidR="00C23A95" w:rsidRPr="0015262A" w:rsidP="00762D1E">
            <w:pPr>
              <w:spacing w:after="0" w:line="240" w:lineRule="auto"/>
              <w:jc w:val="center"/>
              <w:rPr>
                <w:rFonts w:ascii="Candara" w:hAnsi="Candara"/>
              </w:rPr>
            </w:pPr>
            <w:r>
              <w:rPr>
                <w:noProof/>
                <w:lang w:eastAsia="lv-LV"/>
              </w:rPr>
              <w:drawing>
                <wp:inline distT="0" distB="0" distL="0" distR="0">
                  <wp:extent cx="4114800" cy="1171575"/>
                  <wp:effectExtent l="0" t="0" r="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tc>
      </w:tr>
      <w:tr w:rsidTr="003B0F04">
        <w:tblPrEx>
          <w:tblW w:w="10488" w:type="dxa"/>
          <w:jc w:val="center"/>
          <w:tblLook w:val="04A0"/>
        </w:tblPrEx>
        <w:trPr>
          <w:jc w:val="center"/>
        </w:trPr>
        <w:tc>
          <w:tcPr>
            <w:tcW w:w="3576" w:type="dxa"/>
            <w:shd w:val="clear" w:color="auto" w:fill="D9D9D9" w:themeFill="background1" w:themeFillShade="D9"/>
          </w:tcPr>
          <w:p w:rsidR="00C23A95" w:rsidRPr="0015262A" w:rsidP="00762D1E">
            <w:pPr>
              <w:spacing w:after="0" w:line="240" w:lineRule="auto"/>
              <w:jc w:val="center"/>
              <w:rPr>
                <w:rFonts w:ascii="Candara" w:hAnsi="Candara"/>
                <w:sz w:val="18"/>
                <w:szCs w:val="20"/>
              </w:rPr>
            </w:pPr>
            <w:r w:rsidRPr="0015262A">
              <w:rPr>
                <w:rFonts w:ascii="Candara" w:hAnsi="Candara"/>
                <w:sz w:val="18"/>
                <w:szCs w:val="20"/>
              </w:rPr>
              <w:t>Eksporta tirgi</w:t>
            </w:r>
            <w:r w:rsidR="00F86EC0">
              <w:rPr>
                <w:rFonts w:ascii="Candara" w:hAnsi="Candara"/>
                <w:sz w:val="18"/>
                <w:szCs w:val="20"/>
              </w:rPr>
              <w:t>, 201</w:t>
            </w:r>
            <w:r w:rsidR="00187BA0">
              <w:rPr>
                <w:rFonts w:ascii="Candara" w:hAnsi="Candara"/>
                <w:sz w:val="18"/>
                <w:szCs w:val="20"/>
              </w:rPr>
              <w:t>6</w:t>
            </w:r>
            <w:r w:rsidR="00F86EC0">
              <w:rPr>
                <w:rFonts w:ascii="Candara" w:hAnsi="Candara"/>
                <w:sz w:val="18"/>
                <w:szCs w:val="20"/>
              </w:rPr>
              <w:t>.g.</w:t>
            </w:r>
          </w:p>
        </w:tc>
        <w:tc>
          <w:tcPr>
            <w:tcW w:w="6912" w:type="dxa"/>
            <w:gridSpan w:val="3"/>
            <w:shd w:val="clear" w:color="auto" w:fill="D9D9D9" w:themeFill="background1" w:themeFillShade="D9"/>
          </w:tcPr>
          <w:p w:rsidR="00C23A95" w:rsidRPr="0015262A" w:rsidP="00762D1E">
            <w:pPr>
              <w:spacing w:after="0" w:line="240" w:lineRule="auto"/>
              <w:jc w:val="center"/>
              <w:rPr>
                <w:rFonts w:ascii="Candara" w:hAnsi="Candara"/>
                <w:sz w:val="18"/>
              </w:rPr>
            </w:pPr>
            <w:r w:rsidRPr="0015262A">
              <w:rPr>
                <w:rFonts w:ascii="Candara" w:hAnsi="Candara"/>
                <w:sz w:val="18"/>
                <w:szCs w:val="20"/>
              </w:rPr>
              <w:t>Eksporta struktūra</w:t>
            </w:r>
          </w:p>
        </w:tc>
      </w:tr>
      <w:tr w:rsidTr="003B0F04">
        <w:tblPrEx>
          <w:tblW w:w="10488" w:type="dxa"/>
          <w:jc w:val="center"/>
          <w:tblLook w:val="04A0"/>
        </w:tblPrEx>
        <w:trPr>
          <w:jc w:val="center"/>
        </w:trPr>
        <w:tc>
          <w:tcPr>
            <w:tcW w:w="3576" w:type="dxa"/>
          </w:tcPr>
          <w:p w:rsidR="00C23A95" w:rsidRPr="00B612F1" w:rsidP="00762D1E">
            <w:pPr>
              <w:spacing w:after="0" w:line="240" w:lineRule="auto"/>
              <w:jc w:val="center"/>
              <w:rPr>
                <w:rFonts w:ascii="Candara" w:hAnsi="Candara"/>
                <w:b/>
                <w:szCs w:val="28"/>
              </w:rPr>
            </w:pPr>
            <w:r w:rsidRPr="004F3DC7">
              <w:rPr>
                <w:noProof/>
                <w:sz w:val="18"/>
                <w:szCs w:val="18"/>
                <w:lang w:eastAsia="lv-LV"/>
              </w:rPr>
              <w:drawing>
                <wp:inline distT="0" distB="0" distL="0" distR="0">
                  <wp:extent cx="1657350" cy="1368000"/>
                  <wp:effectExtent l="0" t="0" r="0" b="3810"/>
                  <wp:docPr id="31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tc>
        <w:tc>
          <w:tcPr>
            <w:tcW w:w="6912" w:type="dxa"/>
            <w:gridSpan w:val="3"/>
          </w:tcPr>
          <w:p w:rsidR="00C23A95" w:rsidRPr="004B5C57" w:rsidP="00762D1E">
            <w:pPr>
              <w:tabs>
                <w:tab w:val="left" w:pos="8080"/>
              </w:tabs>
              <w:spacing w:after="0" w:line="240" w:lineRule="auto"/>
              <w:ind w:right="-31"/>
              <w:jc w:val="center"/>
              <w:rPr>
                <w:sz w:val="18"/>
              </w:rPr>
            </w:pPr>
            <w:r w:rsidRPr="004B5C57">
              <w:rPr>
                <w:sz w:val="18"/>
              </w:rPr>
              <w:t xml:space="preserve">Latvija </w:t>
            </w:r>
            <w:r>
              <w:rPr>
                <w:sz w:val="18"/>
              </w:rPr>
              <w:t xml:space="preserve">                                                                                      </w:t>
            </w:r>
            <w:r w:rsidRPr="004B5C57">
              <w:rPr>
                <w:sz w:val="18"/>
              </w:rPr>
              <w:t>ES-28</w:t>
            </w:r>
          </w:p>
          <w:p w:rsidR="00C23A95" w:rsidRPr="004B5C57" w:rsidP="00762D1E">
            <w:pPr>
              <w:tabs>
                <w:tab w:val="left" w:pos="8080"/>
              </w:tabs>
              <w:spacing w:after="0" w:line="240" w:lineRule="auto"/>
              <w:ind w:right="-31"/>
            </w:pPr>
            <w:r>
              <w:rPr>
                <w:noProof/>
                <w:lang w:eastAsia="lv-LV"/>
              </w:rPr>
              <w:drawing>
                <wp:inline distT="0" distB="0" distL="0" distR="0">
                  <wp:extent cx="2617393" cy="1242725"/>
                  <wp:effectExtent l="0" t="0" r="0" b="0"/>
                  <wp:docPr id="318" name="Chart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r>
              <w:rPr>
                <w:noProof/>
                <w:lang w:eastAsia="lv-LV"/>
              </w:rPr>
              <w:drawing>
                <wp:inline distT="0" distB="0" distL="0" distR="0">
                  <wp:extent cx="1356258" cy="1242725"/>
                  <wp:effectExtent l="0" t="0" r="0" b="0"/>
                  <wp:docPr id="319" name="Chart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tc>
      </w:tr>
      <w:tr w:rsidTr="003B0F04">
        <w:tblPrEx>
          <w:tblW w:w="10488" w:type="dxa"/>
          <w:jc w:val="center"/>
          <w:tblLook w:val="04A0"/>
        </w:tblPrEx>
        <w:trPr>
          <w:jc w:val="center"/>
        </w:trPr>
        <w:tc>
          <w:tcPr>
            <w:tcW w:w="3576" w:type="dxa"/>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Darbaspēka izmaksu dinamika</w:t>
            </w:r>
            <w:r>
              <w:rPr>
                <w:rFonts w:ascii="Candara" w:hAnsi="Candara"/>
                <w:sz w:val="18"/>
                <w:szCs w:val="20"/>
              </w:rPr>
              <w:t>, tūkst. EUR</w:t>
            </w:r>
          </w:p>
        </w:tc>
        <w:tc>
          <w:tcPr>
            <w:tcW w:w="3576" w:type="dxa"/>
            <w:gridSpan w:val="2"/>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Produktivitātes dinamika</w:t>
            </w:r>
            <w:r>
              <w:rPr>
                <w:rFonts w:ascii="Candara" w:hAnsi="Candara"/>
                <w:sz w:val="18"/>
                <w:szCs w:val="20"/>
              </w:rPr>
              <w:t>, tūkst. EUR</w:t>
            </w:r>
          </w:p>
        </w:tc>
        <w:tc>
          <w:tcPr>
            <w:tcW w:w="3336" w:type="dxa"/>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Produktivitāte un darbaspēka izmaksas</w:t>
            </w:r>
          </w:p>
        </w:tc>
      </w:tr>
      <w:tr w:rsidTr="003B0F04">
        <w:tblPrEx>
          <w:tblW w:w="10488" w:type="dxa"/>
          <w:jc w:val="center"/>
          <w:tblLook w:val="04A0"/>
        </w:tblPrEx>
        <w:trPr>
          <w:jc w:val="center"/>
        </w:trPr>
        <w:tc>
          <w:tcPr>
            <w:tcW w:w="3576" w:type="dxa"/>
          </w:tcPr>
          <w:p w:rsidR="00C23A95" w:rsidP="00762D1E">
            <w:pPr>
              <w:spacing w:after="0" w:line="240" w:lineRule="auto"/>
              <w:jc w:val="center"/>
              <w:rPr>
                <w:rFonts w:ascii="Candara" w:hAnsi="Candara"/>
              </w:rPr>
            </w:pPr>
            <w:r w:rsidRPr="00B612F1">
              <w:rPr>
                <w:rFonts w:ascii="Candara" w:hAnsi="Candara"/>
                <w:noProof/>
                <w:sz w:val="18"/>
                <w:szCs w:val="18"/>
                <w:lang w:eastAsia="lv-LV"/>
              </w:rPr>
              <w:drawing>
                <wp:inline distT="0" distB="0" distL="0" distR="0">
                  <wp:extent cx="2133600" cy="1054100"/>
                  <wp:effectExtent l="0" t="0" r="0" b="0"/>
                  <wp:docPr id="320"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tc>
        <w:tc>
          <w:tcPr>
            <w:tcW w:w="3576" w:type="dxa"/>
            <w:gridSpan w:val="2"/>
          </w:tcPr>
          <w:p w:rsidR="00C23A95" w:rsidP="00762D1E">
            <w:pPr>
              <w:spacing w:after="0" w:line="240" w:lineRule="auto"/>
              <w:jc w:val="center"/>
              <w:rPr>
                <w:rFonts w:ascii="Candara" w:hAnsi="Candara"/>
              </w:rPr>
            </w:pPr>
            <w:r w:rsidRPr="00B612F1">
              <w:rPr>
                <w:rFonts w:ascii="Candara" w:hAnsi="Candara"/>
                <w:noProof/>
                <w:sz w:val="18"/>
                <w:szCs w:val="18"/>
                <w:lang w:eastAsia="lv-LV"/>
              </w:rPr>
              <w:drawing>
                <wp:inline distT="0" distB="0" distL="0" distR="0">
                  <wp:extent cx="2133600" cy="1041400"/>
                  <wp:effectExtent l="0" t="0" r="0" b="6350"/>
                  <wp:docPr id="321"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tc>
        <w:tc>
          <w:tcPr>
            <w:tcW w:w="3336" w:type="dxa"/>
            <w:vMerge w:val="restart"/>
          </w:tcPr>
          <w:p w:rsidR="00C23A95" w:rsidP="00762D1E">
            <w:pPr>
              <w:spacing w:after="0" w:line="240" w:lineRule="auto"/>
              <w:jc w:val="center"/>
              <w:rPr>
                <w:rFonts w:ascii="Candara" w:hAnsi="Candara"/>
              </w:rPr>
            </w:pPr>
            <w:r w:rsidRPr="00B612F1">
              <w:rPr>
                <w:rFonts w:ascii="Candara" w:eastAsia="Times New Roman" w:hAnsi="Candara"/>
                <w:noProof/>
                <w:sz w:val="18"/>
                <w:szCs w:val="18"/>
                <w:lang w:eastAsia="lv-LV"/>
              </w:rPr>
              <w:drawing>
                <wp:inline distT="0" distB="0" distL="0" distR="0">
                  <wp:extent cx="1847850" cy="2228850"/>
                  <wp:effectExtent l="0" t="0" r="0" b="0"/>
                  <wp:docPr id="322" name="Chart 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tc>
      </w:tr>
      <w:tr w:rsidTr="003B0F04">
        <w:tblPrEx>
          <w:tblW w:w="10488" w:type="dxa"/>
          <w:jc w:val="center"/>
          <w:tblLook w:val="04A0"/>
        </w:tblPrEx>
        <w:trPr>
          <w:jc w:val="center"/>
        </w:trPr>
        <w:tc>
          <w:tcPr>
            <w:tcW w:w="3576" w:type="dxa"/>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Darbaspēka izmaksas, ES-28=100</w:t>
            </w:r>
          </w:p>
        </w:tc>
        <w:tc>
          <w:tcPr>
            <w:tcW w:w="3576" w:type="dxa"/>
            <w:gridSpan w:val="2"/>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Produktivitāte, ES-28=100</w:t>
            </w:r>
          </w:p>
        </w:tc>
        <w:tc>
          <w:tcPr>
            <w:tcW w:w="3336" w:type="dxa"/>
            <w:vMerge/>
            <w:shd w:val="clear" w:color="auto" w:fill="D9D9D9" w:themeFill="background1" w:themeFillShade="D9"/>
          </w:tcPr>
          <w:p w:rsidR="00C23A95" w:rsidRPr="00483382" w:rsidP="003A2C2A">
            <w:pPr>
              <w:jc w:val="center"/>
              <w:rPr>
                <w:rFonts w:ascii="Candara" w:hAnsi="Candara"/>
                <w:sz w:val="18"/>
              </w:rPr>
            </w:pPr>
          </w:p>
        </w:tc>
      </w:tr>
      <w:tr w:rsidTr="003B0F04">
        <w:tblPrEx>
          <w:tblW w:w="10488" w:type="dxa"/>
          <w:jc w:val="center"/>
          <w:tblLook w:val="04A0"/>
        </w:tblPrEx>
        <w:trPr>
          <w:jc w:val="center"/>
        </w:trPr>
        <w:tc>
          <w:tcPr>
            <w:tcW w:w="3576" w:type="dxa"/>
          </w:tcPr>
          <w:p w:rsidR="00C23A95" w:rsidP="00762D1E">
            <w:pPr>
              <w:spacing w:after="0" w:line="240" w:lineRule="auto"/>
              <w:jc w:val="center"/>
              <w:rPr>
                <w:rFonts w:ascii="Candara" w:hAnsi="Candara"/>
              </w:rPr>
            </w:pPr>
            <w:r w:rsidRPr="00B41842">
              <w:rPr>
                <w:rFonts w:ascii="Arial Narrow" w:hAnsi="Arial Narrow"/>
                <w:noProof/>
                <w:lang w:eastAsia="lv-LV"/>
              </w:rPr>
              <w:drawing>
                <wp:inline distT="0" distB="0" distL="0" distR="0">
                  <wp:extent cx="2124075" cy="1057275"/>
                  <wp:effectExtent l="0" t="0" r="0" b="0"/>
                  <wp:docPr id="32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tc>
        <w:tc>
          <w:tcPr>
            <w:tcW w:w="3576" w:type="dxa"/>
            <w:gridSpan w:val="2"/>
          </w:tcPr>
          <w:p w:rsidR="00C23A95" w:rsidP="00762D1E">
            <w:pPr>
              <w:spacing w:after="0" w:line="240" w:lineRule="auto"/>
              <w:jc w:val="center"/>
              <w:rPr>
                <w:rFonts w:ascii="Candara" w:hAnsi="Candara"/>
              </w:rPr>
            </w:pPr>
            <w:r w:rsidRPr="00123E9E">
              <w:rPr>
                <w:rFonts w:ascii="Arial Narrow" w:hAnsi="Arial Narrow"/>
                <w:noProof/>
                <w:lang w:eastAsia="lv-LV"/>
              </w:rPr>
              <w:drawing>
                <wp:inline distT="0" distB="0" distL="0" distR="0">
                  <wp:extent cx="1943100" cy="1057275"/>
                  <wp:effectExtent l="0" t="0" r="0" b="0"/>
                  <wp:docPr id="32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tc>
        <w:tc>
          <w:tcPr>
            <w:tcW w:w="3336" w:type="dxa"/>
            <w:vMerge/>
          </w:tcPr>
          <w:p w:rsidR="00C23A95" w:rsidP="003A2C2A">
            <w:pPr>
              <w:jc w:val="center"/>
              <w:rPr>
                <w:rFonts w:ascii="Candara" w:hAnsi="Candara"/>
              </w:rPr>
            </w:pPr>
          </w:p>
        </w:tc>
      </w:tr>
      <w:tr w:rsidTr="003B0F04">
        <w:tblPrEx>
          <w:tblW w:w="10488" w:type="dxa"/>
          <w:jc w:val="center"/>
          <w:tblLook w:val="04A0"/>
        </w:tblPrEx>
        <w:trPr>
          <w:jc w:val="center"/>
        </w:trPr>
        <w:tc>
          <w:tcPr>
            <w:tcW w:w="5299" w:type="dxa"/>
            <w:gridSpan w:val="2"/>
            <w:shd w:val="clear" w:color="auto" w:fill="D9D9D9" w:themeFill="background1" w:themeFillShade="D9"/>
          </w:tcPr>
          <w:p w:rsidR="00C23A95" w:rsidRPr="00483382" w:rsidP="00762D1E">
            <w:pPr>
              <w:spacing w:after="0" w:line="240" w:lineRule="auto"/>
              <w:jc w:val="center"/>
              <w:rPr>
                <w:rFonts w:ascii="Candara" w:hAnsi="Candara"/>
                <w:sz w:val="18"/>
                <w:szCs w:val="20"/>
              </w:rPr>
            </w:pPr>
            <w:r w:rsidRPr="00483382">
              <w:rPr>
                <w:rFonts w:ascii="Candara" w:hAnsi="Candara"/>
                <w:sz w:val="18"/>
                <w:szCs w:val="20"/>
              </w:rPr>
              <w:t>Darbaspēka izmaksas</w:t>
            </w:r>
            <w:r w:rsidR="00F35BE1">
              <w:rPr>
                <w:rFonts w:ascii="Candara" w:hAnsi="Candara"/>
                <w:sz w:val="18"/>
                <w:szCs w:val="20"/>
              </w:rPr>
              <w:t xml:space="preserve"> uz 1 nodarbināto</w:t>
            </w:r>
            <w:r w:rsidR="005C1E6F">
              <w:rPr>
                <w:rFonts w:ascii="Candara" w:hAnsi="Candara"/>
                <w:sz w:val="18"/>
                <w:szCs w:val="20"/>
              </w:rPr>
              <w:t xml:space="preserve"> 201</w:t>
            </w:r>
            <w:r w:rsidR="00D504D1">
              <w:rPr>
                <w:rFonts w:ascii="Candara" w:hAnsi="Candara"/>
                <w:sz w:val="18"/>
                <w:szCs w:val="20"/>
              </w:rPr>
              <w:t>5</w:t>
            </w:r>
            <w:r w:rsidR="005C1E6F">
              <w:rPr>
                <w:rFonts w:ascii="Candara" w:hAnsi="Candara"/>
                <w:sz w:val="18"/>
                <w:szCs w:val="20"/>
              </w:rPr>
              <w:t>.g.</w:t>
            </w:r>
            <w:r>
              <w:rPr>
                <w:rFonts w:ascii="Candara" w:hAnsi="Candara"/>
                <w:sz w:val="18"/>
                <w:szCs w:val="20"/>
              </w:rPr>
              <w:t>, tūkst. EUR</w:t>
            </w:r>
          </w:p>
        </w:tc>
        <w:tc>
          <w:tcPr>
            <w:tcW w:w="5189" w:type="dxa"/>
            <w:gridSpan w:val="2"/>
            <w:shd w:val="clear" w:color="auto" w:fill="D9D9D9" w:themeFill="background1" w:themeFillShade="D9"/>
          </w:tcPr>
          <w:p w:rsidR="00C23A95" w:rsidRPr="00483382" w:rsidP="00762D1E">
            <w:pPr>
              <w:spacing w:after="0" w:line="240" w:lineRule="auto"/>
              <w:jc w:val="center"/>
              <w:rPr>
                <w:rFonts w:ascii="Candara" w:hAnsi="Candara"/>
                <w:sz w:val="18"/>
                <w:szCs w:val="20"/>
              </w:rPr>
            </w:pPr>
            <w:r w:rsidRPr="00483382">
              <w:rPr>
                <w:rFonts w:ascii="Candara" w:hAnsi="Candara"/>
                <w:sz w:val="18"/>
                <w:szCs w:val="20"/>
              </w:rPr>
              <w:t>Produktivitāte</w:t>
            </w:r>
            <w:r w:rsidR="005C1E6F">
              <w:rPr>
                <w:rFonts w:ascii="Candara" w:hAnsi="Candara"/>
                <w:sz w:val="18"/>
                <w:szCs w:val="20"/>
              </w:rPr>
              <w:t xml:space="preserve"> (PV uz 1 nodarbināto) 201</w:t>
            </w:r>
            <w:r w:rsidR="00D504D1">
              <w:rPr>
                <w:rFonts w:ascii="Candara" w:hAnsi="Candara"/>
                <w:sz w:val="18"/>
                <w:szCs w:val="20"/>
              </w:rPr>
              <w:t>5</w:t>
            </w:r>
            <w:r w:rsidR="005C1E6F">
              <w:rPr>
                <w:rFonts w:ascii="Candara" w:hAnsi="Candara"/>
                <w:sz w:val="18"/>
                <w:szCs w:val="20"/>
              </w:rPr>
              <w:t>.g.</w:t>
            </w:r>
            <w:r>
              <w:rPr>
                <w:rFonts w:ascii="Candara" w:hAnsi="Candara"/>
                <w:sz w:val="18"/>
                <w:szCs w:val="20"/>
              </w:rPr>
              <w:t>, tūkst. EUR</w:t>
            </w:r>
          </w:p>
        </w:tc>
      </w:tr>
      <w:tr w:rsidTr="003B0F04">
        <w:tblPrEx>
          <w:tblW w:w="10488" w:type="dxa"/>
          <w:jc w:val="center"/>
          <w:tblLook w:val="04A0"/>
        </w:tblPrEx>
        <w:trPr>
          <w:jc w:val="center"/>
        </w:trPr>
        <w:tc>
          <w:tcPr>
            <w:tcW w:w="5299" w:type="dxa"/>
            <w:gridSpan w:val="2"/>
          </w:tcPr>
          <w:p w:rsidR="00C23A95" w:rsidP="00762D1E">
            <w:pPr>
              <w:spacing w:after="0" w:line="240" w:lineRule="auto"/>
              <w:jc w:val="center"/>
              <w:rPr>
                <w:rFonts w:ascii="Candara" w:hAnsi="Candara"/>
              </w:rPr>
            </w:pPr>
            <w:r w:rsidRPr="00421CA2">
              <w:rPr>
                <w:noProof/>
                <w:lang w:eastAsia="lv-LV"/>
              </w:rPr>
              <w:drawing>
                <wp:inline distT="0" distB="0" distL="0" distR="0">
                  <wp:extent cx="3152775" cy="1171575"/>
                  <wp:effectExtent l="0" t="0" r="0" b="0"/>
                  <wp:docPr id="325" name="Chart 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tc>
        <w:tc>
          <w:tcPr>
            <w:tcW w:w="5189" w:type="dxa"/>
            <w:gridSpan w:val="2"/>
          </w:tcPr>
          <w:p w:rsidR="00C23A95" w:rsidP="00762D1E">
            <w:pPr>
              <w:spacing w:after="0" w:line="240" w:lineRule="auto"/>
              <w:jc w:val="center"/>
              <w:rPr>
                <w:rFonts w:ascii="Candara" w:hAnsi="Candara"/>
              </w:rPr>
            </w:pPr>
            <w:r w:rsidRPr="00421CA2">
              <w:rPr>
                <w:noProof/>
                <w:lang w:eastAsia="lv-LV"/>
              </w:rPr>
              <w:drawing>
                <wp:inline distT="0" distB="0" distL="0" distR="0">
                  <wp:extent cx="3152775" cy="1171575"/>
                  <wp:effectExtent l="0" t="0" r="0" b="0"/>
                  <wp:docPr id="326" name="Chart 3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tc>
      </w:tr>
      <w:tr w:rsidTr="003B0F04">
        <w:tblPrEx>
          <w:tblW w:w="10488" w:type="dxa"/>
          <w:jc w:val="center"/>
          <w:tblLook w:val="04A0"/>
        </w:tblPrEx>
        <w:trPr>
          <w:jc w:val="center"/>
        </w:trPr>
        <w:tc>
          <w:tcPr>
            <w:tcW w:w="5299" w:type="dxa"/>
            <w:gridSpan w:val="2"/>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Produktivitāte un darbaspēka izmaksas ES-28 valstīs 2010.g</w:t>
            </w:r>
            <w:r w:rsidR="00F86EC0">
              <w:rPr>
                <w:rFonts w:ascii="Candara" w:hAnsi="Candara"/>
                <w:sz w:val="18"/>
                <w:szCs w:val="20"/>
              </w:rPr>
              <w:t>.</w:t>
            </w:r>
          </w:p>
        </w:tc>
        <w:tc>
          <w:tcPr>
            <w:tcW w:w="5189" w:type="dxa"/>
            <w:gridSpan w:val="2"/>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Produktivitāte un darbaspēka izmaksas ES-28 valstīs 201</w:t>
            </w:r>
            <w:r w:rsidR="005D3318">
              <w:rPr>
                <w:rFonts w:ascii="Candara" w:hAnsi="Candara"/>
                <w:sz w:val="18"/>
                <w:szCs w:val="20"/>
              </w:rPr>
              <w:t>5</w:t>
            </w:r>
            <w:r w:rsidRPr="00483382">
              <w:rPr>
                <w:rFonts w:ascii="Candara" w:hAnsi="Candara"/>
                <w:sz w:val="18"/>
                <w:szCs w:val="20"/>
              </w:rPr>
              <w:t>.g</w:t>
            </w:r>
            <w:r w:rsidR="00F86EC0">
              <w:rPr>
                <w:rFonts w:ascii="Candara" w:hAnsi="Candara"/>
                <w:sz w:val="18"/>
                <w:szCs w:val="20"/>
              </w:rPr>
              <w:t>.</w:t>
            </w:r>
          </w:p>
        </w:tc>
      </w:tr>
      <w:tr w:rsidTr="003B0F04">
        <w:tblPrEx>
          <w:tblW w:w="10488" w:type="dxa"/>
          <w:jc w:val="center"/>
          <w:tblLook w:val="04A0"/>
        </w:tblPrEx>
        <w:trPr>
          <w:jc w:val="center"/>
        </w:trPr>
        <w:tc>
          <w:tcPr>
            <w:tcW w:w="5299" w:type="dxa"/>
            <w:gridSpan w:val="2"/>
          </w:tcPr>
          <w:p w:rsidR="00C23A95" w:rsidP="00762D1E">
            <w:pPr>
              <w:spacing w:after="0" w:line="240" w:lineRule="auto"/>
              <w:rPr>
                <w:rFonts w:ascii="Candara" w:hAnsi="Candara"/>
              </w:rPr>
            </w:pPr>
            <w:r w:rsidRPr="00B612F1">
              <w:rPr>
                <w:rFonts w:ascii="Candara" w:eastAsia="Times New Roman" w:hAnsi="Candara"/>
                <w:noProof/>
                <w:sz w:val="18"/>
                <w:szCs w:val="18"/>
                <w:lang w:eastAsia="lv-LV"/>
              </w:rPr>
              <w:drawing>
                <wp:inline distT="0" distB="0" distL="0" distR="0">
                  <wp:extent cx="3057525" cy="1333500"/>
                  <wp:effectExtent l="0" t="0" r="0" b="0"/>
                  <wp:docPr id="327" name="Chart 3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tc>
        <w:tc>
          <w:tcPr>
            <w:tcW w:w="5189" w:type="dxa"/>
            <w:gridSpan w:val="2"/>
          </w:tcPr>
          <w:p w:rsidR="00C23A95" w:rsidP="00762D1E">
            <w:pPr>
              <w:spacing w:after="0" w:line="240" w:lineRule="auto"/>
              <w:rPr>
                <w:rFonts w:ascii="Candara" w:hAnsi="Candara"/>
              </w:rPr>
            </w:pPr>
            <w:r w:rsidRPr="00B612F1">
              <w:rPr>
                <w:rFonts w:ascii="Candara" w:eastAsia="Times New Roman" w:hAnsi="Candara"/>
                <w:noProof/>
                <w:sz w:val="18"/>
                <w:szCs w:val="18"/>
                <w:lang w:eastAsia="lv-LV"/>
              </w:rPr>
              <w:drawing>
                <wp:inline distT="0" distB="0" distL="0" distR="0">
                  <wp:extent cx="3057525" cy="1333500"/>
                  <wp:effectExtent l="0" t="0" r="0" b="0"/>
                  <wp:docPr id="328" name="Chart 3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tc>
      </w:tr>
    </w:tbl>
    <w:p w:rsidR="00C23A95" w:rsidP="00C23A95">
      <w:pPr>
        <w:spacing w:after="0" w:line="240" w:lineRule="auto"/>
        <w:rPr>
          <w:rFonts w:ascii="Candara" w:hAnsi="Candara"/>
          <w:b/>
          <w:color w:val="000000"/>
          <w:szCs w:val="28"/>
        </w:rPr>
      </w:pPr>
    </w:p>
    <w:p w:rsidR="00C84EF7" w:rsidP="00C84EF7">
      <w:pPr>
        <w:spacing w:after="0" w:line="240" w:lineRule="auto"/>
        <w:jc w:val="both"/>
        <w:rPr>
          <w:rFonts w:ascii="Candara" w:hAnsi="Candara"/>
          <w:color w:val="000000"/>
          <w:szCs w:val="28"/>
        </w:rPr>
      </w:pPr>
      <w:bookmarkEnd w:id="31"/>
      <w:r>
        <w:rPr>
          <w:rFonts w:ascii="Candara" w:hAnsi="Candara"/>
          <w:b/>
          <w:color w:val="000000"/>
          <w:szCs w:val="28"/>
          <w:u w:val="single"/>
        </w:rPr>
        <w:t>Nozares īpatsvars tautsaimniecībā, procentos</w:t>
      </w:r>
      <w:r>
        <w:rPr>
          <w:rFonts w:ascii="Candara" w:hAnsi="Candara"/>
          <w:color w:val="000000"/>
          <w:szCs w:val="28"/>
        </w:rPr>
        <w:t>. Nozares īpatsvars kopējā tautsaimniecībā 2005.gadā bija 1%. Krīzes periodā īpatsvars nedaudz samazinājās, bet 2010.-2011.gadā pieauga līdz 1,3%. Pēdējos gados nozares īpatsvars samazinās, 2015.gadā tas bija 1%.</w:t>
      </w:r>
    </w:p>
    <w:p w:rsidR="00C84EF7" w:rsidP="00C84EF7">
      <w:pPr>
        <w:spacing w:after="0" w:line="240" w:lineRule="auto"/>
        <w:jc w:val="both"/>
        <w:rPr>
          <w:rFonts w:ascii="Candara" w:hAnsi="Candara"/>
          <w:color w:val="000000"/>
          <w:szCs w:val="28"/>
        </w:rPr>
      </w:pPr>
      <w:r>
        <w:rPr>
          <w:rFonts w:ascii="Candara" w:hAnsi="Candara"/>
          <w:b/>
          <w:color w:val="000000"/>
          <w:szCs w:val="28"/>
          <w:u w:val="single"/>
        </w:rPr>
        <w:t>Pievienotās vērtības un darba vietu skaita izmaiņas, 2005=100.</w:t>
      </w:r>
      <w:r>
        <w:rPr>
          <w:rFonts w:ascii="Candara" w:hAnsi="Candara"/>
          <w:color w:val="000000"/>
          <w:szCs w:val="28"/>
        </w:rPr>
        <w:t xml:space="preserve"> Krīzes laikā nozarē ražošanas apjomi samazinājās, bet 2010.gadā bija vērojams straujš apjomu kāpums. Pēdējos gados ražošanas apjomi samazinās, nozari negatīvi ietekmē ekonomiskās situācijas pavājināšanās Krievijā, kas ir viens no būtiskiem noieta tirgiem. Salīdzinot ar krīzes zemāko punktu 2009. gadā, nozares izlaides apjomi 2014.gadā bija par 11% augstāki, bet par 17% atpaliek no pirmskrīzes līmeņa.</w:t>
      </w:r>
    </w:p>
    <w:p w:rsidR="00C84EF7" w:rsidP="00C84EF7">
      <w:pPr>
        <w:spacing w:after="0" w:line="240" w:lineRule="auto"/>
        <w:jc w:val="both"/>
        <w:rPr>
          <w:rFonts w:ascii="Candara" w:hAnsi="Candara"/>
          <w:b/>
          <w:color w:val="000000"/>
          <w:szCs w:val="28"/>
          <w:u w:val="single"/>
        </w:rPr>
      </w:pPr>
      <w:r>
        <w:rPr>
          <w:rFonts w:ascii="Candara" w:hAnsi="Candara"/>
          <w:color w:val="000000"/>
          <w:szCs w:val="28"/>
        </w:rPr>
        <w:t>Neraugoties uz grūtībām, nozarē turpina palielināties aizņemto darbavietu skaits. Salīdzinājumā ar ražošanas apjomu kāpumu darbavietu skaits nozarē aug straujāk, kas liecina par produktivitātes kritumu. Darbavietu skaits nozarē pēc krīzes pieauga katru gadu, 2015. gadā, salīdzinot ar zemāko punktu 2010.gadā, darbavietu skaits bija pieaudzis par 17%.</w:t>
      </w:r>
    </w:p>
    <w:p w:rsidR="00C84EF7" w:rsidP="00C84EF7">
      <w:pPr>
        <w:spacing w:after="0" w:line="240" w:lineRule="auto"/>
        <w:jc w:val="both"/>
        <w:rPr>
          <w:rFonts w:ascii="Candara" w:hAnsi="Candara"/>
          <w:color w:val="000000"/>
          <w:szCs w:val="28"/>
        </w:rPr>
      </w:pPr>
      <w:r>
        <w:rPr>
          <w:rFonts w:ascii="Candara" w:hAnsi="Candara"/>
          <w:b/>
          <w:color w:val="000000"/>
          <w:szCs w:val="28"/>
          <w:u w:val="single"/>
        </w:rPr>
        <w:t>Produkcijas eksports, milj. EUR.</w:t>
      </w:r>
      <w:r>
        <w:rPr>
          <w:rFonts w:ascii="Candara" w:hAnsi="Candara"/>
          <w:color w:val="000000"/>
          <w:szCs w:val="28"/>
        </w:rPr>
        <w:t xml:space="preserve"> Desmit gadu laikā eksportētās produkcijas apjomi pakāpeniski pieaug. Šajā laika posmā produkcijas apjomi ir vairākkārtīgi auguši.</w:t>
      </w:r>
    </w:p>
    <w:p w:rsidR="00C84EF7" w:rsidP="00C84EF7">
      <w:pPr>
        <w:spacing w:after="0" w:line="240" w:lineRule="auto"/>
        <w:jc w:val="both"/>
        <w:rPr>
          <w:rFonts w:ascii="Candara" w:hAnsi="Candara"/>
          <w:b/>
          <w:color w:val="000000"/>
          <w:szCs w:val="28"/>
          <w:u w:val="single"/>
        </w:rPr>
      </w:pPr>
      <w:r>
        <w:rPr>
          <w:rFonts w:ascii="Candara" w:hAnsi="Candara"/>
          <w:b/>
          <w:color w:val="000000"/>
          <w:szCs w:val="28"/>
          <w:u w:val="single"/>
        </w:rPr>
        <w:t>Eksports uz 1 strādājošo, tūkst. EUR.</w:t>
      </w:r>
      <w:r>
        <w:rPr>
          <w:rFonts w:ascii="Candara" w:hAnsi="Candara"/>
          <w:color w:val="000000"/>
          <w:szCs w:val="28"/>
        </w:rPr>
        <w:t xml:space="preserve"> Kopš 2005.gada eksporta apjoms uz vienu strādājošo pakāpeniski pieaug.</w:t>
      </w:r>
    </w:p>
    <w:p w:rsidR="00C84EF7" w:rsidP="00C84EF7">
      <w:pPr>
        <w:spacing w:after="0" w:line="240" w:lineRule="auto"/>
        <w:jc w:val="both"/>
        <w:rPr>
          <w:rFonts w:ascii="Candara" w:hAnsi="Candara"/>
          <w:color w:val="000000"/>
          <w:szCs w:val="28"/>
        </w:rPr>
      </w:pPr>
      <w:r>
        <w:rPr>
          <w:rFonts w:ascii="Candara" w:hAnsi="Candara"/>
          <w:b/>
          <w:color w:val="000000"/>
          <w:szCs w:val="28"/>
          <w:u w:val="single"/>
        </w:rPr>
        <w:t>Eksports uz 1 strādājošo ES 28 valstīs, tūkst. EUR.</w:t>
      </w:r>
      <w:r>
        <w:rPr>
          <w:rFonts w:ascii="Candara" w:hAnsi="Candara"/>
          <w:color w:val="000000"/>
          <w:szCs w:val="28"/>
        </w:rPr>
        <w:t xml:space="preserve"> Latvijā eksports apjoms uz vienu strādājošo ķīmiskajā rūpniecībā bija mazāks nekā Lietuvā, Igaunijā un ES vidēji. Kopumā starp ES valstīm Latvija ir 21.vietā.</w:t>
      </w:r>
    </w:p>
    <w:p w:rsidR="00C84EF7" w:rsidP="00C84EF7">
      <w:pPr>
        <w:spacing w:after="0" w:line="240" w:lineRule="auto"/>
        <w:jc w:val="both"/>
        <w:rPr>
          <w:rFonts w:ascii="Candara" w:hAnsi="Candara"/>
          <w:b/>
          <w:color w:val="000000"/>
          <w:szCs w:val="28"/>
          <w:u w:val="single"/>
        </w:rPr>
      </w:pPr>
      <w:r>
        <w:rPr>
          <w:rFonts w:ascii="Candara" w:hAnsi="Candara"/>
          <w:b/>
          <w:color w:val="000000"/>
          <w:szCs w:val="28"/>
          <w:u w:val="single"/>
        </w:rPr>
        <w:t>Eksporta tirgi.</w:t>
      </w:r>
      <w:r>
        <w:rPr>
          <w:rFonts w:ascii="Candara" w:hAnsi="Candara"/>
          <w:color w:val="000000"/>
          <w:szCs w:val="28"/>
        </w:rPr>
        <w:t xml:space="preserve"> Lielākie eksporta tirgi nozarē ir Lietuva, Igaunija, Krievija, Vācija, Polija un Zviedrija.</w:t>
      </w:r>
    </w:p>
    <w:p w:rsidR="00C84EF7" w:rsidP="00C84EF7">
      <w:pPr>
        <w:spacing w:after="0" w:line="240" w:lineRule="auto"/>
        <w:jc w:val="both"/>
        <w:rPr>
          <w:rFonts w:ascii="Candara" w:hAnsi="Candara"/>
          <w:b/>
          <w:color w:val="000000"/>
          <w:szCs w:val="28"/>
          <w:u w:val="single"/>
        </w:rPr>
      </w:pPr>
      <w:r>
        <w:rPr>
          <w:rFonts w:ascii="Candara" w:hAnsi="Candara"/>
          <w:b/>
          <w:color w:val="000000"/>
          <w:szCs w:val="28"/>
          <w:u w:val="single"/>
        </w:rPr>
        <w:t>Eksporta struktūra.</w:t>
      </w:r>
      <w:r>
        <w:rPr>
          <w:rFonts w:ascii="Candara" w:hAnsi="Candara"/>
          <w:color w:val="000000"/>
          <w:szCs w:val="28"/>
        </w:rPr>
        <w:t xml:space="preserve"> Latvijā kopš 2005.gada nozares eksporta struktūra gan Latvijā, gan ES valstīs vidēji ir līdzīga un nav būtiski mainījusies.</w:t>
      </w:r>
    </w:p>
    <w:p w:rsidR="00C84EF7" w:rsidP="00C84EF7">
      <w:pPr>
        <w:spacing w:after="0" w:line="240" w:lineRule="auto"/>
        <w:jc w:val="both"/>
        <w:rPr>
          <w:rFonts w:ascii="Candara" w:hAnsi="Candara"/>
          <w:b/>
          <w:color w:val="000000"/>
          <w:szCs w:val="28"/>
          <w:u w:val="single"/>
        </w:rPr>
      </w:pPr>
      <w:r>
        <w:rPr>
          <w:rFonts w:ascii="Candara" w:hAnsi="Candara"/>
          <w:b/>
          <w:color w:val="000000"/>
          <w:szCs w:val="28"/>
          <w:u w:val="single"/>
        </w:rPr>
        <w:t>Darbaspēka izmaksu dinamika, tūkst.</w:t>
      </w:r>
      <w:r>
        <w:rPr>
          <w:rFonts w:ascii="Candara" w:hAnsi="Candara"/>
          <w:color w:val="000000"/>
          <w:szCs w:val="28"/>
        </w:rPr>
        <w:t xml:space="preserve"> Atsākoties ekonomikas izaugsmei, kopš 2011.gada darba samaksas pieaugums nozarē kļūst arvien straujāks, 2013.gadā darbaspēka izmaksām sasniedzot jau pirmskrīzes perioda līmeni.</w:t>
      </w:r>
    </w:p>
    <w:p w:rsidR="00C84EF7" w:rsidP="00C84EF7">
      <w:pPr>
        <w:spacing w:after="0" w:line="240" w:lineRule="auto"/>
        <w:jc w:val="both"/>
        <w:rPr>
          <w:rFonts w:ascii="Candara" w:hAnsi="Candara"/>
          <w:color w:val="000000"/>
          <w:szCs w:val="28"/>
        </w:rPr>
      </w:pPr>
      <w:r>
        <w:rPr>
          <w:rFonts w:ascii="Candara" w:hAnsi="Candara"/>
          <w:b/>
          <w:color w:val="000000"/>
          <w:szCs w:val="28"/>
          <w:u w:val="single"/>
        </w:rPr>
        <w:t>Produktivitātes dinamika, tūkst.</w:t>
      </w:r>
      <w:r>
        <w:rPr>
          <w:rFonts w:ascii="Candara" w:hAnsi="Candara"/>
          <w:color w:val="000000"/>
          <w:szCs w:val="28"/>
        </w:rPr>
        <w:t xml:space="preserve"> Būtisks ražošanas apjomu samazinājums pirmskrīzes laikā veicināja strauju produktivitātes kritumu 2007.gadā, kas bija vērojams arī krīzes laikā 2009.gadā. 2010.gadā produktivitāte pieauga strauja ražošanas apjomu kāpuma dēļ. Savukārt, kopš 2011.gada produktivitāte samazinās, ko ietekmē nodarbināto skaita pieaugums un ražošanas apjomu kritums. 2015.gadā produktivitātes kritums ir apstājies un nedaudz pieaudzis salīdzinājumā ar 2014.gada līmeni.</w:t>
      </w:r>
    </w:p>
    <w:p w:rsidR="00C84EF7" w:rsidP="00C84EF7">
      <w:pPr>
        <w:spacing w:after="0" w:line="240" w:lineRule="auto"/>
        <w:jc w:val="both"/>
        <w:rPr>
          <w:rFonts w:ascii="Candara" w:hAnsi="Candara"/>
          <w:color w:val="000000"/>
          <w:szCs w:val="28"/>
        </w:rPr>
      </w:pPr>
      <w:r>
        <w:rPr>
          <w:rFonts w:ascii="Candara" w:hAnsi="Candara"/>
          <w:b/>
          <w:color w:val="000000"/>
          <w:szCs w:val="28"/>
          <w:u w:val="single"/>
        </w:rPr>
        <w:t>Produktivitāte un darbaspēka izmaksas.</w:t>
      </w:r>
      <w:r>
        <w:rPr>
          <w:rFonts w:ascii="Candara" w:hAnsi="Candara"/>
          <w:color w:val="000000"/>
          <w:szCs w:val="28"/>
        </w:rPr>
        <w:t xml:space="preserve"> Pēdējos gados nozarē darbaspēka izmaksas pieaug straujāk nekā produktivitāte, kas liecina par cenu konkurētspējas (izmaksu) pazemināšanos. Šīs tendences ir līdzīgas pirms krīzes periodā vērojamām. Ekonomikas lejupslīdes jeb krīzes periodā ULC samazinājās, ko noteica būtisks nodarbināto skaita samazinājums, darbaspēka izmaksām samazinoties straujāk un ražošanas apjomiem samazinoties mazāk nekā nodarbināto skaitam. No 2011.gada līdz 2014.gadam darbaspēka izmaksas pieaug, kamēr produktivitāte samazinās. Šādu nozares attīstības modeli var raksturot kā ekstensīvu. Arī 2015.gadā šī tendence turpinājās, izmaksu pieaugumam būtiski apsteidzot produktivitātes pieaugumu.</w:t>
      </w:r>
    </w:p>
    <w:p w:rsidR="00C84EF7" w:rsidP="00C84EF7">
      <w:pPr>
        <w:spacing w:after="0" w:line="240" w:lineRule="auto"/>
        <w:jc w:val="both"/>
        <w:rPr>
          <w:rFonts w:ascii="Candara" w:hAnsi="Candara"/>
          <w:color w:val="000000"/>
          <w:szCs w:val="28"/>
        </w:rPr>
      </w:pPr>
      <w:r>
        <w:rPr>
          <w:rFonts w:ascii="Candara" w:hAnsi="Candara"/>
          <w:b/>
          <w:color w:val="000000"/>
          <w:szCs w:val="28"/>
          <w:u w:val="single"/>
        </w:rPr>
        <w:t>Darbaspēka izmaksas, ES-28=100.</w:t>
      </w:r>
      <w:r>
        <w:rPr>
          <w:rFonts w:ascii="Candara" w:hAnsi="Candara"/>
          <w:color w:val="000000"/>
          <w:szCs w:val="28"/>
        </w:rPr>
        <w:t xml:space="preserve"> Salīdzinot ar darbaspēka izmaksu vidējo līmeni ES, nozarē tas ir zemāks nekā tautsaimniecībā kopumā, bet pēdējos gados tas pieaug.</w:t>
      </w:r>
    </w:p>
    <w:p w:rsidR="00C84EF7" w:rsidP="00C84EF7">
      <w:pPr>
        <w:spacing w:after="0" w:line="240" w:lineRule="auto"/>
        <w:jc w:val="both"/>
        <w:rPr>
          <w:rFonts w:ascii="Candara" w:hAnsi="Candara"/>
          <w:color w:val="000000"/>
          <w:szCs w:val="28"/>
        </w:rPr>
      </w:pPr>
      <w:r>
        <w:rPr>
          <w:rFonts w:ascii="Candara" w:hAnsi="Candara"/>
          <w:b/>
          <w:color w:val="000000"/>
          <w:szCs w:val="28"/>
          <w:u w:val="single"/>
        </w:rPr>
        <w:t>Produktivitāte, ES-28=100.</w:t>
      </w:r>
      <w:r>
        <w:rPr>
          <w:rFonts w:ascii="Candara" w:hAnsi="Candara"/>
          <w:color w:val="000000"/>
          <w:szCs w:val="28"/>
        </w:rPr>
        <w:t xml:space="preserve"> Salīdzinot ar vidējo līmeni ES, nozarē produktivitātes līmenis ir zemāks nekā tautsaimniecībā kopumā. Pēdējos gados produktivitāte samazinās un joprojām atpaliek no vidējā līmeņa tautsaimniecībā kopumā.</w:t>
      </w:r>
    </w:p>
    <w:p w:rsidR="00C84EF7" w:rsidP="00C84EF7">
      <w:pPr>
        <w:spacing w:after="0" w:line="240" w:lineRule="auto"/>
        <w:jc w:val="both"/>
        <w:rPr>
          <w:rFonts w:ascii="Candara" w:hAnsi="Candara"/>
          <w:color w:val="000000"/>
          <w:szCs w:val="28"/>
        </w:rPr>
      </w:pPr>
      <w:r>
        <w:rPr>
          <w:rFonts w:ascii="Candara" w:hAnsi="Candara"/>
          <w:b/>
          <w:color w:val="000000"/>
          <w:szCs w:val="28"/>
          <w:u w:val="single"/>
        </w:rPr>
        <w:t>Darbaspēka izmaksas, salīdzinot ar ES valstīm, 2015.gadā.</w:t>
      </w:r>
      <w:r>
        <w:rPr>
          <w:rFonts w:ascii="Candara" w:hAnsi="Candara"/>
          <w:color w:val="000000"/>
          <w:szCs w:val="28"/>
        </w:rPr>
        <w:t xml:space="preserve"> Latvijā 2015.gadā darbaspēka izmaksas nozarē bija vienas no zemākajām starp ES valstīm, zemākas tās bija tikai Polijā, Rumānijā un Bulgārijā.</w:t>
      </w:r>
    </w:p>
    <w:p w:rsidR="00C84EF7" w:rsidP="00C84EF7">
      <w:pPr>
        <w:spacing w:after="0" w:line="240" w:lineRule="auto"/>
        <w:jc w:val="both"/>
        <w:rPr>
          <w:rFonts w:ascii="Candara" w:hAnsi="Candara"/>
          <w:color w:val="000000"/>
          <w:szCs w:val="28"/>
        </w:rPr>
      </w:pPr>
      <w:r>
        <w:rPr>
          <w:rFonts w:ascii="Candara" w:hAnsi="Candara"/>
          <w:b/>
          <w:color w:val="000000"/>
          <w:szCs w:val="28"/>
          <w:u w:val="single"/>
        </w:rPr>
        <w:t>Produktivitāte, salīdzinot ar ES valstīm, 2015.gadā.</w:t>
      </w:r>
      <w:r>
        <w:rPr>
          <w:rFonts w:ascii="Candara" w:hAnsi="Candara"/>
          <w:color w:val="000000"/>
          <w:szCs w:val="28"/>
        </w:rPr>
        <w:t xml:space="preserve"> Latvijā 2015.gadā produktivitāte nozarē bija viena no zemākajām starp ES valstīm, zemāka tā bija tikai Bulgārijā.</w:t>
      </w:r>
    </w:p>
    <w:p w:rsidR="00C84EF7" w:rsidP="00C84EF7">
      <w:pPr>
        <w:spacing w:after="0" w:line="240" w:lineRule="auto"/>
        <w:jc w:val="both"/>
        <w:rPr>
          <w:rFonts w:ascii="Candara" w:hAnsi="Candara"/>
          <w:color w:val="000000"/>
          <w:szCs w:val="28"/>
        </w:rPr>
      </w:pPr>
      <w:r>
        <w:rPr>
          <w:rFonts w:ascii="Candara" w:hAnsi="Candara"/>
          <w:b/>
          <w:color w:val="000000"/>
          <w:szCs w:val="28"/>
          <w:u w:val="single"/>
        </w:rPr>
        <w:t>Produktivitāte un darbaspēka izmaksas ES-28 valstīs 2010.gadā un 2015.gadā.</w:t>
      </w:r>
      <w:r>
        <w:rPr>
          <w:rFonts w:ascii="Candara" w:hAnsi="Candara"/>
          <w:color w:val="000000"/>
          <w:szCs w:val="28"/>
        </w:rPr>
        <w:t xml:space="preserve"> Darbaspēka izmaksas uz 1 produkcijas vienību (ULC) nozarē Latvijā 2010.gadā bija viens no zemākajiem rādītājiem starp ES valstīm, zemāks tas bija Polijā un Ungārijā, bet 2015.gadā ULC Latvijā bija viens no augstākajiem ES. Latvijā 2015.gadā, salīdzinot ar 2010.gadu, ULC ir pieaudzis par 71%, ko noteica darbaspēka izmaksu kāpums par 43% un ražošanas apjomu kritums par 13%, kas liecina, ka nozarē lēta darbaspēka konkurētspējas priekšrocības samazinās.</w:t>
      </w:r>
    </w:p>
    <w:p w:rsidR="00C23A95" w:rsidP="00762D1E">
      <w:pPr>
        <w:spacing w:after="0" w:line="240" w:lineRule="auto"/>
        <w:rPr>
          <w:rFonts w:ascii="Candara" w:hAnsi="Candara"/>
          <w:color w:val="000000"/>
          <w:szCs w:val="28"/>
        </w:rPr>
      </w:pPr>
      <w:r>
        <w:rPr>
          <w:rFonts w:ascii="Candara" w:hAnsi="Candara"/>
          <w:color w:val="000000"/>
          <w:szCs w:val="28"/>
        </w:rPr>
        <w:br w:type="page"/>
      </w:r>
    </w:p>
    <w:p w:rsidR="00C23A95" w:rsidRPr="009F39B5" w:rsidP="00C23A95">
      <w:pPr>
        <w:pStyle w:val="Heading1"/>
        <w:jc w:val="center"/>
        <w:rPr>
          <w:b/>
          <w:sz w:val="20"/>
        </w:rPr>
      </w:pPr>
      <w:bookmarkStart w:id="34" w:name="_Toc482792407"/>
      <w:bookmarkStart w:id="35" w:name="_Toc256000009"/>
      <w:bookmarkStart w:id="36" w:name="_Toc256000035"/>
      <w:r w:rsidRPr="009F39B5">
        <w:rPr>
          <w:b/>
          <w:sz w:val="20"/>
        </w:rPr>
        <w:t>C23 NEMETĀLISKO MINERĀLU IZSTRĀDĀJUMU RAŽOŠANA</w:t>
      </w:r>
      <w:bookmarkEnd w:id="36"/>
      <w:bookmarkEnd w:id="35"/>
      <w:bookmarkEnd w:id="34"/>
    </w:p>
    <w:tbl>
      <w:tblPr>
        <w:tblW w:w="10488"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3576"/>
        <w:gridCol w:w="1723"/>
        <w:gridCol w:w="1853"/>
        <w:gridCol w:w="3336"/>
      </w:tblGrid>
      <w:tr w:rsidTr="00C33BEB">
        <w:tblPrEx>
          <w:tblW w:w="10488"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Ex>
        <w:trPr>
          <w:jc w:val="center"/>
        </w:trPr>
        <w:tc>
          <w:tcPr>
            <w:tcW w:w="3576" w:type="dxa"/>
            <w:shd w:val="clear" w:color="auto" w:fill="D9D9D9" w:themeFill="background1" w:themeFillShade="D9"/>
          </w:tcPr>
          <w:p w:rsidR="00C23A95" w:rsidRPr="00160860" w:rsidP="00762D1E">
            <w:pPr>
              <w:spacing w:after="0" w:line="240" w:lineRule="auto"/>
              <w:jc w:val="center"/>
              <w:rPr>
                <w:rFonts w:ascii="Candara" w:hAnsi="Candara"/>
                <w:sz w:val="18"/>
                <w:szCs w:val="20"/>
              </w:rPr>
            </w:pPr>
            <w:r w:rsidRPr="00160860">
              <w:rPr>
                <w:rFonts w:ascii="Candara" w:hAnsi="Candara"/>
                <w:sz w:val="18"/>
                <w:szCs w:val="20"/>
              </w:rPr>
              <w:t>Nozares īpatsvars tautsaimniecībā</w:t>
            </w:r>
            <w:r w:rsidR="00703211">
              <w:rPr>
                <w:rFonts w:ascii="Candara" w:hAnsi="Candara"/>
                <w:sz w:val="18"/>
                <w:szCs w:val="20"/>
              </w:rPr>
              <w:t xml:space="preserve"> (faktiskajās cenās)</w:t>
            </w:r>
            <w:r w:rsidRPr="00160860">
              <w:rPr>
                <w:rFonts w:ascii="Candara" w:hAnsi="Candara"/>
                <w:sz w:val="18"/>
                <w:szCs w:val="20"/>
              </w:rPr>
              <w:t>, %</w:t>
            </w:r>
          </w:p>
        </w:tc>
        <w:tc>
          <w:tcPr>
            <w:tcW w:w="3576" w:type="dxa"/>
            <w:gridSpan w:val="2"/>
            <w:shd w:val="clear" w:color="auto" w:fill="D9D9D9" w:themeFill="background1" w:themeFillShade="D9"/>
          </w:tcPr>
          <w:p w:rsidR="00C23A95" w:rsidRPr="00160860" w:rsidP="00762D1E">
            <w:pPr>
              <w:spacing w:after="0" w:line="240" w:lineRule="auto"/>
              <w:jc w:val="center"/>
              <w:rPr>
                <w:rFonts w:ascii="Candara" w:hAnsi="Candara"/>
                <w:sz w:val="18"/>
                <w:szCs w:val="20"/>
              </w:rPr>
            </w:pPr>
            <w:r w:rsidRPr="00160860">
              <w:rPr>
                <w:rFonts w:ascii="Candara" w:hAnsi="Candara"/>
                <w:sz w:val="18"/>
                <w:szCs w:val="20"/>
              </w:rPr>
              <w:t>Pievienotās vērtības un darba vietu skaita izmaiņas</w:t>
            </w:r>
            <w:r w:rsidR="007E4C0E">
              <w:rPr>
                <w:rFonts w:ascii="Candara" w:hAnsi="Candara"/>
                <w:sz w:val="18"/>
                <w:szCs w:val="20"/>
              </w:rPr>
              <w:t xml:space="preserve"> (2005=100)</w:t>
            </w:r>
          </w:p>
        </w:tc>
        <w:tc>
          <w:tcPr>
            <w:tcW w:w="3336" w:type="dxa"/>
            <w:shd w:val="clear" w:color="auto" w:fill="D9D9D9" w:themeFill="background1" w:themeFillShade="D9"/>
          </w:tcPr>
          <w:p w:rsidR="00C23A95" w:rsidRPr="00160860" w:rsidP="00762D1E">
            <w:pPr>
              <w:spacing w:after="0" w:line="240" w:lineRule="auto"/>
              <w:jc w:val="center"/>
              <w:rPr>
                <w:rFonts w:ascii="Candara" w:hAnsi="Candara"/>
                <w:sz w:val="18"/>
                <w:szCs w:val="20"/>
              </w:rPr>
            </w:pPr>
            <w:r w:rsidRPr="00160860">
              <w:rPr>
                <w:rFonts w:ascii="Candara" w:hAnsi="Candara"/>
                <w:sz w:val="18"/>
                <w:szCs w:val="20"/>
              </w:rPr>
              <w:t>Produkcijas eksports</w:t>
            </w:r>
            <w:r w:rsidR="00F86EC0">
              <w:rPr>
                <w:rFonts w:ascii="Candara" w:hAnsi="Candara"/>
                <w:sz w:val="18"/>
                <w:szCs w:val="20"/>
              </w:rPr>
              <w:t>,</w:t>
            </w:r>
            <w:r w:rsidRPr="00160860">
              <w:rPr>
                <w:rFonts w:ascii="Candara" w:hAnsi="Candara"/>
                <w:sz w:val="18"/>
                <w:szCs w:val="20"/>
              </w:rPr>
              <w:t xml:space="preserve"> milj. EUR</w:t>
            </w:r>
            <w:r w:rsidR="00E75013">
              <w:rPr>
                <w:rFonts w:ascii="Candara" w:hAnsi="Candara"/>
                <w:sz w:val="18"/>
                <w:szCs w:val="20"/>
              </w:rPr>
              <w:t>*</w:t>
            </w:r>
          </w:p>
        </w:tc>
      </w:tr>
      <w:tr w:rsidTr="00C33BEB">
        <w:tblPrEx>
          <w:tblW w:w="10488" w:type="dxa"/>
          <w:jc w:val="center"/>
          <w:tblLook w:val="04A0"/>
        </w:tblPrEx>
        <w:trPr>
          <w:jc w:val="center"/>
        </w:trPr>
        <w:tc>
          <w:tcPr>
            <w:tcW w:w="3576" w:type="dxa"/>
          </w:tcPr>
          <w:p w:rsidR="00C23A95" w:rsidRPr="00160860" w:rsidP="00762D1E">
            <w:pPr>
              <w:spacing w:after="0" w:line="240" w:lineRule="auto"/>
              <w:rPr>
                <w:rFonts w:ascii="Candara" w:hAnsi="Candara"/>
              </w:rPr>
            </w:pPr>
            <w:r w:rsidRPr="00160860">
              <w:rPr>
                <w:rFonts w:ascii="Candara" w:hAnsi="Candara"/>
                <w:noProof/>
                <w:sz w:val="18"/>
                <w:szCs w:val="18"/>
                <w:lang w:eastAsia="lv-LV"/>
              </w:rPr>
              <w:drawing>
                <wp:inline distT="0" distB="0" distL="0" distR="0">
                  <wp:extent cx="2133600" cy="1028700"/>
                  <wp:effectExtent l="0" t="0" r="0" b="0"/>
                  <wp:docPr id="329"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tc>
        <w:tc>
          <w:tcPr>
            <w:tcW w:w="3576" w:type="dxa"/>
            <w:gridSpan w:val="2"/>
          </w:tcPr>
          <w:p w:rsidR="00C23A95" w:rsidRPr="00160860" w:rsidP="00762D1E">
            <w:pPr>
              <w:spacing w:after="0" w:line="240" w:lineRule="auto"/>
              <w:rPr>
                <w:rFonts w:ascii="Candara" w:hAnsi="Candara"/>
              </w:rPr>
            </w:pPr>
            <w:r w:rsidRPr="00160860">
              <w:rPr>
                <w:rFonts w:ascii="Candara" w:eastAsia="Times New Roman" w:hAnsi="Candara"/>
                <w:noProof/>
                <w:sz w:val="18"/>
                <w:szCs w:val="18"/>
                <w:lang w:eastAsia="lv-LV"/>
              </w:rPr>
              <w:drawing>
                <wp:inline distT="0" distB="0" distL="0" distR="0">
                  <wp:extent cx="2058484" cy="1028700"/>
                  <wp:effectExtent l="0" t="0" r="0" b="0"/>
                  <wp:docPr id="330" name="Chart 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tc>
        <w:tc>
          <w:tcPr>
            <w:tcW w:w="3336" w:type="dxa"/>
          </w:tcPr>
          <w:p w:rsidR="00C23A95" w:rsidP="00762D1E">
            <w:pPr>
              <w:spacing w:after="0" w:line="240" w:lineRule="auto"/>
              <w:rPr>
                <w:rFonts w:ascii="Candara" w:hAnsi="Candara"/>
              </w:rPr>
            </w:pPr>
            <w:r>
              <w:rPr>
                <w:noProof/>
                <w:lang w:eastAsia="lv-LV"/>
              </w:rPr>
              <w:drawing>
                <wp:inline distT="0" distB="0" distL="0" distR="0">
                  <wp:extent cx="1981200" cy="855980"/>
                  <wp:effectExtent l="0" t="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E75013" w:rsidRPr="00160860" w:rsidP="00762D1E">
            <w:pPr>
              <w:spacing w:after="0" w:line="240" w:lineRule="auto"/>
              <w:rPr>
                <w:rFonts w:ascii="Candara" w:hAnsi="Candara"/>
              </w:rPr>
            </w:pPr>
            <w:r w:rsidRPr="00E75013">
              <w:rPr>
                <w:rFonts w:ascii="Candara" w:hAnsi="Candara"/>
                <w:sz w:val="14"/>
                <w:szCs w:val="14"/>
              </w:rPr>
              <w:t>* EM novērtējums pēc KN produktu klasifikācijas</w:t>
            </w:r>
          </w:p>
        </w:tc>
      </w:tr>
      <w:tr w:rsidTr="00C33BEB">
        <w:tblPrEx>
          <w:tblW w:w="10488" w:type="dxa"/>
          <w:jc w:val="center"/>
          <w:tblLook w:val="04A0"/>
        </w:tblPrEx>
        <w:trPr>
          <w:jc w:val="center"/>
        </w:trPr>
        <w:tc>
          <w:tcPr>
            <w:tcW w:w="3576" w:type="dxa"/>
            <w:shd w:val="clear" w:color="auto" w:fill="D9D9D9" w:themeFill="background1" w:themeFillShade="D9"/>
          </w:tcPr>
          <w:p w:rsidR="00C23A95" w:rsidRPr="00160860" w:rsidP="00762D1E">
            <w:pPr>
              <w:spacing w:after="0" w:line="240" w:lineRule="auto"/>
              <w:jc w:val="center"/>
              <w:rPr>
                <w:rFonts w:ascii="Candara" w:hAnsi="Candara"/>
                <w:sz w:val="18"/>
              </w:rPr>
            </w:pPr>
            <w:r w:rsidRPr="00160860">
              <w:rPr>
                <w:rFonts w:ascii="Candara" w:hAnsi="Candara"/>
                <w:sz w:val="18"/>
                <w:szCs w:val="20"/>
              </w:rPr>
              <w:t>Eksports uz 1 strādājošo, tūkst. EUR</w:t>
            </w:r>
          </w:p>
        </w:tc>
        <w:tc>
          <w:tcPr>
            <w:tcW w:w="6912" w:type="dxa"/>
            <w:gridSpan w:val="3"/>
            <w:shd w:val="clear" w:color="auto" w:fill="D9D9D9" w:themeFill="background1" w:themeFillShade="D9"/>
          </w:tcPr>
          <w:p w:rsidR="00C23A95" w:rsidRPr="00160860" w:rsidP="00762D1E">
            <w:pPr>
              <w:spacing w:after="0" w:line="240" w:lineRule="auto"/>
              <w:jc w:val="center"/>
              <w:rPr>
                <w:rFonts w:ascii="Candara" w:hAnsi="Candara"/>
                <w:sz w:val="18"/>
              </w:rPr>
            </w:pPr>
            <w:r w:rsidRPr="00160860">
              <w:rPr>
                <w:rFonts w:ascii="Candara" w:hAnsi="Candara"/>
                <w:sz w:val="18"/>
                <w:szCs w:val="20"/>
              </w:rPr>
              <w:t>Eksports uz 1 strādājošo ES</w:t>
            </w:r>
            <w:r w:rsidR="008F4DF5">
              <w:rPr>
                <w:rFonts w:ascii="Candara" w:hAnsi="Candara"/>
                <w:sz w:val="18"/>
                <w:szCs w:val="20"/>
              </w:rPr>
              <w:t>-</w:t>
            </w:r>
            <w:r w:rsidRPr="00160860">
              <w:rPr>
                <w:rFonts w:ascii="Candara" w:hAnsi="Candara"/>
                <w:sz w:val="18"/>
                <w:szCs w:val="20"/>
              </w:rPr>
              <w:t>28 valstīs, tūkst. EUR</w:t>
            </w:r>
          </w:p>
        </w:tc>
      </w:tr>
      <w:tr w:rsidTr="00C33BEB">
        <w:tblPrEx>
          <w:tblW w:w="10488" w:type="dxa"/>
          <w:jc w:val="center"/>
          <w:tblLook w:val="04A0"/>
        </w:tblPrEx>
        <w:trPr>
          <w:jc w:val="center"/>
        </w:trPr>
        <w:tc>
          <w:tcPr>
            <w:tcW w:w="3576" w:type="dxa"/>
          </w:tcPr>
          <w:p w:rsidR="00C23A95" w:rsidRPr="00160860" w:rsidP="00762D1E">
            <w:pPr>
              <w:spacing w:after="0" w:line="240" w:lineRule="auto"/>
              <w:jc w:val="center"/>
              <w:rPr>
                <w:rFonts w:ascii="Candara" w:hAnsi="Candara"/>
              </w:rPr>
            </w:pPr>
            <w:r>
              <w:rPr>
                <w:noProof/>
                <w:lang w:eastAsia="lv-LV"/>
              </w:rPr>
              <w:drawing>
                <wp:inline distT="0" distB="0" distL="0" distR="0">
                  <wp:extent cx="2133600" cy="1171575"/>
                  <wp:effectExtent l="0" t="0" r="0" b="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tc>
        <w:tc>
          <w:tcPr>
            <w:tcW w:w="6912" w:type="dxa"/>
            <w:gridSpan w:val="3"/>
          </w:tcPr>
          <w:p w:rsidR="00C23A95" w:rsidRPr="00160860" w:rsidP="00762D1E">
            <w:pPr>
              <w:spacing w:after="0" w:line="240" w:lineRule="auto"/>
              <w:jc w:val="center"/>
              <w:rPr>
                <w:rFonts w:ascii="Candara" w:hAnsi="Candara"/>
              </w:rPr>
            </w:pPr>
            <w:r>
              <w:rPr>
                <w:noProof/>
                <w:lang w:eastAsia="lv-LV"/>
              </w:rPr>
              <w:drawing>
                <wp:inline distT="0" distB="0" distL="0" distR="0">
                  <wp:extent cx="4114800" cy="1171575"/>
                  <wp:effectExtent l="0" t="0" r="0" b="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tc>
      </w:tr>
      <w:tr w:rsidTr="00C33BEB">
        <w:tblPrEx>
          <w:tblW w:w="10488" w:type="dxa"/>
          <w:jc w:val="center"/>
          <w:tblLook w:val="04A0"/>
        </w:tblPrEx>
        <w:trPr>
          <w:jc w:val="center"/>
        </w:trPr>
        <w:tc>
          <w:tcPr>
            <w:tcW w:w="3576" w:type="dxa"/>
            <w:shd w:val="clear" w:color="auto" w:fill="D9D9D9" w:themeFill="background1" w:themeFillShade="D9"/>
          </w:tcPr>
          <w:p w:rsidR="00C23A95" w:rsidRPr="00160860" w:rsidP="00762D1E">
            <w:pPr>
              <w:spacing w:after="0" w:line="240" w:lineRule="auto"/>
              <w:jc w:val="center"/>
              <w:rPr>
                <w:rFonts w:ascii="Candara" w:hAnsi="Candara"/>
                <w:sz w:val="18"/>
                <w:szCs w:val="20"/>
              </w:rPr>
            </w:pPr>
            <w:r w:rsidRPr="00160860">
              <w:rPr>
                <w:rFonts w:ascii="Candara" w:hAnsi="Candara"/>
                <w:sz w:val="18"/>
                <w:szCs w:val="20"/>
              </w:rPr>
              <w:t>Eksporta tirgi</w:t>
            </w:r>
            <w:r w:rsidR="003C22F6">
              <w:rPr>
                <w:rFonts w:ascii="Candara" w:hAnsi="Candara"/>
                <w:sz w:val="18"/>
                <w:szCs w:val="20"/>
              </w:rPr>
              <w:t>, 201</w:t>
            </w:r>
            <w:r w:rsidR="00F920C9">
              <w:rPr>
                <w:rFonts w:ascii="Candara" w:hAnsi="Candara"/>
                <w:sz w:val="18"/>
                <w:szCs w:val="20"/>
              </w:rPr>
              <w:t>6</w:t>
            </w:r>
            <w:r w:rsidR="003C22F6">
              <w:rPr>
                <w:rFonts w:ascii="Candara" w:hAnsi="Candara"/>
                <w:sz w:val="18"/>
                <w:szCs w:val="20"/>
              </w:rPr>
              <w:t>.g.</w:t>
            </w:r>
          </w:p>
        </w:tc>
        <w:tc>
          <w:tcPr>
            <w:tcW w:w="6912" w:type="dxa"/>
            <w:gridSpan w:val="3"/>
            <w:shd w:val="clear" w:color="auto" w:fill="D9D9D9" w:themeFill="background1" w:themeFillShade="D9"/>
          </w:tcPr>
          <w:p w:rsidR="00C23A95" w:rsidRPr="00160860" w:rsidP="00762D1E">
            <w:pPr>
              <w:spacing w:after="0" w:line="240" w:lineRule="auto"/>
              <w:jc w:val="center"/>
              <w:rPr>
                <w:rFonts w:ascii="Candara" w:hAnsi="Candara"/>
                <w:sz w:val="18"/>
              </w:rPr>
            </w:pPr>
            <w:r w:rsidRPr="00160860">
              <w:rPr>
                <w:rFonts w:ascii="Candara" w:hAnsi="Candara"/>
                <w:sz w:val="18"/>
                <w:szCs w:val="20"/>
              </w:rPr>
              <w:t>Eksporta struktūra</w:t>
            </w:r>
          </w:p>
        </w:tc>
      </w:tr>
      <w:tr w:rsidTr="00C33BEB">
        <w:tblPrEx>
          <w:tblW w:w="10488" w:type="dxa"/>
          <w:jc w:val="center"/>
          <w:tblLook w:val="04A0"/>
        </w:tblPrEx>
        <w:trPr>
          <w:jc w:val="center"/>
        </w:trPr>
        <w:tc>
          <w:tcPr>
            <w:tcW w:w="3576" w:type="dxa"/>
          </w:tcPr>
          <w:p w:rsidR="00C23A95" w:rsidRPr="00160860" w:rsidP="00762D1E">
            <w:pPr>
              <w:spacing w:after="0" w:line="240" w:lineRule="auto"/>
              <w:jc w:val="center"/>
              <w:rPr>
                <w:rFonts w:ascii="Candara" w:hAnsi="Candara"/>
                <w:b/>
                <w:szCs w:val="28"/>
              </w:rPr>
            </w:pPr>
            <w:r w:rsidRPr="00160860">
              <w:rPr>
                <w:noProof/>
                <w:sz w:val="18"/>
                <w:szCs w:val="18"/>
                <w:lang w:eastAsia="lv-LV"/>
              </w:rPr>
              <w:drawing>
                <wp:inline distT="0" distB="0" distL="0" distR="0">
                  <wp:extent cx="1657350" cy="1368000"/>
                  <wp:effectExtent l="0" t="0" r="0" b="0"/>
                  <wp:docPr id="334"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tc>
        <w:tc>
          <w:tcPr>
            <w:tcW w:w="6912" w:type="dxa"/>
            <w:gridSpan w:val="3"/>
          </w:tcPr>
          <w:p w:rsidR="00C23A95" w:rsidRPr="00160860" w:rsidP="00762D1E">
            <w:pPr>
              <w:tabs>
                <w:tab w:val="left" w:pos="8080"/>
              </w:tabs>
              <w:spacing w:after="0" w:line="240" w:lineRule="auto"/>
              <w:ind w:right="-31"/>
              <w:jc w:val="center"/>
              <w:rPr>
                <w:sz w:val="18"/>
              </w:rPr>
            </w:pPr>
            <w:r w:rsidRPr="00160860">
              <w:rPr>
                <w:sz w:val="18"/>
              </w:rPr>
              <w:t>Latvija                                                                                       ES-28</w:t>
            </w:r>
          </w:p>
          <w:p w:rsidR="00C23A95" w:rsidRPr="00160860" w:rsidP="00762D1E">
            <w:pPr>
              <w:tabs>
                <w:tab w:val="left" w:pos="8080"/>
              </w:tabs>
              <w:spacing w:after="0" w:line="240" w:lineRule="auto"/>
              <w:ind w:right="-31"/>
            </w:pPr>
            <w:r w:rsidRPr="00160860">
              <w:rPr>
                <w:noProof/>
                <w:lang w:eastAsia="lv-LV"/>
              </w:rPr>
              <w:drawing>
                <wp:inline distT="0" distB="0" distL="0" distR="0">
                  <wp:extent cx="2617393" cy="1242725"/>
                  <wp:effectExtent l="0" t="0" r="0" b="0"/>
                  <wp:docPr id="335" name="Chart 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r w:rsidRPr="00160860">
              <w:rPr>
                <w:noProof/>
                <w:lang w:eastAsia="lv-LV"/>
              </w:rPr>
              <w:drawing>
                <wp:inline distT="0" distB="0" distL="0" distR="0">
                  <wp:extent cx="1356258" cy="1242725"/>
                  <wp:effectExtent l="0" t="0" r="0" b="0"/>
                  <wp:docPr id="336" name="Chart 3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tc>
      </w:tr>
      <w:tr w:rsidTr="00C33BEB">
        <w:tblPrEx>
          <w:tblW w:w="10488" w:type="dxa"/>
          <w:jc w:val="center"/>
          <w:tblLook w:val="04A0"/>
        </w:tblPrEx>
        <w:trPr>
          <w:jc w:val="center"/>
        </w:trPr>
        <w:tc>
          <w:tcPr>
            <w:tcW w:w="3576" w:type="dxa"/>
            <w:shd w:val="clear" w:color="auto" w:fill="D9D9D9" w:themeFill="background1" w:themeFillShade="D9"/>
          </w:tcPr>
          <w:p w:rsidR="00C23A95" w:rsidRPr="00160860" w:rsidP="00762D1E">
            <w:pPr>
              <w:spacing w:after="0" w:line="240" w:lineRule="auto"/>
              <w:jc w:val="center"/>
              <w:rPr>
                <w:rFonts w:ascii="Candara" w:hAnsi="Candara"/>
                <w:sz w:val="18"/>
              </w:rPr>
            </w:pPr>
            <w:r w:rsidRPr="00160860">
              <w:rPr>
                <w:rFonts w:ascii="Candara" w:hAnsi="Candara"/>
                <w:sz w:val="18"/>
                <w:szCs w:val="20"/>
              </w:rPr>
              <w:t>Darbaspēka izmaksu dinamika, tūkst. EUR</w:t>
            </w:r>
          </w:p>
        </w:tc>
        <w:tc>
          <w:tcPr>
            <w:tcW w:w="3576" w:type="dxa"/>
            <w:gridSpan w:val="2"/>
            <w:shd w:val="clear" w:color="auto" w:fill="D9D9D9" w:themeFill="background1" w:themeFillShade="D9"/>
          </w:tcPr>
          <w:p w:rsidR="00C23A95" w:rsidRPr="00160860" w:rsidP="00762D1E">
            <w:pPr>
              <w:spacing w:after="0" w:line="240" w:lineRule="auto"/>
              <w:jc w:val="center"/>
              <w:rPr>
                <w:rFonts w:ascii="Candara" w:hAnsi="Candara"/>
                <w:sz w:val="18"/>
              </w:rPr>
            </w:pPr>
            <w:r w:rsidRPr="00160860">
              <w:rPr>
                <w:rFonts w:ascii="Candara" w:hAnsi="Candara"/>
                <w:sz w:val="18"/>
                <w:szCs w:val="20"/>
              </w:rPr>
              <w:t>Produktivitātes dinamika, tūkst. EUR</w:t>
            </w:r>
          </w:p>
        </w:tc>
        <w:tc>
          <w:tcPr>
            <w:tcW w:w="3336" w:type="dxa"/>
            <w:shd w:val="clear" w:color="auto" w:fill="D9D9D9" w:themeFill="background1" w:themeFillShade="D9"/>
          </w:tcPr>
          <w:p w:rsidR="00C23A95" w:rsidRPr="00160860" w:rsidP="00762D1E">
            <w:pPr>
              <w:spacing w:after="0" w:line="240" w:lineRule="auto"/>
              <w:jc w:val="center"/>
              <w:rPr>
                <w:rFonts w:ascii="Candara" w:hAnsi="Candara"/>
                <w:sz w:val="18"/>
              </w:rPr>
            </w:pPr>
            <w:r w:rsidRPr="00160860">
              <w:rPr>
                <w:rFonts w:ascii="Candara" w:hAnsi="Candara"/>
                <w:sz w:val="18"/>
                <w:szCs w:val="20"/>
              </w:rPr>
              <w:t>Produktivitāte un darbaspēka izmaksas</w:t>
            </w:r>
          </w:p>
        </w:tc>
      </w:tr>
      <w:tr w:rsidTr="00C33BEB">
        <w:tblPrEx>
          <w:tblW w:w="10488" w:type="dxa"/>
          <w:jc w:val="center"/>
          <w:tblLook w:val="04A0"/>
        </w:tblPrEx>
        <w:trPr>
          <w:jc w:val="center"/>
        </w:trPr>
        <w:tc>
          <w:tcPr>
            <w:tcW w:w="3576" w:type="dxa"/>
          </w:tcPr>
          <w:p w:rsidR="00C23A95" w:rsidRPr="00160860" w:rsidP="00762D1E">
            <w:pPr>
              <w:spacing w:after="0" w:line="240" w:lineRule="auto"/>
              <w:jc w:val="center"/>
              <w:rPr>
                <w:rFonts w:ascii="Candara" w:hAnsi="Candara"/>
              </w:rPr>
            </w:pPr>
            <w:r w:rsidRPr="00160860">
              <w:rPr>
                <w:rFonts w:ascii="Candara" w:hAnsi="Candara"/>
                <w:noProof/>
                <w:sz w:val="18"/>
                <w:szCs w:val="18"/>
                <w:lang w:eastAsia="lv-LV"/>
              </w:rPr>
              <w:drawing>
                <wp:inline distT="0" distB="0" distL="0" distR="0">
                  <wp:extent cx="2133600" cy="1066800"/>
                  <wp:effectExtent l="0" t="0" r="0" b="0"/>
                  <wp:docPr id="337"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tc>
        <w:tc>
          <w:tcPr>
            <w:tcW w:w="3576" w:type="dxa"/>
            <w:gridSpan w:val="2"/>
          </w:tcPr>
          <w:p w:rsidR="00C23A95" w:rsidRPr="00160860" w:rsidP="00762D1E">
            <w:pPr>
              <w:spacing w:after="0" w:line="240" w:lineRule="auto"/>
              <w:jc w:val="center"/>
              <w:rPr>
                <w:rFonts w:ascii="Candara" w:hAnsi="Candara"/>
              </w:rPr>
            </w:pPr>
            <w:r w:rsidRPr="00160860">
              <w:rPr>
                <w:rFonts w:ascii="Candara" w:hAnsi="Candara"/>
                <w:noProof/>
                <w:sz w:val="18"/>
                <w:szCs w:val="18"/>
                <w:lang w:eastAsia="lv-LV"/>
              </w:rPr>
              <w:drawing>
                <wp:inline distT="0" distB="0" distL="0" distR="0">
                  <wp:extent cx="2133600" cy="1066800"/>
                  <wp:effectExtent l="0" t="0" r="0" b="0"/>
                  <wp:docPr id="338"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tc>
        <w:tc>
          <w:tcPr>
            <w:tcW w:w="3336" w:type="dxa"/>
            <w:vMerge w:val="restart"/>
          </w:tcPr>
          <w:p w:rsidR="00C23A95" w:rsidRPr="00160860" w:rsidP="00762D1E">
            <w:pPr>
              <w:spacing w:after="0" w:line="240" w:lineRule="auto"/>
              <w:jc w:val="center"/>
              <w:rPr>
                <w:rFonts w:ascii="Candara" w:hAnsi="Candara"/>
              </w:rPr>
            </w:pPr>
            <w:r w:rsidRPr="00160860">
              <w:rPr>
                <w:rFonts w:ascii="Candara" w:eastAsia="Times New Roman" w:hAnsi="Candara"/>
                <w:noProof/>
                <w:sz w:val="18"/>
                <w:szCs w:val="18"/>
                <w:lang w:eastAsia="lv-LV"/>
              </w:rPr>
              <w:drawing>
                <wp:inline distT="0" distB="0" distL="0" distR="0">
                  <wp:extent cx="1847850" cy="2228850"/>
                  <wp:effectExtent l="0" t="0" r="0" b="0"/>
                  <wp:docPr id="339" name="Chart 3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tc>
      </w:tr>
      <w:tr w:rsidTr="00C33BEB">
        <w:tblPrEx>
          <w:tblW w:w="10488" w:type="dxa"/>
          <w:jc w:val="center"/>
          <w:tblLook w:val="04A0"/>
        </w:tblPrEx>
        <w:trPr>
          <w:jc w:val="center"/>
        </w:trPr>
        <w:tc>
          <w:tcPr>
            <w:tcW w:w="3576" w:type="dxa"/>
            <w:shd w:val="clear" w:color="auto" w:fill="D9D9D9" w:themeFill="background1" w:themeFillShade="D9"/>
          </w:tcPr>
          <w:p w:rsidR="00C23A95" w:rsidRPr="00160860" w:rsidP="00762D1E">
            <w:pPr>
              <w:spacing w:after="0" w:line="240" w:lineRule="auto"/>
              <w:jc w:val="center"/>
              <w:rPr>
                <w:rFonts w:ascii="Candara" w:hAnsi="Candara"/>
                <w:sz w:val="18"/>
              </w:rPr>
            </w:pPr>
            <w:r w:rsidRPr="00160860">
              <w:rPr>
                <w:rFonts w:ascii="Candara" w:hAnsi="Candara"/>
                <w:sz w:val="18"/>
                <w:szCs w:val="20"/>
              </w:rPr>
              <w:t>Darbaspēka izmaksas, ES-28=100</w:t>
            </w:r>
          </w:p>
        </w:tc>
        <w:tc>
          <w:tcPr>
            <w:tcW w:w="3576" w:type="dxa"/>
            <w:gridSpan w:val="2"/>
            <w:shd w:val="clear" w:color="auto" w:fill="D9D9D9" w:themeFill="background1" w:themeFillShade="D9"/>
          </w:tcPr>
          <w:p w:rsidR="00C23A95" w:rsidRPr="00160860" w:rsidP="00762D1E">
            <w:pPr>
              <w:spacing w:after="0" w:line="240" w:lineRule="auto"/>
              <w:jc w:val="center"/>
              <w:rPr>
                <w:rFonts w:ascii="Candara" w:hAnsi="Candara"/>
                <w:sz w:val="18"/>
              </w:rPr>
            </w:pPr>
            <w:r w:rsidRPr="00160860">
              <w:rPr>
                <w:rFonts w:ascii="Candara" w:hAnsi="Candara"/>
                <w:sz w:val="18"/>
                <w:szCs w:val="20"/>
              </w:rPr>
              <w:t>Produktivitāte, ES-28=100</w:t>
            </w:r>
          </w:p>
        </w:tc>
        <w:tc>
          <w:tcPr>
            <w:tcW w:w="3336" w:type="dxa"/>
            <w:vMerge/>
            <w:shd w:val="clear" w:color="auto" w:fill="D9D9D9" w:themeFill="background1" w:themeFillShade="D9"/>
          </w:tcPr>
          <w:p w:rsidR="00C23A95" w:rsidRPr="00160860" w:rsidP="003A2C2A">
            <w:pPr>
              <w:jc w:val="center"/>
              <w:rPr>
                <w:rFonts w:ascii="Candara" w:hAnsi="Candara"/>
                <w:sz w:val="18"/>
              </w:rPr>
            </w:pPr>
          </w:p>
        </w:tc>
      </w:tr>
      <w:tr w:rsidTr="00C33BEB">
        <w:tblPrEx>
          <w:tblW w:w="10488" w:type="dxa"/>
          <w:jc w:val="center"/>
          <w:tblLook w:val="04A0"/>
        </w:tblPrEx>
        <w:trPr>
          <w:jc w:val="center"/>
        </w:trPr>
        <w:tc>
          <w:tcPr>
            <w:tcW w:w="3576" w:type="dxa"/>
          </w:tcPr>
          <w:p w:rsidR="00C23A95" w:rsidRPr="00160860" w:rsidP="00762D1E">
            <w:pPr>
              <w:spacing w:after="0" w:line="240" w:lineRule="auto"/>
              <w:jc w:val="center"/>
              <w:rPr>
                <w:rFonts w:ascii="Candara" w:hAnsi="Candara"/>
              </w:rPr>
            </w:pPr>
            <w:r w:rsidRPr="00160860">
              <w:rPr>
                <w:rFonts w:ascii="Arial Narrow" w:hAnsi="Arial Narrow"/>
                <w:noProof/>
                <w:lang w:eastAsia="lv-LV"/>
              </w:rPr>
              <w:drawing>
                <wp:inline distT="0" distB="0" distL="0" distR="0">
                  <wp:extent cx="2124075" cy="1057275"/>
                  <wp:effectExtent l="0" t="0" r="0" b="0"/>
                  <wp:docPr id="34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tc>
        <w:tc>
          <w:tcPr>
            <w:tcW w:w="3576" w:type="dxa"/>
            <w:gridSpan w:val="2"/>
          </w:tcPr>
          <w:p w:rsidR="00C23A95" w:rsidRPr="00160860" w:rsidP="00762D1E">
            <w:pPr>
              <w:spacing w:after="0" w:line="240" w:lineRule="auto"/>
              <w:jc w:val="center"/>
              <w:rPr>
                <w:rFonts w:ascii="Candara" w:hAnsi="Candara"/>
              </w:rPr>
            </w:pPr>
            <w:r w:rsidRPr="00160860">
              <w:rPr>
                <w:rFonts w:ascii="Arial Narrow" w:hAnsi="Arial Narrow"/>
                <w:noProof/>
                <w:lang w:eastAsia="lv-LV"/>
              </w:rPr>
              <w:drawing>
                <wp:inline distT="0" distB="0" distL="0" distR="0">
                  <wp:extent cx="2133600" cy="1057275"/>
                  <wp:effectExtent l="0" t="0" r="0" b="0"/>
                  <wp:docPr id="34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tc>
        <w:tc>
          <w:tcPr>
            <w:tcW w:w="3336" w:type="dxa"/>
            <w:vMerge/>
          </w:tcPr>
          <w:p w:rsidR="00C23A95" w:rsidRPr="00160860" w:rsidP="003A2C2A">
            <w:pPr>
              <w:jc w:val="center"/>
              <w:rPr>
                <w:rFonts w:ascii="Candara" w:hAnsi="Candara"/>
              </w:rPr>
            </w:pPr>
          </w:p>
        </w:tc>
      </w:tr>
      <w:tr w:rsidTr="00C33BEB">
        <w:tblPrEx>
          <w:tblW w:w="10488" w:type="dxa"/>
          <w:jc w:val="center"/>
          <w:tblLook w:val="04A0"/>
        </w:tblPrEx>
        <w:trPr>
          <w:jc w:val="center"/>
        </w:trPr>
        <w:tc>
          <w:tcPr>
            <w:tcW w:w="5299" w:type="dxa"/>
            <w:gridSpan w:val="2"/>
            <w:shd w:val="clear" w:color="auto" w:fill="D9D9D9" w:themeFill="background1" w:themeFillShade="D9"/>
          </w:tcPr>
          <w:p w:rsidR="00C23A95" w:rsidRPr="00160860" w:rsidP="00762D1E">
            <w:pPr>
              <w:spacing w:after="0" w:line="240" w:lineRule="auto"/>
              <w:jc w:val="center"/>
              <w:rPr>
                <w:rFonts w:ascii="Candara" w:hAnsi="Candara"/>
                <w:sz w:val="18"/>
                <w:szCs w:val="20"/>
              </w:rPr>
            </w:pPr>
            <w:r w:rsidRPr="00160860">
              <w:rPr>
                <w:rFonts w:ascii="Candara" w:hAnsi="Candara"/>
                <w:sz w:val="18"/>
                <w:szCs w:val="20"/>
              </w:rPr>
              <w:t>Darbaspēka izmaksas</w:t>
            </w:r>
            <w:r w:rsidR="00F35BE1">
              <w:rPr>
                <w:rFonts w:ascii="Candara" w:hAnsi="Candara"/>
                <w:sz w:val="18"/>
                <w:szCs w:val="20"/>
              </w:rPr>
              <w:t xml:space="preserve"> uz 1 nodarbināto</w:t>
            </w:r>
            <w:r w:rsidR="001E321A">
              <w:rPr>
                <w:rFonts w:ascii="Candara" w:hAnsi="Candara"/>
                <w:sz w:val="18"/>
                <w:szCs w:val="20"/>
              </w:rPr>
              <w:t xml:space="preserve"> 201</w:t>
            </w:r>
            <w:r w:rsidR="00D9495C">
              <w:rPr>
                <w:rFonts w:ascii="Candara" w:hAnsi="Candara"/>
                <w:sz w:val="18"/>
                <w:szCs w:val="20"/>
              </w:rPr>
              <w:t>5</w:t>
            </w:r>
            <w:r w:rsidR="001E321A">
              <w:rPr>
                <w:rFonts w:ascii="Candara" w:hAnsi="Candara"/>
                <w:sz w:val="18"/>
                <w:szCs w:val="20"/>
              </w:rPr>
              <w:t>.g.</w:t>
            </w:r>
            <w:r w:rsidRPr="00160860">
              <w:rPr>
                <w:rFonts w:ascii="Candara" w:hAnsi="Candara"/>
                <w:sz w:val="18"/>
                <w:szCs w:val="20"/>
              </w:rPr>
              <w:t>, tūkst. EUR</w:t>
            </w:r>
          </w:p>
        </w:tc>
        <w:tc>
          <w:tcPr>
            <w:tcW w:w="5189" w:type="dxa"/>
            <w:gridSpan w:val="2"/>
            <w:shd w:val="clear" w:color="auto" w:fill="D9D9D9" w:themeFill="background1" w:themeFillShade="D9"/>
          </w:tcPr>
          <w:p w:rsidR="00C23A95" w:rsidRPr="00160860" w:rsidP="00762D1E">
            <w:pPr>
              <w:spacing w:after="0" w:line="240" w:lineRule="auto"/>
              <w:jc w:val="center"/>
              <w:rPr>
                <w:rFonts w:ascii="Candara" w:hAnsi="Candara"/>
                <w:sz w:val="18"/>
                <w:szCs w:val="20"/>
              </w:rPr>
            </w:pPr>
            <w:r w:rsidRPr="00160860">
              <w:rPr>
                <w:rFonts w:ascii="Candara" w:hAnsi="Candara"/>
                <w:sz w:val="18"/>
                <w:szCs w:val="20"/>
              </w:rPr>
              <w:t>Produktivitāte</w:t>
            </w:r>
            <w:r w:rsidR="001E321A">
              <w:rPr>
                <w:rFonts w:ascii="Candara" w:hAnsi="Candara"/>
                <w:sz w:val="18"/>
                <w:szCs w:val="20"/>
              </w:rPr>
              <w:t xml:space="preserve"> (PV uz 1 nodarbināto) 201</w:t>
            </w:r>
            <w:r w:rsidR="00D9495C">
              <w:rPr>
                <w:rFonts w:ascii="Candara" w:hAnsi="Candara"/>
                <w:sz w:val="18"/>
                <w:szCs w:val="20"/>
              </w:rPr>
              <w:t>5</w:t>
            </w:r>
            <w:r w:rsidR="001E321A">
              <w:rPr>
                <w:rFonts w:ascii="Candara" w:hAnsi="Candara"/>
                <w:sz w:val="18"/>
                <w:szCs w:val="20"/>
              </w:rPr>
              <w:t>.g.</w:t>
            </w:r>
            <w:r w:rsidRPr="00160860">
              <w:rPr>
                <w:rFonts w:ascii="Candara" w:hAnsi="Candara"/>
                <w:sz w:val="18"/>
                <w:szCs w:val="20"/>
              </w:rPr>
              <w:t>, tūkst. EUR</w:t>
            </w:r>
          </w:p>
        </w:tc>
      </w:tr>
      <w:tr w:rsidTr="00C33BEB">
        <w:tblPrEx>
          <w:tblW w:w="10488" w:type="dxa"/>
          <w:jc w:val="center"/>
          <w:tblLook w:val="04A0"/>
        </w:tblPrEx>
        <w:trPr>
          <w:jc w:val="center"/>
        </w:trPr>
        <w:tc>
          <w:tcPr>
            <w:tcW w:w="5299" w:type="dxa"/>
            <w:gridSpan w:val="2"/>
          </w:tcPr>
          <w:p w:rsidR="00C23A95" w:rsidRPr="00160860" w:rsidP="00762D1E">
            <w:pPr>
              <w:spacing w:after="0" w:line="240" w:lineRule="auto"/>
              <w:jc w:val="center"/>
              <w:rPr>
                <w:rFonts w:ascii="Candara" w:hAnsi="Candara"/>
              </w:rPr>
            </w:pPr>
            <w:r w:rsidRPr="00160860">
              <w:rPr>
                <w:noProof/>
                <w:lang w:eastAsia="lv-LV"/>
              </w:rPr>
              <w:drawing>
                <wp:inline distT="0" distB="0" distL="0" distR="0">
                  <wp:extent cx="3152775" cy="1171575"/>
                  <wp:effectExtent l="0" t="0" r="0" b="0"/>
                  <wp:docPr id="342" name="Chart 3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tc>
        <w:tc>
          <w:tcPr>
            <w:tcW w:w="5189" w:type="dxa"/>
            <w:gridSpan w:val="2"/>
          </w:tcPr>
          <w:p w:rsidR="00C23A95" w:rsidRPr="00160860" w:rsidP="00762D1E">
            <w:pPr>
              <w:spacing w:after="0" w:line="240" w:lineRule="auto"/>
              <w:jc w:val="center"/>
              <w:rPr>
                <w:rFonts w:ascii="Candara" w:hAnsi="Candara"/>
              </w:rPr>
            </w:pPr>
            <w:r w:rsidRPr="00160860">
              <w:rPr>
                <w:noProof/>
                <w:lang w:eastAsia="lv-LV"/>
              </w:rPr>
              <w:drawing>
                <wp:inline distT="0" distB="0" distL="0" distR="0">
                  <wp:extent cx="3152775" cy="1171575"/>
                  <wp:effectExtent l="0" t="0" r="0" b="0"/>
                  <wp:docPr id="343" name="Chart 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tc>
      </w:tr>
      <w:tr w:rsidTr="00C33BEB">
        <w:tblPrEx>
          <w:tblW w:w="10488" w:type="dxa"/>
          <w:jc w:val="center"/>
          <w:tblLook w:val="04A0"/>
        </w:tblPrEx>
        <w:trPr>
          <w:jc w:val="center"/>
        </w:trPr>
        <w:tc>
          <w:tcPr>
            <w:tcW w:w="5299" w:type="dxa"/>
            <w:gridSpan w:val="2"/>
            <w:shd w:val="clear" w:color="auto" w:fill="D9D9D9" w:themeFill="background1" w:themeFillShade="D9"/>
          </w:tcPr>
          <w:p w:rsidR="00C23A95" w:rsidRPr="00160860" w:rsidP="00762D1E">
            <w:pPr>
              <w:spacing w:after="0" w:line="240" w:lineRule="auto"/>
              <w:jc w:val="center"/>
              <w:rPr>
                <w:rFonts w:ascii="Candara" w:hAnsi="Candara"/>
                <w:sz w:val="18"/>
              </w:rPr>
            </w:pPr>
            <w:r w:rsidRPr="00160860">
              <w:rPr>
                <w:rFonts w:ascii="Candara" w:hAnsi="Candara"/>
                <w:sz w:val="18"/>
                <w:szCs w:val="20"/>
              </w:rPr>
              <w:t>Produktivitāte un darbaspēka izmaksas ES-28 valstīs 2010.g</w:t>
            </w:r>
            <w:r w:rsidR="002B71CE">
              <w:rPr>
                <w:rFonts w:ascii="Candara" w:hAnsi="Candara"/>
                <w:sz w:val="18"/>
                <w:szCs w:val="20"/>
              </w:rPr>
              <w:t>.</w:t>
            </w:r>
          </w:p>
        </w:tc>
        <w:tc>
          <w:tcPr>
            <w:tcW w:w="5189" w:type="dxa"/>
            <w:gridSpan w:val="2"/>
            <w:shd w:val="clear" w:color="auto" w:fill="D9D9D9" w:themeFill="background1" w:themeFillShade="D9"/>
          </w:tcPr>
          <w:p w:rsidR="00C23A95" w:rsidRPr="00160860" w:rsidP="00762D1E">
            <w:pPr>
              <w:spacing w:after="0" w:line="240" w:lineRule="auto"/>
              <w:jc w:val="center"/>
              <w:rPr>
                <w:rFonts w:ascii="Candara" w:hAnsi="Candara"/>
                <w:sz w:val="18"/>
              </w:rPr>
            </w:pPr>
            <w:r w:rsidRPr="00160860">
              <w:rPr>
                <w:rFonts w:ascii="Candara" w:hAnsi="Candara"/>
                <w:sz w:val="18"/>
                <w:szCs w:val="20"/>
              </w:rPr>
              <w:t>Produktivitāte un darbaspēka izmaksas ES-28 valstīs 201</w:t>
            </w:r>
            <w:r w:rsidR="00D9495C">
              <w:rPr>
                <w:rFonts w:ascii="Candara" w:hAnsi="Candara"/>
                <w:sz w:val="18"/>
                <w:szCs w:val="20"/>
              </w:rPr>
              <w:t>5</w:t>
            </w:r>
            <w:r w:rsidRPr="00160860">
              <w:rPr>
                <w:rFonts w:ascii="Candara" w:hAnsi="Candara"/>
                <w:sz w:val="18"/>
                <w:szCs w:val="20"/>
              </w:rPr>
              <w:t>.g</w:t>
            </w:r>
            <w:r w:rsidR="002B71CE">
              <w:rPr>
                <w:rFonts w:ascii="Candara" w:hAnsi="Candara"/>
                <w:sz w:val="18"/>
                <w:szCs w:val="20"/>
              </w:rPr>
              <w:t>.</w:t>
            </w:r>
          </w:p>
        </w:tc>
      </w:tr>
      <w:tr w:rsidTr="00C33BEB">
        <w:tblPrEx>
          <w:tblW w:w="10488" w:type="dxa"/>
          <w:jc w:val="center"/>
          <w:tblLook w:val="04A0"/>
        </w:tblPrEx>
        <w:trPr>
          <w:jc w:val="center"/>
        </w:trPr>
        <w:tc>
          <w:tcPr>
            <w:tcW w:w="5299" w:type="dxa"/>
            <w:gridSpan w:val="2"/>
          </w:tcPr>
          <w:p w:rsidR="00C23A95" w:rsidRPr="00160860" w:rsidP="00762D1E">
            <w:pPr>
              <w:spacing w:after="0" w:line="240" w:lineRule="auto"/>
              <w:rPr>
                <w:rFonts w:ascii="Candara" w:hAnsi="Candara"/>
              </w:rPr>
            </w:pPr>
            <w:r w:rsidRPr="00160860">
              <w:rPr>
                <w:rFonts w:ascii="Candara" w:eastAsia="Times New Roman" w:hAnsi="Candara"/>
                <w:noProof/>
                <w:sz w:val="18"/>
                <w:szCs w:val="18"/>
                <w:lang w:eastAsia="lv-LV"/>
              </w:rPr>
              <w:drawing>
                <wp:inline distT="0" distB="0" distL="0" distR="0">
                  <wp:extent cx="3057525" cy="1333500"/>
                  <wp:effectExtent l="0" t="0" r="0" b="0"/>
                  <wp:docPr id="344" name="Chart 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tc>
        <w:tc>
          <w:tcPr>
            <w:tcW w:w="5189" w:type="dxa"/>
            <w:gridSpan w:val="2"/>
          </w:tcPr>
          <w:p w:rsidR="00C23A95" w:rsidRPr="00160860" w:rsidP="00762D1E">
            <w:pPr>
              <w:tabs>
                <w:tab w:val="left" w:pos="2791"/>
              </w:tabs>
              <w:spacing w:after="0" w:line="240" w:lineRule="auto"/>
              <w:rPr>
                <w:rFonts w:ascii="Candara" w:hAnsi="Candara"/>
              </w:rPr>
            </w:pPr>
            <w:r>
              <w:rPr>
                <w:noProof/>
                <w:lang w:eastAsia="lv-LV"/>
              </w:rPr>
              <w:drawing>
                <wp:inline distT="0" distB="0" distL="0" distR="0">
                  <wp:extent cx="3057525" cy="1333500"/>
                  <wp:effectExtent l="0" t="0" r="0" b="0"/>
                  <wp:docPr id="732" name="Chart 7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tc>
      </w:tr>
    </w:tbl>
    <w:p w:rsidR="00C23A95" w:rsidRPr="00160860" w:rsidP="00C23A95">
      <w:pPr>
        <w:spacing w:after="0" w:line="240" w:lineRule="auto"/>
        <w:rPr>
          <w:rFonts w:ascii="Candara" w:hAnsi="Candara"/>
          <w:b/>
          <w:color w:val="000000"/>
          <w:szCs w:val="28"/>
        </w:rPr>
      </w:pPr>
    </w:p>
    <w:p w:rsidR="00106824" w:rsidP="00106824">
      <w:pPr>
        <w:spacing w:after="0" w:line="240" w:lineRule="auto"/>
        <w:jc w:val="both"/>
        <w:rPr>
          <w:rFonts w:ascii="Candara" w:hAnsi="Candara"/>
          <w:color w:val="000000"/>
          <w:szCs w:val="28"/>
        </w:rPr>
      </w:pPr>
      <w:r>
        <w:rPr>
          <w:rFonts w:ascii="Candara" w:hAnsi="Candara"/>
          <w:b/>
          <w:color w:val="000000"/>
          <w:szCs w:val="28"/>
          <w:u w:val="single"/>
        </w:rPr>
        <w:t>Nozares īpatsvars tautsaimniecībā, procentos</w:t>
      </w:r>
      <w:r>
        <w:rPr>
          <w:rFonts w:ascii="Candara" w:hAnsi="Candara"/>
          <w:color w:val="000000"/>
          <w:szCs w:val="28"/>
        </w:rPr>
        <w:t>. Nozares īpatsvars kopējā tautsaimniecībā 2005.gadā bija 0,4%. Krīzes laikā īpatsvars nedaudz samazinājās, bet kopš 2010.gada pakāpeniski pieauga, 2015.gadā sasniedzot 0,8%.</w:t>
      </w:r>
    </w:p>
    <w:p w:rsidR="00106824" w:rsidP="00106824">
      <w:pPr>
        <w:spacing w:after="0" w:line="240" w:lineRule="auto"/>
        <w:jc w:val="both"/>
        <w:rPr>
          <w:rFonts w:ascii="Candara" w:hAnsi="Candara"/>
          <w:color w:val="000000"/>
          <w:szCs w:val="28"/>
        </w:rPr>
      </w:pPr>
      <w:r>
        <w:rPr>
          <w:rFonts w:ascii="Candara" w:hAnsi="Candara"/>
          <w:b/>
          <w:color w:val="000000"/>
          <w:szCs w:val="28"/>
          <w:u w:val="single"/>
        </w:rPr>
        <w:t>Pievienotās vērtības un darba vietu skaita izmaiņas, 2005=100.</w:t>
      </w:r>
      <w:r>
        <w:rPr>
          <w:rFonts w:ascii="Candara" w:hAnsi="Candara"/>
          <w:color w:val="000000"/>
          <w:szCs w:val="28"/>
        </w:rPr>
        <w:t xml:space="preserve"> Nozares atkopšanos pēc krīzes sekmēja izaugsme būvniecības nozarē, kā arī pārorientēšanās uz ārējiem tirgiem. Kopš 2014. gada otrās puses būvniecības nozares izaugsme ir palēninājusies, kas atspoguļojas nemetālisko minerālu izstrādājumu ražošanas nozares darbības rādītājos. Savukārt 2015.gadā apjomi saruka par 12%. Salīdzinot ar krīzes zemāko punktu 2009. gadā, nozares izlaides apjomi 2015.gadā bija par 53% augstāki un par 16% pārsniedza pirmskrīzes līmeni.</w:t>
      </w:r>
    </w:p>
    <w:p w:rsidR="00106824" w:rsidP="00106824">
      <w:pPr>
        <w:spacing w:after="0" w:line="240" w:lineRule="auto"/>
        <w:jc w:val="both"/>
        <w:rPr>
          <w:rFonts w:ascii="Candara" w:hAnsi="Candara"/>
          <w:b/>
          <w:color w:val="000000"/>
          <w:szCs w:val="28"/>
          <w:u w:val="single"/>
        </w:rPr>
      </w:pPr>
      <w:r>
        <w:rPr>
          <w:rFonts w:ascii="Candara" w:hAnsi="Candara"/>
          <w:color w:val="000000"/>
          <w:szCs w:val="28"/>
        </w:rPr>
        <w:t>Salīdzinājumā ar ražošanas apjomu kāpumu darbavietu skaits nozarē aug mērenāk, kas liecina par produktivitātes kāpumu. Darbavietu skaits nozarē pēc krīzes pieauga katru gadu, taču 2015. gadā tas samazinājās par 3%. Salīdzinot ar zemāko punktu 2010.gadā, darbavietu skaits bija pieaudzis par 21%.</w:t>
      </w:r>
    </w:p>
    <w:p w:rsidR="00106824" w:rsidP="00106824">
      <w:pPr>
        <w:spacing w:after="0" w:line="240" w:lineRule="auto"/>
        <w:jc w:val="both"/>
        <w:rPr>
          <w:rFonts w:ascii="Candara" w:hAnsi="Candara"/>
          <w:color w:val="000000"/>
          <w:szCs w:val="28"/>
        </w:rPr>
      </w:pPr>
      <w:r>
        <w:rPr>
          <w:rFonts w:ascii="Candara" w:hAnsi="Candara"/>
          <w:b/>
          <w:color w:val="000000"/>
          <w:szCs w:val="28"/>
          <w:u w:val="single"/>
        </w:rPr>
        <w:t>Produkcijas eksports, milj. EUR.</w:t>
      </w:r>
      <w:r>
        <w:rPr>
          <w:rFonts w:ascii="Candara" w:hAnsi="Candara"/>
          <w:color w:val="000000"/>
          <w:szCs w:val="28"/>
        </w:rPr>
        <w:t xml:space="preserve"> Kopš krīzes zemākā punkta 2009. gadā eksportētās produkcijas apjomi ir trīskāršojušies. Pēdējos gados eksporta pieaugums ir kļuvis mērenāks.</w:t>
      </w:r>
    </w:p>
    <w:p w:rsidR="00106824" w:rsidP="00106824">
      <w:pPr>
        <w:spacing w:after="0" w:line="240" w:lineRule="auto"/>
        <w:jc w:val="both"/>
        <w:rPr>
          <w:rFonts w:ascii="Candara" w:hAnsi="Candara"/>
          <w:b/>
          <w:color w:val="000000"/>
          <w:szCs w:val="28"/>
          <w:u w:val="single"/>
        </w:rPr>
      </w:pPr>
      <w:r>
        <w:rPr>
          <w:rFonts w:ascii="Candara" w:hAnsi="Candara"/>
          <w:b/>
          <w:color w:val="000000"/>
          <w:szCs w:val="28"/>
          <w:u w:val="single"/>
        </w:rPr>
        <w:t>Eksports uz 1 strādājošo, tūkst. EUR.</w:t>
      </w:r>
      <w:r>
        <w:rPr>
          <w:rFonts w:ascii="Candara" w:hAnsi="Candara"/>
          <w:color w:val="000000"/>
          <w:szCs w:val="28"/>
        </w:rPr>
        <w:t xml:space="preserve"> Desmit gadu laikā eksporta apjoms uz vienu strādājošo ir pieaudzis vairākkārtīgi.</w:t>
      </w:r>
    </w:p>
    <w:p w:rsidR="00106824" w:rsidP="00106824">
      <w:pPr>
        <w:spacing w:after="0" w:line="240" w:lineRule="auto"/>
        <w:jc w:val="both"/>
        <w:rPr>
          <w:rFonts w:ascii="Candara" w:hAnsi="Candara"/>
          <w:color w:val="000000"/>
          <w:szCs w:val="28"/>
        </w:rPr>
      </w:pPr>
      <w:r>
        <w:rPr>
          <w:rFonts w:ascii="Candara" w:hAnsi="Candara"/>
          <w:b/>
          <w:color w:val="000000"/>
          <w:szCs w:val="28"/>
          <w:u w:val="single"/>
        </w:rPr>
        <w:t>Eksports uz 1 strādājošo ES 28 valstīs, tūkst. EUR.</w:t>
      </w:r>
      <w:r>
        <w:rPr>
          <w:rFonts w:ascii="Candara" w:hAnsi="Candara"/>
          <w:color w:val="000000"/>
          <w:szCs w:val="28"/>
        </w:rPr>
        <w:t xml:space="preserve"> Latvijā eksporta apjoms uz vienu strādājošo nozarē ir nedaudz augstāks nekā Igaunijā un ievērojami augstāks kā Lietuvā.</w:t>
      </w:r>
    </w:p>
    <w:p w:rsidR="00106824" w:rsidP="00106824">
      <w:pPr>
        <w:spacing w:after="0" w:line="240" w:lineRule="auto"/>
        <w:jc w:val="both"/>
        <w:rPr>
          <w:rFonts w:ascii="Candara" w:hAnsi="Candara"/>
          <w:b/>
          <w:color w:val="000000"/>
          <w:szCs w:val="28"/>
          <w:u w:val="single"/>
        </w:rPr>
      </w:pPr>
      <w:r>
        <w:rPr>
          <w:rFonts w:ascii="Candara" w:hAnsi="Candara"/>
          <w:b/>
          <w:color w:val="000000"/>
          <w:szCs w:val="28"/>
          <w:u w:val="single"/>
        </w:rPr>
        <w:t>Eksporta tirgi.</w:t>
      </w:r>
      <w:r>
        <w:rPr>
          <w:rFonts w:ascii="Candara" w:hAnsi="Candara"/>
          <w:color w:val="000000"/>
          <w:szCs w:val="28"/>
        </w:rPr>
        <w:t xml:space="preserve"> Lielākie nozares eksporta tirgi ir Zviedrija, Vācija, Lietuva, Igaunija, Krievija un Somija.</w:t>
      </w:r>
    </w:p>
    <w:p w:rsidR="00106824" w:rsidP="00106824">
      <w:pPr>
        <w:spacing w:after="0" w:line="240" w:lineRule="auto"/>
        <w:jc w:val="both"/>
        <w:rPr>
          <w:rFonts w:ascii="Candara" w:hAnsi="Candara"/>
          <w:b/>
          <w:color w:val="000000"/>
          <w:szCs w:val="28"/>
          <w:u w:val="single"/>
        </w:rPr>
      </w:pPr>
      <w:r>
        <w:rPr>
          <w:rFonts w:ascii="Candara" w:hAnsi="Candara"/>
          <w:b/>
          <w:color w:val="000000"/>
          <w:szCs w:val="28"/>
          <w:u w:val="single"/>
        </w:rPr>
        <w:t>Eksporta struktūra.</w:t>
      </w:r>
      <w:r>
        <w:rPr>
          <w:rFonts w:ascii="Candara" w:hAnsi="Candara"/>
          <w:color w:val="000000"/>
          <w:szCs w:val="28"/>
        </w:rPr>
        <w:t xml:space="preserve"> Latvijā kopš 2005.gada ir samazinājies stikla un tā izstrādājumu īpatsvars eksporta struktūrā, bet pieaudzis cementa un akmens, ģipša u.tml. izstrādājumu eksporta īpatsvars.</w:t>
      </w:r>
    </w:p>
    <w:p w:rsidR="00106824" w:rsidP="00106824">
      <w:pPr>
        <w:spacing w:after="0" w:line="240" w:lineRule="auto"/>
        <w:jc w:val="both"/>
        <w:rPr>
          <w:rFonts w:ascii="Candara" w:hAnsi="Candara"/>
          <w:b/>
          <w:color w:val="000000"/>
          <w:szCs w:val="28"/>
          <w:u w:val="single"/>
        </w:rPr>
      </w:pPr>
      <w:r>
        <w:rPr>
          <w:rFonts w:ascii="Candara" w:hAnsi="Candara"/>
          <w:b/>
          <w:color w:val="000000"/>
          <w:szCs w:val="28"/>
          <w:u w:val="single"/>
        </w:rPr>
        <w:t>Darbaspēka izmaksu dinamika, tūkst.</w:t>
      </w:r>
      <w:r>
        <w:rPr>
          <w:rFonts w:ascii="Candara" w:hAnsi="Candara"/>
          <w:color w:val="000000"/>
          <w:szCs w:val="28"/>
        </w:rPr>
        <w:t xml:space="preserve"> Atsākoties ekonomikas izaugsmei, kopš 2011.gada darba samaksas pieaugums nozarē kļūst arvien straujāks, 2012.gadā darbaspēka izmaksām sasniedzot jau pirmskrīzes perioda līmeni.</w:t>
      </w:r>
    </w:p>
    <w:p w:rsidR="00106824" w:rsidP="00106824">
      <w:pPr>
        <w:spacing w:after="0" w:line="240" w:lineRule="auto"/>
        <w:jc w:val="both"/>
        <w:rPr>
          <w:rFonts w:ascii="Candara" w:hAnsi="Candara"/>
          <w:color w:val="000000"/>
          <w:szCs w:val="28"/>
        </w:rPr>
      </w:pPr>
      <w:r>
        <w:rPr>
          <w:rFonts w:ascii="Candara" w:hAnsi="Candara"/>
          <w:b/>
          <w:color w:val="000000"/>
          <w:szCs w:val="28"/>
          <w:u w:val="single"/>
        </w:rPr>
        <w:t>Produktivitātes dinamika, tūkst.</w:t>
      </w:r>
      <w:r>
        <w:rPr>
          <w:rFonts w:ascii="Candara" w:hAnsi="Candara"/>
          <w:color w:val="000000"/>
          <w:szCs w:val="28"/>
        </w:rPr>
        <w:t xml:space="preserve"> Krīzes laikā un pēckrīzes periodā bija vērojams straujš produktivitātes pieaugums nodarbināto skaita krituma un ražošanas apjomu kāpuma dēļ. Savukārt, pēdējos gados produktivitāte pieaug minimāli. 2015.gadā produktivitāte ir noslīdējusi līdz 2010.gada līmenim.</w:t>
      </w:r>
    </w:p>
    <w:p w:rsidR="00106824" w:rsidP="00106824">
      <w:pPr>
        <w:spacing w:after="0" w:line="240" w:lineRule="auto"/>
        <w:jc w:val="both"/>
        <w:rPr>
          <w:rFonts w:ascii="Candara" w:hAnsi="Candara"/>
          <w:b/>
          <w:color w:val="000000"/>
          <w:szCs w:val="28"/>
          <w:u w:val="single"/>
        </w:rPr>
      </w:pPr>
      <w:r>
        <w:rPr>
          <w:rFonts w:ascii="Candara" w:hAnsi="Candara"/>
          <w:b/>
          <w:color w:val="000000"/>
          <w:szCs w:val="28"/>
          <w:u w:val="single"/>
        </w:rPr>
        <w:t>Produktivitāte un darbaspēka izmaksas.</w:t>
      </w:r>
      <w:r>
        <w:rPr>
          <w:rFonts w:ascii="Candara" w:hAnsi="Candara"/>
          <w:color w:val="000000"/>
          <w:szCs w:val="28"/>
        </w:rPr>
        <w:t xml:space="preserve"> Pēdējos gados nozarē darbaspēka izmaksas pieaug straujāk nekā produktivitāte, kas liecina par cenu konkurētspējas (izmaksu) pazemināšanos. Šīs tendences ir līdzīgas pirms krīzes periodā vērojamām. Ekonomikas lejupslīdes jeb krīzes periodā ULC samazinājās, ko noteica būtisks nodarbināto skaita samazinājums, darbaspēka izmaksām samazinoties straujāk un ražošanas apjomiem samazinoties mazāk nekā nodarbināto skaitam. No 2012.gada līdz 2014.gadam darbaspēka izmaksas pieaug, kamēr produktivitāte praktiski ir saglabājusies 2011.gada līmenī. Šādu nozares attīstības modeli var raksturot kā ekstensīvu. Savukārt 2015.gadā ULC pieaugumam turpinoties, ir vērojama produktivitātes līmeņa samazināšanās.</w:t>
      </w:r>
    </w:p>
    <w:p w:rsidR="00106824" w:rsidP="00106824">
      <w:pPr>
        <w:spacing w:after="0" w:line="240" w:lineRule="auto"/>
        <w:jc w:val="both"/>
        <w:rPr>
          <w:rFonts w:ascii="Candara" w:hAnsi="Candara"/>
          <w:color w:val="000000"/>
          <w:szCs w:val="28"/>
        </w:rPr>
      </w:pPr>
      <w:r>
        <w:rPr>
          <w:rFonts w:ascii="Candara" w:hAnsi="Candara"/>
          <w:b/>
          <w:color w:val="000000"/>
          <w:szCs w:val="28"/>
          <w:u w:val="single"/>
        </w:rPr>
        <w:t>Darbaspēka izmaksas, ES-28=100.</w:t>
      </w:r>
      <w:r>
        <w:rPr>
          <w:rFonts w:ascii="Candara" w:hAnsi="Candara"/>
          <w:color w:val="000000"/>
          <w:szCs w:val="28"/>
        </w:rPr>
        <w:t xml:space="preserve"> Salīdzinot ar darbaspēka izmaksu vidējo līmeni ES, nozarē kopš krīzes tas ir augstāks nekā tautsaimniecībā kopumā un pēdējos gados tas pieaug vairāk tuvojoties ES vidējam līmenim.</w:t>
      </w:r>
    </w:p>
    <w:p w:rsidR="00106824" w:rsidP="00106824">
      <w:pPr>
        <w:spacing w:after="0" w:line="240" w:lineRule="auto"/>
        <w:jc w:val="both"/>
        <w:rPr>
          <w:rFonts w:ascii="Candara" w:hAnsi="Candara"/>
          <w:color w:val="000000"/>
          <w:szCs w:val="28"/>
        </w:rPr>
      </w:pPr>
      <w:r>
        <w:rPr>
          <w:rFonts w:ascii="Candara" w:hAnsi="Candara"/>
          <w:b/>
          <w:color w:val="000000"/>
          <w:szCs w:val="28"/>
          <w:u w:val="single"/>
        </w:rPr>
        <w:t>Produktivitāte, ES-28=100.</w:t>
      </w:r>
      <w:r>
        <w:rPr>
          <w:rFonts w:ascii="Candara" w:hAnsi="Candara"/>
          <w:color w:val="000000"/>
          <w:szCs w:val="28"/>
        </w:rPr>
        <w:t xml:space="preserve"> Salīdzinot ar vidējo līmeni ES, nozarē produktivitātes līmenis kopš krīzes ir augstāks nekā tautsaimniecībā kopumā. Kopš 2011.gada produktivitātes līmenis bija ļoti tuvs ES vidējam līmenim, bet 2014.gadā vērojams tā kritums. </w:t>
      </w:r>
    </w:p>
    <w:p w:rsidR="00106824" w:rsidP="00106824">
      <w:pPr>
        <w:spacing w:after="0" w:line="240" w:lineRule="auto"/>
        <w:jc w:val="both"/>
        <w:rPr>
          <w:rFonts w:ascii="Candara" w:hAnsi="Candara"/>
          <w:color w:val="000000"/>
          <w:szCs w:val="28"/>
        </w:rPr>
      </w:pPr>
      <w:r>
        <w:rPr>
          <w:rFonts w:ascii="Candara" w:hAnsi="Candara"/>
          <w:b/>
          <w:color w:val="000000"/>
          <w:szCs w:val="28"/>
          <w:u w:val="single"/>
        </w:rPr>
        <w:t>Darbaspēka izmaksas, salīdzinot ar ES valstīm, 2015.gadā.</w:t>
      </w:r>
      <w:r>
        <w:rPr>
          <w:rFonts w:ascii="Candara" w:hAnsi="Candara"/>
          <w:color w:val="000000"/>
          <w:szCs w:val="28"/>
        </w:rPr>
        <w:t xml:space="preserve"> Latvijā 2015.gadā darbaspēka izmaksas nozarē bija augstākas nekā Lietuvā, bet zemākas nekā Igaunijā. Kopumā starp ES valstīm Latvija bija 20.vietā.</w:t>
      </w:r>
    </w:p>
    <w:p w:rsidR="00106824" w:rsidP="00106824">
      <w:pPr>
        <w:spacing w:after="0" w:line="240" w:lineRule="auto"/>
        <w:jc w:val="both"/>
        <w:rPr>
          <w:rFonts w:ascii="Candara" w:hAnsi="Candara"/>
          <w:color w:val="000000"/>
          <w:szCs w:val="28"/>
        </w:rPr>
      </w:pPr>
      <w:r>
        <w:rPr>
          <w:rFonts w:ascii="Candara" w:hAnsi="Candara"/>
          <w:b/>
          <w:color w:val="000000"/>
          <w:szCs w:val="28"/>
          <w:u w:val="single"/>
        </w:rPr>
        <w:t>Produktivitāte, salīdzinot ar ES valstīm, 2015.gadā.</w:t>
      </w:r>
      <w:r>
        <w:rPr>
          <w:rFonts w:ascii="Candara" w:hAnsi="Candara"/>
          <w:color w:val="000000"/>
          <w:szCs w:val="28"/>
        </w:rPr>
        <w:t xml:space="preserve"> Latvijā 2015.gadā produktivitāte nozarē bija augstāka nekā Lietuvā un Igaunijā. Kopumā starp ES valstīm Latvija bija 20.vietā.</w:t>
      </w:r>
    </w:p>
    <w:p w:rsidR="00C23A95" w:rsidP="00762D1E">
      <w:pPr>
        <w:spacing w:after="0" w:line="240" w:lineRule="auto"/>
        <w:rPr>
          <w:rFonts w:ascii="Candara" w:hAnsi="Candara"/>
          <w:b/>
          <w:color w:val="000000"/>
          <w:szCs w:val="28"/>
          <w:u w:val="single"/>
        </w:rPr>
      </w:pPr>
      <w:r>
        <w:rPr>
          <w:rFonts w:ascii="Candara" w:hAnsi="Candara"/>
          <w:b/>
          <w:color w:val="000000"/>
          <w:szCs w:val="28"/>
          <w:u w:val="single"/>
        </w:rPr>
        <w:t>Produktivitāte un darbaspēka izmaksas ES-28 valstīs 2010.gadā un 2015.gadā.</w:t>
      </w:r>
      <w:r>
        <w:rPr>
          <w:rFonts w:ascii="Candara" w:hAnsi="Candara"/>
          <w:color w:val="000000"/>
          <w:szCs w:val="28"/>
        </w:rPr>
        <w:t xml:space="preserve"> Darbaspēka izmaksas uz 1 produkcijas vienību (ULC) nozarē Latvijā 2010.gadā bija viens no zemākajiem rādītājiem starp ES valstīm, zemāks tas bija Polijā un Bulgārijā. Latvijā 2015.gadā, salīdzinot ar 2010.gadu ULC ir pieaudzis par 27%, ko noteica darbaspēka izmaksu straujāks kāpums par produktivitātes kāpumu.</w:t>
      </w:r>
      <w:r>
        <w:rPr>
          <w:rFonts w:ascii="Candara" w:hAnsi="Candara"/>
          <w:b/>
          <w:color w:val="000000"/>
          <w:szCs w:val="28"/>
          <w:u w:val="single"/>
        </w:rPr>
        <w:br w:type="page"/>
      </w:r>
    </w:p>
    <w:p w:rsidR="00C23A95" w:rsidRPr="009F39B5" w:rsidP="00C23A95">
      <w:pPr>
        <w:pStyle w:val="Heading1"/>
        <w:jc w:val="center"/>
        <w:rPr>
          <w:b/>
          <w:sz w:val="20"/>
        </w:rPr>
      </w:pPr>
      <w:bookmarkStart w:id="37" w:name="_Toc482792408"/>
      <w:bookmarkStart w:id="38" w:name="_Toc256000010"/>
      <w:bookmarkStart w:id="39" w:name="_Toc256000036"/>
      <w:r w:rsidRPr="009F39B5">
        <w:rPr>
          <w:b/>
          <w:sz w:val="20"/>
        </w:rPr>
        <w:t>C24-25 METĀLU UN METĀLU IZSTRĀDĀJUMU RAŽOŠANA</w:t>
      </w:r>
      <w:bookmarkEnd w:id="39"/>
      <w:bookmarkEnd w:id="38"/>
      <w:bookmarkEnd w:id="37"/>
    </w:p>
    <w:tbl>
      <w:tblPr>
        <w:tblW w:w="10488"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3576"/>
        <w:gridCol w:w="1766"/>
        <w:gridCol w:w="1900"/>
        <w:gridCol w:w="3336"/>
      </w:tblGrid>
      <w:tr w:rsidTr="00C33BEB">
        <w:tblPrEx>
          <w:tblW w:w="10488"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Ex>
        <w:trPr>
          <w:jc w:val="center"/>
        </w:trPr>
        <w:tc>
          <w:tcPr>
            <w:tcW w:w="3576" w:type="dxa"/>
            <w:shd w:val="clear" w:color="auto" w:fill="D9D9D9" w:themeFill="background1" w:themeFillShade="D9"/>
          </w:tcPr>
          <w:p w:rsidR="00C23A95" w:rsidRPr="00111F5D" w:rsidP="00762D1E">
            <w:pPr>
              <w:spacing w:after="0" w:line="240" w:lineRule="auto"/>
              <w:jc w:val="center"/>
              <w:rPr>
                <w:rFonts w:ascii="Candara" w:hAnsi="Candara"/>
                <w:sz w:val="18"/>
                <w:szCs w:val="20"/>
              </w:rPr>
            </w:pPr>
            <w:r w:rsidRPr="00111F5D">
              <w:rPr>
                <w:rFonts w:ascii="Candara" w:hAnsi="Candara"/>
                <w:sz w:val="18"/>
                <w:szCs w:val="20"/>
              </w:rPr>
              <w:t>Nozares īpatsvars tautsaimniecībā</w:t>
            </w:r>
            <w:r w:rsidR="00703211">
              <w:rPr>
                <w:rFonts w:ascii="Candara" w:hAnsi="Candara"/>
                <w:sz w:val="18"/>
                <w:szCs w:val="20"/>
              </w:rPr>
              <w:t xml:space="preserve"> (faktiskajās cenās)</w:t>
            </w:r>
            <w:r w:rsidRPr="00111F5D">
              <w:rPr>
                <w:rFonts w:ascii="Candara" w:hAnsi="Candara"/>
                <w:sz w:val="18"/>
                <w:szCs w:val="20"/>
              </w:rPr>
              <w:t>, %</w:t>
            </w:r>
          </w:p>
        </w:tc>
        <w:tc>
          <w:tcPr>
            <w:tcW w:w="3576" w:type="dxa"/>
            <w:gridSpan w:val="2"/>
            <w:shd w:val="clear" w:color="auto" w:fill="D9D9D9" w:themeFill="background1" w:themeFillShade="D9"/>
          </w:tcPr>
          <w:p w:rsidR="00C23A95" w:rsidRPr="00111F5D" w:rsidP="00762D1E">
            <w:pPr>
              <w:spacing w:after="0" w:line="240" w:lineRule="auto"/>
              <w:jc w:val="center"/>
              <w:rPr>
                <w:rFonts w:ascii="Candara" w:hAnsi="Candara"/>
                <w:sz w:val="18"/>
                <w:szCs w:val="20"/>
              </w:rPr>
            </w:pPr>
            <w:r w:rsidRPr="00111F5D">
              <w:rPr>
                <w:rFonts w:ascii="Candara" w:hAnsi="Candara"/>
                <w:sz w:val="18"/>
                <w:szCs w:val="20"/>
              </w:rPr>
              <w:t>Pievienotās vērtības un darba vietu skaita izmaiņas</w:t>
            </w:r>
            <w:r w:rsidR="007E4C0E">
              <w:rPr>
                <w:rFonts w:ascii="Candara" w:hAnsi="Candara"/>
                <w:sz w:val="18"/>
                <w:szCs w:val="20"/>
              </w:rPr>
              <w:t xml:space="preserve"> (2005=100)</w:t>
            </w:r>
          </w:p>
        </w:tc>
        <w:tc>
          <w:tcPr>
            <w:tcW w:w="3336" w:type="dxa"/>
            <w:shd w:val="clear" w:color="auto" w:fill="D9D9D9" w:themeFill="background1" w:themeFillShade="D9"/>
          </w:tcPr>
          <w:p w:rsidR="00C23A95" w:rsidRPr="00111F5D" w:rsidP="00762D1E">
            <w:pPr>
              <w:spacing w:after="0" w:line="240" w:lineRule="auto"/>
              <w:jc w:val="center"/>
              <w:rPr>
                <w:rFonts w:ascii="Candara" w:hAnsi="Candara"/>
                <w:sz w:val="18"/>
                <w:szCs w:val="20"/>
              </w:rPr>
            </w:pPr>
            <w:r w:rsidRPr="00111F5D">
              <w:rPr>
                <w:rFonts w:ascii="Candara" w:hAnsi="Candara"/>
                <w:sz w:val="18"/>
                <w:szCs w:val="20"/>
              </w:rPr>
              <w:t>Produkcijas eksports</w:t>
            </w:r>
            <w:r w:rsidR="002B71CE">
              <w:rPr>
                <w:rFonts w:ascii="Candara" w:hAnsi="Candara"/>
                <w:sz w:val="18"/>
                <w:szCs w:val="20"/>
              </w:rPr>
              <w:t>,</w:t>
            </w:r>
            <w:r w:rsidRPr="00111F5D">
              <w:rPr>
                <w:rFonts w:ascii="Candara" w:hAnsi="Candara"/>
                <w:sz w:val="18"/>
                <w:szCs w:val="20"/>
              </w:rPr>
              <w:t xml:space="preserve"> milj. EUR</w:t>
            </w:r>
            <w:r w:rsidR="00E75013">
              <w:rPr>
                <w:rFonts w:ascii="Candara" w:hAnsi="Candara"/>
                <w:sz w:val="18"/>
                <w:szCs w:val="20"/>
              </w:rPr>
              <w:t>*</w:t>
            </w:r>
          </w:p>
        </w:tc>
      </w:tr>
      <w:tr w:rsidTr="00C33BEB">
        <w:tblPrEx>
          <w:tblW w:w="10488" w:type="dxa"/>
          <w:jc w:val="center"/>
          <w:tblLook w:val="04A0"/>
        </w:tblPrEx>
        <w:trPr>
          <w:jc w:val="center"/>
        </w:trPr>
        <w:tc>
          <w:tcPr>
            <w:tcW w:w="3576" w:type="dxa"/>
          </w:tcPr>
          <w:p w:rsidR="00C23A95" w:rsidRPr="00111F5D" w:rsidP="00762D1E">
            <w:pPr>
              <w:spacing w:after="0" w:line="240" w:lineRule="auto"/>
              <w:rPr>
                <w:rFonts w:ascii="Candara" w:hAnsi="Candara"/>
              </w:rPr>
            </w:pPr>
            <w:r w:rsidRPr="00111F5D">
              <w:rPr>
                <w:rFonts w:ascii="Candara" w:hAnsi="Candara"/>
                <w:noProof/>
                <w:sz w:val="18"/>
                <w:szCs w:val="18"/>
                <w:lang w:eastAsia="lv-LV"/>
              </w:rPr>
              <w:drawing>
                <wp:inline distT="0" distB="0" distL="0" distR="0">
                  <wp:extent cx="2133600" cy="990600"/>
                  <wp:effectExtent l="0" t="0" r="0" b="0"/>
                  <wp:docPr id="346"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tc>
        <w:tc>
          <w:tcPr>
            <w:tcW w:w="3576" w:type="dxa"/>
            <w:gridSpan w:val="2"/>
          </w:tcPr>
          <w:p w:rsidR="00C23A95" w:rsidRPr="00111F5D" w:rsidP="00762D1E">
            <w:pPr>
              <w:spacing w:after="0" w:line="240" w:lineRule="auto"/>
              <w:jc w:val="center"/>
              <w:rPr>
                <w:rFonts w:ascii="Candara" w:hAnsi="Candara"/>
              </w:rPr>
            </w:pPr>
            <w:r w:rsidRPr="00111F5D">
              <w:rPr>
                <w:rFonts w:ascii="Candara" w:eastAsia="Times New Roman" w:hAnsi="Candara"/>
                <w:noProof/>
                <w:sz w:val="18"/>
                <w:szCs w:val="18"/>
                <w:lang w:eastAsia="lv-LV"/>
              </w:rPr>
              <w:drawing>
                <wp:inline distT="0" distB="0" distL="0" distR="0">
                  <wp:extent cx="2098072" cy="1054645"/>
                  <wp:effectExtent l="0" t="0" r="0" b="0"/>
                  <wp:docPr id="347" name="Chart 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tc>
        <w:tc>
          <w:tcPr>
            <w:tcW w:w="3336" w:type="dxa"/>
          </w:tcPr>
          <w:p w:rsidR="00C23A95" w:rsidP="00762D1E">
            <w:pPr>
              <w:spacing w:after="0" w:line="240" w:lineRule="auto"/>
              <w:rPr>
                <w:rFonts w:ascii="Candara" w:hAnsi="Candara"/>
              </w:rPr>
            </w:pPr>
            <w:r w:rsidRPr="00111F5D">
              <w:rPr>
                <w:rFonts w:ascii="Arial Narrow" w:hAnsi="Arial Narrow"/>
                <w:b/>
                <w:noProof/>
                <w:sz w:val="20"/>
                <w:szCs w:val="20"/>
                <w:lang w:eastAsia="lv-LV"/>
              </w:rPr>
              <w:drawing>
                <wp:inline distT="0" distB="0" distL="0" distR="0">
                  <wp:extent cx="1981200" cy="930257"/>
                  <wp:effectExtent l="0" t="0" r="0" b="0"/>
                  <wp:docPr id="348"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E75013" w:rsidRPr="00111F5D" w:rsidP="00762D1E">
            <w:pPr>
              <w:spacing w:after="0" w:line="240" w:lineRule="auto"/>
              <w:rPr>
                <w:rFonts w:ascii="Candara" w:hAnsi="Candara"/>
              </w:rPr>
            </w:pPr>
            <w:r w:rsidRPr="00E75013">
              <w:rPr>
                <w:rFonts w:ascii="Candara" w:hAnsi="Candara"/>
                <w:sz w:val="14"/>
                <w:szCs w:val="14"/>
              </w:rPr>
              <w:t>* EM novērtējums pēc KN produktu klasifikācijas</w:t>
            </w:r>
          </w:p>
        </w:tc>
      </w:tr>
      <w:tr w:rsidTr="00C33BEB">
        <w:tblPrEx>
          <w:tblW w:w="10488" w:type="dxa"/>
          <w:jc w:val="center"/>
          <w:tblLook w:val="04A0"/>
        </w:tblPrEx>
        <w:trPr>
          <w:jc w:val="center"/>
        </w:trPr>
        <w:tc>
          <w:tcPr>
            <w:tcW w:w="3576" w:type="dxa"/>
            <w:shd w:val="clear" w:color="auto" w:fill="D9D9D9" w:themeFill="background1" w:themeFillShade="D9"/>
          </w:tcPr>
          <w:p w:rsidR="00C23A95" w:rsidRPr="00111F5D" w:rsidP="00762D1E">
            <w:pPr>
              <w:spacing w:after="0" w:line="240" w:lineRule="auto"/>
              <w:jc w:val="center"/>
              <w:rPr>
                <w:rFonts w:ascii="Candara" w:hAnsi="Candara"/>
                <w:sz w:val="18"/>
              </w:rPr>
            </w:pPr>
            <w:r w:rsidRPr="00111F5D">
              <w:rPr>
                <w:rFonts w:ascii="Candara" w:hAnsi="Candara"/>
                <w:sz w:val="18"/>
                <w:szCs w:val="20"/>
              </w:rPr>
              <w:t>Eksports uz 1 strādājošo, tūkst. EUR</w:t>
            </w:r>
          </w:p>
        </w:tc>
        <w:tc>
          <w:tcPr>
            <w:tcW w:w="6912" w:type="dxa"/>
            <w:gridSpan w:val="3"/>
            <w:shd w:val="clear" w:color="auto" w:fill="D9D9D9" w:themeFill="background1" w:themeFillShade="D9"/>
          </w:tcPr>
          <w:p w:rsidR="00C23A95" w:rsidRPr="00111F5D" w:rsidP="00762D1E">
            <w:pPr>
              <w:spacing w:after="0" w:line="240" w:lineRule="auto"/>
              <w:jc w:val="center"/>
              <w:rPr>
                <w:rFonts w:ascii="Candara" w:hAnsi="Candara"/>
                <w:sz w:val="18"/>
              </w:rPr>
            </w:pPr>
            <w:r w:rsidRPr="00111F5D">
              <w:rPr>
                <w:rFonts w:ascii="Candara" w:hAnsi="Candara"/>
                <w:sz w:val="18"/>
                <w:szCs w:val="20"/>
              </w:rPr>
              <w:t>Eksports uz 1 strādājošo ES</w:t>
            </w:r>
            <w:r w:rsidR="008F4DF5">
              <w:rPr>
                <w:rFonts w:ascii="Candara" w:hAnsi="Candara"/>
                <w:sz w:val="18"/>
                <w:szCs w:val="20"/>
              </w:rPr>
              <w:t>-</w:t>
            </w:r>
            <w:r w:rsidRPr="00111F5D">
              <w:rPr>
                <w:rFonts w:ascii="Candara" w:hAnsi="Candara"/>
                <w:sz w:val="18"/>
                <w:szCs w:val="20"/>
              </w:rPr>
              <w:t>28 valstīs, tūkst. EUR</w:t>
            </w:r>
          </w:p>
        </w:tc>
      </w:tr>
      <w:tr w:rsidTr="00C33BEB">
        <w:tblPrEx>
          <w:tblW w:w="10488" w:type="dxa"/>
          <w:jc w:val="center"/>
          <w:tblLook w:val="04A0"/>
        </w:tblPrEx>
        <w:trPr>
          <w:jc w:val="center"/>
        </w:trPr>
        <w:tc>
          <w:tcPr>
            <w:tcW w:w="3576" w:type="dxa"/>
          </w:tcPr>
          <w:p w:rsidR="00C23A95" w:rsidRPr="00111F5D" w:rsidP="00762D1E">
            <w:pPr>
              <w:spacing w:after="0" w:line="240" w:lineRule="auto"/>
              <w:jc w:val="center"/>
              <w:rPr>
                <w:rFonts w:ascii="Candara" w:hAnsi="Candara"/>
              </w:rPr>
            </w:pPr>
            <w:r w:rsidRPr="00111F5D">
              <w:rPr>
                <w:rFonts w:ascii="Candara" w:hAnsi="Candara"/>
                <w:noProof/>
                <w:sz w:val="18"/>
                <w:szCs w:val="18"/>
                <w:lang w:eastAsia="lv-LV"/>
              </w:rPr>
              <w:drawing>
                <wp:inline distT="0" distB="0" distL="0" distR="0">
                  <wp:extent cx="2133600" cy="1171575"/>
                  <wp:effectExtent l="0" t="0" r="0" b="0"/>
                  <wp:docPr id="349"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tc>
        <w:tc>
          <w:tcPr>
            <w:tcW w:w="6912" w:type="dxa"/>
            <w:gridSpan w:val="3"/>
          </w:tcPr>
          <w:p w:rsidR="00C23A95" w:rsidRPr="00111F5D" w:rsidP="00762D1E">
            <w:pPr>
              <w:spacing w:after="0" w:line="240" w:lineRule="auto"/>
              <w:jc w:val="center"/>
              <w:rPr>
                <w:rFonts w:ascii="Candara" w:hAnsi="Candara"/>
              </w:rPr>
            </w:pPr>
            <w:r w:rsidRPr="00111F5D">
              <w:rPr>
                <w:noProof/>
                <w:lang w:eastAsia="lv-LV"/>
              </w:rPr>
              <w:drawing>
                <wp:inline distT="0" distB="0" distL="0" distR="0">
                  <wp:extent cx="4114800" cy="1171575"/>
                  <wp:effectExtent l="0" t="0" r="0" b="0"/>
                  <wp:docPr id="350" name="Chart 3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tc>
      </w:tr>
      <w:tr w:rsidTr="00C33BEB">
        <w:tblPrEx>
          <w:tblW w:w="10488" w:type="dxa"/>
          <w:jc w:val="center"/>
          <w:tblLook w:val="04A0"/>
        </w:tblPrEx>
        <w:trPr>
          <w:jc w:val="center"/>
        </w:trPr>
        <w:tc>
          <w:tcPr>
            <w:tcW w:w="3576" w:type="dxa"/>
            <w:shd w:val="clear" w:color="auto" w:fill="D9D9D9" w:themeFill="background1" w:themeFillShade="D9"/>
          </w:tcPr>
          <w:p w:rsidR="00C23A95" w:rsidRPr="00111F5D" w:rsidP="00762D1E">
            <w:pPr>
              <w:spacing w:after="0" w:line="240" w:lineRule="auto"/>
              <w:jc w:val="center"/>
              <w:rPr>
                <w:rFonts w:ascii="Candara" w:hAnsi="Candara"/>
                <w:sz w:val="18"/>
                <w:szCs w:val="20"/>
              </w:rPr>
            </w:pPr>
            <w:r w:rsidRPr="00111F5D">
              <w:rPr>
                <w:rFonts w:ascii="Candara" w:hAnsi="Candara"/>
                <w:sz w:val="18"/>
                <w:szCs w:val="20"/>
              </w:rPr>
              <w:t>Eksporta tirgi</w:t>
            </w:r>
            <w:r w:rsidR="00B137EC">
              <w:rPr>
                <w:rFonts w:ascii="Candara" w:hAnsi="Candara"/>
                <w:sz w:val="18"/>
                <w:szCs w:val="20"/>
              </w:rPr>
              <w:t>, 2016</w:t>
            </w:r>
            <w:r w:rsidR="00472112">
              <w:rPr>
                <w:rFonts w:ascii="Candara" w:hAnsi="Candara"/>
                <w:sz w:val="18"/>
                <w:szCs w:val="20"/>
              </w:rPr>
              <w:t>.g.</w:t>
            </w:r>
          </w:p>
        </w:tc>
        <w:tc>
          <w:tcPr>
            <w:tcW w:w="6912" w:type="dxa"/>
            <w:gridSpan w:val="3"/>
            <w:shd w:val="clear" w:color="auto" w:fill="D9D9D9" w:themeFill="background1" w:themeFillShade="D9"/>
          </w:tcPr>
          <w:p w:rsidR="00C23A95" w:rsidRPr="00111F5D" w:rsidP="00762D1E">
            <w:pPr>
              <w:spacing w:after="0" w:line="240" w:lineRule="auto"/>
              <w:jc w:val="center"/>
              <w:rPr>
                <w:rFonts w:ascii="Candara" w:hAnsi="Candara"/>
                <w:sz w:val="18"/>
              </w:rPr>
            </w:pPr>
            <w:r w:rsidRPr="00111F5D">
              <w:rPr>
                <w:rFonts w:ascii="Candara" w:hAnsi="Candara"/>
                <w:sz w:val="18"/>
                <w:szCs w:val="20"/>
              </w:rPr>
              <w:t>Eksporta struktūra</w:t>
            </w:r>
          </w:p>
        </w:tc>
      </w:tr>
      <w:tr w:rsidTr="00C33BEB">
        <w:tblPrEx>
          <w:tblW w:w="10488" w:type="dxa"/>
          <w:jc w:val="center"/>
          <w:tblLook w:val="04A0"/>
        </w:tblPrEx>
        <w:trPr>
          <w:jc w:val="center"/>
        </w:trPr>
        <w:tc>
          <w:tcPr>
            <w:tcW w:w="3576" w:type="dxa"/>
          </w:tcPr>
          <w:p w:rsidR="00C23A95" w:rsidRPr="00B612F1" w:rsidP="00762D1E">
            <w:pPr>
              <w:spacing w:after="0" w:line="240" w:lineRule="auto"/>
              <w:jc w:val="center"/>
              <w:rPr>
                <w:rFonts w:ascii="Candara" w:hAnsi="Candara"/>
                <w:b/>
                <w:szCs w:val="28"/>
              </w:rPr>
            </w:pPr>
            <w:r w:rsidRPr="004F3DC7">
              <w:rPr>
                <w:noProof/>
                <w:sz w:val="18"/>
                <w:szCs w:val="18"/>
                <w:lang w:eastAsia="lv-LV"/>
              </w:rPr>
              <w:drawing>
                <wp:inline distT="0" distB="0" distL="0" distR="0">
                  <wp:extent cx="1657350" cy="1368000"/>
                  <wp:effectExtent l="0" t="0" r="0" b="0"/>
                  <wp:docPr id="351"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tc>
        <w:tc>
          <w:tcPr>
            <w:tcW w:w="6912" w:type="dxa"/>
            <w:gridSpan w:val="3"/>
          </w:tcPr>
          <w:p w:rsidR="00C23A95" w:rsidRPr="004B5C57" w:rsidP="00762D1E">
            <w:pPr>
              <w:tabs>
                <w:tab w:val="left" w:pos="8080"/>
              </w:tabs>
              <w:spacing w:after="0" w:line="240" w:lineRule="auto"/>
              <w:ind w:right="-31"/>
              <w:jc w:val="center"/>
              <w:rPr>
                <w:sz w:val="18"/>
              </w:rPr>
            </w:pPr>
            <w:r w:rsidRPr="004B5C57">
              <w:rPr>
                <w:sz w:val="18"/>
              </w:rPr>
              <w:t xml:space="preserve">Latvija </w:t>
            </w:r>
            <w:r>
              <w:rPr>
                <w:sz w:val="18"/>
              </w:rPr>
              <w:t xml:space="preserve">                                                                                      </w:t>
            </w:r>
            <w:r w:rsidRPr="004B5C57">
              <w:rPr>
                <w:sz w:val="18"/>
              </w:rPr>
              <w:t>ES-28</w:t>
            </w:r>
          </w:p>
          <w:p w:rsidR="00C23A95" w:rsidRPr="004B5C57" w:rsidP="00762D1E">
            <w:pPr>
              <w:tabs>
                <w:tab w:val="left" w:pos="8080"/>
              </w:tabs>
              <w:spacing w:after="0" w:line="240" w:lineRule="auto"/>
              <w:ind w:right="-31"/>
            </w:pPr>
            <w:r>
              <w:rPr>
                <w:noProof/>
                <w:lang w:eastAsia="lv-LV"/>
              </w:rPr>
              <w:drawing>
                <wp:inline distT="0" distB="0" distL="0" distR="0">
                  <wp:extent cx="2617393" cy="1242725"/>
                  <wp:effectExtent l="0" t="0" r="0" b="0"/>
                  <wp:docPr id="352" name="Chart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r>
              <w:rPr>
                <w:noProof/>
                <w:lang w:eastAsia="lv-LV"/>
              </w:rPr>
              <w:drawing>
                <wp:inline distT="0" distB="0" distL="0" distR="0">
                  <wp:extent cx="1356258" cy="1242725"/>
                  <wp:effectExtent l="0" t="0" r="0" b="0"/>
                  <wp:docPr id="353" name="Chart 3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tc>
      </w:tr>
      <w:tr w:rsidTr="00C33BEB">
        <w:tblPrEx>
          <w:tblW w:w="10488" w:type="dxa"/>
          <w:jc w:val="center"/>
          <w:tblLook w:val="04A0"/>
        </w:tblPrEx>
        <w:trPr>
          <w:jc w:val="center"/>
        </w:trPr>
        <w:tc>
          <w:tcPr>
            <w:tcW w:w="3576" w:type="dxa"/>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Darbaspēka izmaksu dinamika</w:t>
            </w:r>
            <w:r>
              <w:rPr>
                <w:rFonts w:ascii="Candara" w:hAnsi="Candara"/>
                <w:sz w:val="18"/>
                <w:szCs w:val="20"/>
              </w:rPr>
              <w:t>, tūkst. EUR</w:t>
            </w:r>
          </w:p>
        </w:tc>
        <w:tc>
          <w:tcPr>
            <w:tcW w:w="3576" w:type="dxa"/>
            <w:gridSpan w:val="2"/>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Produktivitātes dinamika</w:t>
            </w:r>
            <w:r>
              <w:rPr>
                <w:rFonts w:ascii="Candara" w:hAnsi="Candara"/>
                <w:sz w:val="18"/>
                <w:szCs w:val="20"/>
              </w:rPr>
              <w:t>, tūkst. EUR</w:t>
            </w:r>
          </w:p>
        </w:tc>
        <w:tc>
          <w:tcPr>
            <w:tcW w:w="3336" w:type="dxa"/>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Produktivitāte un darbaspēka izmaksas</w:t>
            </w:r>
          </w:p>
        </w:tc>
      </w:tr>
      <w:tr w:rsidTr="00C33BEB">
        <w:tblPrEx>
          <w:tblW w:w="10488" w:type="dxa"/>
          <w:jc w:val="center"/>
          <w:tblLook w:val="04A0"/>
        </w:tblPrEx>
        <w:trPr>
          <w:jc w:val="center"/>
        </w:trPr>
        <w:tc>
          <w:tcPr>
            <w:tcW w:w="3576" w:type="dxa"/>
          </w:tcPr>
          <w:p w:rsidR="00C23A95" w:rsidP="00762D1E">
            <w:pPr>
              <w:spacing w:after="0" w:line="240" w:lineRule="auto"/>
              <w:jc w:val="center"/>
              <w:rPr>
                <w:rFonts w:ascii="Candara" w:hAnsi="Candara"/>
              </w:rPr>
            </w:pPr>
            <w:r w:rsidRPr="00B612F1">
              <w:rPr>
                <w:rFonts w:ascii="Candara" w:hAnsi="Candara"/>
                <w:noProof/>
                <w:sz w:val="18"/>
                <w:szCs w:val="18"/>
                <w:lang w:eastAsia="lv-LV"/>
              </w:rPr>
              <w:drawing>
                <wp:inline distT="0" distB="0" distL="0" distR="0">
                  <wp:extent cx="2133600" cy="1054100"/>
                  <wp:effectExtent l="0" t="0" r="0" b="0"/>
                  <wp:docPr id="354"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tc>
        <w:tc>
          <w:tcPr>
            <w:tcW w:w="3576" w:type="dxa"/>
            <w:gridSpan w:val="2"/>
          </w:tcPr>
          <w:p w:rsidR="00C23A95" w:rsidP="00762D1E">
            <w:pPr>
              <w:spacing w:after="0" w:line="240" w:lineRule="auto"/>
              <w:jc w:val="center"/>
              <w:rPr>
                <w:rFonts w:ascii="Candara" w:hAnsi="Candara"/>
              </w:rPr>
            </w:pPr>
            <w:r w:rsidRPr="00B612F1">
              <w:rPr>
                <w:rFonts w:ascii="Candara" w:hAnsi="Candara"/>
                <w:noProof/>
                <w:sz w:val="18"/>
                <w:szCs w:val="18"/>
                <w:lang w:eastAsia="lv-LV"/>
              </w:rPr>
              <w:drawing>
                <wp:inline distT="0" distB="0" distL="0" distR="0">
                  <wp:extent cx="2133600" cy="1060450"/>
                  <wp:effectExtent l="0" t="0" r="0" b="6350"/>
                  <wp:docPr id="355"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tc>
        <w:tc>
          <w:tcPr>
            <w:tcW w:w="3336" w:type="dxa"/>
            <w:vMerge w:val="restart"/>
          </w:tcPr>
          <w:p w:rsidR="00C23A95" w:rsidP="00762D1E">
            <w:pPr>
              <w:spacing w:after="0" w:line="240" w:lineRule="auto"/>
              <w:jc w:val="center"/>
              <w:rPr>
                <w:rFonts w:ascii="Candara" w:hAnsi="Candara"/>
              </w:rPr>
            </w:pPr>
            <w:r w:rsidRPr="00B612F1">
              <w:rPr>
                <w:rFonts w:ascii="Candara" w:eastAsia="Times New Roman" w:hAnsi="Candara"/>
                <w:noProof/>
                <w:sz w:val="18"/>
                <w:szCs w:val="18"/>
                <w:lang w:eastAsia="lv-LV"/>
              </w:rPr>
              <w:drawing>
                <wp:inline distT="0" distB="0" distL="0" distR="0">
                  <wp:extent cx="1847850" cy="2228850"/>
                  <wp:effectExtent l="0" t="0" r="0" b="0"/>
                  <wp:docPr id="356" name="Chart 3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tc>
      </w:tr>
      <w:tr w:rsidTr="00C33BEB">
        <w:tblPrEx>
          <w:tblW w:w="10488" w:type="dxa"/>
          <w:jc w:val="center"/>
          <w:tblLook w:val="04A0"/>
        </w:tblPrEx>
        <w:trPr>
          <w:jc w:val="center"/>
        </w:trPr>
        <w:tc>
          <w:tcPr>
            <w:tcW w:w="3576" w:type="dxa"/>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Darbaspēka izmaksas, ES-28=100</w:t>
            </w:r>
          </w:p>
        </w:tc>
        <w:tc>
          <w:tcPr>
            <w:tcW w:w="3576" w:type="dxa"/>
            <w:gridSpan w:val="2"/>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Produktivitāte, ES-28=100</w:t>
            </w:r>
          </w:p>
        </w:tc>
        <w:tc>
          <w:tcPr>
            <w:tcW w:w="3336" w:type="dxa"/>
            <w:vMerge/>
            <w:shd w:val="clear" w:color="auto" w:fill="D9D9D9" w:themeFill="background1" w:themeFillShade="D9"/>
          </w:tcPr>
          <w:p w:rsidR="00C23A95" w:rsidRPr="00483382" w:rsidP="003A2C2A">
            <w:pPr>
              <w:jc w:val="center"/>
              <w:rPr>
                <w:rFonts w:ascii="Candara" w:hAnsi="Candara"/>
                <w:sz w:val="18"/>
              </w:rPr>
            </w:pPr>
          </w:p>
        </w:tc>
      </w:tr>
      <w:tr w:rsidTr="00C33BEB">
        <w:tblPrEx>
          <w:tblW w:w="10488" w:type="dxa"/>
          <w:jc w:val="center"/>
          <w:tblLook w:val="04A0"/>
        </w:tblPrEx>
        <w:trPr>
          <w:jc w:val="center"/>
        </w:trPr>
        <w:tc>
          <w:tcPr>
            <w:tcW w:w="3576" w:type="dxa"/>
          </w:tcPr>
          <w:p w:rsidR="00C23A95" w:rsidP="00762D1E">
            <w:pPr>
              <w:spacing w:after="0" w:line="240" w:lineRule="auto"/>
              <w:jc w:val="center"/>
              <w:rPr>
                <w:rFonts w:ascii="Candara" w:hAnsi="Candara"/>
              </w:rPr>
            </w:pPr>
            <w:r w:rsidRPr="00B41842">
              <w:rPr>
                <w:rFonts w:ascii="Arial Narrow" w:hAnsi="Arial Narrow"/>
                <w:noProof/>
                <w:lang w:eastAsia="lv-LV"/>
              </w:rPr>
              <w:drawing>
                <wp:inline distT="0" distB="0" distL="0" distR="0">
                  <wp:extent cx="2124075" cy="1057275"/>
                  <wp:effectExtent l="0" t="0" r="0" b="0"/>
                  <wp:docPr id="35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tc>
        <w:tc>
          <w:tcPr>
            <w:tcW w:w="3576" w:type="dxa"/>
            <w:gridSpan w:val="2"/>
          </w:tcPr>
          <w:p w:rsidR="00C23A95" w:rsidP="00762D1E">
            <w:pPr>
              <w:spacing w:after="0" w:line="240" w:lineRule="auto"/>
              <w:jc w:val="center"/>
              <w:rPr>
                <w:rFonts w:ascii="Candara" w:hAnsi="Candara"/>
              </w:rPr>
            </w:pPr>
            <w:r w:rsidRPr="00123E9E">
              <w:rPr>
                <w:rFonts w:ascii="Arial Narrow" w:hAnsi="Arial Narrow"/>
                <w:noProof/>
                <w:lang w:eastAsia="lv-LV"/>
              </w:rPr>
              <w:drawing>
                <wp:inline distT="0" distB="0" distL="0" distR="0">
                  <wp:extent cx="2190750" cy="1057275"/>
                  <wp:effectExtent l="0" t="0" r="0" b="0"/>
                  <wp:docPr id="35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tc>
        <w:tc>
          <w:tcPr>
            <w:tcW w:w="3336" w:type="dxa"/>
            <w:vMerge/>
          </w:tcPr>
          <w:p w:rsidR="00C23A95" w:rsidP="003A2C2A">
            <w:pPr>
              <w:jc w:val="center"/>
              <w:rPr>
                <w:rFonts w:ascii="Candara" w:hAnsi="Candara"/>
              </w:rPr>
            </w:pPr>
          </w:p>
        </w:tc>
      </w:tr>
      <w:tr w:rsidTr="00C33BEB">
        <w:tblPrEx>
          <w:tblW w:w="10488" w:type="dxa"/>
          <w:jc w:val="center"/>
          <w:tblLook w:val="04A0"/>
        </w:tblPrEx>
        <w:trPr>
          <w:jc w:val="center"/>
        </w:trPr>
        <w:tc>
          <w:tcPr>
            <w:tcW w:w="5299" w:type="dxa"/>
            <w:gridSpan w:val="2"/>
            <w:shd w:val="clear" w:color="auto" w:fill="D9D9D9" w:themeFill="background1" w:themeFillShade="D9"/>
          </w:tcPr>
          <w:p w:rsidR="00C23A95" w:rsidRPr="00483382" w:rsidP="00762D1E">
            <w:pPr>
              <w:spacing w:after="0" w:line="240" w:lineRule="auto"/>
              <w:jc w:val="center"/>
              <w:rPr>
                <w:rFonts w:ascii="Candara" w:hAnsi="Candara"/>
                <w:sz w:val="18"/>
                <w:szCs w:val="20"/>
              </w:rPr>
            </w:pPr>
            <w:r w:rsidRPr="00483382">
              <w:rPr>
                <w:rFonts w:ascii="Candara" w:hAnsi="Candara"/>
                <w:sz w:val="18"/>
                <w:szCs w:val="20"/>
              </w:rPr>
              <w:t>Darbaspēka izmaksas</w:t>
            </w:r>
            <w:r w:rsidR="00F35BE1">
              <w:rPr>
                <w:rFonts w:ascii="Candara" w:hAnsi="Candara"/>
                <w:sz w:val="18"/>
                <w:szCs w:val="20"/>
              </w:rPr>
              <w:t xml:space="preserve"> uz 1 nodarbināto</w:t>
            </w:r>
            <w:r w:rsidR="00760613">
              <w:rPr>
                <w:rFonts w:ascii="Candara" w:hAnsi="Candara"/>
                <w:sz w:val="18"/>
                <w:szCs w:val="20"/>
              </w:rPr>
              <w:t xml:space="preserve"> 2015</w:t>
            </w:r>
            <w:r w:rsidR="001E321A">
              <w:rPr>
                <w:rFonts w:ascii="Candara" w:hAnsi="Candara"/>
                <w:sz w:val="18"/>
                <w:szCs w:val="20"/>
              </w:rPr>
              <w:t>.g.</w:t>
            </w:r>
            <w:r>
              <w:rPr>
                <w:rFonts w:ascii="Candara" w:hAnsi="Candara"/>
                <w:sz w:val="18"/>
                <w:szCs w:val="20"/>
              </w:rPr>
              <w:t>, tūkst. EUR</w:t>
            </w:r>
          </w:p>
        </w:tc>
        <w:tc>
          <w:tcPr>
            <w:tcW w:w="5189" w:type="dxa"/>
            <w:gridSpan w:val="2"/>
            <w:shd w:val="clear" w:color="auto" w:fill="D9D9D9" w:themeFill="background1" w:themeFillShade="D9"/>
          </w:tcPr>
          <w:p w:rsidR="00C23A95" w:rsidRPr="00483382" w:rsidP="00762D1E">
            <w:pPr>
              <w:spacing w:after="0" w:line="240" w:lineRule="auto"/>
              <w:jc w:val="center"/>
              <w:rPr>
                <w:rFonts w:ascii="Candara" w:hAnsi="Candara"/>
                <w:sz w:val="18"/>
                <w:szCs w:val="20"/>
              </w:rPr>
            </w:pPr>
            <w:r w:rsidRPr="00483382">
              <w:rPr>
                <w:rFonts w:ascii="Candara" w:hAnsi="Candara"/>
                <w:sz w:val="18"/>
                <w:szCs w:val="20"/>
              </w:rPr>
              <w:t>Produktivitāte</w:t>
            </w:r>
            <w:r w:rsidR="001E321A">
              <w:rPr>
                <w:rFonts w:ascii="Candara" w:hAnsi="Candara"/>
                <w:sz w:val="18"/>
                <w:szCs w:val="20"/>
              </w:rPr>
              <w:t xml:space="preserve"> (PV uz 1 nodarbināto) 201</w:t>
            </w:r>
            <w:r w:rsidR="00D65D1F">
              <w:rPr>
                <w:rFonts w:ascii="Candara" w:hAnsi="Candara"/>
                <w:sz w:val="18"/>
                <w:szCs w:val="20"/>
              </w:rPr>
              <w:t>5</w:t>
            </w:r>
            <w:r w:rsidR="001E321A">
              <w:rPr>
                <w:rFonts w:ascii="Candara" w:hAnsi="Candara"/>
                <w:sz w:val="18"/>
                <w:szCs w:val="20"/>
              </w:rPr>
              <w:t>.g.</w:t>
            </w:r>
            <w:r>
              <w:rPr>
                <w:rFonts w:ascii="Candara" w:hAnsi="Candara"/>
                <w:sz w:val="18"/>
                <w:szCs w:val="20"/>
              </w:rPr>
              <w:t>, tūkst. EUR</w:t>
            </w:r>
          </w:p>
        </w:tc>
      </w:tr>
      <w:tr w:rsidTr="00C33BEB">
        <w:tblPrEx>
          <w:tblW w:w="10488" w:type="dxa"/>
          <w:jc w:val="center"/>
          <w:tblLook w:val="04A0"/>
        </w:tblPrEx>
        <w:trPr>
          <w:jc w:val="center"/>
        </w:trPr>
        <w:tc>
          <w:tcPr>
            <w:tcW w:w="5299" w:type="dxa"/>
            <w:gridSpan w:val="2"/>
          </w:tcPr>
          <w:p w:rsidR="00C23A95" w:rsidP="00762D1E">
            <w:pPr>
              <w:spacing w:after="0" w:line="240" w:lineRule="auto"/>
              <w:jc w:val="center"/>
              <w:rPr>
                <w:rFonts w:ascii="Candara" w:hAnsi="Candara"/>
              </w:rPr>
            </w:pPr>
            <w:r w:rsidRPr="00421CA2">
              <w:rPr>
                <w:noProof/>
                <w:lang w:eastAsia="lv-LV"/>
              </w:rPr>
              <w:drawing>
                <wp:inline distT="0" distB="0" distL="0" distR="0">
                  <wp:extent cx="3152775" cy="1171575"/>
                  <wp:effectExtent l="0" t="0" r="0" b="0"/>
                  <wp:docPr id="359" name="Chart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tc>
        <w:tc>
          <w:tcPr>
            <w:tcW w:w="5189" w:type="dxa"/>
            <w:gridSpan w:val="2"/>
          </w:tcPr>
          <w:p w:rsidR="00C23A95" w:rsidP="00762D1E">
            <w:pPr>
              <w:spacing w:after="0" w:line="240" w:lineRule="auto"/>
              <w:jc w:val="center"/>
              <w:rPr>
                <w:rFonts w:ascii="Candara" w:hAnsi="Candara"/>
              </w:rPr>
            </w:pPr>
            <w:r w:rsidRPr="00421CA2">
              <w:rPr>
                <w:noProof/>
                <w:lang w:eastAsia="lv-LV"/>
              </w:rPr>
              <w:drawing>
                <wp:inline distT="0" distB="0" distL="0" distR="0">
                  <wp:extent cx="3152775" cy="1171575"/>
                  <wp:effectExtent l="0" t="0" r="0" b="0"/>
                  <wp:docPr id="360" name="Chart 3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tc>
      </w:tr>
      <w:tr w:rsidTr="00C33BEB">
        <w:tblPrEx>
          <w:tblW w:w="10488" w:type="dxa"/>
          <w:jc w:val="center"/>
          <w:tblLook w:val="04A0"/>
        </w:tblPrEx>
        <w:trPr>
          <w:jc w:val="center"/>
        </w:trPr>
        <w:tc>
          <w:tcPr>
            <w:tcW w:w="5299" w:type="dxa"/>
            <w:gridSpan w:val="2"/>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Produktivitāte un darbaspēka izmaksas ES-28 valstīs 2010.g</w:t>
            </w:r>
            <w:r w:rsidR="002B71CE">
              <w:rPr>
                <w:rFonts w:ascii="Candara" w:hAnsi="Candara"/>
                <w:sz w:val="18"/>
                <w:szCs w:val="20"/>
              </w:rPr>
              <w:t>.</w:t>
            </w:r>
          </w:p>
        </w:tc>
        <w:tc>
          <w:tcPr>
            <w:tcW w:w="5189" w:type="dxa"/>
            <w:gridSpan w:val="2"/>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Produktivitāte un darbaspēka izmaksas ES-28 valstīs 201</w:t>
            </w:r>
            <w:r w:rsidR="00D65D1F">
              <w:rPr>
                <w:rFonts w:ascii="Candara" w:hAnsi="Candara"/>
                <w:sz w:val="18"/>
                <w:szCs w:val="20"/>
              </w:rPr>
              <w:t>5</w:t>
            </w:r>
            <w:r w:rsidRPr="00483382">
              <w:rPr>
                <w:rFonts w:ascii="Candara" w:hAnsi="Candara"/>
                <w:sz w:val="18"/>
                <w:szCs w:val="20"/>
              </w:rPr>
              <w:t>.g</w:t>
            </w:r>
            <w:r w:rsidR="002B71CE">
              <w:rPr>
                <w:rFonts w:ascii="Candara" w:hAnsi="Candara"/>
                <w:sz w:val="18"/>
                <w:szCs w:val="20"/>
              </w:rPr>
              <w:t>.</w:t>
            </w:r>
          </w:p>
        </w:tc>
      </w:tr>
      <w:tr w:rsidTr="00C33BEB">
        <w:tblPrEx>
          <w:tblW w:w="10488" w:type="dxa"/>
          <w:jc w:val="center"/>
          <w:tblLook w:val="04A0"/>
        </w:tblPrEx>
        <w:trPr>
          <w:jc w:val="center"/>
        </w:trPr>
        <w:tc>
          <w:tcPr>
            <w:tcW w:w="5299" w:type="dxa"/>
            <w:gridSpan w:val="2"/>
          </w:tcPr>
          <w:p w:rsidR="00C23A95" w:rsidP="00762D1E">
            <w:pPr>
              <w:spacing w:after="0" w:line="240" w:lineRule="auto"/>
              <w:rPr>
                <w:rFonts w:ascii="Candara" w:hAnsi="Candara"/>
              </w:rPr>
            </w:pPr>
            <w:r w:rsidRPr="00B612F1">
              <w:rPr>
                <w:rFonts w:ascii="Candara" w:eastAsia="Times New Roman" w:hAnsi="Candara"/>
                <w:noProof/>
                <w:sz w:val="18"/>
                <w:szCs w:val="18"/>
                <w:lang w:eastAsia="lv-LV"/>
              </w:rPr>
              <w:drawing>
                <wp:inline distT="0" distB="0" distL="0" distR="0">
                  <wp:extent cx="3057525" cy="1333500"/>
                  <wp:effectExtent l="0" t="0" r="0" b="0"/>
                  <wp:docPr id="361" name="Chart 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tc>
        <w:tc>
          <w:tcPr>
            <w:tcW w:w="5189" w:type="dxa"/>
            <w:gridSpan w:val="2"/>
          </w:tcPr>
          <w:p w:rsidR="00C23A95" w:rsidP="00762D1E">
            <w:pPr>
              <w:spacing w:after="0" w:line="240" w:lineRule="auto"/>
              <w:rPr>
                <w:rFonts w:ascii="Candara" w:hAnsi="Candara"/>
              </w:rPr>
            </w:pPr>
            <w:r>
              <w:rPr>
                <w:noProof/>
                <w:lang w:eastAsia="lv-LV"/>
              </w:rPr>
              <w:drawing>
                <wp:inline distT="0" distB="0" distL="0" distR="0">
                  <wp:extent cx="3057525" cy="1333500"/>
                  <wp:effectExtent l="0" t="0" r="0" b="0"/>
                  <wp:docPr id="733" name="Chart 7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tc>
      </w:tr>
    </w:tbl>
    <w:p w:rsidR="00C23A95" w:rsidP="00C23A95">
      <w:pPr>
        <w:spacing w:after="0" w:line="240" w:lineRule="auto"/>
        <w:rPr>
          <w:rFonts w:ascii="Candara" w:hAnsi="Candara"/>
          <w:b/>
          <w:color w:val="000000"/>
          <w:szCs w:val="28"/>
        </w:rPr>
      </w:pPr>
    </w:p>
    <w:p w:rsidR="00740596" w:rsidP="00740596">
      <w:pPr>
        <w:spacing w:after="0" w:line="240" w:lineRule="auto"/>
        <w:jc w:val="both"/>
        <w:rPr>
          <w:rFonts w:ascii="Candara" w:hAnsi="Candara"/>
          <w:color w:val="000000"/>
          <w:szCs w:val="28"/>
        </w:rPr>
      </w:pPr>
      <w:r>
        <w:rPr>
          <w:rFonts w:ascii="Candara" w:hAnsi="Candara"/>
          <w:b/>
          <w:color w:val="000000"/>
          <w:szCs w:val="28"/>
          <w:u w:val="single"/>
        </w:rPr>
        <w:t>Nozares īpatsvars tautsaimniecībā, procentos</w:t>
      </w:r>
      <w:r>
        <w:rPr>
          <w:rFonts w:ascii="Candara" w:hAnsi="Candara"/>
          <w:color w:val="000000"/>
          <w:szCs w:val="28"/>
        </w:rPr>
        <w:t>. Nozares īpatsvars kopējā tautsaimniecībā 2005.gadā bija 1,2%. Krīzes laikā īpatsvars nedaudz samazinājās, bet 2010.-2011.gadā pieauga. Kopš 2012.gada īpatsvars samazinājās līdz 1% 2014.gadā. 2015.gadā vērojams pieaugums līdz 1,1%.</w:t>
      </w:r>
    </w:p>
    <w:p w:rsidR="00740596" w:rsidP="00740596">
      <w:pPr>
        <w:spacing w:after="0" w:line="240" w:lineRule="auto"/>
        <w:jc w:val="both"/>
        <w:rPr>
          <w:rFonts w:ascii="Candara" w:hAnsi="Candara"/>
          <w:color w:val="000000"/>
          <w:szCs w:val="28"/>
        </w:rPr>
      </w:pPr>
      <w:r>
        <w:rPr>
          <w:rFonts w:ascii="Candara" w:hAnsi="Candara"/>
          <w:b/>
          <w:color w:val="000000"/>
          <w:szCs w:val="28"/>
          <w:u w:val="single"/>
        </w:rPr>
        <w:t>Pievienotās vērtības un darba vietu skaita izmaiņas, 2005=100.</w:t>
      </w:r>
      <w:r>
        <w:rPr>
          <w:rFonts w:ascii="Candara" w:hAnsi="Candara"/>
          <w:color w:val="000000"/>
          <w:szCs w:val="28"/>
        </w:rPr>
        <w:t xml:space="preserve"> Nozarei pēckrīzes gados bija būtisks devums kopējā apstrādes rūpniecības izaugsmē. 2012. gadā izlaide bija par gandrīz 40% lielāka nekā pirms krīzes. 2013. un 2014. gadā nozari ļoti būtiski ietekmēja viena no lielākā apstrādes rūpniecības uzņēmuma AS „Liepājas Metalurgs” darbības apturēšana. Kopš 2014.gada nozares izaugsme ir atsākusies. Salīdzinot ar krīzes zemāko punktu 2009. gadā, nozares izlaides apjomi 2016.gadā bija par 12% lielāki, bet par 24% atpalika no pirmskrīzes līmeņa.</w:t>
      </w:r>
    </w:p>
    <w:p w:rsidR="00740596" w:rsidP="00740596">
      <w:pPr>
        <w:spacing w:after="0" w:line="240" w:lineRule="auto"/>
        <w:jc w:val="both"/>
        <w:rPr>
          <w:rFonts w:ascii="Candara" w:hAnsi="Candara"/>
          <w:b/>
          <w:color w:val="000000"/>
          <w:szCs w:val="28"/>
          <w:u w:val="single"/>
        </w:rPr>
      </w:pPr>
      <w:r>
        <w:rPr>
          <w:rFonts w:ascii="Candara" w:hAnsi="Candara"/>
          <w:color w:val="000000"/>
          <w:szCs w:val="28"/>
        </w:rPr>
        <w:t>Darbavietu skaits nozarē pēc krīzes pieauga līdz 2014. gadam, kad darbavietu skaits sāka samazināties. 2016.gadā, salīdzinot ar zemāko punktu 2010.gadā, darbavietu skaits bija pieaudzis par 12%.</w:t>
      </w:r>
    </w:p>
    <w:p w:rsidR="00740596" w:rsidP="00740596">
      <w:pPr>
        <w:spacing w:after="0" w:line="240" w:lineRule="auto"/>
        <w:jc w:val="both"/>
        <w:rPr>
          <w:rFonts w:ascii="Candara" w:hAnsi="Candara"/>
          <w:color w:val="000000"/>
          <w:szCs w:val="28"/>
        </w:rPr>
      </w:pPr>
      <w:r>
        <w:rPr>
          <w:rFonts w:ascii="Candara" w:hAnsi="Candara"/>
          <w:b/>
          <w:color w:val="000000"/>
          <w:szCs w:val="28"/>
          <w:u w:val="single"/>
        </w:rPr>
        <w:t>Produkcijas eksports, milj. EUR.</w:t>
      </w:r>
      <w:r>
        <w:rPr>
          <w:rFonts w:ascii="Candara" w:hAnsi="Candara"/>
          <w:color w:val="000000"/>
          <w:szCs w:val="28"/>
        </w:rPr>
        <w:t xml:space="preserve"> Pēc krīzes zemākā punkta 2009. gadā eksportētās produkcijas apjomi atsāka pieaugt līdz AS “Liepājas metalurgs” maksātnespējai. Kopš 2013.gada nozares eksporta apjoms piedzīvo lejupslīdi.</w:t>
      </w:r>
    </w:p>
    <w:p w:rsidR="00740596" w:rsidP="00740596">
      <w:pPr>
        <w:spacing w:after="0" w:line="240" w:lineRule="auto"/>
        <w:jc w:val="both"/>
        <w:rPr>
          <w:rFonts w:ascii="Candara" w:hAnsi="Candara"/>
          <w:b/>
          <w:color w:val="000000"/>
          <w:szCs w:val="28"/>
          <w:u w:val="single"/>
        </w:rPr>
      </w:pPr>
      <w:r>
        <w:rPr>
          <w:rFonts w:ascii="Candara" w:hAnsi="Candara"/>
          <w:b/>
          <w:color w:val="000000"/>
          <w:szCs w:val="28"/>
          <w:u w:val="single"/>
        </w:rPr>
        <w:t>Eksports uz 1 strādājošo, tūkst. EUR.</w:t>
      </w:r>
      <w:r>
        <w:rPr>
          <w:rFonts w:ascii="Candara" w:hAnsi="Candara"/>
          <w:color w:val="000000"/>
          <w:szCs w:val="28"/>
        </w:rPr>
        <w:t xml:space="preserve"> Sākot no 2010.gada eksporta apjoms uz vienu strādājošo ievērojami auga, bet 2013.gadā līdz ar AS “Liepājas metalurgs” maksātnespēju eksporta apjomi uz 1 strādājošo samazinājās. 2014.-2015.gadā tie saglabājas 2013.gada līmenī.</w:t>
      </w:r>
    </w:p>
    <w:p w:rsidR="00740596" w:rsidP="00740596">
      <w:pPr>
        <w:spacing w:after="0" w:line="240" w:lineRule="auto"/>
        <w:jc w:val="both"/>
        <w:rPr>
          <w:rFonts w:ascii="Candara" w:hAnsi="Candara"/>
          <w:color w:val="000000"/>
          <w:szCs w:val="28"/>
        </w:rPr>
      </w:pPr>
      <w:r>
        <w:rPr>
          <w:rFonts w:ascii="Candara" w:hAnsi="Candara"/>
          <w:b/>
          <w:color w:val="000000"/>
          <w:szCs w:val="28"/>
          <w:u w:val="single"/>
        </w:rPr>
        <w:t>Eksports uz 1 strādājošo ES 28 valstīs, tūkst. EUR.</w:t>
      </w:r>
      <w:r>
        <w:rPr>
          <w:rFonts w:ascii="Candara" w:hAnsi="Candara"/>
          <w:color w:val="000000"/>
          <w:szCs w:val="28"/>
        </w:rPr>
        <w:t xml:space="preserve"> Latvijā eksports apjoms uz vienu strādājošo metālu un to izstrādājumu ražošanā bija tuvu Lietuvas un ES vidējam līmenim, un augstāks nekā Igaunijā. Kopumā starp ES valstīm Latvija bija 10.vietā.</w:t>
      </w:r>
    </w:p>
    <w:p w:rsidR="00740596" w:rsidP="00740596">
      <w:pPr>
        <w:spacing w:after="0" w:line="240" w:lineRule="auto"/>
        <w:jc w:val="both"/>
        <w:rPr>
          <w:rFonts w:ascii="Candara" w:hAnsi="Candara"/>
          <w:b/>
          <w:color w:val="000000"/>
          <w:szCs w:val="28"/>
          <w:u w:val="single"/>
        </w:rPr>
      </w:pPr>
      <w:r>
        <w:rPr>
          <w:rFonts w:ascii="Candara" w:hAnsi="Candara"/>
          <w:b/>
          <w:color w:val="000000"/>
          <w:szCs w:val="28"/>
          <w:u w:val="single"/>
        </w:rPr>
        <w:t>Eksporta tirgi.</w:t>
      </w:r>
      <w:r>
        <w:rPr>
          <w:rFonts w:ascii="Candara" w:hAnsi="Candara"/>
          <w:color w:val="000000"/>
          <w:szCs w:val="28"/>
        </w:rPr>
        <w:t xml:space="preserve"> Lielākie eksporta tirgi metālapstrādes nozarē ir Lietuva, Polija, Igaunija, Dānija, Zviedrija un Turcija.</w:t>
      </w:r>
    </w:p>
    <w:p w:rsidR="00740596" w:rsidP="00740596">
      <w:pPr>
        <w:spacing w:after="0" w:line="240" w:lineRule="auto"/>
        <w:jc w:val="both"/>
        <w:rPr>
          <w:rFonts w:ascii="Candara" w:hAnsi="Candara"/>
          <w:b/>
          <w:color w:val="000000"/>
          <w:szCs w:val="28"/>
          <w:u w:val="single"/>
        </w:rPr>
      </w:pPr>
      <w:r>
        <w:rPr>
          <w:rFonts w:ascii="Candara" w:hAnsi="Candara"/>
          <w:b/>
          <w:color w:val="000000"/>
          <w:szCs w:val="28"/>
          <w:u w:val="single"/>
        </w:rPr>
        <w:t>Eksporta struktūra.</w:t>
      </w:r>
      <w:r>
        <w:rPr>
          <w:rFonts w:ascii="Candara" w:hAnsi="Candara"/>
          <w:color w:val="000000"/>
          <w:szCs w:val="28"/>
        </w:rPr>
        <w:t xml:space="preserve"> Latvijā kopš 2005.gada pakāpeniski samazinās dzelzs un tērauda īpatsvars eksporta struktūrā, bet pieaug dzelzs un tērauda izstrādājumu īpatsvars. Līdzīgas tendences ir vērojamas arī ES kopumā.</w:t>
      </w:r>
    </w:p>
    <w:p w:rsidR="00740596" w:rsidP="00740596">
      <w:pPr>
        <w:spacing w:after="0" w:line="240" w:lineRule="auto"/>
        <w:jc w:val="both"/>
        <w:rPr>
          <w:rFonts w:ascii="Candara" w:hAnsi="Candara"/>
          <w:b/>
          <w:color w:val="000000"/>
          <w:szCs w:val="28"/>
          <w:u w:val="single"/>
        </w:rPr>
      </w:pPr>
      <w:r>
        <w:rPr>
          <w:rFonts w:ascii="Candara" w:hAnsi="Candara"/>
          <w:b/>
          <w:color w:val="000000"/>
          <w:szCs w:val="28"/>
          <w:u w:val="single"/>
        </w:rPr>
        <w:t>Darbaspēka izmaksu dinamika, tūkst.</w:t>
      </w:r>
      <w:r>
        <w:rPr>
          <w:rFonts w:ascii="Candara" w:hAnsi="Candara"/>
          <w:color w:val="000000"/>
          <w:szCs w:val="28"/>
        </w:rPr>
        <w:t xml:space="preserve"> Atsākoties ekonomikas izaugsmei, kopš 2012.gada darba samaksas pieaugums nozarē kļūst arvien straujāks, 2014.gadā darbaspēka izmaksām sasniedzot pirmskrīzes perioda līmeni. 2015.gadā izmaksas turpināja pieaugt.</w:t>
      </w:r>
    </w:p>
    <w:p w:rsidR="00740596" w:rsidP="00740596">
      <w:pPr>
        <w:spacing w:after="0" w:line="240" w:lineRule="auto"/>
        <w:jc w:val="both"/>
        <w:rPr>
          <w:rFonts w:ascii="Candara" w:hAnsi="Candara"/>
          <w:color w:val="000000"/>
          <w:szCs w:val="28"/>
        </w:rPr>
      </w:pPr>
      <w:r>
        <w:rPr>
          <w:rFonts w:ascii="Candara" w:hAnsi="Candara"/>
          <w:b/>
          <w:color w:val="000000"/>
          <w:szCs w:val="28"/>
          <w:u w:val="single"/>
        </w:rPr>
        <w:t>Produktivitātes dinamika, tūkst.</w:t>
      </w:r>
      <w:r>
        <w:rPr>
          <w:rFonts w:ascii="Candara" w:hAnsi="Candara"/>
          <w:color w:val="000000"/>
          <w:szCs w:val="28"/>
        </w:rPr>
        <w:t xml:space="preserve"> Krīzes laikā un pēckrīzes periodā bija vērojams straujš produktivitātes pieaugums strauja nodarbināto skaita krituma dēļ. Savukārt, pēc samazināšanās 2012.-2013.gadā, 2014.gadā vērojams straujš produktivitātes kāpums. 2015.gadā produktivitāte turpināja pieaugt.</w:t>
      </w:r>
    </w:p>
    <w:p w:rsidR="00740596" w:rsidP="00740596">
      <w:pPr>
        <w:spacing w:after="0" w:line="240" w:lineRule="auto"/>
        <w:jc w:val="both"/>
        <w:rPr>
          <w:rFonts w:ascii="Candara" w:hAnsi="Candara"/>
          <w:color w:val="000000"/>
          <w:szCs w:val="28"/>
        </w:rPr>
      </w:pPr>
      <w:r>
        <w:rPr>
          <w:rFonts w:ascii="Candara" w:hAnsi="Candara"/>
          <w:b/>
          <w:color w:val="000000"/>
          <w:szCs w:val="28"/>
          <w:u w:val="single"/>
        </w:rPr>
        <w:t>Produktivitāte un darbaspēka izmaksas</w:t>
      </w:r>
      <w:r>
        <w:rPr>
          <w:rFonts w:ascii="Candara" w:hAnsi="Candara"/>
          <w:color w:val="000000"/>
          <w:szCs w:val="28"/>
        </w:rPr>
        <w:t>. Ekonomikas lejupslīdes jeb krīzes periodā ULC samazinājās, ko noteica būtisks nodarbināto skaita samazinājums, darbaspēka izmaksām samazinoties straujāk. 2012.-2013.gadā nozarē darbaspēka izmaksas pieauga straujāk nekā produktivitāte.  Šīs tendences bija līdzīgas pirms krīzes periodā vērojamām. Šādu nozares attīstības modeli var raksturot kā ekstensīvu. Vienlaikus jāatzīmē, ka kopš 2012.gada ULC nozarē Latvijā vidēji gadā pieauga par 19%, bet vidēji ES praktiski nemainījās, tas nozīmē, ka izmaksu konkurētspējas priekšrocības ES tirgū samazinās. Kopš 2014.gadā nozarē darbaspēka izmaksas pieauga lēnāk nekā produktivitāte, un 2015.gadā ULC bija par 2% zemāks nekā 2014.gadā, kas liecina par cenu konkurētspējas (izmaksu) uzlabošanos.</w:t>
      </w:r>
    </w:p>
    <w:p w:rsidR="00740596" w:rsidP="00740596">
      <w:pPr>
        <w:spacing w:after="0" w:line="240" w:lineRule="auto"/>
        <w:jc w:val="both"/>
        <w:rPr>
          <w:rFonts w:ascii="Candara" w:hAnsi="Candara"/>
          <w:color w:val="000000"/>
          <w:szCs w:val="28"/>
        </w:rPr>
      </w:pPr>
      <w:r>
        <w:rPr>
          <w:rFonts w:ascii="Candara" w:hAnsi="Candara"/>
          <w:b/>
          <w:color w:val="000000"/>
          <w:szCs w:val="28"/>
          <w:u w:val="single"/>
        </w:rPr>
        <w:t>Darbaspēka izmaksas, ES-28=100.</w:t>
      </w:r>
      <w:r>
        <w:rPr>
          <w:rFonts w:ascii="Candara" w:hAnsi="Candara"/>
          <w:color w:val="000000"/>
          <w:szCs w:val="28"/>
        </w:rPr>
        <w:t xml:space="preserve"> Salīdzinot ar darbaspēka izmaksu vidējo līmeni ES, nozarē tas ir zemāks nekā tautsaimniecībā kopumā, bet pēdējos gados tas pieaug vairāk tuvojoties ES vidējam līmenim.</w:t>
      </w:r>
    </w:p>
    <w:p w:rsidR="00740596" w:rsidP="00740596">
      <w:pPr>
        <w:spacing w:after="0" w:line="240" w:lineRule="auto"/>
        <w:jc w:val="both"/>
        <w:rPr>
          <w:rFonts w:ascii="Candara" w:hAnsi="Candara"/>
          <w:color w:val="000000"/>
          <w:szCs w:val="28"/>
        </w:rPr>
      </w:pPr>
      <w:r>
        <w:rPr>
          <w:rFonts w:ascii="Candara" w:hAnsi="Candara"/>
          <w:b/>
          <w:color w:val="000000"/>
          <w:szCs w:val="28"/>
          <w:u w:val="single"/>
        </w:rPr>
        <w:t>Produktivitāte, ES-28=100.</w:t>
      </w:r>
      <w:r>
        <w:rPr>
          <w:rFonts w:ascii="Candara" w:hAnsi="Candara"/>
          <w:color w:val="000000"/>
          <w:szCs w:val="28"/>
        </w:rPr>
        <w:t xml:space="preserve"> Salīdzinot ar vidējo līmeni ES, nozarē produktivitātes līmenis krīzes laikā bija augstāks nekā tautsaimniecībā kopumā. Kopš 2012.gada produktivitātes līmenis samazinājās, bet 2014.gadā atsākās tā uzlabošanās.</w:t>
      </w:r>
    </w:p>
    <w:p w:rsidR="00740596" w:rsidP="00740596">
      <w:pPr>
        <w:spacing w:after="0" w:line="240" w:lineRule="auto"/>
        <w:jc w:val="both"/>
        <w:rPr>
          <w:rFonts w:ascii="Candara" w:hAnsi="Candara"/>
          <w:color w:val="000000"/>
          <w:szCs w:val="28"/>
        </w:rPr>
      </w:pPr>
      <w:r>
        <w:rPr>
          <w:rFonts w:ascii="Candara" w:hAnsi="Candara"/>
          <w:b/>
          <w:color w:val="000000"/>
          <w:szCs w:val="28"/>
          <w:u w:val="single"/>
        </w:rPr>
        <w:t>Darbaspēka izmaksas, salīdzinot ar ES valstīm, 2015.gadā.</w:t>
      </w:r>
      <w:r>
        <w:rPr>
          <w:rFonts w:ascii="Candara" w:hAnsi="Candara"/>
          <w:color w:val="000000"/>
          <w:szCs w:val="28"/>
        </w:rPr>
        <w:t xml:space="preserve"> Latvijā 2015.gadā darbaspēka izmaksas nozarē bija vienas no zemākajām. Zemākas tās bija Polijā, Rumānijā un Bulgārijā.</w:t>
      </w:r>
    </w:p>
    <w:p w:rsidR="00740596" w:rsidP="00740596">
      <w:pPr>
        <w:spacing w:after="0" w:line="240" w:lineRule="auto"/>
        <w:jc w:val="both"/>
        <w:rPr>
          <w:rFonts w:ascii="Candara" w:hAnsi="Candara"/>
          <w:color w:val="000000"/>
          <w:szCs w:val="28"/>
        </w:rPr>
      </w:pPr>
      <w:r>
        <w:rPr>
          <w:rFonts w:ascii="Candara" w:hAnsi="Candara"/>
          <w:b/>
          <w:color w:val="000000"/>
          <w:szCs w:val="28"/>
          <w:u w:val="single"/>
        </w:rPr>
        <w:t>Produktivitāte, salīdzinot ar ES valstīm, 2015.gadā.</w:t>
      </w:r>
      <w:r>
        <w:rPr>
          <w:rFonts w:ascii="Candara" w:hAnsi="Candara"/>
          <w:color w:val="000000"/>
          <w:szCs w:val="28"/>
        </w:rPr>
        <w:t xml:space="preserve"> Latvijā 2015.gadā produktivitāte nozarē bija viena no zemākajām. Zemāka tā bija Rumānijā un Bulgārijā.</w:t>
      </w:r>
    </w:p>
    <w:p w:rsidR="00740596" w:rsidP="00740596">
      <w:pPr>
        <w:spacing w:after="0" w:line="240" w:lineRule="auto"/>
        <w:jc w:val="both"/>
        <w:rPr>
          <w:rFonts w:ascii="Candara" w:hAnsi="Candara"/>
          <w:color w:val="000000"/>
          <w:szCs w:val="28"/>
        </w:rPr>
      </w:pPr>
      <w:r>
        <w:rPr>
          <w:rFonts w:ascii="Candara" w:hAnsi="Candara"/>
          <w:b/>
          <w:color w:val="000000"/>
          <w:szCs w:val="28"/>
          <w:u w:val="single"/>
        </w:rPr>
        <w:t>Produktivitāte un darbaspēka izmaksas ES-28 valstīs 2010.gadā un 2015.gadā.</w:t>
      </w:r>
      <w:r>
        <w:rPr>
          <w:rFonts w:ascii="Candara" w:hAnsi="Candara"/>
          <w:color w:val="000000"/>
          <w:szCs w:val="28"/>
        </w:rPr>
        <w:t xml:space="preserve"> Darbaspēka izmaksas uz 1 produkcijas vienību (ULC) nozarē Latvijā 2010.gadā bija viens no zemākajiem rādītājiem starp ES valstīm, zemāks tas bija Slovākijā, Polijā un Bulgārijā,</w:t>
      </w:r>
      <w:r>
        <w:t xml:space="preserve"> </w:t>
      </w:r>
      <w:r>
        <w:rPr>
          <w:rFonts w:ascii="Candara" w:hAnsi="Candara"/>
          <w:color w:val="000000"/>
          <w:szCs w:val="28"/>
        </w:rPr>
        <w:t>bet 2015.gadā ULC Latvijā bija viens no augstākajiem rādītājiem ES. Latvijā 2015.gadā, salīdzinot ar 2010.gadu ULC ir pieaudzis par 56%, ko noteica darbaspēka izmaksu kāpums par 39% un ražošanas apjomu kritums par 5%, kas liecina, ka nozarē lēta darbaspēka konkurētspējas priekšrocības samazinās.</w:t>
      </w:r>
    </w:p>
    <w:p w:rsidR="00C23A95" w:rsidP="00762D1E">
      <w:pPr>
        <w:spacing w:after="0" w:line="240" w:lineRule="auto"/>
        <w:rPr>
          <w:rFonts w:ascii="Candara" w:hAnsi="Candara"/>
          <w:color w:val="000000"/>
          <w:szCs w:val="28"/>
        </w:rPr>
      </w:pPr>
      <w:r>
        <w:rPr>
          <w:rFonts w:ascii="Candara" w:hAnsi="Candara"/>
          <w:color w:val="000000"/>
          <w:szCs w:val="28"/>
        </w:rPr>
        <w:br w:type="page"/>
      </w:r>
    </w:p>
    <w:p w:rsidR="00C23A95" w:rsidRPr="009F39B5" w:rsidP="00C23A95">
      <w:pPr>
        <w:pStyle w:val="Heading1"/>
        <w:jc w:val="center"/>
        <w:rPr>
          <w:b/>
          <w:sz w:val="20"/>
        </w:rPr>
      </w:pPr>
      <w:bookmarkStart w:id="40" w:name="_Toc482792409"/>
      <w:bookmarkStart w:id="41" w:name="_Hlk504983209"/>
      <w:bookmarkStart w:id="42" w:name="_Toc256000011"/>
      <w:bookmarkStart w:id="43" w:name="_Toc256000037"/>
      <w:r w:rsidRPr="009F39B5">
        <w:rPr>
          <w:b/>
          <w:sz w:val="20"/>
        </w:rPr>
        <w:t>C26-27 ELEKTRISKO UN OPTISKO IEKĀRTU RAŽOŠANA</w:t>
      </w:r>
      <w:bookmarkEnd w:id="43"/>
      <w:bookmarkEnd w:id="42"/>
      <w:bookmarkEnd w:id="40"/>
    </w:p>
    <w:tbl>
      <w:tblPr>
        <w:tblW w:w="10488"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3576"/>
        <w:gridCol w:w="1723"/>
        <w:gridCol w:w="1853"/>
        <w:gridCol w:w="3336"/>
      </w:tblGrid>
      <w:tr w:rsidTr="00C33BEB">
        <w:tblPrEx>
          <w:tblW w:w="10488"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Ex>
        <w:trPr>
          <w:jc w:val="center"/>
        </w:trPr>
        <w:tc>
          <w:tcPr>
            <w:tcW w:w="3576" w:type="dxa"/>
            <w:shd w:val="clear" w:color="auto" w:fill="D9D9D9" w:themeFill="background1" w:themeFillShade="D9"/>
          </w:tcPr>
          <w:p w:rsidR="00C23A95" w:rsidRPr="006812C6" w:rsidP="00762D1E">
            <w:pPr>
              <w:spacing w:after="0" w:line="240" w:lineRule="auto"/>
              <w:jc w:val="center"/>
              <w:rPr>
                <w:rFonts w:ascii="Candara" w:hAnsi="Candara"/>
                <w:sz w:val="18"/>
                <w:szCs w:val="20"/>
              </w:rPr>
            </w:pPr>
            <w:r w:rsidRPr="006812C6">
              <w:rPr>
                <w:rFonts w:ascii="Candara" w:hAnsi="Candara"/>
                <w:sz w:val="18"/>
                <w:szCs w:val="20"/>
              </w:rPr>
              <w:t>Nozares īpatsvars tautsaimniecībā</w:t>
            </w:r>
            <w:r w:rsidR="00F35BE1">
              <w:rPr>
                <w:rFonts w:ascii="Candara" w:hAnsi="Candara"/>
                <w:sz w:val="18"/>
                <w:szCs w:val="20"/>
              </w:rPr>
              <w:t xml:space="preserve"> (faktiskajās cenās)</w:t>
            </w:r>
            <w:r w:rsidRPr="006812C6">
              <w:rPr>
                <w:rFonts w:ascii="Candara" w:hAnsi="Candara"/>
                <w:sz w:val="18"/>
                <w:szCs w:val="20"/>
              </w:rPr>
              <w:t>, %</w:t>
            </w:r>
          </w:p>
        </w:tc>
        <w:tc>
          <w:tcPr>
            <w:tcW w:w="3576" w:type="dxa"/>
            <w:gridSpan w:val="2"/>
            <w:shd w:val="clear" w:color="auto" w:fill="D9D9D9" w:themeFill="background1" w:themeFillShade="D9"/>
          </w:tcPr>
          <w:p w:rsidR="00C23A95" w:rsidRPr="006812C6" w:rsidP="00762D1E">
            <w:pPr>
              <w:spacing w:after="0" w:line="240" w:lineRule="auto"/>
              <w:jc w:val="center"/>
              <w:rPr>
                <w:rFonts w:ascii="Candara" w:hAnsi="Candara"/>
                <w:sz w:val="18"/>
                <w:szCs w:val="20"/>
              </w:rPr>
            </w:pPr>
            <w:r w:rsidRPr="006812C6">
              <w:rPr>
                <w:rFonts w:ascii="Candara" w:hAnsi="Candara"/>
                <w:sz w:val="18"/>
                <w:szCs w:val="20"/>
              </w:rPr>
              <w:t>Pievienotās vērtības un darba vietu skaita izmaiņas</w:t>
            </w:r>
            <w:r w:rsidR="00921A5E">
              <w:rPr>
                <w:rFonts w:ascii="Candara" w:hAnsi="Candara"/>
                <w:sz w:val="18"/>
                <w:szCs w:val="20"/>
              </w:rPr>
              <w:t xml:space="preserve"> (2005=100)</w:t>
            </w:r>
          </w:p>
        </w:tc>
        <w:tc>
          <w:tcPr>
            <w:tcW w:w="3336" w:type="dxa"/>
            <w:shd w:val="clear" w:color="auto" w:fill="D9D9D9" w:themeFill="background1" w:themeFillShade="D9"/>
          </w:tcPr>
          <w:p w:rsidR="00C23A95" w:rsidRPr="00483382" w:rsidP="00762D1E">
            <w:pPr>
              <w:spacing w:after="0" w:line="240" w:lineRule="auto"/>
              <w:jc w:val="center"/>
              <w:rPr>
                <w:rFonts w:ascii="Candara" w:hAnsi="Candara"/>
                <w:sz w:val="18"/>
                <w:szCs w:val="20"/>
              </w:rPr>
            </w:pPr>
            <w:r w:rsidRPr="006812C6">
              <w:rPr>
                <w:rFonts w:ascii="Candara" w:hAnsi="Candara"/>
                <w:sz w:val="18"/>
                <w:szCs w:val="20"/>
              </w:rPr>
              <w:t>Produkcijas eksports</w:t>
            </w:r>
            <w:r w:rsidR="002B71CE">
              <w:rPr>
                <w:rFonts w:ascii="Candara" w:hAnsi="Candara"/>
                <w:sz w:val="18"/>
                <w:szCs w:val="20"/>
              </w:rPr>
              <w:t>,</w:t>
            </w:r>
            <w:r w:rsidRPr="006812C6">
              <w:rPr>
                <w:rFonts w:ascii="Candara" w:hAnsi="Candara"/>
                <w:sz w:val="18"/>
                <w:szCs w:val="20"/>
              </w:rPr>
              <w:t xml:space="preserve"> milj. EUR</w:t>
            </w:r>
          </w:p>
        </w:tc>
      </w:tr>
      <w:tr w:rsidTr="00C33BEB">
        <w:tblPrEx>
          <w:tblW w:w="10488" w:type="dxa"/>
          <w:jc w:val="center"/>
          <w:tblLook w:val="04A0"/>
        </w:tblPrEx>
        <w:trPr>
          <w:jc w:val="center"/>
        </w:trPr>
        <w:tc>
          <w:tcPr>
            <w:tcW w:w="3576" w:type="dxa"/>
          </w:tcPr>
          <w:p w:rsidR="00C23A95" w:rsidRPr="00B612F1" w:rsidP="00762D1E">
            <w:pPr>
              <w:spacing w:after="0" w:line="240" w:lineRule="auto"/>
              <w:rPr>
                <w:rFonts w:ascii="Candara" w:hAnsi="Candara"/>
              </w:rPr>
            </w:pPr>
            <w:r w:rsidRPr="00B612F1">
              <w:rPr>
                <w:rFonts w:ascii="Candara" w:hAnsi="Candara"/>
                <w:noProof/>
                <w:sz w:val="18"/>
                <w:szCs w:val="18"/>
                <w:lang w:eastAsia="lv-LV"/>
              </w:rPr>
              <w:drawing>
                <wp:inline distT="0" distB="0" distL="0" distR="0">
                  <wp:extent cx="2133600" cy="1028700"/>
                  <wp:effectExtent l="0" t="0" r="0" b="0"/>
                  <wp:docPr id="363"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tc>
        <w:tc>
          <w:tcPr>
            <w:tcW w:w="3576" w:type="dxa"/>
            <w:gridSpan w:val="2"/>
          </w:tcPr>
          <w:p w:rsidR="00C23A95" w:rsidRPr="00B612F1" w:rsidP="00762D1E">
            <w:pPr>
              <w:spacing w:after="0" w:line="240" w:lineRule="auto"/>
              <w:jc w:val="center"/>
              <w:rPr>
                <w:rFonts w:ascii="Candara" w:hAnsi="Candara"/>
              </w:rPr>
            </w:pPr>
            <w:r w:rsidRPr="00B612F1">
              <w:rPr>
                <w:rFonts w:ascii="Candara" w:eastAsia="Times New Roman" w:hAnsi="Candara"/>
                <w:noProof/>
                <w:sz w:val="18"/>
                <w:szCs w:val="18"/>
                <w:lang w:eastAsia="lv-LV"/>
              </w:rPr>
              <w:drawing>
                <wp:inline distT="0" distB="0" distL="0" distR="0">
                  <wp:extent cx="2038350" cy="1041400"/>
                  <wp:effectExtent l="0" t="0" r="0" b="0"/>
                  <wp:docPr id="364" name="Chart 3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tc>
        <w:tc>
          <w:tcPr>
            <w:tcW w:w="3336" w:type="dxa"/>
          </w:tcPr>
          <w:p w:rsidR="00C23A95" w:rsidP="00762D1E">
            <w:pPr>
              <w:spacing w:after="0" w:line="240" w:lineRule="auto"/>
              <w:rPr>
                <w:rFonts w:ascii="Candara" w:hAnsi="Candara"/>
              </w:rPr>
            </w:pPr>
            <w:r w:rsidRPr="00210E56">
              <w:rPr>
                <w:rFonts w:ascii="Arial Narrow" w:hAnsi="Arial Narrow"/>
                <w:b/>
                <w:noProof/>
                <w:sz w:val="20"/>
                <w:szCs w:val="20"/>
                <w:lang w:eastAsia="lv-LV"/>
              </w:rPr>
              <w:drawing>
                <wp:inline distT="0" distB="0" distL="0" distR="0">
                  <wp:extent cx="1981200" cy="909115"/>
                  <wp:effectExtent l="0" t="0" r="0" b="5715"/>
                  <wp:docPr id="365"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E75013" w:rsidRPr="00B612F1" w:rsidP="00762D1E">
            <w:pPr>
              <w:spacing w:after="0" w:line="240" w:lineRule="auto"/>
              <w:rPr>
                <w:rFonts w:ascii="Candara" w:hAnsi="Candara"/>
              </w:rPr>
            </w:pPr>
            <w:r w:rsidRPr="00E75013">
              <w:rPr>
                <w:rFonts w:ascii="Candara" w:hAnsi="Candara"/>
                <w:sz w:val="14"/>
                <w:szCs w:val="14"/>
              </w:rPr>
              <w:t>* EM novērtējums pēc KN produktu klasifikācijas</w:t>
            </w:r>
          </w:p>
        </w:tc>
      </w:tr>
      <w:tr w:rsidTr="00C33BEB">
        <w:tblPrEx>
          <w:tblW w:w="10488" w:type="dxa"/>
          <w:jc w:val="center"/>
          <w:tblLook w:val="04A0"/>
        </w:tblPrEx>
        <w:trPr>
          <w:jc w:val="center"/>
        </w:trPr>
        <w:tc>
          <w:tcPr>
            <w:tcW w:w="3576" w:type="dxa"/>
            <w:shd w:val="clear" w:color="auto" w:fill="D9D9D9" w:themeFill="background1" w:themeFillShade="D9"/>
          </w:tcPr>
          <w:p w:rsidR="00C23A95" w:rsidRPr="006812C6" w:rsidP="00762D1E">
            <w:pPr>
              <w:spacing w:after="0" w:line="240" w:lineRule="auto"/>
              <w:jc w:val="center"/>
              <w:rPr>
                <w:rFonts w:ascii="Candara" w:hAnsi="Candara"/>
                <w:sz w:val="18"/>
              </w:rPr>
            </w:pPr>
            <w:r w:rsidRPr="006812C6">
              <w:rPr>
                <w:rFonts w:ascii="Candara" w:hAnsi="Candara"/>
                <w:sz w:val="18"/>
                <w:szCs w:val="20"/>
              </w:rPr>
              <w:t>Eksports uz 1 strādājošo, tūkst. EUR</w:t>
            </w:r>
          </w:p>
        </w:tc>
        <w:tc>
          <w:tcPr>
            <w:tcW w:w="6912" w:type="dxa"/>
            <w:gridSpan w:val="3"/>
            <w:shd w:val="clear" w:color="auto" w:fill="D9D9D9" w:themeFill="background1" w:themeFillShade="D9"/>
          </w:tcPr>
          <w:p w:rsidR="00C23A95" w:rsidRPr="00483382" w:rsidP="00762D1E">
            <w:pPr>
              <w:spacing w:after="0" w:line="240" w:lineRule="auto"/>
              <w:jc w:val="center"/>
              <w:rPr>
                <w:rFonts w:ascii="Candara" w:hAnsi="Candara"/>
                <w:sz w:val="18"/>
              </w:rPr>
            </w:pPr>
            <w:r w:rsidRPr="006812C6">
              <w:rPr>
                <w:rFonts w:ascii="Candara" w:hAnsi="Candara"/>
                <w:sz w:val="18"/>
                <w:szCs w:val="20"/>
              </w:rPr>
              <w:t>Eksports uz 1 strādājošo ES</w:t>
            </w:r>
            <w:r w:rsidR="008F4DF5">
              <w:rPr>
                <w:rFonts w:ascii="Candara" w:hAnsi="Candara"/>
                <w:sz w:val="18"/>
                <w:szCs w:val="20"/>
              </w:rPr>
              <w:t>-</w:t>
            </w:r>
            <w:r w:rsidRPr="006812C6">
              <w:rPr>
                <w:rFonts w:ascii="Candara" w:hAnsi="Candara"/>
                <w:sz w:val="18"/>
                <w:szCs w:val="20"/>
              </w:rPr>
              <w:t>28 valstīs, tūkst. EUR</w:t>
            </w:r>
          </w:p>
        </w:tc>
      </w:tr>
      <w:tr w:rsidTr="00C33BEB">
        <w:tblPrEx>
          <w:tblW w:w="10488" w:type="dxa"/>
          <w:jc w:val="center"/>
          <w:tblLook w:val="04A0"/>
        </w:tblPrEx>
        <w:trPr>
          <w:jc w:val="center"/>
        </w:trPr>
        <w:tc>
          <w:tcPr>
            <w:tcW w:w="3576" w:type="dxa"/>
          </w:tcPr>
          <w:p w:rsidR="00C23A95" w:rsidP="00762D1E">
            <w:pPr>
              <w:spacing w:after="0" w:line="240" w:lineRule="auto"/>
              <w:jc w:val="center"/>
              <w:rPr>
                <w:rFonts w:ascii="Candara" w:hAnsi="Candara"/>
              </w:rPr>
            </w:pPr>
            <w:r w:rsidRPr="00B612F1">
              <w:rPr>
                <w:rFonts w:ascii="Candara" w:hAnsi="Candara"/>
                <w:noProof/>
                <w:sz w:val="18"/>
                <w:szCs w:val="18"/>
                <w:lang w:eastAsia="lv-LV"/>
              </w:rPr>
              <w:drawing>
                <wp:inline distT="0" distB="0" distL="0" distR="0">
                  <wp:extent cx="2133600" cy="1171575"/>
                  <wp:effectExtent l="0" t="0" r="0" b="0"/>
                  <wp:docPr id="366"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tc>
        <w:tc>
          <w:tcPr>
            <w:tcW w:w="6912" w:type="dxa"/>
            <w:gridSpan w:val="3"/>
          </w:tcPr>
          <w:p w:rsidR="00C23A95" w:rsidP="00762D1E">
            <w:pPr>
              <w:spacing w:after="0" w:line="240" w:lineRule="auto"/>
              <w:jc w:val="center"/>
              <w:rPr>
                <w:rFonts w:ascii="Candara" w:hAnsi="Candara"/>
              </w:rPr>
            </w:pPr>
            <w:r w:rsidRPr="00421CA2">
              <w:rPr>
                <w:noProof/>
                <w:lang w:eastAsia="lv-LV"/>
              </w:rPr>
              <w:drawing>
                <wp:inline distT="0" distB="0" distL="0" distR="0">
                  <wp:extent cx="4114800" cy="1171575"/>
                  <wp:effectExtent l="0" t="0" r="0" b="0"/>
                  <wp:docPr id="367" name="Chart 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tc>
      </w:tr>
      <w:tr w:rsidTr="00C33BEB">
        <w:tblPrEx>
          <w:tblW w:w="10488" w:type="dxa"/>
          <w:jc w:val="center"/>
          <w:tblLook w:val="04A0"/>
        </w:tblPrEx>
        <w:trPr>
          <w:jc w:val="center"/>
        </w:trPr>
        <w:tc>
          <w:tcPr>
            <w:tcW w:w="3576" w:type="dxa"/>
            <w:shd w:val="clear" w:color="auto" w:fill="D9D9D9" w:themeFill="background1" w:themeFillShade="D9"/>
          </w:tcPr>
          <w:p w:rsidR="00C23A95" w:rsidRPr="004B4019" w:rsidP="00762D1E">
            <w:pPr>
              <w:spacing w:after="0" w:line="240" w:lineRule="auto"/>
              <w:jc w:val="center"/>
              <w:rPr>
                <w:rFonts w:ascii="Candara" w:hAnsi="Candara"/>
                <w:sz w:val="18"/>
                <w:szCs w:val="20"/>
              </w:rPr>
            </w:pPr>
            <w:r w:rsidRPr="004B4019">
              <w:rPr>
                <w:rFonts w:ascii="Candara" w:hAnsi="Candara"/>
                <w:sz w:val="18"/>
                <w:szCs w:val="20"/>
              </w:rPr>
              <w:t>Eksporta tirgi</w:t>
            </w:r>
            <w:r w:rsidR="00DE0F22">
              <w:rPr>
                <w:rFonts w:ascii="Candara" w:hAnsi="Candara"/>
                <w:sz w:val="18"/>
                <w:szCs w:val="20"/>
              </w:rPr>
              <w:t>, 2016</w:t>
            </w:r>
            <w:r w:rsidR="002B71CE">
              <w:rPr>
                <w:rFonts w:ascii="Candara" w:hAnsi="Candara"/>
                <w:sz w:val="18"/>
                <w:szCs w:val="20"/>
              </w:rPr>
              <w:t>.g.</w:t>
            </w:r>
          </w:p>
        </w:tc>
        <w:tc>
          <w:tcPr>
            <w:tcW w:w="6912" w:type="dxa"/>
            <w:gridSpan w:val="3"/>
            <w:shd w:val="clear" w:color="auto" w:fill="D9D9D9" w:themeFill="background1" w:themeFillShade="D9"/>
          </w:tcPr>
          <w:p w:rsidR="00C23A95" w:rsidRPr="00483382" w:rsidP="00762D1E">
            <w:pPr>
              <w:spacing w:after="0" w:line="240" w:lineRule="auto"/>
              <w:jc w:val="center"/>
              <w:rPr>
                <w:rFonts w:ascii="Candara" w:hAnsi="Candara"/>
                <w:sz w:val="18"/>
              </w:rPr>
            </w:pPr>
            <w:r w:rsidRPr="004B4019">
              <w:rPr>
                <w:rFonts w:ascii="Candara" w:hAnsi="Candara"/>
                <w:sz w:val="18"/>
                <w:szCs w:val="20"/>
              </w:rPr>
              <w:t>Eksporta struktūra</w:t>
            </w:r>
          </w:p>
        </w:tc>
      </w:tr>
      <w:tr w:rsidTr="00C33BEB">
        <w:tblPrEx>
          <w:tblW w:w="10488" w:type="dxa"/>
          <w:jc w:val="center"/>
          <w:tblLook w:val="04A0"/>
        </w:tblPrEx>
        <w:trPr>
          <w:jc w:val="center"/>
        </w:trPr>
        <w:tc>
          <w:tcPr>
            <w:tcW w:w="3576" w:type="dxa"/>
          </w:tcPr>
          <w:p w:rsidR="00C23A95" w:rsidRPr="00B612F1" w:rsidP="00762D1E">
            <w:pPr>
              <w:spacing w:after="0" w:line="240" w:lineRule="auto"/>
              <w:jc w:val="center"/>
              <w:rPr>
                <w:rFonts w:ascii="Candara" w:hAnsi="Candara"/>
                <w:b/>
                <w:szCs w:val="28"/>
              </w:rPr>
            </w:pPr>
            <w:r w:rsidRPr="004F3DC7">
              <w:rPr>
                <w:noProof/>
                <w:sz w:val="18"/>
                <w:szCs w:val="18"/>
                <w:lang w:eastAsia="lv-LV"/>
              </w:rPr>
              <w:drawing>
                <wp:inline distT="0" distB="0" distL="0" distR="0">
                  <wp:extent cx="1657350" cy="1368000"/>
                  <wp:effectExtent l="0" t="0" r="0" b="3810"/>
                  <wp:docPr id="36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tc>
        <w:tc>
          <w:tcPr>
            <w:tcW w:w="6912" w:type="dxa"/>
            <w:gridSpan w:val="3"/>
          </w:tcPr>
          <w:p w:rsidR="00C23A95" w:rsidRPr="004B5C57" w:rsidP="00762D1E">
            <w:pPr>
              <w:tabs>
                <w:tab w:val="left" w:pos="8080"/>
              </w:tabs>
              <w:spacing w:after="0" w:line="240" w:lineRule="auto"/>
              <w:ind w:right="-31"/>
              <w:jc w:val="center"/>
              <w:rPr>
                <w:sz w:val="18"/>
              </w:rPr>
            </w:pPr>
            <w:r w:rsidRPr="004B5C57">
              <w:rPr>
                <w:sz w:val="18"/>
              </w:rPr>
              <w:t xml:space="preserve">Latvija </w:t>
            </w:r>
            <w:r>
              <w:rPr>
                <w:sz w:val="18"/>
              </w:rPr>
              <w:t xml:space="preserve">                                                                                      </w:t>
            </w:r>
            <w:r w:rsidRPr="004B5C57">
              <w:rPr>
                <w:sz w:val="18"/>
              </w:rPr>
              <w:t>ES-28</w:t>
            </w:r>
          </w:p>
          <w:p w:rsidR="00C23A95" w:rsidRPr="004B5C57" w:rsidP="00762D1E">
            <w:pPr>
              <w:tabs>
                <w:tab w:val="left" w:pos="8080"/>
              </w:tabs>
              <w:spacing w:after="0" w:line="240" w:lineRule="auto"/>
              <w:ind w:right="-31"/>
            </w:pPr>
            <w:r>
              <w:rPr>
                <w:noProof/>
                <w:lang w:eastAsia="lv-LV"/>
              </w:rPr>
              <w:drawing>
                <wp:inline distT="0" distB="0" distL="0" distR="0">
                  <wp:extent cx="2617393" cy="1242725"/>
                  <wp:effectExtent l="0" t="0" r="0" b="0"/>
                  <wp:docPr id="369" name="Chart 3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r>
              <w:rPr>
                <w:noProof/>
                <w:lang w:eastAsia="lv-LV"/>
              </w:rPr>
              <w:drawing>
                <wp:inline distT="0" distB="0" distL="0" distR="0">
                  <wp:extent cx="1356258" cy="1242725"/>
                  <wp:effectExtent l="0" t="0" r="0" b="0"/>
                  <wp:docPr id="370" name="Chart 3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tc>
      </w:tr>
      <w:tr w:rsidTr="00C33BEB">
        <w:tblPrEx>
          <w:tblW w:w="10488" w:type="dxa"/>
          <w:jc w:val="center"/>
          <w:tblLook w:val="04A0"/>
        </w:tblPrEx>
        <w:trPr>
          <w:jc w:val="center"/>
        </w:trPr>
        <w:tc>
          <w:tcPr>
            <w:tcW w:w="3576" w:type="dxa"/>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Darbaspēka izmaksu dinamika</w:t>
            </w:r>
            <w:r>
              <w:rPr>
                <w:rFonts w:ascii="Candara" w:hAnsi="Candara"/>
                <w:sz w:val="18"/>
                <w:szCs w:val="20"/>
              </w:rPr>
              <w:t>, tūkst. EUR</w:t>
            </w:r>
          </w:p>
        </w:tc>
        <w:tc>
          <w:tcPr>
            <w:tcW w:w="3576" w:type="dxa"/>
            <w:gridSpan w:val="2"/>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Produktivitātes dinamika</w:t>
            </w:r>
            <w:r>
              <w:rPr>
                <w:rFonts w:ascii="Candara" w:hAnsi="Candara"/>
                <w:sz w:val="18"/>
                <w:szCs w:val="20"/>
              </w:rPr>
              <w:t>, tūkst. EUR</w:t>
            </w:r>
          </w:p>
        </w:tc>
        <w:tc>
          <w:tcPr>
            <w:tcW w:w="3336" w:type="dxa"/>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Produktivitāte un darbaspēka izmaksas</w:t>
            </w:r>
          </w:p>
        </w:tc>
      </w:tr>
      <w:tr w:rsidTr="00C33BEB">
        <w:tblPrEx>
          <w:tblW w:w="10488" w:type="dxa"/>
          <w:jc w:val="center"/>
          <w:tblLook w:val="04A0"/>
        </w:tblPrEx>
        <w:trPr>
          <w:jc w:val="center"/>
        </w:trPr>
        <w:tc>
          <w:tcPr>
            <w:tcW w:w="3576" w:type="dxa"/>
          </w:tcPr>
          <w:p w:rsidR="00C23A95" w:rsidP="00762D1E">
            <w:pPr>
              <w:spacing w:after="0" w:line="240" w:lineRule="auto"/>
              <w:jc w:val="center"/>
              <w:rPr>
                <w:rFonts w:ascii="Candara" w:hAnsi="Candara"/>
              </w:rPr>
            </w:pPr>
            <w:r w:rsidRPr="00B612F1">
              <w:rPr>
                <w:rFonts w:ascii="Candara" w:hAnsi="Candara"/>
                <w:noProof/>
                <w:sz w:val="18"/>
                <w:szCs w:val="18"/>
                <w:lang w:eastAsia="lv-LV"/>
              </w:rPr>
              <w:drawing>
                <wp:inline distT="0" distB="0" distL="0" distR="0">
                  <wp:extent cx="2133600" cy="1060450"/>
                  <wp:effectExtent l="0" t="0" r="0" b="6350"/>
                  <wp:docPr id="371"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tc>
        <w:tc>
          <w:tcPr>
            <w:tcW w:w="3576" w:type="dxa"/>
            <w:gridSpan w:val="2"/>
          </w:tcPr>
          <w:p w:rsidR="00C23A95" w:rsidP="00762D1E">
            <w:pPr>
              <w:spacing w:after="0" w:line="240" w:lineRule="auto"/>
              <w:jc w:val="center"/>
              <w:rPr>
                <w:rFonts w:ascii="Candara" w:hAnsi="Candara"/>
              </w:rPr>
            </w:pPr>
            <w:r w:rsidRPr="00B612F1">
              <w:rPr>
                <w:rFonts w:ascii="Candara" w:hAnsi="Candara"/>
                <w:noProof/>
                <w:sz w:val="18"/>
                <w:szCs w:val="18"/>
                <w:lang w:eastAsia="lv-LV"/>
              </w:rPr>
              <w:drawing>
                <wp:inline distT="0" distB="0" distL="0" distR="0">
                  <wp:extent cx="2133600" cy="1054100"/>
                  <wp:effectExtent l="0" t="0" r="0" b="0"/>
                  <wp:docPr id="372"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tc>
        <w:tc>
          <w:tcPr>
            <w:tcW w:w="3336" w:type="dxa"/>
            <w:vMerge w:val="restart"/>
          </w:tcPr>
          <w:p w:rsidR="00C23A95" w:rsidP="00762D1E">
            <w:pPr>
              <w:spacing w:after="0" w:line="240" w:lineRule="auto"/>
              <w:jc w:val="center"/>
              <w:rPr>
                <w:rFonts w:ascii="Candara" w:hAnsi="Candara"/>
              </w:rPr>
            </w:pPr>
            <w:r w:rsidRPr="00B612F1">
              <w:rPr>
                <w:rFonts w:ascii="Candara" w:eastAsia="Times New Roman" w:hAnsi="Candara"/>
                <w:noProof/>
                <w:sz w:val="18"/>
                <w:szCs w:val="18"/>
                <w:lang w:eastAsia="lv-LV"/>
              </w:rPr>
              <w:drawing>
                <wp:inline distT="0" distB="0" distL="0" distR="0">
                  <wp:extent cx="1847850" cy="2228850"/>
                  <wp:effectExtent l="0" t="0" r="0" b="0"/>
                  <wp:docPr id="373" name="Chart 3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tc>
      </w:tr>
      <w:tr w:rsidTr="00C33BEB">
        <w:tblPrEx>
          <w:tblW w:w="10488" w:type="dxa"/>
          <w:jc w:val="center"/>
          <w:tblLook w:val="04A0"/>
        </w:tblPrEx>
        <w:trPr>
          <w:jc w:val="center"/>
        </w:trPr>
        <w:tc>
          <w:tcPr>
            <w:tcW w:w="3576" w:type="dxa"/>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Darbaspēka izmaksas, ES-28=100</w:t>
            </w:r>
          </w:p>
        </w:tc>
        <w:tc>
          <w:tcPr>
            <w:tcW w:w="3576" w:type="dxa"/>
            <w:gridSpan w:val="2"/>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Produktivitāte, ES-28=100</w:t>
            </w:r>
          </w:p>
        </w:tc>
        <w:tc>
          <w:tcPr>
            <w:tcW w:w="3336" w:type="dxa"/>
            <w:vMerge/>
            <w:shd w:val="clear" w:color="auto" w:fill="D9D9D9" w:themeFill="background1" w:themeFillShade="D9"/>
          </w:tcPr>
          <w:p w:rsidR="00C23A95" w:rsidRPr="00483382" w:rsidP="003A2C2A">
            <w:pPr>
              <w:jc w:val="center"/>
              <w:rPr>
                <w:rFonts w:ascii="Candara" w:hAnsi="Candara"/>
                <w:sz w:val="18"/>
              </w:rPr>
            </w:pPr>
          </w:p>
        </w:tc>
      </w:tr>
      <w:tr w:rsidTr="00C33BEB">
        <w:tblPrEx>
          <w:tblW w:w="10488" w:type="dxa"/>
          <w:jc w:val="center"/>
          <w:tblLook w:val="04A0"/>
        </w:tblPrEx>
        <w:trPr>
          <w:jc w:val="center"/>
        </w:trPr>
        <w:tc>
          <w:tcPr>
            <w:tcW w:w="3576" w:type="dxa"/>
          </w:tcPr>
          <w:p w:rsidR="00C23A95" w:rsidP="00762D1E">
            <w:pPr>
              <w:spacing w:after="0" w:line="240" w:lineRule="auto"/>
              <w:jc w:val="center"/>
              <w:rPr>
                <w:rFonts w:ascii="Candara" w:hAnsi="Candara"/>
              </w:rPr>
            </w:pPr>
            <w:r w:rsidRPr="00B41842">
              <w:rPr>
                <w:rFonts w:ascii="Arial Narrow" w:hAnsi="Arial Narrow"/>
                <w:noProof/>
                <w:lang w:eastAsia="lv-LV"/>
              </w:rPr>
              <w:drawing>
                <wp:inline distT="0" distB="0" distL="0" distR="0">
                  <wp:extent cx="2124075" cy="1057275"/>
                  <wp:effectExtent l="0" t="0" r="0" b="0"/>
                  <wp:docPr id="37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tc>
        <w:tc>
          <w:tcPr>
            <w:tcW w:w="3576" w:type="dxa"/>
            <w:gridSpan w:val="2"/>
          </w:tcPr>
          <w:p w:rsidR="00C23A95" w:rsidP="00762D1E">
            <w:pPr>
              <w:spacing w:after="0" w:line="240" w:lineRule="auto"/>
              <w:jc w:val="center"/>
              <w:rPr>
                <w:rFonts w:ascii="Candara" w:hAnsi="Candara"/>
              </w:rPr>
            </w:pPr>
            <w:r w:rsidRPr="00123E9E">
              <w:rPr>
                <w:rFonts w:ascii="Arial Narrow" w:hAnsi="Arial Narrow"/>
                <w:noProof/>
                <w:lang w:eastAsia="lv-LV"/>
              </w:rPr>
              <w:drawing>
                <wp:inline distT="0" distB="0" distL="0" distR="0">
                  <wp:extent cx="1943100" cy="1057275"/>
                  <wp:effectExtent l="0" t="0" r="0" b="0"/>
                  <wp:docPr id="37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tc>
        <w:tc>
          <w:tcPr>
            <w:tcW w:w="3336" w:type="dxa"/>
            <w:vMerge/>
          </w:tcPr>
          <w:p w:rsidR="00C23A95" w:rsidP="003A2C2A">
            <w:pPr>
              <w:jc w:val="center"/>
              <w:rPr>
                <w:rFonts w:ascii="Candara" w:hAnsi="Candara"/>
              </w:rPr>
            </w:pPr>
          </w:p>
        </w:tc>
      </w:tr>
      <w:tr w:rsidTr="00C33BEB">
        <w:tblPrEx>
          <w:tblW w:w="10488" w:type="dxa"/>
          <w:jc w:val="center"/>
          <w:tblLook w:val="04A0"/>
        </w:tblPrEx>
        <w:trPr>
          <w:jc w:val="center"/>
        </w:trPr>
        <w:tc>
          <w:tcPr>
            <w:tcW w:w="5299" w:type="dxa"/>
            <w:gridSpan w:val="2"/>
            <w:shd w:val="clear" w:color="auto" w:fill="D9D9D9" w:themeFill="background1" w:themeFillShade="D9"/>
          </w:tcPr>
          <w:p w:rsidR="00C23A95" w:rsidRPr="00483382" w:rsidP="00762D1E">
            <w:pPr>
              <w:spacing w:after="0" w:line="240" w:lineRule="auto"/>
              <w:jc w:val="center"/>
              <w:rPr>
                <w:rFonts w:ascii="Candara" w:hAnsi="Candara"/>
                <w:sz w:val="18"/>
                <w:szCs w:val="20"/>
              </w:rPr>
            </w:pPr>
            <w:r w:rsidRPr="00483382">
              <w:rPr>
                <w:rFonts w:ascii="Candara" w:hAnsi="Candara"/>
                <w:sz w:val="18"/>
                <w:szCs w:val="20"/>
              </w:rPr>
              <w:t>Darbaspēka izmaksas</w:t>
            </w:r>
            <w:r w:rsidR="00F35BE1">
              <w:rPr>
                <w:rFonts w:ascii="Candara" w:hAnsi="Candara"/>
                <w:sz w:val="18"/>
                <w:szCs w:val="20"/>
              </w:rPr>
              <w:t xml:space="preserve"> uz 1 nodarbināto</w:t>
            </w:r>
            <w:r w:rsidR="0009724E">
              <w:rPr>
                <w:rFonts w:ascii="Candara" w:hAnsi="Candara"/>
                <w:sz w:val="18"/>
                <w:szCs w:val="20"/>
              </w:rPr>
              <w:t xml:space="preserve"> 2015</w:t>
            </w:r>
            <w:r w:rsidR="004C2A38">
              <w:rPr>
                <w:rFonts w:ascii="Candara" w:hAnsi="Candara"/>
                <w:sz w:val="18"/>
                <w:szCs w:val="20"/>
              </w:rPr>
              <w:t>.g.</w:t>
            </w:r>
            <w:r>
              <w:rPr>
                <w:rFonts w:ascii="Candara" w:hAnsi="Candara"/>
                <w:sz w:val="18"/>
                <w:szCs w:val="20"/>
              </w:rPr>
              <w:t>, tūkst. EUR</w:t>
            </w:r>
          </w:p>
        </w:tc>
        <w:tc>
          <w:tcPr>
            <w:tcW w:w="5189" w:type="dxa"/>
            <w:gridSpan w:val="2"/>
            <w:shd w:val="clear" w:color="auto" w:fill="D9D9D9" w:themeFill="background1" w:themeFillShade="D9"/>
          </w:tcPr>
          <w:p w:rsidR="00C23A95" w:rsidRPr="00483382" w:rsidP="00762D1E">
            <w:pPr>
              <w:spacing w:after="0" w:line="240" w:lineRule="auto"/>
              <w:jc w:val="center"/>
              <w:rPr>
                <w:rFonts w:ascii="Candara" w:hAnsi="Candara"/>
                <w:sz w:val="18"/>
                <w:szCs w:val="20"/>
              </w:rPr>
            </w:pPr>
            <w:r w:rsidRPr="00483382">
              <w:rPr>
                <w:rFonts w:ascii="Candara" w:hAnsi="Candara"/>
                <w:sz w:val="18"/>
                <w:szCs w:val="20"/>
              </w:rPr>
              <w:t>Produktivitāte</w:t>
            </w:r>
            <w:r w:rsidR="001E321A">
              <w:rPr>
                <w:rFonts w:ascii="Candara" w:hAnsi="Candara"/>
                <w:sz w:val="18"/>
                <w:szCs w:val="20"/>
              </w:rPr>
              <w:t xml:space="preserve"> (PV uz 1 nodarbināto)</w:t>
            </w:r>
            <w:r w:rsidR="0009724E">
              <w:rPr>
                <w:rFonts w:ascii="Candara" w:hAnsi="Candara"/>
                <w:sz w:val="18"/>
                <w:szCs w:val="20"/>
              </w:rPr>
              <w:t xml:space="preserve"> 2015</w:t>
            </w:r>
            <w:r w:rsidR="001E321A">
              <w:rPr>
                <w:rFonts w:ascii="Candara" w:hAnsi="Candara"/>
                <w:sz w:val="18"/>
                <w:szCs w:val="20"/>
              </w:rPr>
              <w:t>.g.</w:t>
            </w:r>
            <w:r>
              <w:rPr>
                <w:rFonts w:ascii="Candara" w:hAnsi="Candara"/>
                <w:sz w:val="18"/>
                <w:szCs w:val="20"/>
              </w:rPr>
              <w:t>, tūkst. EUR</w:t>
            </w:r>
          </w:p>
        </w:tc>
      </w:tr>
      <w:tr w:rsidTr="00C33BEB">
        <w:tblPrEx>
          <w:tblW w:w="10488" w:type="dxa"/>
          <w:jc w:val="center"/>
          <w:tblLook w:val="04A0"/>
        </w:tblPrEx>
        <w:trPr>
          <w:jc w:val="center"/>
        </w:trPr>
        <w:tc>
          <w:tcPr>
            <w:tcW w:w="5299" w:type="dxa"/>
            <w:gridSpan w:val="2"/>
          </w:tcPr>
          <w:p w:rsidR="00C23A95" w:rsidP="00762D1E">
            <w:pPr>
              <w:spacing w:after="0" w:line="240" w:lineRule="auto"/>
              <w:jc w:val="center"/>
              <w:rPr>
                <w:rFonts w:ascii="Candara" w:hAnsi="Candara"/>
              </w:rPr>
            </w:pPr>
            <w:r w:rsidRPr="00421CA2">
              <w:rPr>
                <w:noProof/>
                <w:lang w:eastAsia="lv-LV"/>
              </w:rPr>
              <w:drawing>
                <wp:inline distT="0" distB="0" distL="0" distR="0">
                  <wp:extent cx="3152775" cy="1171575"/>
                  <wp:effectExtent l="0" t="0" r="0" b="0"/>
                  <wp:docPr id="376" name="Chart 3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tc>
        <w:tc>
          <w:tcPr>
            <w:tcW w:w="5189" w:type="dxa"/>
            <w:gridSpan w:val="2"/>
          </w:tcPr>
          <w:p w:rsidR="00C23A95" w:rsidP="00762D1E">
            <w:pPr>
              <w:spacing w:after="0" w:line="240" w:lineRule="auto"/>
              <w:jc w:val="center"/>
              <w:rPr>
                <w:rFonts w:ascii="Candara" w:hAnsi="Candara"/>
              </w:rPr>
            </w:pPr>
            <w:r w:rsidRPr="00421CA2">
              <w:rPr>
                <w:noProof/>
                <w:lang w:eastAsia="lv-LV"/>
              </w:rPr>
              <w:drawing>
                <wp:inline distT="0" distB="0" distL="0" distR="0">
                  <wp:extent cx="3152775" cy="1171575"/>
                  <wp:effectExtent l="0" t="0" r="0" b="0"/>
                  <wp:docPr id="377" name="Chart 3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tc>
      </w:tr>
      <w:tr w:rsidTr="00C33BEB">
        <w:tblPrEx>
          <w:tblW w:w="10488" w:type="dxa"/>
          <w:jc w:val="center"/>
          <w:tblLook w:val="04A0"/>
        </w:tblPrEx>
        <w:trPr>
          <w:jc w:val="center"/>
        </w:trPr>
        <w:tc>
          <w:tcPr>
            <w:tcW w:w="5299" w:type="dxa"/>
            <w:gridSpan w:val="2"/>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Produktivitāte un darbaspēka izmaksas ES-28 valstīs 2010.g</w:t>
            </w:r>
            <w:r w:rsidR="002B71CE">
              <w:rPr>
                <w:rFonts w:ascii="Candara" w:hAnsi="Candara"/>
                <w:sz w:val="18"/>
                <w:szCs w:val="20"/>
              </w:rPr>
              <w:t>.</w:t>
            </w:r>
          </w:p>
        </w:tc>
        <w:tc>
          <w:tcPr>
            <w:tcW w:w="5189" w:type="dxa"/>
            <w:gridSpan w:val="2"/>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Produktivitāte un darbaspēka izmaksas ES-28 valstīs 201</w:t>
            </w:r>
            <w:r w:rsidR="00324054">
              <w:rPr>
                <w:rFonts w:ascii="Candara" w:hAnsi="Candara"/>
                <w:sz w:val="18"/>
                <w:szCs w:val="20"/>
              </w:rPr>
              <w:t>5</w:t>
            </w:r>
            <w:r w:rsidRPr="00483382">
              <w:rPr>
                <w:rFonts w:ascii="Candara" w:hAnsi="Candara"/>
                <w:sz w:val="18"/>
                <w:szCs w:val="20"/>
              </w:rPr>
              <w:t>.g</w:t>
            </w:r>
            <w:r w:rsidR="002B71CE">
              <w:rPr>
                <w:rFonts w:ascii="Candara" w:hAnsi="Candara"/>
                <w:sz w:val="18"/>
                <w:szCs w:val="20"/>
              </w:rPr>
              <w:t>.</w:t>
            </w:r>
          </w:p>
        </w:tc>
      </w:tr>
      <w:tr w:rsidTr="00C33BEB">
        <w:tblPrEx>
          <w:tblW w:w="10488" w:type="dxa"/>
          <w:jc w:val="center"/>
          <w:tblLook w:val="04A0"/>
        </w:tblPrEx>
        <w:trPr>
          <w:jc w:val="center"/>
        </w:trPr>
        <w:tc>
          <w:tcPr>
            <w:tcW w:w="5299" w:type="dxa"/>
            <w:gridSpan w:val="2"/>
          </w:tcPr>
          <w:p w:rsidR="00C23A95" w:rsidP="00762D1E">
            <w:pPr>
              <w:spacing w:after="0" w:line="240" w:lineRule="auto"/>
              <w:rPr>
                <w:rFonts w:ascii="Candara" w:hAnsi="Candara"/>
              </w:rPr>
            </w:pPr>
            <w:r w:rsidRPr="00B612F1">
              <w:rPr>
                <w:rFonts w:ascii="Candara" w:eastAsia="Times New Roman" w:hAnsi="Candara"/>
                <w:noProof/>
                <w:sz w:val="18"/>
                <w:szCs w:val="18"/>
                <w:lang w:eastAsia="lv-LV"/>
              </w:rPr>
              <w:drawing>
                <wp:inline distT="0" distB="0" distL="0" distR="0">
                  <wp:extent cx="3057525" cy="1333500"/>
                  <wp:effectExtent l="0" t="0" r="0" b="0"/>
                  <wp:docPr id="378" name="Chart 3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tc>
        <w:tc>
          <w:tcPr>
            <w:tcW w:w="5189" w:type="dxa"/>
            <w:gridSpan w:val="2"/>
          </w:tcPr>
          <w:p w:rsidR="00C23A95" w:rsidP="00762D1E">
            <w:pPr>
              <w:spacing w:after="0" w:line="240" w:lineRule="auto"/>
              <w:rPr>
                <w:rFonts w:ascii="Candara" w:hAnsi="Candara"/>
              </w:rPr>
            </w:pPr>
            <w:r w:rsidRPr="00B612F1">
              <w:rPr>
                <w:rFonts w:ascii="Candara" w:eastAsia="Times New Roman" w:hAnsi="Candara"/>
                <w:noProof/>
                <w:sz w:val="18"/>
                <w:szCs w:val="18"/>
                <w:lang w:eastAsia="lv-LV"/>
              </w:rPr>
              <w:drawing>
                <wp:inline distT="0" distB="0" distL="0" distR="0">
                  <wp:extent cx="3057525" cy="1333500"/>
                  <wp:effectExtent l="0" t="0" r="0" b="0"/>
                  <wp:docPr id="379" name="Chart 3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tc>
      </w:tr>
    </w:tbl>
    <w:p w:rsidR="00C23A95" w:rsidP="00C23A95">
      <w:pPr>
        <w:spacing w:after="0" w:line="240" w:lineRule="auto"/>
        <w:rPr>
          <w:rFonts w:ascii="Candara" w:hAnsi="Candara"/>
          <w:b/>
          <w:color w:val="000000"/>
          <w:szCs w:val="28"/>
        </w:rPr>
      </w:pPr>
    </w:p>
    <w:p w:rsidR="008D2A00" w:rsidP="008D2A00">
      <w:pPr>
        <w:spacing w:after="0" w:line="240" w:lineRule="auto"/>
        <w:jc w:val="both"/>
        <w:rPr>
          <w:rFonts w:ascii="Candara" w:hAnsi="Candara"/>
          <w:b/>
          <w:color w:val="000000"/>
          <w:szCs w:val="28"/>
          <w:u w:val="single"/>
        </w:rPr>
      </w:pPr>
      <w:bookmarkEnd w:id="41"/>
      <w:r>
        <w:rPr>
          <w:rFonts w:ascii="Candara" w:hAnsi="Candara"/>
          <w:b/>
          <w:color w:val="000000"/>
          <w:szCs w:val="28"/>
          <w:u w:val="single"/>
        </w:rPr>
        <w:t>Nozares īpatsvars tautsaimniecībā, procentos.</w:t>
      </w:r>
      <w:r>
        <w:rPr>
          <w:rFonts w:ascii="Candara" w:hAnsi="Candara"/>
          <w:color w:val="000000"/>
          <w:szCs w:val="28"/>
        </w:rPr>
        <w:t xml:space="preserve"> Elektrisko un optisko iekārtu ražošana pēdējos gados ir visstraujāk augošā apstrādes rūpniecības nozare. Tās īpatsvars tautsaimniecībā ir palielinājies no 0,4% 2005.gadā līdz 1,0% 2015. gadā. Vairāk nekā 90% no visas nozarē saražotās produkcijas tiek eksportēta.</w:t>
      </w:r>
    </w:p>
    <w:p w:rsidR="008D2A00" w:rsidP="008D2A00">
      <w:pPr>
        <w:spacing w:after="0" w:line="240" w:lineRule="auto"/>
        <w:jc w:val="both"/>
        <w:rPr>
          <w:rFonts w:ascii="Candara" w:hAnsi="Candara"/>
          <w:color w:val="000000"/>
          <w:szCs w:val="28"/>
        </w:rPr>
      </w:pPr>
      <w:r>
        <w:rPr>
          <w:rFonts w:ascii="Candara" w:hAnsi="Candara"/>
          <w:b/>
          <w:color w:val="000000"/>
          <w:szCs w:val="28"/>
          <w:u w:val="single"/>
        </w:rPr>
        <w:t>Pievienotās vērtības un darba vietu skaita izmaiņas, 2005=100.</w:t>
      </w:r>
      <w:r>
        <w:rPr>
          <w:rFonts w:ascii="Candara" w:hAnsi="Candara"/>
          <w:color w:val="000000"/>
          <w:szCs w:val="28"/>
        </w:rPr>
        <w:t xml:space="preserve"> 2015.gadā nozare piedzīvoja strauju izaugsmi, ražošanas apjomi nozarē palielinājās par 50%. Kopš krīzes zemākā punkta 2009.gadā nozares izlaides apjomi ir trīskāršojušies un divas reizes pārsniedz pirmskrīzes līmeni. </w:t>
      </w:r>
    </w:p>
    <w:p w:rsidR="008D2A00" w:rsidP="008D2A00">
      <w:pPr>
        <w:spacing w:after="0" w:line="240" w:lineRule="auto"/>
        <w:jc w:val="both"/>
        <w:rPr>
          <w:rFonts w:ascii="Candara" w:hAnsi="Candara"/>
          <w:color w:val="000000"/>
          <w:szCs w:val="28"/>
        </w:rPr>
      </w:pPr>
      <w:r>
        <w:rPr>
          <w:rFonts w:ascii="Candara" w:hAnsi="Candara"/>
          <w:color w:val="000000"/>
          <w:szCs w:val="28"/>
        </w:rPr>
        <w:t>Salīdzinājumā ar ražošanas apjomu kāpumu darbavietu skaits nozarē aug krietni mērenāk, kas liecina par produktivitātes pieaugumu. 2015.gadā aizņemto darbavietu skaits pat samazinājās par 5%.</w:t>
      </w:r>
      <w:r>
        <w:t xml:space="preserve"> </w:t>
      </w:r>
      <w:r>
        <w:rPr>
          <w:rFonts w:ascii="Candara" w:hAnsi="Candara"/>
          <w:color w:val="000000"/>
          <w:szCs w:val="28"/>
        </w:rPr>
        <w:t>2015.gadā, salīdzinot ar krīzes zemāko punktu 2010.gadā, darbavietu skaits bija pieaudzis par 31%,</w:t>
      </w:r>
      <w:r>
        <w:t xml:space="preserve"> </w:t>
      </w:r>
      <w:r>
        <w:rPr>
          <w:rFonts w:ascii="Candara" w:hAnsi="Candara"/>
          <w:color w:val="000000"/>
          <w:szCs w:val="28"/>
        </w:rPr>
        <w:t>bet par 22% atpaliek no pirmskrīzes līmeņa.</w:t>
      </w:r>
    </w:p>
    <w:p w:rsidR="008D2A00" w:rsidP="008D2A00">
      <w:pPr>
        <w:spacing w:after="0" w:line="240" w:lineRule="auto"/>
        <w:jc w:val="both"/>
        <w:rPr>
          <w:rFonts w:ascii="Candara" w:hAnsi="Candara"/>
          <w:color w:val="000000"/>
          <w:szCs w:val="28"/>
        </w:rPr>
      </w:pPr>
      <w:r>
        <w:rPr>
          <w:rFonts w:ascii="Candara" w:hAnsi="Candara"/>
          <w:b/>
          <w:color w:val="000000"/>
          <w:szCs w:val="28"/>
          <w:u w:val="single"/>
        </w:rPr>
        <w:t>Produkcijas eksports, milj. EUR.</w:t>
      </w:r>
      <w:r>
        <w:rPr>
          <w:rFonts w:ascii="Candara" w:hAnsi="Candara"/>
          <w:color w:val="000000"/>
          <w:szCs w:val="28"/>
        </w:rPr>
        <w:t xml:space="preserve"> Desmit gadu laikā eksportētās produkcijas apjomi ir vairākkārtīgi pieauguši. Diemžēl 2016.gada eksporta apjomi ir piedzīvojuši samazināšanos. Pēdējos gados elektrisko un optisko iekārtu eksports apstrādes rūpniecībā ir audzis visstraujāk.</w:t>
      </w:r>
    </w:p>
    <w:p w:rsidR="008D2A00" w:rsidP="008D2A00">
      <w:pPr>
        <w:spacing w:after="0" w:line="240" w:lineRule="auto"/>
        <w:jc w:val="both"/>
        <w:rPr>
          <w:rFonts w:ascii="Candara" w:hAnsi="Candara"/>
          <w:b/>
          <w:color w:val="000000"/>
          <w:szCs w:val="28"/>
          <w:u w:val="single"/>
        </w:rPr>
      </w:pPr>
      <w:r>
        <w:rPr>
          <w:rFonts w:ascii="Candara" w:hAnsi="Candara"/>
          <w:b/>
          <w:color w:val="000000"/>
          <w:szCs w:val="28"/>
          <w:u w:val="single"/>
        </w:rPr>
        <w:t>Eksports uz 1 strādājošo, tūkst. EUR.</w:t>
      </w:r>
      <w:r>
        <w:rPr>
          <w:rFonts w:ascii="Candara" w:hAnsi="Candara"/>
          <w:color w:val="000000"/>
          <w:szCs w:val="28"/>
        </w:rPr>
        <w:t xml:space="preserve"> Kopš krīzes perioda eksporta apjoms uz vienu strādājošo ir pieaudzis vairākas reizes.</w:t>
      </w:r>
    </w:p>
    <w:p w:rsidR="008D2A00" w:rsidP="008D2A00">
      <w:pPr>
        <w:spacing w:after="0" w:line="240" w:lineRule="auto"/>
        <w:jc w:val="both"/>
        <w:rPr>
          <w:rFonts w:ascii="Candara" w:hAnsi="Candara"/>
          <w:color w:val="000000"/>
          <w:szCs w:val="28"/>
        </w:rPr>
      </w:pPr>
      <w:r>
        <w:rPr>
          <w:rFonts w:ascii="Candara" w:hAnsi="Candara"/>
          <w:b/>
          <w:color w:val="000000"/>
          <w:szCs w:val="28"/>
          <w:u w:val="single"/>
        </w:rPr>
        <w:t>Eksports uz 1 strādājošo ES 28 valstīs, tūkst. EUR.</w:t>
      </w:r>
      <w:r>
        <w:rPr>
          <w:rFonts w:ascii="Candara" w:hAnsi="Candara"/>
          <w:color w:val="000000"/>
          <w:szCs w:val="28"/>
        </w:rPr>
        <w:t xml:space="preserve"> Latvijā eksports apjoms uz vienu strādājošo nozarē bija augstāks nekā vidēji ES. Tas ir lielāks gan kā Igaunijas, gan kā Lietuvas attiecīgais rādītājs.</w:t>
      </w:r>
    </w:p>
    <w:p w:rsidR="008D2A00" w:rsidP="008D2A00">
      <w:pPr>
        <w:spacing w:after="0" w:line="240" w:lineRule="auto"/>
        <w:jc w:val="both"/>
        <w:rPr>
          <w:rFonts w:ascii="Candara" w:hAnsi="Candara"/>
          <w:b/>
          <w:color w:val="000000"/>
          <w:szCs w:val="28"/>
          <w:u w:val="single"/>
        </w:rPr>
      </w:pPr>
      <w:r>
        <w:rPr>
          <w:rFonts w:ascii="Candara" w:hAnsi="Candara"/>
          <w:b/>
          <w:color w:val="000000"/>
          <w:szCs w:val="28"/>
          <w:u w:val="single"/>
        </w:rPr>
        <w:t>Eksporta tirgi.</w:t>
      </w:r>
      <w:r>
        <w:rPr>
          <w:rFonts w:ascii="Candara" w:hAnsi="Candara"/>
          <w:color w:val="000000"/>
          <w:szCs w:val="28"/>
        </w:rPr>
        <w:t xml:space="preserve"> Lielākie eksporta tirgi nozarē ir Lietuva, Igaunija, Krievija, Polija, Apvienotie Arābu Emirāti, Čehija, Vācija un ASV.</w:t>
      </w:r>
    </w:p>
    <w:p w:rsidR="008D2A00" w:rsidP="008D2A00">
      <w:pPr>
        <w:spacing w:after="0" w:line="240" w:lineRule="auto"/>
        <w:jc w:val="both"/>
        <w:rPr>
          <w:rFonts w:ascii="Candara" w:hAnsi="Candara"/>
          <w:b/>
          <w:color w:val="000000"/>
          <w:szCs w:val="28"/>
          <w:u w:val="single"/>
        </w:rPr>
      </w:pPr>
      <w:r>
        <w:rPr>
          <w:rFonts w:ascii="Candara" w:hAnsi="Candara"/>
          <w:b/>
          <w:color w:val="000000"/>
          <w:szCs w:val="28"/>
          <w:u w:val="single"/>
        </w:rPr>
        <w:t>Eksporta struktūra.</w:t>
      </w:r>
      <w:r>
        <w:rPr>
          <w:rFonts w:ascii="Candara" w:hAnsi="Candara"/>
          <w:color w:val="000000"/>
          <w:szCs w:val="28"/>
        </w:rPr>
        <w:t xml:space="preserve"> Latvijā kopš 2005.gada ir ievērojami pieaudzis datu pārraides aparātu eksporta īpatsvars.</w:t>
      </w:r>
    </w:p>
    <w:p w:rsidR="008D2A00" w:rsidP="008D2A00">
      <w:pPr>
        <w:spacing w:after="0" w:line="240" w:lineRule="auto"/>
        <w:jc w:val="both"/>
        <w:rPr>
          <w:rFonts w:ascii="Candara" w:hAnsi="Candara"/>
          <w:color w:val="000000"/>
          <w:szCs w:val="28"/>
        </w:rPr>
      </w:pPr>
      <w:r>
        <w:rPr>
          <w:rFonts w:ascii="Candara" w:hAnsi="Candara"/>
          <w:b/>
          <w:color w:val="000000"/>
          <w:szCs w:val="28"/>
          <w:u w:val="single"/>
        </w:rPr>
        <w:t>Darbaspēka izmaksu dinamika, tūkst.</w:t>
      </w:r>
      <w:r>
        <w:rPr>
          <w:rFonts w:ascii="Candara" w:hAnsi="Candara"/>
          <w:color w:val="000000"/>
          <w:szCs w:val="28"/>
        </w:rPr>
        <w:t xml:space="preserve"> Atsākoties ekonomikas izaugsmei, 2012.-2013.gadā darba samaksas pieaugums nozarē kļuva straujāks, darbaspēka izmaksām sasniedzot jau pirmskrīzes perioda līmeni. Izmaksu pieaugums turpinājās arī 2014.-2015.gadā.</w:t>
      </w:r>
    </w:p>
    <w:p w:rsidR="008D2A00" w:rsidP="008D2A00">
      <w:pPr>
        <w:spacing w:after="0" w:line="240" w:lineRule="auto"/>
        <w:jc w:val="both"/>
        <w:rPr>
          <w:rFonts w:ascii="Candara" w:hAnsi="Candara"/>
          <w:color w:val="000000"/>
          <w:szCs w:val="28"/>
        </w:rPr>
      </w:pPr>
      <w:r>
        <w:rPr>
          <w:rFonts w:ascii="Candara" w:hAnsi="Candara"/>
          <w:b/>
          <w:color w:val="000000"/>
          <w:szCs w:val="28"/>
          <w:u w:val="single"/>
        </w:rPr>
        <w:t>Produktivitātes dinamika, tūkst.</w:t>
      </w:r>
      <w:r>
        <w:rPr>
          <w:rFonts w:ascii="Candara" w:hAnsi="Candara"/>
          <w:color w:val="000000"/>
          <w:szCs w:val="28"/>
        </w:rPr>
        <w:t xml:space="preserve"> Būtisks nodarbināto skaita samazinājums krīzes laikā veicināja strauju produktivitātes kāpumu 2010.-2011.gadā. Savukārt, 2012.gadā, strauji pieaugot darbaspēka izmaksām un samazinoties ražošanas apjomiem, produktivitāte samazinājās. 2013.gadā bija vērojams straujš produktivitātes kāpums, kas saistīts ar ražošanas apjomu kāpumu par 30%, bet 2014.gadā produktivitātes kāpums bija mērens. Arī 2015.gada straujo produktivitātes pieaugumu noteica būtisks ražošanas apjomu pieaugums.</w:t>
      </w:r>
    </w:p>
    <w:p w:rsidR="008D2A00" w:rsidP="008D2A00">
      <w:pPr>
        <w:spacing w:after="0" w:line="240" w:lineRule="auto"/>
        <w:jc w:val="both"/>
        <w:rPr>
          <w:rFonts w:ascii="Candara" w:hAnsi="Candara"/>
          <w:color w:val="000000"/>
          <w:szCs w:val="28"/>
        </w:rPr>
      </w:pPr>
      <w:r>
        <w:rPr>
          <w:rFonts w:ascii="Candara" w:hAnsi="Candara"/>
          <w:b/>
          <w:color w:val="000000"/>
          <w:szCs w:val="28"/>
          <w:u w:val="single"/>
        </w:rPr>
        <w:t>Produktivitāte un darbaspēka izmaksas.</w:t>
      </w:r>
      <w:r>
        <w:rPr>
          <w:rFonts w:ascii="Candara" w:hAnsi="Candara"/>
          <w:color w:val="000000"/>
          <w:szCs w:val="28"/>
        </w:rPr>
        <w:t xml:space="preserve"> Krīze pozitīvi ietekmēja nozares konkurētspēju (ULC samazinājās par 3%, ko galvenokārt noteica nodarbināto skaita samazinājums 2009.-2010.gadā). Arī turpmākajos gados ir vērojama tendence izmaksu konkurētspējas uzlabošanai, ko noteica ražošanas apjomu straujāks kāpums. 2015.gadā, salīdzinot ar 2014.gadu, darbaspēka izmaksas uz 1 produkcijas vienību Latvijā bija par 29% zemākā līmenī, tātad izmaksu konkurētspējas priekšrocības joprojām saglabājas.</w:t>
      </w:r>
    </w:p>
    <w:p w:rsidR="008D2A00" w:rsidP="008D2A00">
      <w:pPr>
        <w:spacing w:after="0" w:line="240" w:lineRule="auto"/>
        <w:jc w:val="both"/>
        <w:rPr>
          <w:rFonts w:ascii="Candara" w:hAnsi="Candara"/>
          <w:color w:val="000000"/>
          <w:szCs w:val="28"/>
        </w:rPr>
      </w:pPr>
      <w:r>
        <w:rPr>
          <w:rFonts w:ascii="Candara" w:hAnsi="Candara"/>
          <w:b/>
          <w:color w:val="000000"/>
          <w:szCs w:val="28"/>
          <w:u w:val="single"/>
        </w:rPr>
        <w:t>Darbaspēka izmaksas, ES-28=100.</w:t>
      </w:r>
      <w:r>
        <w:rPr>
          <w:rFonts w:ascii="Candara" w:hAnsi="Candara"/>
          <w:color w:val="000000"/>
          <w:szCs w:val="28"/>
        </w:rPr>
        <w:t xml:space="preserve"> Salīdzinot ar darbaspēka izmaksu vidējo līmeni ES, nozarē tas ir zemāk nekā tautsaimniecībā kopumā, bet pēdējos gados tas pieaug.</w:t>
      </w:r>
    </w:p>
    <w:p w:rsidR="008D2A00" w:rsidP="008D2A00">
      <w:pPr>
        <w:spacing w:after="0" w:line="240" w:lineRule="auto"/>
        <w:jc w:val="both"/>
        <w:rPr>
          <w:rFonts w:ascii="Candara" w:hAnsi="Candara"/>
          <w:color w:val="000000"/>
          <w:szCs w:val="28"/>
        </w:rPr>
      </w:pPr>
      <w:r>
        <w:rPr>
          <w:rFonts w:ascii="Candara" w:hAnsi="Candara"/>
          <w:b/>
          <w:color w:val="000000"/>
          <w:szCs w:val="28"/>
          <w:u w:val="single"/>
        </w:rPr>
        <w:t>Produktivitāte, ES-28=100.</w:t>
      </w:r>
      <w:r>
        <w:rPr>
          <w:rFonts w:ascii="Candara" w:hAnsi="Candara"/>
          <w:color w:val="000000"/>
          <w:szCs w:val="28"/>
        </w:rPr>
        <w:t xml:space="preserve"> Salīdzinot ar vidējo līmeni ES, nozarē produktivitātes līmenis iepriekšējos gados bija zemāks nekā tautsaimniecībā kopumā. 2015.gadā tas strauji uzlabojās un bija par 18 procentpunktiem augstāks nekā 2014.gadā, pārsniedzot rādījumu tautsaimniecībā kopumā.</w:t>
      </w:r>
    </w:p>
    <w:p w:rsidR="008D2A00" w:rsidP="008D2A00">
      <w:pPr>
        <w:spacing w:after="0" w:line="240" w:lineRule="auto"/>
        <w:jc w:val="both"/>
        <w:rPr>
          <w:rFonts w:ascii="Candara" w:hAnsi="Candara"/>
          <w:color w:val="000000"/>
          <w:szCs w:val="28"/>
        </w:rPr>
      </w:pPr>
      <w:r>
        <w:rPr>
          <w:rFonts w:ascii="Candara" w:hAnsi="Candara"/>
          <w:b/>
          <w:color w:val="000000"/>
          <w:szCs w:val="28"/>
          <w:u w:val="single"/>
        </w:rPr>
        <w:t>Darbaspēka izmaksas, salīdzinot ar ES valstīm, 2015.gadā.</w:t>
      </w:r>
      <w:r>
        <w:rPr>
          <w:rFonts w:ascii="Candara" w:hAnsi="Candara"/>
          <w:color w:val="000000"/>
          <w:szCs w:val="28"/>
        </w:rPr>
        <w:t xml:space="preserve"> Latvijā 2015.gadā darbaspēka izmaksas nozarē bija zemākas nekā Igaunijā un Lietuvā. Kopumā starp ES valstīm Latvija bija 21.vietā.</w:t>
      </w:r>
    </w:p>
    <w:p w:rsidR="008D2A00" w:rsidP="008D2A00">
      <w:pPr>
        <w:spacing w:after="0" w:line="240" w:lineRule="auto"/>
        <w:jc w:val="both"/>
        <w:rPr>
          <w:rFonts w:ascii="Candara" w:hAnsi="Candara"/>
          <w:color w:val="000000"/>
          <w:szCs w:val="28"/>
        </w:rPr>
      </w:pPr>
      <w:r>
        <w:rPr>
          <w:rFonts w:ascii="Candara" w:hAnsi="Candara"/>
          <w:b/>
          <w:color w:val="000000"/>
          <w:szCs w:val="28"/>
          <w:u w:val="single"/>
        </w:rPr>
        <w:t>Produktivitāte, salīdzinot ar ES valstīm, 2015.gadā.</w:t>
      </w:r>
      <w:r>
        <w:rPr>
          <w:rFonts w:ascii="Candara" w:hAnsi="Candara"/>
          <w:color w:val="000000"/>
          <w:szCs w:val="28"/>
        </w:rPr>
        <w:t xml:space="preserve"> Latvijā 2015.gadā produktivitāte nozarē bija augstāka nekā Igaunijā un Lietuvā. Kopumā starp ES valstīm Latvija bija 13.vietā.</w:t>
      </w:r>
    </w:p>
    <w:p w:rsidR="008D2A00" w:rsidP="008D2A00">
      <w:pPr>
        <w:spacing w:after="0" w:line="240" w:lineRule="auto"/>
        <w:jc w:val="both"/>
        <w:rPr>
          <w:rFonts w:ascii="Candara" w:hAnsi="Candara"/>
          <w:color w:val="000000"/>
          <w:szCs w:val="28"/>
        </w:rPr>
      </w:pPr>
      <w:r>
        <w:rPr>
          <w:rFonts w:ascii="Candara" w:hAnsi="Candara"/>
          <w:b/>
          <w:color w:val="000000"/>
          <w:szCs w:val="28"/>
          <w:u w:val="single"/>
        </w:rPr>
        <w:t>Produktivitāte un darbaspēka izmaksas ES-28 valstīs 2010.gadā un 2015.gadā.</w:t>
      </w:r>
      <w:r>
        <w:rPr>
          <w:rFonts w:ascii="Candara" w:hAnsi="Candara"/>
          <w:color w:val="000000"/>
          <w:szCs w:val="28"/>
        </w:rPr>
        <w:t xml:space="preserve"> Darbaspēka izmaksas uz 1 produkcijas vienību (ULC) nozarē Latvijā 2010.gadā bija nedaudz augstākas nekā ES vidēji, bet 2015.gadā tas bija zemākais rādītājs ES. Latvijā 2015.gadā, salīdzinot ar 2010.gadu darbaspēka izmaksas uz 1 produkcijas vienību ir samazinājušās par 43%, ko noteica ražošanas izlaides kāpums par 189%. Tas liecina, ka nozarē saglabājas lēta darbaspēka konkurētspējas priekšrocības.</w:t>
      </w:r>
    </w:p>
    <w:p w:rsidR="00C23A95" w:rsidP="00762D1E">
      <w:pPr>
        <w:spacing w:after="0" w:line="240" w:lineRule="auto"/>
        <w:rPr>
          <w:rFonts w:ascii="Candara" w:hAnsi="Candara"/>
          <w:color w:val="000000"/>
          <w:szCs w:val="28"/>
        </w:rPr>
      </w:pPr>
      <w:r>
        <w:rPr>
          <w:rFonts w:ascii="Candara" w:hAnsi="Candara"/>
          <w:color w:val="000000"/>
          <w:szCs w:val="28"/>
        </w:rPr>
        <w:br w:type="page"/>
      </w:r>
    </w:p>
    <w:p w:rsidR="00C23A95" w:rsidRPr="009F39B5" w:rsidP="00C23A95">
      <w:pPr>
        <w:pStyle w:val="Heading1"/>
        <w:jc w:val="center"/>
        <w:rPr>
          <w:b/>
          <w:sz w:val="20"/>
        </w:rPr>
      </w:pPr>
      <w:bookmarkStart w:id="44" w:name="_Toc482792410"/>
      <w:bookmarkStart w:id="45" w:name="_Hlk504983892"/>
      <w:bookmarkStart w:id="46" w:name="_Toc256000012"/>
      <w:bookmarkStart w:id="47" w:name="_Toc256000038"/>
      <w:r w:rsidRPr="009F39B5">
        <w:rPr>
          <w:b/>
          <w:sz w:val="20"/>
        </w:rPr>
        <w:t xml:space="preserve">C28 </w:t>
      </w:r>
      <w:r w:rsidRPr="009F39B5" w:rsidR="00F24746">
        <w:rPr>
          <w:b/>
          <w:sz w:val="20"/>
        </w:rPr>
        <w:t>MAŠĪNU UN IEKĀRTU RAŽOŠANA</w:t>
      </w:r>
      <w:bookmarkEnd w:id="47"/>
      <w:bookmarkEnd w:id="46"/>
      <w:bookmarkEnd w:id="44"/>
    </w:p>
    <w:tbl>
      <w:tblPr>
        <w:tblW w:w="10488"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3576"/>
        <w:gridCol w:w="1723"/>
        <w:gridCol w:w="1853"/>
        <w:gridCol w:w="3336"/>
      </w:tblGrid>
      <w:tr w:rsidTr="00BD528E">
        <w:tblPrEx>
          <w:tblW w:w="10488"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Ex>
        <w:trPr>
          <w:jc w:val="center"/>
        </w:trPr>
        <w:tc>
          <w:tcPr>
            <w:tcW w:w="3576" w:type="dxa"/>
            <w:shd w:val="clear" w:color="auto" w:fill="D9D9D9" w:themeFill="background1" w:themeFillShade="D9"/>
          </w:tcPr>
          <w:p w:rsidR="00C23A95" w:rsidRPr="0028415E" w:rsidP="00762D1E">
            <w:pPr>
              <w:spacing w:after="0" w:line="240" w:lineRule="auto"/>
              <w:jc w:val="center"/>
              <w:rPr>
                <w:rFonts w:ascii="Candara" w:hAnsi="Candara"/>
                <w:sz w:val="18"/>
                <w:szCs w:val="20"/>
              </w:rPr>
            </w:pPr>
            <w:r w:rsidRPr="0028415E">
              <w:rPr>
                <w:rFonts w:ascii="Candara" w:hAnsi="Candara"/>
                <w:sz w:val="18"/>
                <w:szCs w:val="20"/>
              </w:rPr>
              <w:t>Nozares īpatsvars tautsaimniecībā</w:t>
            </w:r>
            <w:r w:rsidR="00F35BE1">
              <w:rPr>
                <w:rFonts w:ascii="Candara" w:hAnsi="Candara"/>
                <w:sz w:val="18"/>
                <w:szCs w:val="20"/>
              </w:rPr>
              <w:t xml:space="preserve"> (faktiskajās cenās)</w:t>
            </w:r>
            <w:r w:rsidRPr="0028415E">
              <w:rPr>
                <w:rFonts w:ascii="Candara" w:hAnsi="Candara"/>
                <w:sz w:val="18"/>
                <w:szCs w:val="20"/>
              </w:rPr>
              <w:t>, %</w:t>
            </w:r>
          </w:p>
        </w:tc>
        <w:tc>
          <w:tcPr>
            <w:tcW w:w="3576" w:type="dxa"/>
            <w:gridSpan w:val="2"/>
            <w:shd w:val="clear" w:color="auto" w:fill="D9D9D9" w:themeFill="background1" w:themeFillShade="D9"/>
          </w:tcPr>
          <w:p w:rsidR="00C23A95" w:rsidRPr="0028415E" w:rsidP="00762D1E">
            <w:pPr>
              <w:spacing w:after="0" w:line="240" w:lineRule="auto"/>
              <w:jc w:val="center"/>
              <w:rPr>
                <w:rFonts w:ascii="Candara" w:hAnsi="Candara"/>
                <w:sz w:val="18"/>
                <w:szCs w:val="20"/>
              </w:rPr>
            </w:pPr>
            <w:r w:rsidRPr="0028415E">
              <w:rPr>
                <w:rFonts w:ascii="Candara" w:hAnsi="Candara"/>
                <w:sz w:val="18"/>
                <w:szCs w:val="20"/>
              </w:rPr>
              <w:t>Pievienotās vērtības un darba vietu skaita izmaiņas</w:t>
            </w:r>
            <w:r w:rsidR="00921A5E">
              <w:rPr>
                <w:rFonts w:ascii="Candara" w:hAnsi="Candara"/>
                <w:sz w:val="18"/>
                <w:szCs w:val="20"/>
              </w:rPr>
              <w:t xml:space="preserve"> (2005=100)</w:t>
            </w:r>
          </w:p>
        </w:tc>
        <w:tc>
          <w:tcPr>
            <w:tcW w:w="3336" w:type="dxa"/>
            <w:shd w:val="clear" w:color="auto" w:fill="D9D9D9" w:themeFill="background1" w:themeFillShade="D9"/>
          </w:tcPr>
          <w:p w:rsidR="00C23A95" w:rsidRPr="0028415E" w:rsidP="00762D1E">
            <w:pPr>
              <w:spacing w:after="0" w:line="240" w:lineRule="auto"/>
              <w:jc w:val="center"/>
              <w:rPr>
                <w:rFonts w:ascii="Candara" w:hAnsi="Candara"/>
                <w:sz w:val="18"/>
                <w:szCs w:val="20"/>
              </w:rPr>
            </w:pPr>
            <w:r w:rsidRPr="0028415E">
              <w:rPr>
                <w:rFonts w:ascii="Candara" w:hAnsi="Candara"/>
                <w:sz w:val="18"/>
                <w:szCs w:val="20"/>
              </w:rPr>
              <w:t>Produkcijas eksports</w:t>
            </w:r>
            <w:r w:rsidR="002B71CE">
              <w:rPr>
                <w:rFonts w:ascii="Candara" w:hAnsi="Candara"/>
                <w:sz w:val="18"/>
                <w:szCs w:val="20"/>
              </w:rPr>
              <w:t>,</w:t>
            </w:r>
            <w:r w:rsidRPr="0028415E">
              <w:rPr>
                <w:rFonts w:ascii="Candara" w:hAnsi="Candara"/>
                <w:sz w:val="18"/>
                <w:szCs w:val="20"/>
              </w:rPr>
              <w:t xml:space="preserve"> milj. EUR</w:t>
            </w:r>
            <w:r w:rsidR="00E75013">
              <w:rPr>
                <w:rFonts w:ascii="Candara" w:hAnsi="Candara"/>
                <w:sz w:val="18"/>
                <w:szCs w:val="20"/>
              </w:rPr>
              <w:t>*</w:t>
            </w:r>
          </w:p>
        </w:tc>
      </w:tr>
      <w:tr w:rsidTr="00BD528E">
        <w:tblPrEx>
          <w:tblW w:w="10488" w:type="dxa"/>
          <w:jc w:val="center"/>
          <w:tblLook w:val="04A0"/>
        </w:tblPrEx>
        <w:trPr>
          <w:jc w:val="center"/>
        </w:trPr>
        <w:tc>
          <w:tcPr>
            <w:tcW w:w="3576" w:type="dxa"/>
          </w:tcPr>
          <w:p w:rsidR="00C23A95" w:rsidRPr="0028415E" w:rsidP="00762D1E">
            <w:pPr>
              <w:spacing w:after="0" w:line="240" w:lineRule="auto"/>
              <w:rPr>
                <w:rFonts w:ascii="Candara" w:hAnsi="Candara"/>
              </w:rPr>
            </w:pPr>
            <w:r w:rsidRPr="0028415E">
              <w:rPr>
                <w:rFonts w:ascii="Candara" w:hAnsi="Candara"/>
                <w:noProof/>
                <w:sz w:val="18"/>
                <w:szCs w:val="18"/>
                <w:lang w:eastAsia="lv-LV"/>
              </w:rPr>
              <w:drawing>
                <wp:inline distT="0" distB="0" distL="0" distR="0">
                  <wp:extent cx="2133600" cy="1028700"/>
                  <wp:effectExtent l="0" t="0" r="0" b="0"/>
                  <wp:docPr id="380"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tc>
        <w:tc>
          <w:tcPr>
            <w:tcW w:w="3576" w:type="dxa"/>
            <w:gridSpan w:val="2"/>
          </w:tcPr>
          <w:p w:rsidR="00C23A95" w:rsidRPr="0028415E" w:rsidP="00762D1E">
            <w:pPr>
              <w:spacing w:after="0" w:line="240" w:lineRule="auto"/>
              <w:jc w:val="center"/>
              <w:rPr>
                <w:rFonts w:ascii="Candara" w:hAnsi="Candara"/>
              </w:rPr>
            </w:pPr>
            <w:r w:rsidRPr="0028415E">
              <w:rPr>
                <w:rFonts w:ascii="Candara" w:eastAsia="Times New Roman" w:hAnsi="Candara"/>
                <w:noProof/>
                <w:sz w:val="18"/>
                <w:szCs w:val="18"/>
                <w:lang w:eastAsia="lv-LV"/>
              </w:rPr>
              <w:drawing>
                <wp:inline distT="0" distB="0" distL="0" distR="0">
                  <wp:extent cx="2024062" cy="1035050"/>
                  <wp:effectExtent l="0" t="0" r="0" b="0"/>
                  <wp:docPr id="381" name="Chart 3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tc>
        <w:tc>
          <w:tcPr>
            <w:tcW w:w="3336" w:type="dxa"/>
          </w:tcPr>
          <w:p w:rsidR="00C23A95" w:rsidP="00762D1E">
            <w:pPr>
              <w:spacing w:after="0" w:line="240" w:lineRule="auto"/>
              <w:rPr>
                <w:rFonts w:ascii="Candara" w:hAnsi="Candara"/>
              </w:rPr>
            </w:pPr>
            <w:r w:rsidRPr="0028415E">
              <w:rPr>
                <w:rFonts w:ascii="Arial Narrow" w:hAnsi="Arial Narrow"/>
                <w:b/>
                <w:noProof/>
                <w:sz w:val="20"/>
                <w:szCs w:val="20"/>
                <w:lang w:eastAsia="lv-LV"/>
              </w:rPr>
              <w:drawing>
                <wp:inline distT="0" distB="0" distL="0" distR="0">
                  <wp:extent cx="1981200" cy="961970"/>
                  <wp:effectExtent l="0" t="0" r="0" b="0"/>
                  <wp:docPr id="382"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rsidR="00E75013" w:rsidRPr="0028415E" w:rsidP="00762D1E">
            <w:pPr>
              <w:spacing w:after="0" w:line="240" w:lineRule="auto"/>
              <w:rPr>
                <w:rFonts w:ascii="Candara" w:hAnsi="Candara"/>
              </w:rPr>
            </w:pPr>
            <w:r w:rsidRPr="00E75013">
              <w:rPr>
                <w:rFonts w:ascii="Candara" w:hAnsi="Candara"/>
                <w:sz w:val="14"/>
                <w:szCs w:val="14"/>
              </w:rPr>
              <w:t>* EM novērtējums pēc KN produktu klasifikācijas</w:t>
            </w:r>
          </w:p>
        </w:tc>
      </w:tr>
      <w:tr w:rsidTr="00BD528E">
        <w:tblPrEx>
          <w:tblW w:w="10488" w:type="dxa"/>
          <w:jc w:val="center"/>
          <w:tblLook w:val="04A0"/>
        </w:tblPrEx>
        <w:trPr>
          <w:jc w:val="center"/>
        </w:trPr>
        <w:tc>
          <w:tcPr>
            <w:tcW w:w="3576" w:type="dxa"/>
            <w:shd w:val="clear" w:color="auto" w:fill="D9D9D9" w:themeFill="background1" w:themeFillShade="D9"/>
          </w:tcPr>
          <w:p w:rsidR="00C23A95" w:rsidRPr="0028415E" w:rsidP="00762D1E">
            <w:pPr>
              <w:spacing w:after="0" w:line="240" w:lineRule="auto"/>
              <w:jc w:val="center"/>
              <w:rPr>
                <w:rFonts w:ascii="Candara" w:hAnsi="Candara"/>
                <w:sz w:val="18"/>
              </w:rPr>
            </w:pPr>
            <w:r w:rsidRPr="0028415E">
              <w:rPr>
                <w:rFonts w:ascii="Candara" w:hAnsi="Candara"/>
                <w:sz w:val="18"/>
                <w:szCs w:val="20"/>
              </w:rPr>
              <w:t>Eksports uz 1 strādājošo, tūkst. EUR</w:t>
            </w:r>
          </w:p>
        </w:tc>
        <w:tc>
          <w:tcPr>
            <w:tcW w:w="6912" w:type="dxa"/>
            <w:gridSpan w:val="3"/>
            <w:shd w:val="clear" w:color="auto" w:fill="D9D9D9" w:themeFill="background1" w:themeFillShade="D9"/>
          </w:tcPr>
          <w:p w:rsidR="00C23A95" w:rsidRPr="0028415E" w:rsidP="00762D1E">
            <w:pPr>
              <w:spacing w:after="0" w:line="240" w:lineRule="auto"/>
              <w:jc w:val="center"/>
              <w:rPr>
                <w:rFonts w:ascii="Candara" w:hAnsi="Candara"/>
                <w:sz w:val="18"/>
              </w:rPr>
            </w:pPr>
            <w:r w:rsidRPr="0028415E">
              <w:rPr>
                <w:rFonts w:ascii="Candara" w:hAnsi="Candara"/>
                <w:sz w:val="18"/>
                <w:szCs w:val="20"/>
              </w:rPr>
              <w:t>Eksports uz 1 strādājošo ES</w:t>
            </w:r>
            <w:r w:rsidR="008F4DF5">
              <w:rPr>
                <w:rFonts w:ascii="Candara" w:hAnsi="Candara"/>
                <w:sz w:val="18"/>
                <w:szCs w:val="20"/>
              </w:rPr>
              <w:t>-</w:t>
            </w:r>
            <w:r w:rsidRPr="0028415E">
              <w:rPr>
                <w:rFonts w:ascii="Candara" w:hAnsi="Candara"/>
                <w:sz w:val="18"/>
                <w:szCs w:val="20"/>
              </w:rPr>
              <w:t>28 valstīs, tūkst. EUR</w:t>
            </w:r>
          </w:p>
        </w:tc>
      </w:tr>
      <w:tr w:rsidTr="00BD528E">
        <w:tblPrEx>
          <w:tblW w:w="10488" w:type="dxa"/>
          <w:jc w:val="center"/>
          <w:tblLook w:val="04A0"/>
        </w:tblPrEx>
        <w:trPr>
          <w:jc w:val="center"/>
        </w:trPr>
        <w:tc>
          <w:tcPr>
            <w:tcW w:w="3576" w:type="dxa"/>
          </w:tcPr>
          <w:p w:rsidR="00C23A95" w:rsidRPr="0028415E" w:rsidP="00762D1E">
            <w:pPr>
              <w:spacing w:after="0" w:line="240" w:lineRule="auto"/>
              <w:jc w:val="center"/>
              <w:rPr>
                <w:rFonts w:ascii="Candara" w:hAnsi="Candara"/>
              </w:rPr>
            </w:pPr>
            <w:r w:rsidRPr="0028415E">
              <w:rPr>
                <w:rFonts w:ascii="Candara" w:hAnsi="Candara"/>
                <w:noProof/>
                <w:sz w:val="18"/>
                <w:szCs w:val="18"/>
                <w:lang w:eastAsia="lv-LV"/>
              </w:rPr>
              <w:drawing>
                <wp:inline distT="0" distB="0" distL="0" distR="0">
                  <wp:extent cx="2133600" cy="1171575"/>
                  <wp:effectExtent l="0" t="0" r="0" b="0"/>
                  <wp:docPr id="383"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tc>
        <w:tc>
          <w:tcPr>
            <w:tcW w:w="6912" w:type="dxa"/>
            <w:gridSpan w:val="3"/>
          </w:tcPr>
          <w:p w:rsidR="00C23A95" w:rsidRPr="0028415E" w:rsidP="00762D1E">
            <w:pPr>
              <w:spacing w:after="0" w:line="240" w:lineRule="auto"/>
              <w:jc w:val="center"/>
              <w:rPr>
                <w:rFonts w:ascii="Candara" w:hAnsi="Candara"/>
              </w:rPr>
            </w:pPr>
            <w:r w:rsidRPr="0028415E">
              <w:rPr>
                <w:noProof/>
                <w:lang w:eastAsia="lv-LV"/>
              </w:rPr>
              <w:drawing>
                <wp:inline distT="0" distB="0" distL="0" distR="0">
                  <wp:extent cx="4114800" cy="1171575"/>
                  <wp:effectExtent l="0" t="0" r="0" b="0"/>
                  <wp:docPr id="384" name="Chart 3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tc>
      </w:tr>
      <w:tr w:rsidTr="00BD528E">
        <w:tblPrEx>
          <w:tblW w:w="10488" w:type="dxa"/>
          <w:jc w:val="center"/>
          <w:tblLook w:val="04A0"/>
        </w:tblPrEx>
        <w:trPr>
          <w:jc w:val="center"/>
        </w:trPr>
        <w:tc>
          <w:tcPr>
            <w:tcW w:w="3576" w:type="dxa"/>
            <w:shd w:val="clear" w:color="auto" w:fill="D9D9D9" w:themeFill="background1" w:themeFillShade="D9"/>
          </w:tcPr>
          <w:p w:rsidR="00C23A95" w:rsidRPr="0028415E" w:rsidP="00762D1E">
            <w:pPr>
              <w:spacing w:after="0" w:line="240" w:lineRule="auto"/>
              <w:jc w:val="center"/>
              <w:rPr>
                <w:rFonts w:ascii="Candara" w:hAnsi="Candara"/>
                <w:sz w:val="18"/>
                <w:szCs w:val="20"/>
              </w:rPr>
            </w:pPr>
            <w:r w:rsidRPr="0028415E">
              <w:rPr>
                <w:rFonts w:ascii="Candara" w:hAnsi="Candara"/>
                <w:sz w:val="18"/>
                <w:szCs w:val="20"/>
              </w:rPr>
              <w:t>Eksporta tirgi</w:t>
            </w:r>
            <w:r w:rsidR="00DE0F22">
              <w:rPr>
                <w:rFonts w:ascii="Candara" w:hAnsi="Candara"/>
                <w:sz w:val="18"/>
                <w:szCs w:val="20"/>
              </w:rPr>
              <w:t>, 2016</w:t>
            </w:r>
            <w:r w:rsidR="002B71CE">
              <w:rPr>
                <w:rFonts w:ascii="Candara" w:hAnsi="Candara"/>
                <w:sz w:val="18"/>
                <w:szCs w:val="20"/>
              </w:rPr>
              <w:t>.g.</w:t>
            </w:r>
          </w:p>
        </w:tc>
        <w:tc>
          <w:tcPr>
            <w:tcW w:w="6912" w:type="dxa"/>
            <w:gridSpan w:val="3"/>
            <w:shd w:val="clear" w:color="auto" w:fill="D9D9D9" w:themeFill="background1" w:themeFillShade="D9"/>
          </w:tcPr>
          <w:p w:rsidR="00C23A95" w:rsidRPr="0028415E" w:rsidP="00762D1E">
            <w:pPr>
              <w:spacing w:after="0" w:line="240" w:lineRule="auto"/>
              <w:jc w:val="center"/>
              <w:rPr>
                <w:rFonts w:ascii="Candara" w:hAnsi="Candara"/>
                <w:sz w:val="18"/>
              </w:rPr>
            </w:pPr>
            <w:r w:rsidRPr="0028415E">
              <w:rPr>
                <w:rFonts w:ascii="Candara" w:hAnsi="Candara"/>
                <w:sz w:val="18"/>
                <w:szCs w:val="20"/>
              </w:rPr>
              <w:t>Eksporta struktūra</w:t>
            </w:r>
          </w:p>
        </w:tc>
      </w:tr>
      <w:tr w:rsidTr="00BD528E">
        <w:tblPrEx>
          <w:tblW w:w="10488" w:type="dxa"/>
          <w:jc w:val="center"/>
          <w:tblLook w:val="04A0"/>
        </w:tblPrEx>
        <w:trPr>
          <w:jc w:val="center"/>
        </w:trPr>
        <w:tc>
          <w:tcPr>
            <w:tcW w:w="3576" w:type="dxa"/>
          </w:tcPr>
          <w:p w:rsidR="00C23A95" w:rsidRPr="00B612F1" w:rsidP="00762D1E">
            <w:pPr>
              <w:spacing w:after="0" w:line="240" w:lineRule="auto"/>
              <w:jc w:val="center"/>
              <w:rPr>
                <w:rFonts w:ascii="Candara" w:hAnsi="Candara"/>
                <w:b/>
                <w:szCs w:val="28"/>
              </w:rPr>
            </w:pPr>
            <w:r w:rsidRPr="004F3DC7">
              <w:rPr>
                <w:noProof/>
                <w:sz w:val="18"/>
                <w:szCs w:val="18"/>
                <w:lang w:eastAsia="lv-LV"/>
              </w:rPr>
              <w:drawing>
                <wp:inline distT="0" distB="0" distL="0" distR="0">
                  <wp:extent cx="1657350" cy="1368000"/>
                  <wp:effectExtent l="0" t="0" r="0" b="0"/>
                  <wp:docPr id="38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tc>
        <w:tc>
          <w:tcPr>
            <w:tcW w:w="6912" w:type="dxa"/>
            <w:gridSpan w:val="3"/>
          </w:tcPr>
          <w:p w:rsidR="00C23A95" w:rsidRPr="004B5C57" w:rsidP="00762D1E">
            <w:pPr>
              <w:tabs>
                <w:tab w:val="left" w:pos="8080"/>
              </w:tabs>
              <w:spacing w:after="0" w:line="240" w:lineRule="auto"/>
              <w:ind w:right="-31"/>
              <w:jc w:val="center"/>
              <w:rPr>
                <w:sz w:val="18"/>
              </w:rPr>
            </w:pPr>
            <w:r w:rsidRPr="004B5C57">
              <w:rPr>
                <w:sz w:val="18"/>
              </w:rPr>
              <w:t xml:space="preserve">Latvija </w:t>
            </w:r>
            <w:r>
              <w:rPr>
                <w:sz w:val="18"/>
              </w:rPr>
              <w:t xml:space="preserve">                                                                                      </w:t>
            </w:r>
            <w:r w:rsidRPr="004B5C57">
              <w:rPr>
                <w:sz w:val="18"/>
              </w:rPr>
              <w:t>ES-28</w:t>
            </w:r>
          </w:p>
          <w:p w:rsidR="00C23A95" w:rsidRPr="004B5C57" w:rsidP="00762D1E">
            <w:pPr>
              <w:tabs>
                <w:tab w:val="left" w:pos="8080"/>
              </w:tabs>
              <w:spacing w:after="0" w:line="240" w:lineRule="auto"/>
              <w:ind w:right="-31"/>
            </w:pPr>
            <w:r>
              <w:rPr>
                <w:noProof/>
                <w:lang w:eastAsia="lv-LV"/>
              </w:rPr>
              <w:drawing>
                <wp:inline distT="0" distB="0" distL="0" distR="0">
                  <wp:extent cx="2617393" cy="1242725"/>
                  <wp:effectExtent l="0" t="0" r="0" b="0"/>
                  <wp:docPr id="386" name="Chart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r>
              <w:rPr>
                <w:noProof/>
                <w:lang w:eastAsia="lv-LV"/>
              </w:rPr>
              <w:drawing>
                <wp:inline distT="0" distB="0" distL="0" distR="0">
                  <wp:extent cx="1356258" cy="1242725"/>
                  <wp:effectExtent l="0" t="0" r="0" b="0"/>
                  <wp:docPr id="387" name="Chart 3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tc>
      </w:tr>
      <w:tr w:rsidTr="00BD528E">
        <w:tblPrEx>
          <w:tblW w:w="10488" w:type="dxa"/>
          <w:jc w:val="center"/>
          <w:tblLook w:val="04A0"/>
        </w:tblPrEx>
        <w:trPr>
          <w:jc w:val="center"/>
        </w:trPr>
        <w:tc>
          <w:tcPr>
            <w:tcW w:w="3576" w:type="dxa"/>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Darbaspēka izmaksu dinamika</w:t>
            </w:r>
            <w:r>
              <w:rPr>
                <w:rFonts w:ascii="Candara" w:hAnsi="Candara"/>
                <w:sz w:val="18"/>
                <w:szCs w:val="20"/>
              </w:rPr>
              <w:t>, tūkst. EUR</w:t>
            </w:r>
          </w:p>
        </w:tc>
        <w:tc>
          <w:tcPr>
            <w:tcW w:w="3576" w:type="dxa"/>
            <w:gridSpan w:val="2"/>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Produktivitātes dinamika</w:t>
            </w:r>
            <w:r>
              <w:rPr>
                <w:rFonts w:ascii="Candara" w:hAnsi="Candara"/>
                <w:sz w:val="18"/>
                <w:szCs w:val="20"/>
              </w:rPr>
              <w:t>, tūkst. EUR</w:t>
            </w:r>
          </w:p>
        </w:tc>
        <w:tc>
          <w:tcPr>
            <w:tcW w:w="3336" w:type="dxa"/>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Produktivitāte un darbaspēka izmaksas</w:t>
            </w:r>
          </w:p>
        </w:tc>
      </w:tr>
      <w:tr w:rsidTr="00BD528E">
        <w:tblPrEx>
          <w:tblW w:w="10488" w:type="dxa"/>
          <w:jc w:val="center"/>
          <w:tblLook w:val="04A0"/>
        </w:tblPrEx>
        <w:trPr>
          <w:jc w:val="center"/>
        </w:trPr>
        <w:tc>
          <w:tcPr>
            <w:tcW w:w="3576" w:type="dxa"/>
          </w:tcPr>
          <w:p w:rsidR="00C23A95" w:rsidP="00762D1E">
            <w:pPr>
              <w:spacing w:after="0" w:line="240" w:lineRule="auto"/>
              <w:jc w:val="center"/>
              <w:rPr>
                <w:rFonts w:ascii="Candara" w:hAnsi="Candara"/>
              </w:rPr>
            </w:pPr>
            <w:r w:rsidRPr="00B612F1">
              <w:rPr>
                <w:rFonts w:ascii="Candara" w:hAnsi="Candara"/>
                <w:noProof/>
                <w:sz w:val="18"/>
                <w:szCs w:val="18"/>
                <w:lang w:eastAsia="lv-LV"/>
              </w:rPr>
              <w:drawing>
                <wp:inline distT="0" distB="0" distL="0" distR="0">
                  <wp:extent cx="2133600" cy="1060450"/>
                  <wp:effectExtent l="0" t="0" r="0" b="6350"/>
                  <wp:docPr id="388"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tc>
        <w:tc>
          <w:tcPr>
            <w:tcW w:w="3576" w:type="dxa"/>
            <w:gridSpan w:val="2"/>
          </w:tcPr>
          <w:p w:rsidR="00C23A95" w:rsidP="00762D1E">
            <w:pPr>
              <w:spacing w:after="0" w:line="240" w:lineRule="auto"/>
              <w:jc w:val="center"/>
              <w:rPr>
                <w:rFonts w:ascii="Candara" w:hAnsi="Candara"/>
              </w:rPr>
            </w:pPr>
            <w:r w:rsidRPr="00B612F1">
              <w:rPr>
                <w:rFonts w:ascii="Candara" w:hAnsi="Candara"/>
                <w:noProof/>
                <w:sz w:val="18"/>
                <w:szCs w:val="18"/>
                <w:lang w:eastAsia="lv-LV"/>
              </w:rPr>
              <w:drawing>
                <wp:inline distT="0" distB="0" distL="0" distR="0">
                  <wp:extent cx="2133600" cy="1060450"/>
                  <wp:effectExtent l="0" t="0" r="0" b="6350"/>
                  <wp:docPr id="389"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tc>
        <w:tc>
          <w:tcPr>
            <w:tcW w:w="3336" w:type="dxa"/>
            <w:vMerge w:val="restart"/>
          </w:tcPr>
          <w:p w:rsidR="00C23A95" w:rsidP="00762D1E">
            <w:pPr>
              <w:spacing w:after="0" w:line="240" w:lineRule="auto"/>
              <w:jc w:val="center"/>
              <w:rPr>
                <w:rFonts w:ascii="Candara" w:hAnsi="Candara"/>
              </w:rPr>
            </w:pPr>
            <w:r w:rsidRPr="00B612F1">
              <w:rPr>
                <w:rFonts w:ascii="Candara" w:eastAsia="Times New Roman" w:hAnsi="Candara"/>
                <w:noProof/>
                <w:sz w:val="18"/>
                <w:szCs w:val="18"/>
                <w:lang w:eastAsia="lv-LV"/>
              </w:rPr>
              <w:drawing>
                <wp:inline distT="0" distB="0" distL="0" distR="0">
                  <wp:extent cx="1847850" cy="2228850"/>
                  <wp:effectExtent l="0" t="0" r="0" b="0"/>
                  <wp:docPr id="390" name="Chart 3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tc>
      </w:tr>
      <w:tr w:rsidTr="00BD528E">
        <w:tblPrEx>
          <w:tblW w:w="10488" w:type="dxa"/>
          <w:jc w:val="center"/>
          <w:tblLook w:val="04A0"/>
        </w:tblPrEx>
        <w:trPr>
          <w:jc w:val="center"/>
        </w:trPr>
        <w:tc>
          <w:tcPr>
            <w:tcW w:w="3576" w:type="dxa"/>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Darbaspēka izmaksas, ES-28=100</w:t>
            </w:r>
          </w:p>
        </w:tc>
        <w:tc>
          <w:tcPr>
            <w:tcW w:w="3576" w:type="dxa"/>
            <w:gridSpan w:val="2"/>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Produktivitāte, ES-28=100</w:t>
            </w:r>
          </w:p>
        </w:tc>
        <w:tc>
          <w:tcPr>
            <w:tcW w:w="3336" w:type="dxa"/>
            <w:vMerge/>
            <w:shd w:val="clear" w:color="auto" w:fill="D9D9D9" w:themeFill="background1" w:themeFillShade="D9"/>
          </w:tcPr>
          <w:p w:rsidR="00C23A95" w:rsidRPr="00483382" w:rsidP="003A2C2A">
            <w:pPr>
              <w:jc w:val="center"/>
              <w:rPr>
                <w:rFonts w:ascii="Candara" w:hAnsi="Candara"/>
                <w:sz w:val="18"/>
              </w:rPr>
            </w:pPr>
          </w:p>
        </w:tc>
      </w:tr>
      <w:tr w:rsidTr="00BD528E">
        <w:tblPrEx>
          <w:tblW w:w="10488" w:type="dxa"/>
          <w:jc w:val="center"/>
          <w:tblLook w:val="04A0"/>
        </w:tblPrEx>
        <w:trPr>
          <w:jc w:val="center"/>
        </w:trPr>
        <w:tc>
          <w:tcPr>
            <w:tcW w:w="3576" w:type="dxa"/>
          </w:tcPr>
          <w:p w:rsidR="00C23A95" w:rsidP="00762D1E">
            <w:pPr>
              <w:spacing w:after="0" w:line="240" w:lineRule="auto"/>
              <w:jc w:val="center"/>
              <w:rPr>
                <w:rFonts w:ascii="Candara" w:hAnsi="Candara"/>
              </w:rPr>
            </w:pPr>
            <w:r w:rsidRPr="00B41842">
              <w:rPr>
                <w:rFonts w:ascii="Arial Narrow" w:hAnsi="Arial Narrow"/>
                <w:noProof/>
                <w:lang w:eastAsia="lv-LV"/>
              </w:rPr>
              <w:drawing>
                <wp:inline distT="0" distB="0" distL="0" distR="0">
                  <wp:extent cx="2124075" cy="1057275"/>
                  <wp:effectExtent l="0" t="0" r="0" b="0"/>
                  <wp:docPr id="39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tc>
        <w:tc>
          <w:tcPr>
            <w:tcW w:w="3576" w:type="dxa"/>
            <w:gridSpan w:val="2"/>
          </w:tcPr>
          <w:p w:rsidR="00C23A95" w:rsidP="00762D1E">
            <w:pPr>
              <w:spacing w:after="0" w:line="240" w:lineRule="auto"/>
              <w:jc w:val="center"/>
              <w:rPr>
                <w:rFonts w:ascii="Candara" w:hAnsi="Candara"/>
              </w:rPr>
            </w:pPr>
            <w:r w:rsidRPr="00123E9E">
              <w:rPr>
                <w:rFonts w:ascii="Arial Narrow" w:hAnsi="Arial Narrow"/>
                <w:noProof/>
                <w:lang w:eastAsia="lv-LV"/>
              </w:rPr>
              <w:drawing>
                <wp:inline distT="0" distB="0" distL="0" distR="0">
                  <wp:extent cx="1943100" cy="1057275"/>
                  <wp:effectExtent l="0" t="0" r="0" b="0"/>
                  <wp:docPr id="39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tc>
        <w:tc>
          <w:tcPr>
            <w:tcW w:w="3336" w:type="dxa"/>
            <w:vMerge/>
          </w:tcPr>
          <w:p w:rsidR="00C23A95" w:rsidP="003A2C2A">
            <w:pPr>
              <w:jc w:val="center"/>
              <w:rPr>
                <w:rFonts w:ascii="Candara" w:hAnsi="Candara"/>
              </w:rPr>
            </w:pPr>
          </w:p>
        </w:tc>
      </w:tr>
      <w:tr w:rsidTr="00BD528E">
        <w:tblPrEx>
          <w:tblW w:w="10488" w:type="dxa"/>
          <w:jc w:val="center"/>
          <w:tblLook w:val="04A0"/>
        </w:tblPrEx>
        <w:trPr>
          <w:jc w:val="center"/>
        </w:trPr>
        <w:tc>
          <w:tcPr>
            <w:tcW w:w="5299" w:type="dxa"/>
            <w:gridSpan w:val="2"/>
            <w:shd w:val="clear" w:color="auto" w:fill="D9D9D9" w:themeFill="background1" w:themeFillShade="D9"/>
          </w:tcPr>
          <w:p w:rsidR="00C23A95" w:rsidRPr="00483382" w:rsidP="00762D1E">
            <w:pPr>
              <w:spacing w:after="0" w:line="240" w:lineRule="auto"/>
              <w:jc w:val="center"/>
              <w:rPr>
                <w:rFonts w:ascii="Candara" w:hAnsi="Candara"/>
                <w:sz w:val="18"/>
                <w:szCs w:val="20"/>
              </w:rPr>
            </w:pPr>
            <w:r w:rsidRPr="00483382">
              <w:rPr>
                <w:rFonts w:ascii="Candara" w:hAnsi="Candara"/>
                <w:sz w:val="18"/>
                <w:szCs w:val="20"/>
              </w:rPr>
              <w:t>Darbaspēka izmaksas</w:t>
            </w:r>
            <w:r w:rsidR="00F35BE1">
              <w:rPr>
                <w:rFonts w:ascii="Candara" w:hAnsi="Candara"/>
                <w:sz w:val="18"/>
                <w:szCs w:val="20"/>
              </w:rPr>
              <w:t xml:space="preserve"> uz 1 nodarbināto</w:t>
            </w:r>
            <w:r w:rsidR="00D74D94">
              <w:rPr>
                <w:rFonts w:ascii="Candara" w:hAnsi="Candara"/>
                <w:sz w:val="18"/>
                <w:szCs w:val="20"/>
              </w:rPr>
              <w:t xml:space="preserve"> 2015</w:t>
            </w:r>
            <w:r w:rsidR="004C2A38">
              <w:rPr>
                <w:rFonts w:ascii="Candara" w:hAnsi="Candara"/>
                <w:sz w:val="18"/>
                <w:szCs w:val="20"/>
              </w:rPr>
              <w:t>.g.</w:t>
            </w:r>
            <w:r>
              <w:rPr>
                <w:rFonts w:ascii="Candara" w:hAnsi="Candara"/>
                <w:sz w:val="18"/>
                <w:szCs w:val="20"/>
              </w:rPr>
              <w:t>, tūkst. EUR</w:t>
            </w:r>
          </w:p>
        </w:tc>
        <w:tc>
          <w:tcPr>
            <w:tcW w:w="5189" w:type="dxa"/>
            <w:gridSpan w:val="2"/>
            <w:shd w:val="clear" w:color="auto" w:fill="D9D9D9" w:themeFill="background1" w:themeFillShade="D9"/>
          </w:tcPr>
          <w:p w:rsidR="00C23A95" w:rsidRPr="00483382" w:rsidP="00762D1E">
            <w:pPr>
              <w:spacing w:after="0" w:line="240" w:lineRule="auto"/>
              <w:jc w:val="center"/>
              <w:rPr>
                <w:rFonts w:ascii="Candara" w:hAnsi="Candara"/>
                <w:sz w:val="18"/>
                <w:szCs w:val="20"/>
              </w:rPr>
            </w:pPr>
            <w:r w:rsidRPr="00483382">
              <w:rPr>
                <w:rFonts w:ascii="Candara" w:hAnsi="Candara"/>
                <w:sz w:val="18"/>
                <w:szCs w:val="20"/>
              </w:rPr>
              <w:t>Produktivitāte</w:t>
            </w:r>
            <w:r w:rsidR="004C2A38">
              <w:rPr>
                <w:rFonts w:ascii="Candara" w:hAnsi="Candara"/>
                <w:sz w:val="18"/>
                <w:szCs w:val="20"/>
              </w:rPr>
              <w:t xml:space="preserve"> (PV uz 1 nodarbināto) 201</w:t>
            </w:r>
            <w:r w:rsidR="00D74D94">
              <w:rPr>
                <w:rFonts w:ascii="Candara" w:hAnsi="Candara"/>
                <w:sz w:val="18"/>
                <w:szCs w:val="20"/>
              </w:rPr>
              <w:t>5</w:t>
            </w:r>
            <w:r w:rsidR="004C2A38">
              <w:rPr>
                <w:rFonts w:ascii="Candara" w:hAnsi="Candara"/>
                <w:sz w:val="18"/>
                <w:szCs w:val="20"/>
              </w:rPr>
              <w:t>.g.</w:t>
            </w:r>
            <w:r>
              <w:rPr>
                <w:rFonts w:ascii="Candara" w:hAnsi="Candara"/>
                <w:sz w:val="18"/>
                <w:szCs w:val="20"/>
              </w:rPr>
              <w:t>, tūkst. EUR</w:t>
            </w:r>
          </w:p>
        </w:tc>
      </w:tr>
      <w:tr w:rsidTr="00BD528E">
        <w:tblPrEx>
          <w:tblW w:w="10488" w:type="dxa"/>
          <w:jc w:val="center"/>
          <w:tblLook w:val="04A0"/>
        </w:tblPrEx>
        <w:trPr>
          <w:jc w:val="center"/>
        </w:trPr>
        <w:tc>
          <w:tcPr>
            <w:tcW w:w="5299" w:type="dxa"/>
            <w:gridSpan w:val="2"/>
          </w:tcPr>
          <w:p w:rsidR="00C23A95" w:rsidP="00762D1E">
            <w:pPr>
              <w:spacing w:after="0" w:line="240" w:lineRule="auto"/>
              <w:jc w:val="center"/>
              <w:rPr>
                <w:rFonts w:ascii="Candara" w:hAnsi="Candara"/>
              </w:rPr>
            </w:pPr>
            <w:r w:rsidRPr="00421CA2">
              <w:rPr>
                <w:noProof/>
                <w:lang w:eastAsia="lv-LV"/>
              </w:rPr>
              <w:drawing>
                <wp:inline distT="0" distB="0" distL="0" distR="0">
                  <wp:extent cx="3152775" cy="1171575"/>
                  <wp:effectExtent l="0" t="0" r="0" b="0"/>
                  <wp:docPr id="393" name="Chart 3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tc>
        <w:tc>
          <w:tcPr>
            <w:tcW w:w="5189" w:type="dxa"/>
            <w:gridSpan w:val="2"/>
          </w:tcPr>
          <w:p w:rsidR="00C23A95" w:rsidP="00762D1E">
            <w:pPr>
              <w:spacing w:after="0" w:line="240" w:lineRule="auto"/>
              <w:jc w:val="center"/>
              <w:rPr>
                <w:rFonts w:ascii="Candara" w:hAnsi="Candara"/>
              </w:rPr>
            </w:pPr>
            <w:r w:rsidRPr="00421CA2">
              <w:rPr>
                <w:noProof/>
                <w:lang w:eastAsia="lv-LV"/>
              </w:rPr>
              <w:drawing>
                <wp:inline distT="0" distB="0" distL="0" distR="0">
                  <wp:extent cx="3152775" cy="1171575"/>
                  <wp:effectExtent l="0" t="0" r="0" b="0"/>
                  <wp:docPr id="394" name="Chart 3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tc>
      </w:tr>
      <w:tr w:rsidTr="00BD528E">
        <w:tblPrEx>
          <w:tblW w:w="10488" w:type="dxa"/>
          <w:jc w:val="center"/>
          <w:tblLook w:val="04A0"/>
        </w:tblPrEx>
        <w:trPr>
          <w:jc w:val="center"/>
        </w:trPr>
        <w:tc>
          <w:tcPr>
            <w:tcW w:w="5299" w:type="dxa"/>
            <w:gridSpan w:val="2"/>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Produktivitāte un darbaspēka izmaksas ES-28 valstīs 2010.g</w:t>
            </w:r>
            <w:r w:rsidR="002B71CE">
              <w:rPr>
                <w:rFonts w:ascii="Candara" w:hAnsi="Candara"/>
                <w:sz w:val="18"/>
                <w:szCs w:val="20"/>
              </w:rPr>
              <w:t>.</w:t>
            </w:r>
          </w:p>
        </w:tc>
        <w:tc>
          <w:tcPr>
            <w:tcW w:w="5189" w:type="dxa"/>
            <w:gridSpan w:val="2"/>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Produktivitāte un darbaspēka izmaksas ES-28 valstīs 201</w:t>
            </w:r>
            <w:r w:rsidR="00C017D7">
              <w:rPr>
                <w:rFonts w:ascii="Candara" w:hAnsi="Candara"/>
                <w:sz w:val="18"/>
                <w:szCs w:val="20"/>
              </w:rPr>
              <w:t>5</w:t>
            </w:r>
            <w:r w:rsidRPr="00483382">
              <w:rPr>
                <w:rFonts w:ascii="Candara" w:hAnsi="Candara"/>
                <w:sz w:val="18"/>
                <w:szCs w:val="20"/>
              </w:rPr>
              <w:t>.g</w:t>
            </w:r>
            <w:r w:rsidR="002B71CE">
              <w:rPr>
                <w:rFonts w:ascii="Candara" w:hAnsi="Candara"/>
                <w:sz w:val="18"/>
                <w:szCs w:val="20"/>
              </w:rPr>
              <w:t>.</w:t>
            </w:r>
          </w:p>
        </w:tc>
      </w:tr>
      <w:tr w:rsidTr="00BD528E">
        <w:tblPrEx>
          <w:tblW w:w="10488" w:type="dxa"/>
          <w:jc w:val="center"/>
          <w:tblLook w:val="04A0"/>
        </w:tblPrEx>
        <w:trPr>
          <w:jc w:val="center"/>
        </w:trPr>
        <w:tc>
          <w:tcPr>
            <w:tcW w:w="5299" w:type="dxa"/>
            <w:gridSpan w:val="2"/>
          </w:tcPr>
          <w:p w:rsidR="00C23A95" w:rsidP="00762D1E">
            <w:pPr>
              <w:spacing w:after="0" w:line="240" w:lineRule="auto"/>
              <w:rPr>
                <w:rFonts w:ascii="Candara" w:hAnsi="Candara"/>
              </w:rPr>
            </w:pPr>
            <w:r w:rsidRPr="00B612F1">
              <w:rPr>
                <w:rFonts w:ascii="Candara" w:eastAsia="Times New Roman" w:hAnsi="Candara"/>
                <w:noProof/>
                <w:sz w:val="18"/>
                <w:szCs w:val="18"/>
                <w:lang w:eastAsia="lv-LV"/>
              </w:rPr>
              <w:drawing>
                <wp:inline distT="0" distB="0" distL="0" distR="0">
                  <wp:extent cx="3057525" cy="1333500"/>
                  <wp:effectExtent l="0" t="0" r="0" b="0"/>
                  <wp:docPr id="395" name="Chart 3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tc>
        <w:tc>
          <w:tcPr>
            <w:tcW w:w="5189" w:type="dxa"/>
            <w:gridSpan w:val="2"/>
          </w:tcPr>
          <w:p w:rsidR="00C23A95" w:rsidP="00762D1E">
            <w:pPr>
              <w:spacing w:after="0" w:line="240" w:lineRule="auto"/>
              <w:rPr>
                <w:rFonts w:ascii="Candara" w:hAnsi="Candara"/>
              </w:rPr>
            </w:pPr>
            <w:r w:rsidRPr="00B612F1">
              <w:rPr>
                <w:rFonts w:ascii="Candara" w:eastAsia="Times New Roman" w:hAnsi="Candara"/>
                <w:noProof/>
                <w:sz w:val="18"/>
                <w:szCs w:val="18"/>
                <w:lang w:eastAsia="lv-LV"/>
              </w:rPr>
              <w:drawing>
                <wp:inline distT="0" distB="0" distL="0" distR="0">
                  <wp:extent cx="3057525" cy="1333500"/>
                  <wp:effectExtent l="0" t="0" r="0" b="0"/>
                  <wp:docPr id="396" name="Chart 3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tc>
      </w:tr>
    </w:tbl>
    <w:p w:rsidR="00C23A95" w:rsidP="00C23A95">
      <w:pPr>
        <w:spacing w:after="0" w:line="240" w:lineRule="auto"/>
        <w:rPr>
          <w:rFonts w:ascii="Candara" w:hAnsi="Candara"/>
          <w:b/>
          <w:color w:val="000000"/>
          <w:szCs w:val="28"/>
        </w:rPr>
      </w:pPr>
    </w:p>
    <w:p w:rsidR="00AB19F7" w:rsidP="00AB19F7">
      <w:pPr>
        <w:spacing w:after="0" w:line="240" w:lineRule="auto"/>
        <w:jc w:val="both"/>
        <w:rPr>
          <w:rFonts w:ascii="Candara" w:hAnsi="Candara"/>
          <w:color w:val="000000"/>
          <w:szCs w:val="28"/>
        </w:rPr>
      </w:pPr>
      <w:bookmarkEnd w:id="45"/>
      <w:r>
        <w:rPr>
          <w:rFonts w:ascii="Candara" w:hAnsi="Candara"/>
          <w:b/>
          <w:color w:val="000000"/>
          <w:szCs w:val="28"/>
          <w:u w:val="single"/>
        </w:rPr>
        <w:t>Nozares īpatsvars tautsaimniecībā, procentos.</w:t>
      </w:r>
      <w:r>
        <w:rPr>
          <w:rFonts w:ascii="Candara" w:hAnsi="Candara"/>
          <w:color w:val="000000"/>
          <w:szCs w:val="28"/>
        </w:rPr>
        <w:t xml:space="preserve"> Nozares īpatsvars kopējā tautsaimniecībā 2005.gadā bija 0,38%. Krīzes laikā īpatsvars samazinājās līdz 0,27%, bet kopš 2011.gada pakāpeniski pieauga sasniedzot 0,37% 2013.gadā. 2015.gadā īpatsvars veidoja 0,34%.</w:t>
      </w:r>
    </w:p>
    <w:p w:rsidR="00AB19F7" w:rsidP="00AB19F7">
      <w:pPr>
        <w:spacing w:after="0" w:line="240" w:lineRule="auto"/>
        <w:jc w:val="both"/>
        <w:rPr>
          <w:rFonts w:ascii="Candara" w:hAnsi="Candara"/>
          <w:color w:val="000000"/>
          <w:szCs w:val="28"/>
        </w:rPr>
      </w:pPr>
      <w:r>
        <w:rPr>
          <w:rFonts w:ascii="Candara" w:hAnsi="Candara"/>
          <w:b/>
          <w:color w:val="000000"/>
          <w:szCs w:val="28"/>
          <w:u w:val="single"/>
        </w:rPr>
        <w:t>Pievienotās vērtības un darba vietu skaita izmaiņas, 2005=100.</w:t>
      </w:r>
      <w:r>
        <w:rPr>
          <w:rFonts w:ascii="Candara" w:hAnsi="Candara"/>
          <w:color w:val="000000"/>
          <w:szCs w:val="28"/>
        </w:rPr>
        <w:t xml:space="preserve"> Krīzes laikā nozarē bija vērojams straujš ražošanas apjomu kritums, savukārt pēc krīzes 2011.gadā ražošanas apjomi strauji pieauga. 2012. un 2013.gadā pieauguma tempi bija mēreni. Savukārt pēc samazinājuma 2014.gadā nozare 2015.gadā atguvās ar 2% ražošanas apjomu pieaugumu. Gandrīz 90% no mašīnu un iekārtu ražošanas nozares produkcijas tiek eksportēti. Salīdzinot ar krīzes zemāko punktu 2010. gadā, nozares izlaides apjomi 2015.gadā bija par 44% augstāki, bet par 30% atpalika no pirmskrīzes līmeņa.</w:t>
      </w:r>
    </w:p>
    <w:p w:rsidR="00AB19F7" w:rsidP="00AB19F7">
      <w:pPr>
        <w:spacing w:after="0" w:line="240" w:lineRule="auto"/>
        <w:jc w:val="both"/>
        <w:rPr>
          <w:rFonts w:ascii="Candara" w:hAnsi="Candara"/>
          <w:b/>
          <w:color w:val="000000"/>
          <w:szCs w:val="28"/>
          <w:u w:val="single"/>
        </w:rPr>
      </w:pPr>
      <w:r>
        <w:rPr>
          <w:rFonts w:ascii="Candara" w:hAnsi="Candara"/>
          <w:color w:val="000000"/>
          <w:szCs w:val="28"/>
        </w:rPr>
        <w:t>Salīdzinājumā ar ražošanas apjomu kāpumu darbavietu skaits nozarē aug mērenāk, kas liecina par produktivitātes kāpumu. Darbavietu skaits nozarē pēc krīzes pieauga līdz 2015.gadam, kad tas bija par 5% mazāks kā 2014.gadā. 2015. gadā, salīdzinot ar zemāko punktu 2009.gadā, darbavietu skaits bija pieaudzis par 22%, bet par 48% atpalika no pirmskrīzes līmeņa.</w:t>
      </w:r>
    </w:p>
    <w:p w:rsidR="00AB19F7" w:rsidP="00AB19F7">
      <w:pPr>
        <w:spacing w:after="0" w:line="240" w:lineRule="auto"/>
        <w:jc w:val="both"/>
        <w:rPr>
          <w:rFonts w:ascii="Candara" w:hAnsi="Candara"/>
          <w:color w:val="000000"/>
          <w:szCs w:val="28"/>
        </w:rPr>
      </w:pPr>
      <w:r>
        <w:rPr>
          <w:rFonts w:ascii="Candara" w:hAnsi="Candara"/>
          <w:b/>
          <w:color w:val="000000"/>
          <w:szCs w:val="28"/>
          <w:u w:val="single"/>
        </w:rPr>
        <w:t>Produkcijas eksports, milj. EUR.</w:t>
      </w:r>
      <w:r>
        <w:rPr>
          <w:rFonts w:ascii="Candara" w:hAnsi="Candara"/>
          <w:color w:val="000000"/>
          <w:szCs w:val="28"/>
        </w:rPr>
        <w:t xml:space="preserve"> Desmit gadu laikā nozares eksportētās produkcijas apjomi stabili pieaug. Salīdzinot ar 2005.gadu eksporta apjomi ir vairākkārtīgi auguši.</w:t>
      </w:r>
    </w:p>
    <w:p w:rsidR="00AB19F7" w:rsidP="00AB19F7">
      <w:pPr>
        <w:spacing w:after="0" w:line="240" w:lineRule="auto"/>
        <w:jc w:val="both"/>
        <w:rPr>
          <w:rFonts w:ascii="Candara" w:hAnsi="Candara"/>
          <w:b/>
          <w:color w:val="000000"/>
          <w:szCs w:val="28"/>
          <w:u w:val="single"/>
        </w:rPr>
      </w:pPr>
      <w:r>
        <w:rPr>
          <w:rFonts w:ascii="Candara" w:hAnsi="Candara"/>
          <w:b/>
          <w:color w:val="000000"/>
          <w:szCs w:val="28"/>
          <w:u w:val="single"/>
        </w:rPr>
        <w:t>Eksports uz 1 strādājošo, tūkst. EUR.</w:t>
      </w:r>
      <w:r>
        <w:rPr>
          <w:rFonts w:ascii="Candara" w:hAnsi="Candara"/>
          <w:color w:val="000000"/>
          <w:szCs w:val="28"/>
        </w:rPr>
        <w:t xml:space="preserve"> Kopš 2005.gada eksporta apjoms uz vienu strādājošo ir audzis vairākkārtīgi. Vāja ārējā pieprasījuma dēļ 2012.-2014.gadā tā apjomi būtiski nepalielinājās. Rādītājs 2015.gadā atsāka pieaugumu, palielinoties par 9%.</w:t>
      </w:r>
    </w:p>
    <w:p w:rsidR="00AB19F7" w:rsidP="00AB19F7">
      <w:pPr>
        <w:spacing w:after="0" w:line="240" w:lineRule="auto"/>
        <w:jc w:val="both"/>
        <w:rPr>
          <w:rFonts w:ascii="Candara" w:hAnsi="Candara"/>
          <w:color w:val="000000"/>
          <w:szCs w:val="28"/>
        </w:rPr>
      </w:pPr>
      <w:r>
        <w:rPr>
          <w:rFonts w:ascii="Candara" w:hAnsi="Candara"/>
          <w:b/>
          <w:color w:val="000000"/>
          <w:szCs w:val="28"/>
          <w:u w:val="single"/>
        </w:rPr>
        <w:t>Eksports uz 1 strādājošo ES 28 valstīs, tūkst. EUR.</w:t>
      </w:r>
      <w:r>
        <w:rPr>
          <w:rFonts w:ascii="Candara" w:hAnsi="Candara"/>
          <w:color w:val="000000"/>
          <w:szCs w:val="28"/>
        </w:rPr>
        <w:t xml:space="preserve"> Latvijā eksports apjoms uz vienu strādājošo mašīnu un iekārtu ražošanas nozarē ir zem ES vidējā līmenī, kā arī atpaliek no Lietuvas un Igaunijas.</w:t>
      </w:r>
    </w:p>
    <w:p w:rsidR="00AB19F7" w:rsidP="00AB19F7">
      <w:pPr>
        <w:spacing w:after="0" w:line="240" w:lineRule="auto"/>
        <w:jc w:val="both"/>
        <w:rPr>
          <w:rFonts w:ascii="Candara" w:hAnsi="Candara"/>
          <w:b/>
          <w:color w:val="000000"/>
          <w:szCs w:val="28"/>
          <w:u w:val="single"/>
        </w:rPr>
      </w:pPr>
      <w:r>
        <w:rPr>
          <w:rFonts w:ascii="Candara" w:hAnsi="Candara"/>
          <w:b/>
          <w:color w:val="000000"/>
          <w:szCs w:val="28"/>
          <w:u w:val="single"/>
        </w:rPr>
        <w:t>Eksporta tirgi.</w:t>
      </w:r>
      <w:r>
        <w:rPr>
          <w:rFonts w:ascii="Candara" w:hAnsi="Candara"/>
          <w:color w:val="000000"/>
          <w:szCs w:val="28"/>
        </w:rPr>
        <w:t xml:space="preserve"> Lielākie eksporta tirgi nozarē ir Krievija, Lietuva, Igaunija, Vācija, Zviedrija un Polija.</w:t>
      </w:r>
    </w:p>
    <w:p w:rsidR="00AB19F7" w:rsidP="00AB19F7">
      <w:pPr>
        <w:spacing w:after="0" w:line="240" w:lineRule="auto"/>
        <w:jc w:val="both"/>
        <w:rPr>
          <w:rFonts w:ascii="Candara" w:hAnsi="Candara"/>
          <w:b/>
          <w:color w:val="000000"/>
          <w:szCs w:val="28"/>
          <w:u w:val="single"/>
        </w:rPr>
      </w:pPr>
      <w:r>
        <w:rPr>
          <w:rFonts w:ascii="Candara" w:hAnsi="Candara"/>
          <w:b/>
          <w:color w:val="000000"/>
          <w:szCs w:val="28"/>
          <w:u w:val="single"/>
        </w:rPr>
        <w:t>Eksporta struktūra.</w:t>
      </w:r>
      <w:r>
        <w:rPr>
          <w:rFonts w:ascii="Candara" w:hAnsi="Candara"/>
          <w:color w:val="000000"/>
          <w:szCs w:val="28"/>
        </w:rPr>
        <w:t xml:space="preserve"> Latvijā kopš 2005.gada ir samazinājies lauksaimniecības un būvniecības mašīnu un iekārtu īpatsvars eksporta struktūrā, bet pieaudzis biroja iekārtu īpatsvars.</w:t>
      </w:r>
    </w:p>
    <w:p w:rsidR="00AB19F7" w:rsidP="00AB19F7">
      <w:pPr>
        <w:spacing w:after="0" w:line="240" w:lineRule="auto"/>
        <w:jc w:val="both"/>
        <w:rPr>
          <w:rFonts w:ascii="Candara" w:hAnsi="Candara"/>
          <w:b/>
          <w:color w:val="000000"/>
          <w:szCs w:val="28"/>
          <w:u w:val="single"/>
        </w:rPr>
      </w:pPr>
      <w:r>
        <w:rPr>
          <w:rFonts w:ascii="Candara" w:hAnsi="Candara"/>
          <w:b/>
          <w:color w:val="000000"/>
          <w:szCs w:val="28"/>
          <w:u w:val="single"/>
        </w:rPr>
        <w:t>Darbaspēka izmaksu dinamika, tūkst.</w:t>
      </w:r>
      <w:r>
        <w:rPr>
          <w:rFonts w:ascii="Candara" w:hAnsi="Candara"/>
          <w:color w:val="000000"/>
          <w:szCs w:val="28"/>
        </w:rPr>
        <w:t xml:space="preserve"> Atsākoties ekonomikas izaugsmei, kopš 2012.gada darba samaksas pieaugums nozarē kļūst arvien straujāks, 2012.gadā darbaspēka izmaksām sasniedzot jau pirmskrīzes perioda līmeni.</w:t>
      </w:r>
    </w:p>
    <w:p w:rsidR="00AB19F7" w:rsidP="00AB19F7">
      <w:pPr>
        <w:spacing w:after="0" w:line="240" w:lineRule="auto"/>
        <w:jc w:val="both"/>
        <w:rPr>
          <w:rFonts w:ascii="Candara" w:hAnsi="Candara"/>
          <w:color w:val="000000"/>
          <w:szCs w:val="28"/>
        </w:rPr>
      </w:pPr>
      <w:r>
        <w:rPr>
          <w:rFonts w:ascii="Candara" w:hAnsi="Candara"/>
          <w:b/>
          <w:color w:val="000000"/>
          <w:szCs w:val="28"/>
          <w:u w:val="single"/>
        </w:rPr>
        <w:t>Produktivitātes dinamika, tūkst.</w:t>
      </w:r>
      <w:r>
        <w:rPr>
          <w:rFonts w:ascii="Candara" w:hAnsi="Candara"/>
          <w:color w:val="000000"/>
          <w:szCs w:val="28"/>
        </w:rPr>
        <w:t xml:space="preserve"> Krīzes laikā bija vērojams produktivitātes kritums strauja ražošanas apjomu krituma dēļ. Savukārt, pēc kāpuma 2011.gadā, pēdējos gados produktivitāte praktiski nemainījās. 2015.gadā ir vērojams neliels produktivitātes samazinājums, darbaspēka izmaksu kāpumam pārsniedzot ražošanas apjomu kāpumu.</w:t>
      </w:r>
    </w:p>
    <w:p w:rsidR="00AB19F7" w:rsidP="00AB19F7">
      <w:pPr>
        <w:spacing w:after="0" w:line="240" w:lineRule="auto"/>
        <w:jc w:val="both"/>
        <w:rPr>
          <w:rFonts w:ascii="Candara" w:hAnsi="Candara"/>
          <w:color w:val="000000"/>
          <w:szCs w:val="28"/>
        </w:rPr>
      </w:pPr>
      <w:r>
        <w:rPr>
          <w:rFonts w:ascii="Candara" w:hAnsi="Candara"/>
          <w:b/>
          <w:color w:val="000000"/>
          <w:szCs w:val="28"/>
          <w:u w:val="single"/>
        </w:rPr>
        <w:t>Produktivitāte un darbaspēka izmaksas</w:t>
      </w:r>
      <w:r>
        <w:rPr>
          <w:rFonts w:ascii="Candara" w:hAnsi="Candara"/>
          <w:color w:val="000000"/>
          <w:szCs w:val="28"/>
        </w:rPr>
        <w:t xml:space="preserve">. 2009.gadā ULC samazinājās, ko noteica būtisks nodarbināto skaita samazinājums, darbaspēka izmaksām samazinoties straujāk un ražošanas apjomiem samazinoties mazāk nekā nodarbināto skaitam. 2010.gadā nozares ražošanas apjomi samazinājās un nodarbināto skaits pieauga, nosakot produktivitātes kritumu un ULC pieaugumu. Savukārt 2011.gadā ULC strauji samazinājās, būtiski pieaugot nozares ražošanas apjomiem.  No 2012.gada līdz 2015.gadam strauji pieaug darbaspēka izmaksas, kamēr produktivitāte pieaug mēreni vai samazinās, kas liecina par cenu konkurētspējas (izmaksu) pazemināšanos. Šādu nozares attīstības modeli var raksturot kā ekstensīvu. </w:t>
      </w:r>
    </w:p>
    <w:p w:rsidR="00AB19F7" w:rsidP="00AB19F7">
      <w:pPr>
        <w:spacing w:after="0" w:line="240" w:lineRule="auto"/>
        <w:jc w:val="both"/>
        <w:rPr>
          <w:rFonts w:ascii="Candara" w:hAnsi="Candara"/>
          <w:color w:val="000000"/>
          <w:szCs w:val="28"/>
        </w:rPr>
      </w:pPr>
      <w:r>
        <w:rPr>
          <w:rFonts w:ascii="Candara" w:hAnsi="Candara"/>
          <w:b/>
          <w:color w:val="000000"/>
          <w:szCs w:val="28"/>
          <w:u w:val="single"/>
        </w:rPr>
        <w:t>Darbaspēka izmaksas, ES-28=100.</w:t>
      </w:r>
      <w:r>
        <w:rPr>
          <w:rFonts w:ascii="Candara" w:hAnsi="Candara"/>
          <w:color w:val="000000"/>
          <w:szCs w:val="28"/>
        </w:rPr>
        <w:t xml:space="preserve"> Salīdzinot ar darbaspēka izmaksu vidējo līmeni ES, nozarē tas ir zemāks nekā tautsaimniecībā kopumā, bet pēdējos gados tas nedaudz pieaug.</w:t>
      </w:r>
    </w:p>
    <w:p w:rsidR="00AB19F7" w:rsidP="00AB19F7">
      <w:pPr>
        <w:spacing w:after="0" w:line="240" w:lineRule="auto"/>
        <w:jc w:val="both"/>
        <w:rPr>
          <w:rFonts w:ascii="Candara" w:hAnsi="Candara"/>
          <w:color w:val="000000"/>
          <w:szCs w:val="28"/>
        </w:rPr>
      </w:pPr>
      <w:r>
        <w:rPr>
          <w:rFonts w:ascii="Candara" w:hAnsi="Candara"/>
          <w:b/>
          <w:color w:val="000000"/>
          <w:szCs w:val="28"/>
          <w:u w:val="single"/>
        </w:rPr>
        <w:t>Produktivitāte, ES-28=100.</w:t>
      </w:r>
      <w:r>
        <w:rPr>
          <w:rFonts w:ascii="Candara" w:hAnsi="Candara"/>
          <w:color w:val="000000"/>
          <w:szCs w:val="28"/>
        </w:rPr>
        <w:t xml:space="preserve"> Salīdzinot ar vidējo līmeni ES, nozarē produktivitātes līmenis ir zemāks nekā tautsaimniecībā kopumā. Kopš 2011.gada produktivitātes līmenis pieaug, bet 2014. un 2015.gadā vērojams kritums.</w:t>
      </w:r>
    </w:p>
    <w:p w:rsidR="00AB19F7" w:rsidP="00AB19F7">
      <w:pPr>
        <w:spacing w:after="0" w:line="240" w:lineRule="auto"/>
        <w:jc w:val="both"/>
        <w:rPr>
          <w:rFonts w:ascii="Candara" w:hAnsi="Candara"/>
          <w:color w:val="000000"/>
          <w:szCs w:val="28"/>
        </w:rPr>
      </w:pPr>
      <w:r>
        <w:rPr>
          <w:rFonts w:ascii="Candara" w:hAnsi="Candara"/>
          <w:b/>
          <w:color w:val="000000"/>
          <w:szCs w:val="28"/>
          <w:u w:val="single"/>
        </w:rPr>
        <w:t>Darbaspēka izmaksas, salīdzinot ar ES valstīm, 2015.gadā.</w:t>
      </w:r>
      <w:r>
        <w:rPr>
          <w:rFonts w:ascii="Candara" w:hAnsi="Candara"/>
          <w:color w:val="000000"/>
          <w:szCs w:val="28"/>
        </w:rPr>
        <w:t xml:space="preserve"> Latvijā 2015.gadā darbaspēka izmaksas nozarē bija vienas no zemākajām starp ES valstīm, zemākas tās bija tikai Lietuvā, Polijā, Rumānijā un Bulgārijā.</w:t>
      </w:r>
    </w:p>
    <w:p w:rsidR="00AB19F7" w:rsidP="00AB19F7">
      <w:pPr>
        <w:spacing w:after="0" w:line="240" w:lineRule="auto"/>
        <w:jc w:val="both"/>
        <w:rPr>
          <w:rFonts w:ascii="Candara" w:hAnsi="Candara"/>
          <w:color w:val="000000"/>
          <w:szCs w:val="28"/>
        </w:rPr>
      </w:pPr>
      <w:r>
        <w:rPr>
          <w:rFonts w:ascii="Candara" w:hAnsi="Candara"/>
          <w:b/>
          <w:color w:val="000000"/>
          <w:szCs w:val="28"/>
          <w:u w:val="single"/>
        </w:rPr>
        <w:t>Produktivitāte, salīdzinot ar ES valstīm, 2015.gadā.</w:t>
      </w:r>
      <w:r>
        <w:rPr>
          <w:rFonts w:ascii="Candara" w:hAnsi="Candara"/>
          <w:color w:val="000000"/>
          <w:szCs w:val="28"/>
        </w:rPr>
        <w:t xml:space="preserve"> Latvijā 2015.gadā produktivitāte nozarē bija viena no zemākajām starp ES valstīm, zemāka tā bija tikai Bulgārijā.</w:t>
      </w:r>
    </w:p>
    <w:p w:rsidR="00AB19F7" w:rsidP="00AB19F7">
      <w:pPr>
        <w:spacing w:after="0" w:line="240" w:lineRule="auto"/>
        <w:jc w:val="both"/>
        <w:rPr>
          <w:rFonts w:ascii="Candara" w:hAnsi="Candara"/>
          <w:color w:val="000000"/>
          <w:szCs w:val="28"/>
        </w:rPr>
      </w:pPr>
      <w:r>
        <w:rPr>
          <w:rFonts w:ascii="Candara" w:hAnsi="Candara"/>
          <w:b/>
          <w:color w:val="000000"/>
          <w:szCs w:val="28"/>
          <w:u w:val="single"/>
        </w:rPr>
        <w:t>Produktivitāte un darbaspēka izmaksas ES-28 valstīs 2010.gadā un 2015.gadā.</w:t>
      </w:r>
      <w:r>
        <w:rPr>
          <w:rFonts w:ascii="Candara" w:hAnsi="Candara"/>
          <w:color w:val="000000"/>
          <w:szCs w:val="28"/>
        </w:rPr>
        <w:t xml:space="preserve"> Darbaspēka izmaksas uz 1 produkcijas vienību (ULC) nozarē Latvijā 2010.gadā bija viens no augstākajiem rādītājiem starp ES valstīm, augstāks tas bija Lielbritānijā, Grieķijā un Horvātijā. Arī 2015.gadā ULC Latvijā bija viens no augstākajiem rādītājiem ES. Latvijā 2015.gadā, salīdzinot ar 2010.gadu, ULC ir pieaudzis par 9%. Jāatzīmē, ka nozarē lēta darbaspēka konkurētspējas priekšrocības ir zemas.</w:t>
      </w:r>
    </w:p>
    <w:p w:rsidR="00C23A95" w:rsidP="00762D1E">
      <w:pPr>
        <w:spacing w:after="0" w:line="240" w:lineRule="auto"/>
        <w:rPr>
          <w:rFonts w:ascii="Candara" w:hAnsi="Candara"/>
          <w:color w:val="000000"/>
          <w:szCs w:val="28"/>
        </w:rPr>
      </w:pPr>
      <w:r>
        <w:rPr>
          <w:rFonts w:ascii="Candara" w:hAnsi="Candara"/>
          <w:color w:val="000000"/>
          <w:szCs w:val="28"/>
        </w:rPr>
        <w:br w:type="page"/>
      </w:r>
    </w:p>
    <w:p w:rsidR="00C23A95" w:rsidRPr="009F39B5" w:rsidP="00C23A95">
      <w:pPr>
        <w:pStyle w:val="Heading1"/>
        <w:jc w:val="center"/>
        <w:rPr>
          <w:b/>
          <w:sz w:val="20"/>
        </w:rPr>
      </w:pPr>
      <w:bookmarkStart w:id="48" w:name="_Toc482792411"/>
      <w:bookmarkStart w:id="49" w:name="_Hlk504984329"/>
      <w:bookmarkStart w:id="50" w:name="_Toc256000013"/>
      <w:bookmarkStart w:id="51" w:name="_Toc256000039"/>
      <w:r w:rsidRPr="009F39B5">
        <w:rPr>
          <w:b/>
          <w:sz w:val="20"/>
        </w:rPr>
        <w:t>C29-30 TRANSPORTLĪDZEKĻU RAŽOŠANA</w:t>
      </w:r>
      <w:bookmarkEnd w:id="51"/>
      <w:bookmarkEnd w:id="50"/>
      <w:bookmarkEnd w:id="48"/>
    </w:p>
    <w:tbl>
      <w:tblPr>
        <w:tblW w:w="10488"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3576"/>
        <w:gridCol w:w="1723"/>
        <w:gridCol w:w="1853"/>
        <w:gridCol w:w="3336"/>
      </w:tblGrid>
      <w:tr w:rsidTr="00BD528E">
        <w:tblPrEx>
          <w:tblW w:w="10488"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Ex>
        <w:trPr>
          <w:jc w:val="center"/>
        </w:trPr>
        <w:tc>
          <w:tcPr>
            <w:tcW w:w="3576" w:type="dxa"/>
            <w:shd w:val="clear" w:color="auto" w:fill="D9D9D9" w:themeFill="background1" w:themeFillShade="D9"/>
          </w:tcPr>
          <w:p w:rsidR="00C23A95" w:rsidRPr="00771A9F" w:rsidP="00762D1E">
            <w:pPr>
              <w:spacing w:after="0" w:line="240" w:lineRule="auto"/>
              <w:jc w:val="center"/>
              <w:rPr>
                <w:rFonts w:ascii="Candara" w:hAnsi="Candara"/>
                <w:sz w:val="18"/>
                <w:szCs w:val="20"/>
              </w:rPr>
            </w:pPr>
            <w:r w:rsidRPr="00771A9F">
              <w:rPr>
                <w:rFonts w:ascii="Candara" w:hAnsi="Candara"/>
                <w:sz w:val="18"/>
                <w:szCs w:val="20"/>
              </w:rPr>
              <w:t>Nozares īpatsvars tautsaimniecībā</w:t>
            </w:r>
            <w:r w:rsidR="00F35BE1">
              <w:rPr>
                <w:rFonts w:ascii="Candara" w:hAnsi="Candara"/>
                <w:sz w:val="18"/>
                <w:szCs w:val="20"/>
              </w:rPr>
              <w:t xml:space="preserve"> (faktiskajās cenās)</w:t>
            </w:r>
            <w:r w:rsidRPr="00771A9F">
              <w:rPr>
                <w:rFonts w:ascii="Candara" w:hAnsi="Candara"/>
                <w:sz w:val="18"/>
                <w:szCs w:val="20"/>
              </w:rPr>
              <w:t>, %</w:t>
            </w:r>
          </w:p>
        </w:tc>
        <w:tc>
          <w:tcPr>
            <w:tcW w:w="3576" w:type="dxa"/>
            <w:gridSpan w:val="2"/>
            <w:shd w:val="clear" w:color="auto" w:fill="D9D9D9" w:themeFill="background1" w:themeFillShade="D9"/>
          </w:tcPr>
          <w:p w:rsidR="00C23A95" w:rsidRPr="00771A9F" w:rsidP="00762D1E">
            <w:pPr>
              <w:spacing w:after="0" w:line="240" w:lineRule="auto"/>
              <w:jc w:val="center"/>
              <w:rPr>
                <w:rFonts w:ascii="Candara" w:hAnsi="Candara"/>
                <w:sz w:val="18"/>
                <w:szCs w:val="20"/>
              </w:rPr>
            </w:pPr>
            <w:r w:rsidRPr="00771A9F">
              <w:rPr>
                <w:rFonts w:ascii="Candara" w:hAnsi="Candara"/>
                <w:sz w:val="18"/>
                <w:szCs w:val="20"/>
              </w:rPr>
              <w:t>Pievienotās vērtības un darba vietu skaita izmaiņas</w:t>
            </w:r>
            <w:r w:rsidR="00921A5E">
              <w:rPr>
                <w:rFonts w:ascii="Candara" w:hAnsi="Candara"/>
                <w:sz w:val="18"/>
                <w:szCs w:val="20"/>
              </w:rPr>
              <w:t xml:space="preserve"> (2005=100)</w:t>
            </w:r>
          </w:p>
        </w:tc>
        <w:tc>
          <w:tcPr>
            <w:tcW w:w="3336" w:type="dxa"/>
            <w:shd w:val="clear" w:color="auto" w:fill="D9D9D9" w:themeFill="background1" w:themeFillShade="D9"/>
          </w:tcPr>
          <w:p w:rsidR="00C23A95" w:rsidRPr="00771A9F" w:rsidP="00762D1E">
            <w:pPr>
              <w:spacing w:after="0" w:line="240" w:lineRule="auto"/>
              <w:jc w:val="center"/>
              <w:rPr>
                <w:rFonts w:ascii="Candara" w:hAnsi="Candara"/>
                <w:sz w:val="18"/>
                <w:szCs w:val="20"/>
              </w:rPr>
            </w:pPr>
            <w:r w:rsidRPr="00771A9F">
              <w:rPr>
                <w:rFonts w:ascii="Candara" w:hAnsi="Candara"/>
                <w:sz w:val="18"/>
                <w:szCs w:val="20"/>
              </w:rPr>
              <w:t>Produkcijas eksports</w:t>
            </w:r>
            <w:r w:rsidR="002B71CE">
              <w:rPr>
                <w:rFonts w:ascii="Candara" w:hAnsi="Candara"/>
                <w:sz w:val="18"/>
                <w:szCs w:val="20"/>
              </w:rPr>
              <w:t>,</w:t>
            </w:r>
            <w:r w:rsidRPr="00771A9F">
              <w:rPr>
                <w:rFonts w:ascii="Candara" w:hAnsi="Candara"/>
                <w:sz w:val="18"/>
                <w:szCs w:val="20"/>
              </w:rPr>
              <w:t xml:space="preserve"> milj. EUR</w:t>
            </w:r>
            <w:r w:rsidR="00E75013">
              <w:rPr>
                <w:rFonts w:ascii="Candara" w:hAnsi="Candara"/>
                <w:sz w:val="18"/>
                <w:szCs w:val="20"/>
              </w:rPr>
              <w:t>*</w:t>
            </w:r>
          </w:p>
        </w:tc>
      </w:tr>
      <w:tr w:rsidTr="00BD528E">
        <w:tblPrEx>
          <w:tblW w:w="10488" w:type="dxa"/>
          <w:jc w:val="center"/>
          <w:tblLook w:val="04A0"/>
        </w:tblPrEx>
        <w:trPr>
          <w:jc w:val="center"/>
        </w:trPr>
        <w:tc>
          <w:tcPr>
            <w:tcW w:w="3576" w:type="dxa"/>
          </w:tcPr>
          <w:p w:rsidR="00C23A95" w:rsidRPr="00771A9F" w:rsidP="00762D1E">
            <w:pPr>
              <w:spacing w:after="0" w:line="240" w:lineRule="auto"/>
              <w:rPr>
                <w:rFonts w:ascii="Candara" w:hAnsi="Candara"/>
              </w:rPr>
            </w:pPr>
            <w:r w:rsidRPr="00771A9F">
              <w:rPr>
                <w:rFonts w:ascii="Candara" w:hAnsi="Candara"/>
                <w:noProof/>
                <w:sz w:val="18"/>
                <w:szCs w:val="18"/>
                <w:lang w:eastAsia="lv-LV"/>
              </w:rPr>
              <w:drawing>
                <wp:inline distT="0" distB="0" distL="0" distR="0">
                  <wp:extent cx="2133600" cy="1066800"/>
                  <wp:effectExtent l="0" t="0" r="0" b="0"/>
                  <wp:docPr id="397"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tc>
        <w:tc>
          <w:tcPr>
            <w:tcW w:w="3576" w:type="dxa"/>
            <w:gridSpan w:val="2"/>
          </w:tcPr>
          <w:p w:rsidR="00C23A95" w:rsidRPr="00771A9F" w:rsidP="00762D1E">
            <w:pPr>
              <w:spacing w:after="0" w:line="240" w:lineRule="auto"/>
              <w:jc w:val="center"/>
              <w:rPr>
                <w:rFonts w:ascii="Candara" w:hAnsi="Candara"/>
              </w:rPr>
            </w:pPr>
            <w:r w:rsidRPr="00771A9F">
              <w:rPr>
                <w:rFonts w:ascii="Candara" w:eastAsia="Times New Roman" w:hAnsi="Candara"/>
                <w:noProof/>
                <w:sz w:val="18"/>
                <w:szCs w:val="18"/>
                <w:lang w:eastAsia="lv-LV"/>
              </w:rPr>
              <w:drawing>
                <wp:inline distT="0" distB="0" distL="0" distR="0">
                  <wp:extent cx="2090737" cy="1085850"/>
                  <wp:effectExtent l="0" t="0" r="5080" b="0"/>
                  <wp:docPr id="398" name="Chart 3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tc>
        <w:tc>
          <w:tcPr>
            <w:tcW w:w="3336" w:type="dxa"/>
          </w:tcPr>
          <w:p w:rsidR="00C23A95" w:rsidP="00762D1E">
            <w:pPr>
              <w:spacing w:after="0" w:line="240" w:lineRule="auto"/>
              <w:rPr>
                <w:rFonts w:ascii="Candara" w:hAnsi="Candara"/>
              </w:rPr>
            </w:pPr>
            <w:r w:rsidRPr="00771A9F">
              <w:rPr>
                <w:rFonts w:ascii="Arial Narrow" w:hAnsi="Arial Narrow"/>
                <w:b/>
                <w:noProof/>
                <w:sz w:val="20"/>
                <w:szCs w:val="20"/>
                <w:lang w:eastAsia="lv-LV"/>
              </w:rPr>
              <w:drawing>
                <wp:inline distT="0" distB="0" distL="0" distR="0">
                  <wp:extent cx="1981200" cy="940435"/>
                  <wp:effectExtent l="0" t="0" r="0" b="0"/>
                  <wp:docPr id="399"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rsidR="00E75013" w:rsidRPr="00771A9F" w:rsidP="00762D1E">
            <w:pPr>
              <w:spacing w:after="0" w:line="240" w:lineRule="auto"/>
              <w:rPr>
                <w:rFonts w:ascii="Candara" w:hAnsi="Candara"/>
              </w:rPr>
            </w:pPr>
            <w:r w:rsidRPr="00E75013">
              <w:rPr>
                <w:rFonts w:ascii="Candara" w:hAnsi="Candara"/>
                <w:sz w:val="14"/>
                <w:szCs w:val="14"/>
              </w:rPr>
              <w:t>* EM novērtējums pēc KN produktu klasifikācijas</w:t>
            </w:r>
          </w:p>
        </w:tc>
      </w:tr>
      <w:tr w:rsidTr="00BD528E">
        <w:tblPrEx>
          <w:tblW w:w="10488" w:type="dxa"/>
          <w:jc w:val="center"/>
          <w:tblLook w:val="04A0"/>
        </w:tblPrEx>
        <w:trPr>
          <w:jc w:val="center"/>
        </w:trPr>
        <w:tc>
          <w:tcPr>
            <w:tcW w:w="3576" w:type="dxa"/>
            <w:shd w:val="clear" w:color="auto" w:fill="D9D9D9" w:themeFill="background1" w:themeFillShade="D9"/>
          </w:tcPr>
          <w:p w:rsidR="00C23A95" w:rsidRPr="00771A9F" w:rsidP="00762D1E">
            <w:pPr>
              <w:spacing w:after="0" w:line="240" w:lineRule="auto"/>
              <w:jc w:val="center"/>
              <w:rPr>
                <w:rFonts w:ascii="Candara" w:hAnsi="Candara"/>
                <w:sz w:val="18"/>
              </w:rPr>
            </w:pPr>
            <w:r w:rsidRPr="00771A9F">
              <w:rPr>
                <w:rFonts w:ascii="Candara" w:hAnsi="Candara"/>
                <w:sz w:val="18"/>
                <w:szCs w:val="20"/>
              </w:rPr>
              <w:t>Eksports uz 1 strādājošo, tūkst. EUR</w:t>
            </w:r>
          </w:p>
        </w:tc>
        <w:tc>
          <w:tcPr>
            <w:tcW w:w="6912" w:type="dxa"/>
            <w:gridSpan w:val="3"/>
            <w:shd w:val="clear" w:color="auto" w:fill="D9D9D9" w:themeFill="background1" w:themeFillShade="D9"/>
          </w:tcPr>
          <w:p w:rsidR="00C23A95" w:rsidRPr="00771A9F" w:rsidP="00762D1E">
            <w:pPr>
              <w:spacing w:after="0" w:line="240" w:lineRule="auto"/>
              <w:jc w:val="center"/>
              <w:rPr>
                <w:rFonts w:ascii="Candara" w:hAnsi="Candara"/>
                <w:sz w:val="18"/>
              </w:rPr>
            </w:pPr>
            <w:r w:rsidRPr="00771A9F">
              <w:rPr>
                <w:rFonts w:ascii="Candara" w:hAnsi="Candara"/>
                <w:sz w:val="18"/>
                <w:szCs w:val="20"/>
              </w:rPr>
              <w:t>Eksports uz 1 strādājošo ES</w:t>
            </w:r>
            <w:r w:rsidR="008F4DF5">
              <w:rPr>
                <w:rFonts w:ascii="Candara" w:hAnsi="Candara"/>
                <w:sz w:val="18"/>
                <w:szCs w:val="20"/>
              </w:rPr>
              <w:t>-</w:t>
            </w:r>
            <w:r w:rsidRPr="00771A9F">
              <w:rPr>
                <w:rFonts w:ascii="Candara" w:hAnsi="Candara"/>
                <w:sz w:val="18"/>
                <w:szCs w:val="20"/>
              </w:rPr>
              <w:t>28 valstīs, tūkst. EUR</w:t>
            </w:r>
          </w:p>
        </w:tc>
      </w:tr>
      <w:tr w:rsidTr="00BD528E">
        <w:tblPrEx>
          <w:tblW w:w="10488" w:type="dxa"/>
          <w:jc w:val="center"/>
          <w:tblLook w:val="04A0"/>
        </w:tblPrEx>
        <w:trPr>
          <w:jc w:val="center"/>
        </w:trPr>
        <w:tc>
          <w:tcPr>
            <w:tcW w:w="3576" w:type="dxa"/>
          </w:tcPr>
          <w:p w:rsidR="00C23A95" w:rsidRPr="00771A9F" w:rsidP="00762D1E">
            <w:pPr>
              <w:spacing w:after="0" w:line="240" w:lineRule="auto"/>
              <w:jc w:val="center"/>
              <w:rPr>
                <w:rFonts w:ascii="Candara" w:hAnsi="Candara"/>
              </w:rPr>
            </w:pPr>
            <w:r w:rsidRPr="00771A9F">
              <w:rPr>
                <w:rFonts w:ascii="Candara" w:hAnsi="Candara"/>
                <w:noProof/>
                <w:sz w:val="18"/>
                <w:szCs w:val="18"/>
                <w:lang w:eastAsia="lv-LV"/>
              </w:rPr>
              <w:drawing>
                <wp:inline distT="0" distB="0" distL="0" distR="0">
                  <wp:extent cx="2133600" cy="1171575"/>
                  <wp:effectExtent l="0" t="0" r="0" b="0"/>
                  <wp:docPr id="400"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tc>
        <w:tc>
          <w:tcPr>
            <w:tcW w:w="6912" w:type="dxa"/>
            <w:gridSpan w:val="3"/>
          </w:tcPr>
          <w:p w:rsidR="00C23A95" w:rsidRPr="00771A9F" w:rsidP="00762D1E">
            <w:pPr>
              <w:spacing w:after="0" w:line="240" w:lineRule="auto"/>
              <w:jc w:val="center"/>
              <w:rPr>
                <w:rFonts w:ascii="Candara" w:hAnsi="Candara"/>
              </w:rPr>
            </w:pPr>
            <w:r w:rsidRPr="00771A9F">
              <w:rPr>
                <w:noProof/>
                <w:lang w:eastAsia="lv-LV"/>
              </w:rPr>
              <w:drawing>
                <wp:inline distT="0" distB="0" distL="0" distR="0">
                  <wp:extent cx="4114800" cy="1171575"/>
                  <wp:effectExtent l="0" t="0" r="0" b="0"/>
                  <wp:docPr id="401" name="Chart 4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tc>
      </w:tr>
      <w:tr w:rsidTr="00BD528E">
        <w:tblPrEx>
          <w:tblW w:w="10488" w:type="dxa"/>
          <w:jc w:val="center"/>
          <w:tblLook w:val="04A0"/>
        </w:tblPrEx>
        <w:trPr>
          <w:jc w:val="center"/>
        </w:trPr>
        <w:tc>
          <w:tcPr>
            <w:tcW w:w="3576" w:type="dxa"/>
            <w:shd w:val="clear" w:color="auto" w:fill="D9D9D9" w:themeFill="background1" w:themeFillShade="D9"/>
          </w:tcPr>
          <w:p w:rsidR="00C23A95" w:rsidRPr="00771A9F" w:rsidP="00762D1E">
            <w:pPr>
              <w:spacing w:after="0" w:line="240" w:lineRule="auto"/>
              <w:jc w:val="center"/>
              <w:rPr>
                <w:rFonts w:ascii="Candara" w:hAnsi="Candara"/>
                <w:sz w:val="18"/>
                <w:szCs w:val="20"/>
              </w:rPr>
            </w:pPr>
            <w:r w:rsidRPr="00771A9F">
              <w:rPr>
                <w:rFonts w:ascii="Candara" w:hAnsi="Candara"/>
                <w:sz w:val="18"/>
                <w:szCs w:val="20"/>
              </w:rPr>
              <w:t>Eksporta tirgi</w:t>
            </w:r>
            <w:r w:rsidR="00DE0F22">
              <w:rPr>
                <w:rFonts w:ascii="Candara" w:hAnsi="Candara"/>
                <w:sz w:val="18"/>
                <w:szCs w:val="20"/>
              </w:rPr>
              <w:t>, 2016</w:t>
            </w:r>
            <w:r w:rsidR="00A0494A">
              <w:rPr>
                <w:rFonts w:ascii="Candara" w:hAnsi="Candara"/>
                <w:sz w:val="18"/>
                <w:szCs w:val="20"/>
              </w:rPr>
              <w:t>.g.</w:t>
            </w:r>
          </w:p>
        </w:tc>
        <w:tc>
          <w:tcPr>
            <w:tcW w:w="6912" w:type="dxa"/>
            <w:gridSpan w:val="3"/>
            <w:shd w:val="clear" w:color="auto" w:fill="D9D9D9" w:themeFill="background1" w:themeFillShade="D9"/>
          </w:tcPr>
          <w:p w:rsidR="00C23A95" w:rsidRPr="00771A9F" w:rsidP="00762D1E">
            <w:pPr>
              <w:spacing w:after="0" w:line="240" w:lineRule="auto"/>
              <w:jc w:val="center"/>
              <w:rPr>
                <w:rFonts w:ascii="Candara" w:hAnsi="Candara"/>
                <w:sz w:val="18"/>
              </w:rPr>
            </w:pPr>
            <w:r w:rsidRPr="00771A9F">
              <w:rPr>
                <w:rFonts w:ascii="Candara" w:hAnsi="Candara"/>
                <w:sz w:val="18"/>
                <w:szCs w:val="20"/>
              </w:rPr>
              <w:t>Eksporta struktūra</w:t>
            </w:r>
          </w:p>
        </w:tc>
      </w:tr>
      <w:tr w:rsidTr="00BD528E">
        <w:tblPrEx>
          <w:tblW w:w="10488" w:type="dxa"/>
          <w:jc w:val="center"/>
          <w:tblLook w:val="04A0"/>
        </w:tblPrEx>
        <w:trPr>
          <w:jc w:val="center"/>
        </w:trPr>
        <w:tc>
          <w:tcPr>
            <w:tcW w:w="3576" w:type="dxa"/>
          </w:tcPr>
          <w:p w:rsidR="00C23A95" w:rsidRPr="00B612F1" w:rsidP="00762D1E">
            <w:pPr>
              <w:spacing w:after="0" w:line="240" w:lineRule="auto"/>
              <w:jc w:val="center"/>
              <w:rPr>
                <w:rFonts w:ascii="Candara" w:hAnsi="Candara"/>
                <w:b/>
                <w:szCs w:val="28"/>
              </w:rPr>
            </w:pPr>
            <w:r w:rsidRPr="004F3DC7">
              <w:rPr>
                <w:noProof/>
                <w:sz w:val="18"/>
                <w:szCs w:val="18"/>
                <w:lang w:eastAsia="lv-LV"/>
              </w:rPr>
              <w:drawing>
                <wp:inline distT="0" distB="0" distL="0" distR="0">
                  <wp:extent cx="1657350" cy="1368000"/>
                  <wp:effectExtent l="0" t="0" r="0" b="3810"/>
                  <wp:docPr id="40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tc>
        <w:tc>
          <w:tcPr>
            <w:tcW w:w="6912" w:type="dxa"/>
            <w:gridSpan w:val="3"/>
          </w:tcPr>
          <w:p w:rsidR="00C23A95" w:rsidRPr="004B5C57" w:rsidP="00762D1E">
            <w:pPr>
              <w:tabs>
                <w:tab w:val="left" w:pos="8080"/>
              </w:tabs>
              <w:spacing w:after="0" w:line="240" w:lineRule="auto"/>
              <w:ind w:right="-31"/>
              <w:jc w:val="center"/>
              <w:rPr>
                <w:sz w:val="18"/>
              </w:rPr>
            </w:pPr>
            <w:r w:rsidRPr="004B5C57">
              <w:rPr>
                <w:sz w:val="18"/>
              </w:rPr>
              <w:t xml:space="preserve">Latvija </w:t>
            </w:r>
            <w:r>
              <w:rPr>
                <w:sz w:val="18"/>
              </w:rPr>
              <w:t xml:space="preserve">                                                                                      </w:t>
            </w:r>
            <w:r w:rsidRPr="004B5C57">
              <w:rPr>
                <w:sz w:val="18"/>
              </w:rPr>
              <w:t>ES-28</w:t>
            </w:r>
          </w:p>
          <w:p w:rsidR="00C23A95" w:rsidRPr="004B5C57" w:rsidP="00762D1E">
            <w:pPr>
              <w:tabs>
                <w:tab w:val="left" w:pos="8080"/>
              </w:tabs>
              <w:spacing w:after="0" w:line="240" w:lineRule="auto"/>
              <w:ind w:right="-31"/>
            </w:pPr>
            <w:r>
              <w:rPr>
                <w:noProof/>
                <w:lang w:eastAsia="lv-LV"/>
              </w:rPr>
              <w:drawing>
                <wp:inline distT="0" distB="0" distL="0" distR="0">
                  <wp:extent cx="2617393" cy="1242725"/>
                  <wp:effectExtent l="0" t="0" r="0" b="0"/>
                  <wp:docPr id="403" name="Chart 4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r>
              <w:rPr>
                <w:noProof/>
                <w:lang w:eastAsia="lv-LV"/>
              </w:rPr>
              <w:drawing>
                <wp:inline distT="0" distB="0" distL="0" distR="0">
                  <wp:extent cx="1356258" cy="1242725"/>
                  <wp:effectExtent l="0" t="0" r="0" b="0"/>
                  <wp:docPr id="404" name="Chart 4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tc>
      </w:tr>
      <w:tr w:rsidTr="00BD528E">
        <w:tblPrEx>
          <w:tblW w:w="10488" w:type="dxa"/>
          <w:jc w:val="center"/>
          <w:tblLook w:val="04A0"/>
        </w:tblPrEx>
        <w:trPr>
          <w:jc w:val="center"/>
        </w:trPr>
        <w:tc>
          <w:tcPr>
            <w:tcW w:w="3576" w:type="dxa"/>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Darbaspēka izmaksu dinamika</w:t>
            </w:r>
            <w:r>
              <w:rPr>
                <w:rFonts w:ascii="Candara" w:hAnsi="Candara"/>
                <w:sz w:val="18"/>
                <w:szCs w:val="20"/>
              </w:rPr>
              <w:t>, tūkst. EUR</w:t>
            </w:r>
          </w:p>
        </w:tc>
        <w:tc>
          <w:tcPr>
            <w:tcW w:w="3576" w:type="dxa"/>
            <w:gridSpan w:val="2"/>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Produktivitātes dinamika</w:t>
            </w:r>
            <w:r>
              <w:rPr>
                <w:rFonts w:ascii="Candara" w:hAnsi="Candara"/>
                <w:sz w:val="18"/>
                <w:szCs w:val="20"/>
              </w:rPr>
              <w:t>, tūkst. EUR</w:t>
            </w:r>
          </w:p>
        </w:tc>
        <w:tc>
          <w:tcPr>
            <w:tcW w:w="3336" w:type="dxa"/>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Produktivitāte un darbaspēka izmaksas</w:t>
            </w:r>
          </w:p>
        </w:tc>
      </w:tr>
      <w:tr w:rsidTr="00BD528E">
        <w:tblPrEx>
          <w:tblW w:w="10488" w:type="dxa"/>
          <w:jc w:val="center"/>
          <w:tblLook w:val="04A0"/>
        </w:tblPrEx>
        <w:trPr>
          <w:jc w:val="center"/>
        </w:trPr>
        <w:tc>
          <w:tcPr>
            <w:tcW w:w="3576" w:type="dxa"/>
          </w:tcPr>
          <w:p w:rsidR="00C23A95" w:rsidP="00762D1E">
            <w:pPr>
              <w:spacing w:after="0" w:line="240" w:lineRule="auto"/>
              <w:jc w:val="center"/>
              <w:rPr>
                <w:rFonts w:ascii="Candara" w:hAnsi="Candara"/>
              </w:rPr>
            </w:pPr>
            <w:r w:rsidRPr="00B612F1">
              <w:rPr>
                <w:rFonts w:ascii="Candara" w:hAnsi="Candara"/>
                <w:noProof/>
                <w:sz w:val="18"/>
                <w:szCs w:val="18"/>
                <w:lang w:eastAsia="lv-LV"/>
              </w:rPr>
              <w:drawing>
                <wp:inline distT="0" distB="0" distL="0" distR="0">
                  <wp:extent cx="2133600" cy="1066800"/>
                  <wp:effectExtent l="0" t="0" r="0" b="0"/>
                  <wp:docPr id="405"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tc>
        <w:tc>
          <w:tcPr>
            <w:tcW w:w="3576" w:type="dxa"/>
            <w:gridSpan w:val="2"/>
          </w:tcPr>
          <w:p w:rsidR="00C23A95" w:rsidP="00762D1E">
            <w:pPr>
              <w:spacing w:after="0" w:line="240" w:lineRule="auto"/>
              <w:jc w:val="center"/>
              <w:rPr>
                <w:rFonts w:ascii="Candara" w:hAnsi="Candara"/>
              </w:rPr>
            </w:pPr>
            <w:r w:rsidRPr="00B612F1">
              <w:rPr>
                <w:rFonts w:ascii="Candara" w:hAnsi="Candara"/>
                <w:noProof/>
                <w:sz w:val="18"/>
                <w:szCs w:val="18"/>
                <w:lang w:eastAsia="lv-LV"/>
              </w:rPr>
              <w:drawing>
                <wp:inline distT="0" distB="0" distL="0" distR="0">
                  <wp:extent cx="2133600" cy="1060450"/>
                  <wp:effectExtent l="0" t="0" r="0" b="6350"/>
                  <wp:docPr id="406"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tc>
        <w:tc>
          <w:tcPr>
            <w:tcW w:w="3336" w:type="dxa"/>
            <w:vMerge w:val="restart"/>
          </w:tcPr>
          <w:p w:rsidR="00C23A95" w:rsidP="00762D1E">
            <w:pPr>
              <w:spacing w:after="0" w:line="240" w:lineRule="auto"/>
              <w:jc w:val="center"/>
              <w:rPr>
                <w:rFonts w:ascii="Candara" w:hAnsi="Candara"/>
              </w:rPr>
            </w:pPr>
            <w:r w:rsidRPr="00B612F1">
              <w:rPr>
                <w:rFonts w:ascii="Candara" w:eastAsia="Times New Roman" w:hAnsi="Candara"/>
                <w:noProof/>
                <w:sz w:val="18"/>
                <w:szCs w:val="18"/>
                <w:lang w:eastAsia="lv-LV"/>
              </w:rPr>
              <w:drawing>
                <wp:inline distT="0" distB="0" distL="0" distR="0">
                  <wp:extent cx="1847850" cy="2228850"/>
                  <wp:effectExtent l="0" t="0" r="0" b="0"/>
                  <wp:docPr id="407" name="Chart 4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tc>
      </w:tr>
      <w:tr w:rsidTr="00BD528E">
        <w:tblPrEx>
          <w:tblW w:w="10488" w:type="dxa"/>
          <w:jc w:val="center"/>
          <w:tblLook w:val="04A0"/>
        </w:tblPrEx>
        <w:trPr>
          <w:jc w:val="center"/>
        </w:trPr>
        <w:tc>
          <w:tcPr>
            <w:tcW w:w="3576" w:type="dxa"/>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Darbaspēka izmaksas, ES-28=100</w:t>
            </w:r>
          </w:p>
        </w:tc>
        <w:tc>
          <w:tcPr>
            <w:tcW w:w="3576" w:type="dxa"/>
            <w:gridSpan w:val="2"/>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Produktivitāte, ES-28=100</w:t>
            </w:r>
          </w:p>
        </w:tc>
        <w:tc>
          <w:tcPr>
            <w:tcW w:w="3336" w:type="dxa"/>
            <w:vMerge/>
            <w:shd w:val="clear" w:color="auto" w:fill="D9D9D9" w:themeFill="background1" w:themeFillShade="D9"/>
          </w:tcPr>
          <w:p w:rsidR="00C23A95" w:rsidRPr="00483382" w:rsidP="003A2C2A">
            <w:pPr>
              <w:jc w:val="center"/>
              <w:rPr>
                <w:rFonts w:ascii="Candara" w:hAnsi="Candara"/>
                <w:sz w:val="18"/>
              </w:rPr>
            </w:pPr>
          </w:p>
        </w:tc>
      </w:tr>
      <w:tr w:rsidTr="00BD528E">
        <w:tblPrEx>
          <w:tblW w:w="10488" w:type="dxa"/>
          <w:jc w:val="center"/>
          <w:tblLook w:val="04A0"/>
        </w:tblPrEx>
        <w:trPr>
          <w:jc w:val="center"/>
        </w:trPr>
        <w:tc>
          <w:tcPr>
            <w:tcW w:w="3576" w:type="dxa"/>
          </w:tcPr>
          <w:p w:rsidR="00C23A95" w:rsidP="00762D1E">
            <w:pPr>
              <w:spacing w:after="0" w:line="240" w:lineRule="auto"/>
              <w:jc w:val="center"/>
              <w:rPr>
                <w:rFonts w:ascii="Candara" w:hAnsi="Candara"/>
              </w:rPr>
            </w:pPr>
            <w:r w:rsidRPr="00B41842">
              <w:rPr>
                <w:rFonts w:ascii="Arial Narrow" w:hAnsi="Arial Narrow"/>
                <w:noProof/>
                <w:lang w:eastAsia="lv-LV"/>
              </w:rPr>
              <w:drawing>
                <wp:inline distT="0" distB="0" distL="0" distR="0">
                  <wp:extent cx="2124075" cy="1057275"/>
                  <wp:effectExtent l="0" t="0" r="0" b="0"/>
                  <wp:docPr id="40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tc>
        <w:tc>
          <w:tcPr>
            <w:tcW w:w="3576" w:type="dxa"/>
            <w:gridSpan w:val="2"/>
          </w:tcPr>
          <w:p w:rsidR="00C23A95" w:rsidP="00762D1E">
            <w:pPr>
              <w:spacing w:after="0" w:line="240" w:lineRule="auto"/>
              <w:jc w:val="center"/>
              <w:rPr>
                <w:rFonts w:ascii="Candara" w:hAnsi="Candara"/>
              </w:rPr>
            </w:pPr>
            <w:r w:rsidRPr="00123E9E">
              <w:rPr>
                <w:rFonts w:ascii="Arial Narrow" w:hAnsi="Arial Narrow"/>
                <w:noProof/>
                <w:lang w:eastAsia="lv-LV"/>
              </w:rPr>
              <w:drawing>
                <wp:inline distT="0" distB="0" distL="0" distR="0">
                  <wp:extent cx="1943100" cy="1057275"/>
                  <wp:effectExtent l="0" t="0" r="0" b="0"/>
                  <wp:docPr id="40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tc>
        <w:tc>
          <w:tcPr>
            <w:tcW w:w="3336" w:type="dxa"/>
            <w:vMerge/>
          </w:tcPr>
          <w:p w:rsidR="00C23A95" w:rsidP="003A2C2A">
            <w:pPr>
              <w:jc w:val="center"/>
              <w:rPr>
                <w:rFonts w:ascii="Candara" w:hAnsi="Candara"/>
              </w:rPr>
            </w:pPr>
          </w:p>
        </w:tc>
      </w:tr>
      <w:tr w:rsidTr="00BD528E">
        <w:tblPrEx>
          <w:tblW w:w="10488" w:type="dxa"/>
          <w:jc w:val="center"/>
          <w:tblLook w:val="04A0"/>
        </w:tblPrEx>
        <w:trPr>
          <w:jc w:val="center"/>
        </w:trPr>
        <w:tc>
          <w:tcPr>
            <w:tcW w:w="5299" w:type="dxa"/>
            <w:gridSpan w:val="2"/>
            <w:shd w:val="clear" w:color="auto" w:fill="D9D9D9" w:themeFill="background1" w:themeFillShade="D9"/>
          </w:tcPr>
          <w:p w:rsidR="00C23A95" w:rsidRPr="00483382" w:rsidP="00762D1E">
            <w:pPr>
              <w:spacing w:after="0" w:line="240" w:lineRule="auto"/>
              <w:jc w:val="center"/>
              <w:rPr>
                <w:rFonts w:ascii="Candara" w:hAnsi="Candara"/>
                <w:sz w:val="18"/>
                <w:szCs w:val="20"/>
              </w:rPr>
            </w:pPr>
            <w:r w:rsidRPr="00483382">
              <w:rPr>
                <w:rFonts w:ascii="Candara" w:hAnsi="Candara"/>
                <w:sz w:val="18"/>
                <w:szCs w:val="20"/>
              </w:rPr>
              <w:t>Darbaspēka izmaksas</w:t>
            </w:r>
            <w:r w:rsidR="00F35BE1">
              <w:rPr>
                <w:rFonts w:ascii="Candara" w:hAnsi="Candara"/>
                <w:sz w:val="18"/>
                <w:szCs w:val="20"/>
              </w:rPr>
              <w:t xml:space="preserve"> uz 1 nodarbināto</w:t>
            </w:r>
            <w:r w:rsidR="004C2A38">
              <w:rPr>
                <w:rFonts w:ascii="Candara" w:hAnsi="Candara"/>
                <w:sz w:val="18"/>
                <w:szCs w:val="20"/>
              </w:rPr>
              <w:t xml:space="preserve"> 201</w:t>
            </w:r>
            <w:r w:rsidR="000E0FB7">
              <w:rPr>
                <w:rFonts w:ascii="Candara" w:hAnsi="Candara"/>
                <w:sz w:val="18"/>
                <w:szCs w:val="20"/>
              </w:rPr>
              <w:t>5</w:t>
            </w:r>
            <w:r w:rsidR="004C2A38">
              <w:rPr>
                <w:rFonts w:ascii="Candara" w:hAnsi="Candara"/>
                <w:sz w:val="18"/>
                <w:szCs w:val="20"/>
              </w:rPr>
              <w:t>.g.</w:t>
            </w:r>
            <w:r>
              <w:rPr>
                <w:rFonts w:ascii="Candara" w:hAnsi="Candara"/>
                <w:sz w:val="18"/>
                <w:szCs w:val="20"/>
              </w:rPr>
              <w:t>, tūkst. EUR</w:t>
            </w:r>
          </w:p>
        </w:tc>
        <w:tc>
          <w:tcPr>
            <w:tcW w:w="5189" w:type="dxa"/>
            <w:gridSpan w:val="2"/>
            <w:shd w:val="clear" w:color="auto" w:fill="D9D9D9" w:themeFill="background1" w:themeFillShade="D9"/>
          </w:tcPr>
          <w:p w:rsidR="00C23A95" w:rsidRPr="00483382" w:rsidP="00762D1E">
            <w:pPr>
              <w:spacing w:after="0" w:line="240" w:lineRule="auto"/>
              <w:jc w:val="center"/>
              <w:rPr>
                <w:rFonts w:ascii="Candara" w:hAnsi="Candara"/>
                <w:sz w:val="18"/>
                <w:szCs w:val="20"/>
              </w:rPr>
            </w:pPr>
            <w:r w:rsidRPr="00483382">
              <w:rPr>
                <w:rFonts w:ascii="Candara" w:hAnsi="Candara"/>
                <w:sz w:val="18"/>
                <w:szCs w:val="20"/>
              </w:rPr>
              <w:t>Produktivitāte</w:t>
            </w:r>
            <w:r w:rsidR="004C2A38">
              <w:rPr>
                <w:rFonts w:ascii="Candara" w:hAnsi="Candara"/>
                <w:sz w:val="18"/>
                <w:szCs w:val="20"/>
              </w:rPr>
              <w:t xml:space="preserve"> (PV uz 1 nodarbināto) 201</w:t>
            </w:r>
            <w:r w:rsidR="000E0FB7">
              <w:rPr>
                <w:rFonts w:ascii="Candara" w:hAnsi="Candara"/>
                <w:sz w:val="18"/>
                <w:szCs w:val="20"/>
              </w:rPr>
              <w:t>5</w:t>
            </w:r>
            <w:r w:rsidR="004C2A38">
              <w:rPr>
                <w:rFonts w:ascii="Candara" w:hAnsi="Candara"/>
                <w:sz w:val="18"/>
                <w:szCs w:val="20"/>
              </w:rPr>
              <w:t>.g.</w:t>
            </w:r>
            <w:r>
              <w:rPr>
                <w:rFonts w:ascii="Candara" w:hAnsi="Candara"/>
                <w:sz w:val="18"/>
                <w:szCs w:val="20"/>
              </w:rPr>
              <w:t>, tūkst. EUR</w:t>
            </w:r>
          </w:p>
        </w:tc>
      </w:tr>
      <w:tr w:rsidTr="00BD528E">
        <w:tblPrEx>
          <w:tblW w:w="10488" w:type="dxa"/>
          <w:jc w:val="center"/>
          <w:tblLook w:val="04A0"/>
        </w:tblPrEx>
        <w:trPr>
          <w:jc w:val="center"/>
        </w:trPr>
        <w:tc>
          <w:tcPr>
            <w:tcW w:w="5299" w:type="dxa"/>
            <w:gridSpan w:val="2"/>
          </w:tcPr>
          <w:p w:rsidR="00C23A95" w:rsidP="00762D1E">
            <w:pPr>
              <w:spacing w:after="0" w:line="240" w:lineRule="auto"/>
              <w:jc w:val="center"/>
              <w:rPr>
                <w:rFonts w:ascii="Candara" w:hAnsi="Candara"/>
              </w:rPr>
            </w:pPr>
            <w:r w:rsidRPr="00421CA2">
              <w:rPr>
                <w:noProof/>
                <w:lang w:eastAsia="lv-LV"/>
              </w:rPr>
              <w:drawing>
                <wp:inline distT="0" distB="0" distL="0" distR="0">
                  <wp:extent cx="3152775" cy="1171575"/>
                  <wp:effectExtent l="0" t="0" r="0" b="0"/>
                  <wp:docPr id="410" name="Chart 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tc>
        <w:tc>
          <w:tcPr>
            <w:tcW w:w="5189" w:type="dxa"/>
            <w:gridSpan w:val="2"/>
          </w:tcPr>
          <w:p w:rsidR="00C23A95" w:rsidP="00762D1E">
            <w:pPr>
              <w:spacing w:after="0" w:line="240" w:lineRule="auto"/>
              <w:jc w:val="center"/>
              <w:rPr>
                <w:rFonts w:ascii="Candara" w:hAnsi="Candara"/>
              </w:rPr>
            </w:pPr>
            <w:r w:rsidRPr="00421CA2">
              <w:rPr>
                <w:noProof/>
                <w:lang w:eastAsia="lv-LV"/>
              </w:rPr>
              <w:drawing>
                <wp:inline distT="0" distB="0" distL="0" distR="0">
                  <wp:extent cx="3152775" cy="1171575"/>
                  <wp:effectExtent l="0" t="0" r="0" b="0"/>
                  <wp:docPr id="411" name="Chart 4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tc>
      </w:tr>
      <w:tr w:rsidTr="00BD528E">
        <w:tblPrEx>
          <w:tblW w:w="10488" w:type="dxa"/>
          <w:jc w:val="center"/>
          <w:tblLook w:val="04A0"/>
        </w:tblPrEx>
        <w:trPr>
          <w:jc w:val="center"/>
        </w:trPr>
        <w:tc>
          <w:tcPr>
            <w:tcW w:w="5299" w:type="dxa"/>
            <w:gridSpan w:val="2"/>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Produktivitāte un darbaspēka izmaksas ES-28 valstīs 2010.g</w:t>
            </w:r>
            <w:r w:rsidR="00303274">
              <w:rPr>
                <w:rFonts w:ascii="Candara" w:hAnsi="Candara"/>
                <w:sz w:val="18"/>
                <w:szCs w:val="20"/>
              </w:rPr>
              <w:t>.</w:t>
            </w:r>
          </w:p>
        </w:tc>
        <w:tc>
          <w:tcPr>
            <w:tcW w:w="5189" w:type="dxa"/>
            <w:gridSpan w:val="2"/>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Produktivitāte un darbaspēka izmaksas ES-28 valstīs 201</w:t>
            </w:r>
            <w:r w:rsidR="00247754">
              <w:rPr>
                <w:rFonts w:ascii="Candara" w:hAnsi="Candara"/>
                <w:sz w:val="18"/>
                <w:szCs w:val="20"/>
              </w:rPr>
              <w:t>5</w:t>
            </w:r>
            <w:r w:rsidRPr="00483382">
              <w:rPr>
                <w:rFonts w:ascii="Candara" w:hAnsi="Candara"/>
                <w:sz w:val="18"/>
                <w:szCs w:val="20"/>
              </w:rPr>
              <w:t>.g</w:t>
            </w:r>
            <w:r w:rsidR="00303274">
              <w:rPr>
                <w:rFonts w:ascii="Candara" w:hAnsi="Candara"/>
                <w:sz w:val="18"/>
                <w:szCs w:val="20"/>
              </w:rPr>
              <w:t>.</w:t>
            </w:r>
          </w:p>
        </w:tc>
      </w:tr>
      <w:tr w:rsidTr="00BD528E">
        <w:tblPrEx>
          <w:tblW w:w="10488" w:type="dxa"/>
          <w:jc w:val="center"/>
          <w:tblLook w:val="04A0"/>
        </w:tblPrEx>
        <w:trPr>
          <w:jc w:val="center"/>
        </w:trPr>
        <w:tc>
          <w:tcPr>
            <w:tcW w:w="5299" w:type="dxa"/>
            <w:gridSpan w:val="2"/>
          </w:tcPr>
          <w:p w:rsidR="00C23A95" w:rsidP="00762D1E">
            <w:pPr>
              <w:spacing w:after="0" w:line="240" w:lineRule="auto"/>
              <w:rPr>
                <w:rFonts w:ascii="Candara" w:hAnsi="Candara"/>
              </w:rPr>
            </w:pPr>
            <w:r w:rsidRPr="00B612F1">
              <w:rPr>
                <w:rFonts w:ascii="Candara" w:eastAsia="Times New Roman" w:hAnsi="Candara"/>
                <w:noProof/>
                <w:sz w:val="18"/>
                <w:szCs w:val="18"/>
                <w:lang w:eastAsia="lv-LV"/>
              </w:rPr>
              <w:drawing>
                <wp:inline distT="0" distB="0" distL="0" distR="0">
                  <wp:extent cx="3057525" cy="1333500"/>
                  <wp:effectExtent l="0" t="0" r="0" b="0"/>
                  <wp:docPr id="412" name="Chart 4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tc>
        <w:tc>
          <w:tcPr>
            <w:tcW w:w="5189" w:type="dxa"/>
            <w:gridSpan w:val="2"/>
          </w:tcPr>
          <w:p w:rsidR="00C23A95" w:rsidP="00762D1E">
            <w:pPr>
              <w:spacing w:after="0" w:line="240" w:lineRule="auto"/>
              <w:rPr>
                <w:rFonts w:ascii="Candara" w:hAnsi="Candara"/>
              </w:rPr>
            </w:pPr>
            <w:r w:rsidRPr="00B612F1">
              <w:rPr>
                <w:rFonts w:ascii="Candara" w:eastAsia="Times New Roman" w:hAnsi="Candara"/>
                <w:noProof/>
                <w:sz w:val="18"/>
                <w:szCs w:val="18"/>
                <w:lang w:eastAsia="lv-LV"/>
              </w:rPr>
              <w:drawing>
                <wp:inline distT="0" distB="0" distL="0" distR="0">
                  <wp:extent cx="3057525" cy="1333500"/>
                  <wp:effectExtent l="0" t="0" r="0" b="0"/>
                  <wp:docPr id="413" name="Chart 4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tc>
      </w:tr>
    </w:tbl>
    <w:p w:rsidR="00C23A95" w:rsidP="00C23A95">
      <w:pPr>
        <w:spacing w:after="0" w:line="240" w:lineRule="auto"/>
        <w:rPr>
          <w:rFonts w:ascii="Candara" w:hAnsi="Candara"/>
          <w:b/>
          <w:color w:val="000000"/>
          <w:szCs w:val="28"/>
        </w:rPr>
      </w:pPr>
    </w:p>
    <w:p w:rsidR="000B7729" w:rsidP="000B7729">
      <w:pPr>
        <w:spacing w:after="0" w:line="240" w:lineRule="auto"/>
        <w:jc w:val="both"/>
        <w:rPr>
          <w:rFonts w:ascii="Candara" w:hAnsi="Candara"/>
          <w:b/>
          <w:color w:val="000000"/>
          <w:szCs w:val="28"/>
          <w:u w:val="single"/>
        </w:rPr>
      </w:pPr>
      <w:bookmarkEnd w:id="49"/>
      <w:r>
        <w:rPr>
          <w:rFonts w:ascii="Candara" w:hAnsi="Candara"/>
          <w:b/>
          <w:color w:val="000000"/>
          <w:szCs w:val="28"/>
          <w:u w:val="single"/>
        </w:rPr>
        <w:t>Nozares īpatsvars tautsaimniecībā, procentos</w:t>
      </w:r>
      <w:r>
        <w:rPr>
          <w:rFonts w:ascii="Candara" w:hAnsi="Candara"/>
          <w:color w:val="000000"/>
          <w:szCs w:val="28"/>
        </w:rPr>
        <w:t>. Nozares īpatsvars kopējā tautsaimniecībā 2005.gadā bija 0,26%. Krīzes laikā īpatsvars samazinājās, bet kopš 2010.gada pakāpeniski pieauga sasniedzot 0,38% 2015.gadā.</w:t>
      </w:r>
    </w:p>
    <w:p w:rsidR="000B7729" w:rsidP="000B7729">
      <w:pPr>
        <w:spacing w:after="0" w:line="240" w:lineRule="auto"/>
        <w:jc w:val="both"/>
        <w:rPr>
          <w:rFonts w:ascii="Candara" w:hAnsi="Candara"/>
          <w:color w:val="000000"/>
          <w:szCs w:val="28"/>
        </w:rPr>
      </w:pPr>
      <w:r>
        <w:rPr>
          <w:rFonts w:ascii="Candara" w:hAnsi="Candara"/>
          <w:b/>
          <w:color w:val="000000"/>
          <w:szCs w:val="28"/>
          <w:u w:val="single"/>
        </w:rPr>
        <w:t>Pievienotās vērtības un darba vietu skaita izmaiņas, 2005=100.</w:t>
      </w:r>
      <w:r>
        <w:rPr>
          <w:rFonts w:ascii="Candara" w:hAnsi="Candara"/>
          <w:color w:val="000000"/>
          <w:szCs w:val="28"/>
        </w:rPr>
        <w:t xml:space="preserve"> Tā kā nozare lielā mērā ir atkarīga no jauniem pasūtījumiem, tai ir raksturīgas ļoti izteiktas ražošanas apjomu svārstības. Krīzes laikā 2009.gadā nozarē bija vērojams straujš ražošanas apjomu kritums, savukārt pēc krīzes 2010.-2011.gadā ražošanas apjomi strauji pieauga. 2012. -2014.gadā turpinājās nozīmīgs ražošanas apjomu kāpums. Aptuveni 90% no nozares produkcijas tiek eksportēti. 2015.gadā izaugsme nedaudz piebremzējās, ražošanas apjomiem samazinoties par 4%. Salīdzinot ar krīzes zemāko punktu 2009. gadā, nozares izlaides apjomi 2015.gadā bija vairāk kā dubultojušies un par 24% pārsniedza pirmskrīzes līmeni.</w:t>
      </w:r>
    </w:p>
    <w:p w:rsidR="000B7729" w:rsidP="000B7729">
      <w:pPr>
        <w:spacing w:after="0" w:line="240" w:lineRule="auto"/>
        <w:jc w:val="both"/>
        <w:rPr>
          <w:rFonts w:ascii="Candara" w:hAnsi="Candara"/>
          <w:b/>
          <w:color w:val="000000"/>
          <w:szCs w:val="28"/>
          <w:u w:val="single"/>
        </w:rPr>
      </w:pPr>
      <w:r>
        <w:rPr>
          <w:rFonts w:ascii="Candara" w:hAnsi="Candara"/>
          <w:color w:val="000000"/>
          <w:szCs w:val="28"/>
        </w:rPr>
        <w:t>Salīdzinājumā ar ražošanas apjomu kāpumu darbavietu skaits nozarē aug mērenāk, kas liecina par produktivitātes kāpumu. Darbavietu skaits nozarē pēc krīzes pieauga katru gadu līdz 2014.gadam. Arī 2015.gadā darbavietu skaits turpināja samazināties, sarūkot par 3%. 2015.gadā, salīdzinot ar zemāko punktu 2009.gadā, darbavietu skaits bija pieaudzis par 21%, bet par 29% atpalika no pirmskrīzes perioda.</w:t>
      </w:r>
    </w:p>
    <w:p w:rsidR="000B7729" w:rsidP="000B7729">
      <w:pPr>
        <w:spacing w:after="0" w:line="240" w:lineRule="auto"/>
        <w:jc w:val="both"/>
        <w:rPr>
          <w:rFonts w:ascii="Candara" w:hAnsi="Candara"/>
          <w:color w:val="000000"/>
          <w:szCs w:val="28"/>
        </w:rPr>
      </w:pPr>
      <w:r>
        <w:rPr>
          <w:rFonts w:ascii="Candara" w:hAnsi="Candara"/>
          <w:b/>
          <w:color w:val="000000"/>
          <w:szCs w:val="28"/>
          <w:u w:val="single"/>
        </w:rPr>
        <w:t>Produkcijas eksports, milj. EUR.</w:t>
      </w:r>
      <w:r>
        <w:rPr>
          <w:rFonts w:ascii="Candara" w:hAnsi="Candara"/>
          <w:color w:val="000000"/>
          <w:szCs w:val="28"/>
        </w:rPr>
        <w:t xml:space="preserve"> Kopš krīzes zemākā punkta 2009. gadā eksportētās produkcijas apjomi ir gandrīz dubultojušies. Pēdējos gados eksporta pieaugums ir kļuvis mērenāks saistībā ar situāciju ārējā vidē.</w:t>
      </w:r>
    </w:p>
    <w:p w:rsidR="000B7729" w:rsidP="000B7729">
      <w:pPr>
        <w:spacing w:after="0" w:line="240" w:lineRule="auto"/>
        <w:jc w:val="both"/>
        <w:rPr>
          <w:rFonts w:ascii="Candara" w:hAnsi="Candara"/>
          <w:b/>
          <w:color w:val="000000"/>
          <w:szCs w:val="28"/>
          <w:u w:val="single"/>
        </w:rPr>
      </w:pPr>
      <w:r>
        <w:rPr>
          <w:rFonts w:ascii="Candara" w:hAnsi="Candara"/>
          <w:b/>
          <w:color w:val="000000"/>
          <w:szCs w:val="28"/>
          <w:u w:val="single"/>
        </w:rPr>
        <w:t>Eksports uz 1 strādājošo, tūkst. EUR.</w:t>
      </w:r>
      <w:r>
        <w:rPr>
          <w:rFonts w:ascii="Candara" w:hAnsi="Candara"/>
          <w:color w:val="000000"/>
          <w:szCs w:val="28"/>
        </w:rPr>
        <w:t xml:space="preserve"> Līdz 2011.gadam eksporta apjoms uz vienu strādājošo strauji auga. 2012.-2013.gadā tā apjomi saruka, bet 2014.gadā atsāka pieaugt. 2015.gadā rādītājs ir palicis iepriekšējā gada līmenī.</w:t>
      </w:r>
    </w:p>
    <w:p w:rsidR="000B7729" w:rsidP="000B7729">
      <w:pPr>
        <w:spacing w:after="0" w:line="240" w:lineRule="auto"/>
        <w:jc w:val="both"/>
        <w:rPr>
          <w:rFonts w:ascii="Candara" w:hAnsi="Candara"/>
          <w:color w:val="000000"/>
          <w:szCs w:val="28"/>
        </w:rPr>
      </w:pPr>
      <w:r>
        <w:rPr>
          <w:rFonts w:ascii="Candara" w:hAnsi="Candara"/>
          <w:b/>
          <w:color w:val="000000"/>
          <w:szCs w:val="28"/>
          <w:u w:val="single"/>
        </w:rPr>
        <w:t>Eksports uz 1 strādājošo ES 28 valstīs, tūkst. EUR.</w:t>
      </w:r>
      <w:r>
        <w:rPr>
          <w:rFonts w:ascii="Candara" w:hAnsi="Candara"/>
          <w:color w:val="000000"/>
          <w:szCs w:val="28"/>
        </w:rPr>
        <w:t xml:space="preserve"> Latvijā eksports apjoms uz vienu strādājošo transportlīdzekļu ražošanā bija zemāks nekā ES vidēji. Tas atpalika arī no Lietuvas un Igaunijas.</w:t>
      </w:r>
    </w:p>
    <w:p w:rsidR="000B7729" w:rsidP="000B7729">
      <w:pPr>
        <w:spacing w:after="0" w:line="240" w:lineRule="auto"/>
        <w:jc w:val="both"/>
        <w:rPr>
          <w:rFonts w:ascii="Candara" w:hAnsi="Candara"/>
          <w:b/>
          <w:color w:val="000000"/>
          <w:szCs w:val="28"/>
          <w:u w:val="single"/>
        </w:rPr>
      </w:pPr>
      <w:r>
        <w:rPr>
          <w:rFonts w:ascii="Candara" w:hAnsi="Candara"/>
          <w:b/>
          <w:color w:val="000000"/>
          <w:szCs w:val="28"/>
          <w:u w:val="single"/>
        </w:rPr>
        <w:t>Eksporta tirgi.</w:t>
      </w:r>
      <w:r>
        <w:rPr>
          <w:rFonts w:ascii="Candara" w:hAnsi="Candara"/>
          <w:color w:val="000000"/>
          <w:szCs w:val="28"/>
        </w:rPr>
        <w:t xml:space="preserve"> Lielākie eksporta tirgi transportlīdzekļu ražošanas nozarē ir Lietuva, Igaunija, Vācija, Zviedrija un Beļģija.</w:t>
      </w:r>
    </w:p>
    <w:p w:rsidR="000B7729" w:rsidP="000B7729">
      <w:pPr>
        <w:spacing w:after="0" w:line="240" w:lineRule="auto"/>
        <w:jc w:val="both"/>
        <w:rPr>
          <w:rFonts w:ascii="Candara" w:hAnsi="Candara"/>
          <w:b/>
          <w:color w:val="000000"/>
          <w:szCs w:val="28"/>
          <w:u w:val="single"/>
        </w:rPr>
      </w:pPr>
      <w:r>
        <w:rPr>
          <w:rFonts w:ascii="Candara" w:hAnsi="Candara"/>
          <w:b/>
          <w:color w:val="000000"/>
          <w:szCs w:val="28"/>
          <w:u w:val="single"/>
        </w:rPr>
        <w:t>Eksporta struktūra.</w:t>
      </w:r>
      <w:r>
        <w:rPr>
          <w:rFonts w:ascii="Candara" w:hAnsi="Candara"/>
          <w:color w:val="000000"/>
          <w:szCs w:val="28"/>
        </w:rPr>
        <w:t xml:space="preserve"> Latvijā kopš 2005.gada ir samazinājies pārējo transportlīdzekļu īpatsvars eksporta struktūrā, savukārt pieaudzis transportlīdzekļu daļu un piederumu īpatsvars.</w:t>
      </w:r>
    </w:p>
    <w:p w:rsidR="000B7729" w:rsidP="000B7729">
      <w:pPr>
        <w:spacing w:after="0" w:line="240" w:lineRule="auto"/>
        <w:jc w:val="both"/>
        <w:rPr>
          <w:rFonts w:ascii="Candara" w:hAnsi="Candara"/>
          <w:b/>
          <w:color w:val="000000"/>
          <w:szCs w:val="28"/>
          <w:u w:val="single"/>
        </w:rPr>
      </w:pPr>
      <w:r>
        <w:rPr>
          <w:rFonts w:ascii="Candara" w:hAnsi="Candara"/>
          <w:b/>
          <w:color w:val="000000"/>
          <w:szCs w:val="28"/>
          <w:u w:val="single"/>
        </w:rPr>
        <w:t>Darbaspēka izmaksu dinamika, tūkst.</w:t>
      </w:r>
      <w:r>
        <w:rPr>
          <w:rFonts w:ascii="Candara" w:hAnsi="Candara"/>
          <w:color w:val="000000"/>
          <w:szCs w:val="28"/>
        </w:rPr>
        <w:t xml:space="preserve"> Atsākoties ekonomikas izaugsmei, kopš 2012.gada darba samaksas pieaugums nozarē kļūst arvien straujāks, bet tikai 2014.gadā darbaspēka izmaksām sasniedzot pirmskrīzes perioda līmeni. 2015.gadā izmaksu pieaugums turpinājās.</w:t>
      </w:r>
    </w:p>
    <w:p w:rsidR="000B7729" w:rsidP="000B7729">
      <w:pPr>
        <w:spacing w:after="0" w:line="240" w:lineRule="auto"/>
        <w:jc w:val="both"/>
        <w:rPr>
          <w:rFonts w:ascii="Candara" w:hAnsi="Candara"/>
          <w:color w:val="000000"/>
          <w:szCs w:val="28"/>
        </w:rPr>
      </w:pPr>
      <w:r>
        <w:rPr>
          <w:rFonts w:ascii="Candara" w:hAnsi="Candara"/>
          <w:b/>
          <w:color w:val="000000"/>
          <w:szCs w:val="28"/>
          <w:u w:val="single"/>
        </w:rPr>
        <w:t>Produktivitātes dinamika, tūkst.</w:t>
      </w:r>
      <w:r>
        <w:rPr>
          <w:rFonts w:ascii="Candara" w:hAnsi="Candara"/>
          <w:color w:val="000000"/>
          <w:szCs w:val="28"/>
        </w:rPr>
        <w:t xml:space="preserve"> Krīzes laikā bija vērojams produktivitātes kritums strauja ražošanas apjomu krituma dēļ. Savukārt, kopš 2010.gada produktivitāte pakāpeniski pieaug, 2011.gadā jau pārsniedzot pirmskrīzes līmeni. 2015.gadā ir vērojams neliels produktivitātes samazinājums.</w:t>
      </w:r>
    </w:p>
    <w:p w:rsidR="000B7729" w:rsidP="000B7729">
      <w:pPr>
        <w:spacing w:after="0" w:line="240" w:lineRule="auto"/>
        <w:jc w:val="both"/>
        <w:rPr>
          <w:rFonts w:ascii="Candara" w:hAnsi="Candara"/>
          <w:b/>
          <w:color w:val="000000"/>
          <w:szCs w:val="28"/>
          <w:u w:val="single"/>
        </w:rPr>
      </w:pPr>
      <w:r>
        <w:rPr>
          <w:rFonts w:ascii="Candara" w:hAnsi="Candara"/>
          <w:b/>
          <w:color w:val="000000"/>
          <w:szCs w:val="28"/>
          <w:u w:val="single"/>
        </w:rPr>
        <w:t>Produktivitāte un darbaspēka izmaksas</w:t>
      </w:r>
      <w:r>
        <w:rPr>
          <w:rFonts w:ascii="Candara" w:hAnsi="Candara"/>
          <w:szCs w:val="28"/>
        </w:rPr>
        <w:t>. 2007.-</w:t>
      </w:r>
      <w:r>
        <w:rPr>
          <w:rFonts w:ascii="Candara" w:hAnsi="Candara"/>
          <w:color w:val="000000"/>
          <w:szCs w:val="28"/>
        </w:rPr>
        <w:t xml:space="preserve">2009.gadā ULC pieauga, ko noteica būtisks ražošanas apjomu kritums. Kopš 2010.gada nozares ražošanas apjomi ir pieauguši par 130%, nosakot produktivitātes dubultošanos un ULC kritumu. </w:t>
      </w:r>
      <w:r>
        <w:rPr>
          <w:rFonts w:ascii="Candara" w:hAnsi="Candara"/>
          <w:szCs w:val="28"/>
        </w:rPr>
        <w:t xml:space="preserve">Pēdējos gados nozarē darbaspēka izmaksas pieaug mērenāk nekā produktivitāte, kas liecina par cenu konkurētspējas (izmaksu) uzlabošanos. Tomēr </w:t>
      </w:r>
      <w:r>
        <w:rPr>
          <w:rFonts w:ascii="Candara" w:hAnsi="Candara"/>
          <w:color w:val="000000"/>
          <w:szCs w:val="28"/>
        </w:rPr>
        <w:t>no 2012.gada līdz 2014.gadam ULC samazinājās vien par 4% (vidēji gadā par 1,3%), ražošanas apjomiem pieaugot nedaudz straujāk par darbaspēka izmaksām. 2015.gadā ULC pieauga, ko noteica ražošanas apjomu sarukums un darbaspēka izmaksu pieaugums.</w:t>
      </w:r>
    </w:p>
    <w:p w:rsidR="000B7729" w:rsidP="000B7729">
      <w:pPr>
        <w:spacing w:after="0" w:line="240" w:lineRule="auto"/>
        <w:jc w:val="both"/>
        <w:rPr>
          <w:rFonts w:ascii="Candara" w:hAnsi="Candara"/>
          <w:color w:val="000000"/>
          <w:szCs w:val="28"/>
        </w:rPr>
      </w:pPr>
      <w:r>
        <w:rPr>
          <w:rFonts w:ascii="Candara" w:hAnsi="Candara"/>
          <w:b/>
          <w:color w:val="000000"/>
          <w:szCs w:val="28"/>
          <w:u w:val="single"/>
        </w:rPr>
        <w:t>Darbaspēka izmaksas, ES-28=100.</w:t>
      </w:r>
      <w:r>
        <w:rPr>
          <w:rFonts w:ascii="Candara" w:hAnsi="Candara"/>
          <w:color w:val="000000"/>
          <w:szCs w:val="28"/>
        </w:rPr>
        <w:t xml:space="preserve"> Salīdzinot ar darbaspēka izmaksu vidējo līmeni ES, nozarē tas ir zemāks nekā tautsaimniecībā kopumā un pēdējos gados tas nedaudz pieaug.</w:t>
      </w:r>
    </w:p>
    <w:p w:rsidR="000B7729" w:rsidP="000B7729">
      <w:pPr>
        <w:spacing w:after="0" w:line="240" w:lineRule="auto"/>
        <w:jc w:val="both"/>
        <w:rPr>
          <w:rFonts w:ascii="Candara" w:hAnsi="Candara"/>
          <w:color w:val="000000"/>
          <w:szCs w:val="28"/>
        </w:rPr>
      </w:pPr>
      <w:r>
        <w:rPr>
          <w:rFonts w:ascii="Candara" w:hAnsi="Candara"/>
          <w:b/>
          <w:color w:val="000000"/>
          <w:szCs w:val="28"/>
          <w:u w:val="single"/>
        </w:rPr>
        <w:t>Produktivitāte, ES-28=100.</w:t>
      </w:r>
      <w:r>
        <w:rPr>
          <w:rFonts w:ascii="Candara" w:hAnsi="Candara"/>
          <w:color w:val="000000"/>
          <w:szCs w:val="28"/>
        </w:rPr>
        <w:t xml:space="preserve"> Salīdzinot ar vidējo līmeni ES, nozarē produktivitātes līmenis ir zemāks nekā tautsaimniecībā kopumā. Kopš 2011.gada produktivitātes līmenis pieaug.</w:t>
      </w:r>
    </w:p>
    <w:p w:rsidR="000B7729" w:rsidP="000B7729">
      <w:pPr>
        <w:spacing w:after="0" w:line="240" w:lineRule="auto"/>
        <w:jc w:val="both"/>
        <w:rPr>
          <w:rFonts w:ascii="Candara" w:hAnsi="Candara"/>
          <w:color w:val="000000"/>
          <w:szCs w:val="28"/>
        </w:rPr>
      </w:pPr>
      <w:r>
        <w:rPr>
          <w:rFonts w:ascii="Candara" w:hAnsi="Candara"/>
          <w:b/>
          <w:color w:val="000000"/>
          <w:szCs w:val="28"/>
          <w:u w:val="single"/>
        </w:rPr>
        <w:t>Darbaspēka izmaksas, salīdzinot ar ES valstīm, 2015.gadā.</w:t>
      </w:r>
      <w:r>
        <w:rPr>
          <w:rFonts w:ascii="Candara" w:hAnsi="Candara"/>
          <w:color w:val="000000"/>
          <w:szCs w:val="28"/>
        </w:rPr>
        <w:t xml:space="preserve"> Latvijā 2015.gadā darbaspēka izmaksas nozarē bija zemākas nekā Igaunijā un nedaudz augstākas kā Lietuvā. Kopumā starp ES valstīm Latvija bija 22.vietā.</w:t>
      </w:r>
    </w:p>
    <w:p w:rsidR="000B7729" w:rsidP="000B7729">
      <w:pPr>
        <w:spacing w:after="0" w:line="240" w:lineRule="auto"/>
        <w:jc w:val="both"/>
        <w:rPr>
          <w:rFonts w:ascii="Candara" w:hAnsi="Candara"/>
          <w:color w:val="000000"/>
          <w:szCs w:val="28"/>
        </w:rPr>
      </w:pPr>
      <w:r>
        <w:rPr>
          <w:rFonts w:ascii="Candara" w:hAnsi="Candara"/>
          <w:b/>
          <w:color w:val="000000"/>
          <w:szCs w:val="28"/>
          <w:u w:val="single"/>
        </w:rPr>
        <w:t>Produktivitāte, salīdzinot ar ES valstīm, 2015.gadā.</w:t>
      </w:r>
      <w:r>
        <w:rPr>
          <w:rFonts w:ascii="Candara" w:hAnsi="Candara"/>
          <w:color w:val="000000"/>
          <w:szCs w:val="28"/>
        </w:rPr>
        <w:t xml:space="preserve"> Latvijā 2015.gadā produktivitāte nozarē bija zemāka nekā Lietuvā un Igaunijā. Zemāka tā bija tikai Horvātijā un Bulgārijā.</w:t>
      </w:r>
    </w:p>
    <w:p w:rsidR="000B7729" w:rsidP="000B7729">
      <w:pPr>
        <w:spacing w:after="0" w:line="240" w:lineRule="auto"/>
        <w:jc w:val="both"/>
        <w:rPr>
          <w:rFonts w:ascii="Candara" w:hAnsi="Candara"/>
          <w:color w:val="000000"/>
          <w:szCs w:val="28"/>
        </w:rPr>
      </w:pPr>
      <w:r>
        <w:rPr>
          <w:rFonts w:ascii="Candara" w:hAnsi="Candara"/>
          <w:b/>
          <w:color w:val="000000"/>
          <w:szCs w:val="28"/>
          <w:u w:val="single"/>
        </w:rPr>
        <w:t>Produktivitāte un darbaspēka izmaksas ES-28 valstīs 2010.gadā un 2015.gadā.</w:t>
      </w:r>
      <w:r>
        <w:rPr>
          <w:rFonts w:ascii="Candara" w:hAnsi="Candara"/>
          <w:color w:val="000000"/>
          <w:szCs w:val="28"/>
        </w:rPr>
        <w:t xml:space="preserve"> Darbaspēka izmaksas uz 1 produkcijas vienību (ULC) nozarē Latvijā 2010.gadā bija viens no augstākajiem rādītājiem starp ES valstīm, augstāks tas bija 5 valstīs. Latvijā 2015.gadā, salīdzinot ar 2010.gadu ULC bija par 11% zemāks, ko noteica straujš produktivitātes kāpums.</w:t>
      </w:r>
    </w:p>
    <w:p w:rsidR="00C23A95" w:rsidP="00762D1E">
      <w:pPr>
        <w:spacing w:after="0" w:line="240" w:lineRule="auto"/>
        <w:rPr>
          <w:rFonts w:ascii="Candara" w:hAnsi="Candara"/>
          <w:color w:val="000000"/>
          <w:szCs w:val="28"/>
        </w:rPr>
      </w:pPr>
      <w:r>
        <w:rPr>
          <w:rFonts w:ascii="Candara" w:hAnsi="Candara"/>
          <w:color w:val="000000"/>
          <w:szCs w:val="28"/>
        </w:rPr>
        <w:br w:type="page"/>
      </w:r>
    </w:p>
    <w:p w:rsidR="00C23A95" w:rsidRPr="009F39B5" w:rsidP="00C23A95">
      <w:pPr>
        <w:pStyle w:val="Heading1"/>
        <w:jc w:val="center"/>
        <w:rPr>
          <w:b/>
          <w:sz w:val="20"/>
        </w:rPr>
      </w:pPr>
      <w:bookmarkStart w:id="52" w:name="_Toc482792412"/>
      <w:bookmarkStart w:id="53" w:name="_Hlk504984864"/>
      <w:bookmarkStart w:id="54" w:name="_Toc256000014"/>
      <w:bookmarkStart w:id="55" w:name="_Toc256000040"/>
      <w:r w:rsidRPr="009F39B5">
        <w:rPr>
          <w:b/>
          <w:sz w:val="20"/>
        </w:rPr>
        <w:t>C31-33 PĀRĒJĀS APSTRĀDES RŪPNIECĪBAS NOZARES</w:t>
      </w:r>
      <w:bookmarkEnd w:id="55"/>
      <w:bookmarkEnd w:id="54"/>
      <w:bookmarkEnd w:id="52"/>
    </w:p>
    <w:tbl>
      <w:tblPr>
        <w:tblW w:w="10488"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3576"/>
        <w:gridCol w:w="1723"/>
        <w:gridCol w:w="1853"/>
        <w:gridCol w:w="3336"/>
      </w:tblGrid>
      <w:tr w:rsidTr="00BD528E">
        <w:tblPrEx>
          <w:tblW w:w="10488"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Ex>
        <w:trPr>
          <w:jc w:val="center"/>
        </w:trPr>
        <w:tc>
          <w:tcPr>
            <w:tcW w:w="3576" w:type="dxa"/>
            <w:shd w:val="clear" w:color="auto" w:fill="D9D9D9" w:themeFill="background1" w:themeFillShade="D9"/>
          </w:tcPr>
          <w:p w:rsidR="00C23A95" w:rsidRPr="00547FF6" w:rsidP="00762D1E">
            <w:pPr>
              <w:spacing w:after="0" w:line="240" w:lineRule="auto"/>
              <w:jc w:val="center"/>
              <w:rPr>
                <w:rFonts w:ascii="Candara" w:hAnsi="Candara"/>
                <w:sz w:val="18"/>
                <w:szCs w:val="20"/>
              </w:rPr>
            </w:pPr>
            <w:r w:rsidRPr="00547FF6">
              <w:rPr>
                <w:rFonts w:ascii="Candara" w:hAnsi="Candara"/>
                <w:sz w:val="18"/>
                <w:szCs w:val="20"/>
              </w:rPr>
              <w:t>Nozares īpatsvars tautsaimniecībā</w:t>
            </w:r>
            <w:r w:rsidR="00F35BE1">
              <w:rPr>
                <w:rFonts w:ascii="Candara" w:hAnsi="Candara"/>
                <w:sz w:val="18"/>
                <w:szCs w:val="20"/>
              </w:rPr>
              <w:t xml:space="preserve"> (faktiskajās cenās)</w:t>
            </w:r>
            <w:r w:rsidRPr="00547FF6">
              <w:rPr>
                <w:rFonts w:ascii="Candara" w:hAnsi="Candara"/>
                <w:sz w:val="18"/>
                <w:szCs w:val="20"/>
              </w:rPr>
              <w:t>, %</w:t>
            </w:r>
          </w:p>
        </w:tc>
        <w:tc>
          <w:tcPr>
            <w:tcW w:w="3576" w:type="dxa"/>
            <w:gridSpan w:val="2"/>
            <w:shd w:val="clear" w:color="auto" w:fill="D9D9D9" w:themeFill="background1" w:themeFillShade="D9"/>
          </w:tcPr>
          <w:p w:rsidR="00C23A95" w:rsidRPr="00547FF6" w:rsidP="00762D1E">
            <w:pPr>
              <w:spacing w:after="0" w:line="240" w:lineRule="auto"/>
              <w:jc w:val="center"/>
              <w:rPr>
                <w:rFonts w:ascii="Candara" w:hAnsi="Candara"/>
                <w:sz w:val="18"/>
                <w:szCs w:val="20"/>
              </w:rPr>
            </w:pPr>
            <w:r w:rsidRPr="00547FF6">
              <w:rPr>
                <w:rFonts w:ascii="Candara" w:hAnsi="Candara"/>
                <w:sz w:val="18"/>
                <w:szCs w:val="20"/>
              </w:rPr>
              <w:t>Pievienotās vērtības un darba vietu skaita izmaiņas</w:t>
            </w:r>
            <w:r w:rsidR="00921A5E">
              <w:rPr>
                <w:rFonts w:ascii="Candara" w:hAnsi="Candara"/>
                <w:sz w:val="18"/>
                <w:szCs w:val="20"/>
              </w:rPr>
              <w:t xml:space="preserve"> (2005=100)</w:t>
            </w:r>
          </w:p>
        </w:tc>
        <w:tc>
          <w:tcPr>
            <w:tcW w:w="3336" w:type="dxa"/>
            <w:shd w:val="clear" w:color="auto" w:fill="D9D9D9" w:themeFill="background1" w:themeFillShade="D9"/>
          </w:tcPr>
          <w:p w:rsidR="00C23A95" w:rsidRPr="00547FF6" w:rsidP="00762D1E">
            <w:pPr>
              <w:spacing w:after="0" w:line="240" w:lineRule="auto"/>
              <w:jc w:val="center"/>
              <w:rPr>
                <w:rFonts w:ascii="Candara" w:hAnsi="Candara"/>
                <w:sz w:val="18"/>
                <w:szCs w:val="20"/>
              </w:rPr>
            </w:pPr>
            <w:r w:rsidRPr="00547FF6">
              <w:rPr>
                <w:rFonts w:ascii="Candara" w:hAnsi="Candara"/>
                <w:sz w:val="18"/>
                <w:szCs w:val="20"/>
              </w:rPr>
              <w:t>Produkcijas eksports</w:t>
            </w:r>
            <w:r w:rsidR="002B71CE">
              <w:rPr>
                <w:rFonts w:ascii="Candara" w:hAnsi="Candara"/>
                <w:sz w:val="18"/>
                <w:szCs w:val="20"/>
              </w:rPr>
              <w:t>,</w:t>
            </w:r>
            <w:r w:rsidRPr="00547FF6">
              <w:rPr>
                <w:rFonts w:ascii="Candara" w:hAnsi="Candara"/>
                <w:sz w:val="18"/>
                <w:szCs w:val="20"/>
              </w:rPr>
              <w:t xml:space="preserve"> milj. EUR</w:t>
            </w:r>
            <w:r w:rsidR="00E75013">
              <w:rPr>
                <w:rFonts w:ascii="Candara" w:hAnsi="Candara"/>
                <w:sz w:val="18"/>
                <w:szCs w:val="20"/>
              </w:rPr>
              <w:t>*</w:t>
            </w:r>
          </w:p>
        </w:tc>
      </w:tr>
      <w:tr w:rsidTr="00BD528E">
        <w:tblPrEx>
          <w:tblW w:w="10488" w:type="dxa"/>
          <w:jc w:val="center"/>
          <w:tblLook w:val="04A0"/>
        </w:tblPrEx>
        <w:trPr>
          <w:jc w:val="center"/>
        </w:trPr>
        <w:tc>
          <w:tcPr>
            <w:tcW w:w="3576" w:type="dxa"/>
          </w:tcPr>
          <w:p w:rsidR="00C23A95" w:rsidRPr="00547FF6" w:rsidP="00762D1E">
            <w:pPr>
              <w:spacing w:after="0" w:line="240" w:lineRule="auto"/>
              <w:rPr>
                <w:rFonts w:ascii="Candara" w:hAnsi="Candara"/>
              </w:rPr>
            </w:pPr>
            <w:r w:rsidRPr="00547FF6">
              <w:rPr>
                <w:rFonts w:ascii="Candara" w:hAnsi="Candara"/>
                <w:noProof/>
                <w:sz w:val="18"/>
                <w:szCs w:val="18"/>
                <w:lang w:eastAsia="lv-LV"/>
              </w:rPr>
              <w:drawing>
                <wp:inline distT="0" distB="0" distL="0" distR="0">
                  <wp:extent cx="2133600" cy="1066800"/>
                  <wp:effectExtent l="0" t="0" r="0" b="0"/>
                  <wp:docPr id="414"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tc>
        <w:tc>
          <w:tcPr>
            <w:tcW w:w="3576" w:type="dxa"/>
            <w:gridSpan w:val="2"/>
          </w:tcPr>
          <w:p w:rsidR="00C23A95" w:rsidRPr="00547FF6" w:rsidP="00762D1E">
            <w:pPr>
              <w:spacing w:after="0" w:line="240" w:lineRule="auto"/>
              <w:rPr>
                <w:rFonts w:ascii="Candara" w:hAnsi="Candara"/>
              </w:rPr>
            </w:pPr>
            <w:r w:rsidRPr="00547FF6">
              <w:rPr>
                <w:rFonts w:ascii="Candara" w:eastAsia="Times New Roman" w:hAnsi="Candara"/>
                <w:noProof/>
                <w:sz w:val="18"/>
                <w:szCs w:val="18"/>
                <w:lang w:eastAsia="lv-LV"/>
              </w:rPr>
              <w:drawing>
                <wp:inline distT="0" distB="0" distL="0" distR="0">
                  <wp:extent cx="2133600" cy="1066800"/>
                  <wp:effectExtent l="0" t="0" r="0" b="0"/>
                  <wp:docPr id="415" name="Chart 4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tc>
        <w:tc>
          <w:tcPr>
            <w:tcW w:w="3336" w:type="dxa"/>
          </w:tcPr>
          <w:p w:rsidR="00C23A95" w:rsidP="00762D1E">
            <w:pPr>
              <w:spacing w:after="0" w:line="240" w:lineRule="auto"/>
              <w:rPr>
                <w:rFonts w:ascii="Candara" w:hAnsi="Candara"/>
              </w:rPr>
            </w:pPr>
            <w:r w:rsidRPr="00547FF6">
              <w:rPr>
                <w:rFonts w:ascii="Arial Narrow" w:hAnsi="Arial Narrow"/>
                <w:b/>
                <w:noProof/>
                <w:sz w:val="20"/>
                <w:szCs w:val="20"/>
                <w:lang w:eastAsia="lv-LV"/>
              </w:rPr>
              <w:drawing>
                <wp:inline distT="0" distB="0" distL="0" distR="0">
                  <wp:extent cx="1981200" cy="930257"/>
                  <wp:effectExtent l="0" t="0" r="0" b="0"/>
                  <wp:docPr id="416"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p w:rsidR="0037073A" w:rsidRPr="00547FF6" w:rsidP="00762D1E">
            <w:pPr>
              <w:spacing w:after="0" w:line="240" w:lineRule="auto"/>
              <w:rPr>
                <w:rFonts w:ascii="Candara" w:hAnsi="Candara"/>
              </w:rPr>
            </w:pPr>
            <w:r w:rsidRPr="00E75013">
              <w:rPr>
                <w:rFonts w:ascii="Candara" w:hAnsi="Candara"/>
                <w:sz w:val="14"/>
                <w:szCs w:val="14"/>
              </w:rPr>
              <w:t>* EM novērtējums pēc KN produktu klasifikācijas</w:t>
            </w:r>
          </w:p>
        </w:tc>
      </w:tr>
      <w:tr w:rsidTr="00BD528E">
        <w:tblPrEx>
          <w:tblW w:w="10488" w:type="dxa"/>
          <w:jc w:val="center"/>
          <w:tblLook w:val="04A0"/>
        </w:tblPrEx>
        <w:trPr>
          <w:jc w:val="center"/>
        </w:trPr>
        <w:tc>
          <w:tcPr>
            <w:tcW w:w="3576" w:type="dxa"/>
            <w:shd w:val="clear" w:color="auto" w:fill="D9D9D9" w:themeFill="background1" w:themeFillShade="D9"/>
          </w:tcPr>
          <w:p w:rsidR="00C23A95" w:rsidRPr="00547FF6" w:rsidP="00762D1E">
            <w:pPr>
              <w:spacing w:after="0" w:line="240" w:lineRule="auto"/>
              <w:jc w:val="center"/>
              <w:rPr>
                <w:rFonts w:ascii="Candara" w:hAnsi="Candara"/>
                <w:sz w:val="18"/>
              </w:rPr>
            </w:pPr>
            <w:r w:rsidRPr="00547FF6">
              <w:rPr>
                <w:rFonts w:ascii="Candara" w:hAnsi="Candara"/>
                <w:sz w:val="18"/>
                <w:szCs w:val="20"/>
              </w:rPr>
              <w:t>Eksports uz 1 strādājošo, tūkst. EUR</w:t>
            </w:r>
          </w:p>
        </w:tc>
        <w:tc>
          <w:tcPr>
            <w:tcW w:w="6912" w:type="dxa"/>
            <w:gridSpan w:val="3"/>
            <w:shd w:val="clear" w:color="auto" w:fill="D9D9D9" w:themeFill="background1" w:themeFillShade="D9"/>
          </w:tcPr>
          <w:p w:rsidR="00C23A95" w:rsidRPr="00547FF6" w:rsidP="00762D1E">
            <w:pPr>
              <w:spacing w:after="0" w:line="240" w:lineRule="auto"/>
              <w:jc w:val="center"/>
              <w:rPr>
                <w:rFonts w:ascii="Candara" w:hAnsi="Candara"/>
                <w:sz w:val="18"/>
              </w:rPr>
            </w:pPr>
            <w:r w:rsidRPr="00547FF6">
              <w:rPr>
                <w:rFonts w:ascii="Candara" w:hAnsi="Candara"/>
                <w:sz w:val="18"/>
                <w:szCs w:val="20"/>
              </w:rPr>
              <w:t>Eksports uz 1 strādājošo ES</w:t>
            </w:r>
            <w:r w:rsidR="008F4DF5">
              <w:rPr>
                <w:rFonts w:ascii="Candara" w:hAnsi="Candara"/>
                <w:sz w:val="18"/>
                <w:szCs w:val="20"/>
              </w:rPr>
              <w:t>-</w:t>
            </w:r>
            <w:r w:rsidRPr="00547FF6">
              <w:rPr>
                <w:rFonts w:ascii="Candara" w:hAnsi="Candara"/>
                <w:sz w:val="18"/>
                <w:szCs w:val="20"/>
              </w:rPr>
              <w:t>28 valstīs, tūkst. EUR</w:t>
            </w:r>
          </w:p>
        </w:tc>
      </w:tr>
      <w:tr w:rsidTr="00BD528E">
        <w:tblPrEx>
          <w:tblW w:w="10488" w:type="dxa"/>
          <w:jc w:val="center"/>
          <w:tblLook w:val="04A0"/>
        </w:tblPrEx>
        <w:trPr>
          <w:jc w:val="center"/>
        </w:trPr>
        <w:tc>
          <w:tcPr>
            <w:tcW w:w="3576" w:type="dxa"/>
          </w:tcPr>
          <w:p w:rsidR="00C23A95" w:rsidRPr="00547FF6" w:rsidP="00762D1E">
            <w:pPr>
              <w:spacing w:after="0" w:line="240" w:lineRule="auto"/>
              <w:jc w:val="center"/>
              <w:rPr>
                <w:rFonts w:ascii="Candara" w:hAnsi="Candara"/>
              </w:rPr>
            </w:pPr>
            <w:r w:rsidRPr="00547FF6">
              <w:rPr>
                <w:rFonts w:ascii="Candara" w:hAnsi="Candara"/>
                <w:noProof/>
                <w:sz w:val="18"/>
                <w:szCs w:val="18"/>
                <w:lang w:eastAsia="lv-LV"/>
              </w:rPr>
              <w:drawing>
                <wp:inline distT="0" distB="0" distL="0" distR="0">
                  <wp:extent cx="2133600" cy="1171575"/>
                  <wp:effectExtent l="0" t="0" r="0" b="0"/>
                  <wp:docPr id="417"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tc>
        <w:tc>
          <w:tcPr>
            <w:tcW w:w="6912" w:type="dxa"/>
            <w:gridSpan w:val="3"/>
          </w:tcPr>
          <w:p w:rsidR="00C23A95" w:rsidRPr="00547FF6" w:rsidP="00762D1E">
            <w:pPr>
              <w:spacing w:after="0" w:line="240" w:lineRule="auto"/>
              <w:jc w:val="center"/>
              <w:rPr>
                <w:rFonts w:ascii="Candara" w:hAnsi="Candara"/>
              </w:rPr>
            </w:pPr>
            <w:r w:rsidRPr="00547FF6">
              <w:rPr>
                <w:noProof/>
                <w:lang w:eastAsia="lv-LV"/>
              </w:rPr>
              <w:drawing>
                <wp:inline distT="0" distB="0" distL="0" distR="0">
                  <wp:extent cx="4114800" cy="1171575"/>
                  <wp:effectExtent l="0" t="0" r="0" b="0"/>
                  <wp:docPr id="418" name="Chart 4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p>
        </w:tc>
      </w:tr>
      <w:tr w:rsidTr="00BD528E">
        <w:tblPrEx>
          <w:tblW w:w="10488" w:type="dxa"/>
          <w:jc w:val="center"/>
          <w:tblLook w:val="04A0"/>
        </w:tblPrEx>
        <w:trPr>
          <w:jc w:val="center"/>
        </w:trPr>
        <w:tc>
          <w:tcPr>
            <w:tcW w:w="3576" w:type="dxa"/>
            <w:shd w:val="clear" w:color="auto" w:fill="D9D9D9" w:themeFill="background1" w:themeFillShade="D9"/>
          </w:tcPr>
          <w:p w:rsidR="00C23A95" w:rsidRPr="00547FF6" w:rsidP="00762D1E">
            <w:pPr>
              <w:spacing w:after="0" w:line="240" w:lineRule="auto"/>
              <w:jc w:val="center"/>
              <w:rPr>
                <w:rFonts w:ascii="Candara" w:hAnsi="Candara"/>
                <w:sz w:val="18"/>
                <w:szCs w:val="20"/>
              </w:rPr>
            </w:pPr>
            <w:r w:rsidRPr="00547FF6">
              <w:rPr>
                <w:rFonts w:ascii="Candara" w:hAnsi="Candara"/>
                <w:sz w:val="18"/>
                <w:szCs w:val="20"/>
              </w:rPr>
              <w:t>Eksporta tirgi</w:t>
            </w:r>
            <w:r w:rsidR="00DE0F22">
              <w:rPr>
                <w:rFonts w:ascii="Candara" w:hAnsi="Candara"/>
                <w:sz w:val="18"/>
                <w:szCs w:val="20"/>
              </w:rPr>
              <w:t>, 2016</w:t>
            </w:r>
            <w:r w:rsidR="0046074B">
              <w:rPr>
                <w:rFonts w:ascii="Candara" w:hAnsi="Candara"/>
                <w:sz w:val="18"/>
                <w:szCs w:val="20"/>
              </w:rPr>
              <w:t>.g.</w:t>
            </w:r>
          </w:p>
        </w:tc>
        <w:tc>
          <w:tcPr>
            <w:tcW w:w="6912" w:type="dxa"/>
            <w:gridSpan w:val="3"/>
            <w:shd w:val="clear" w:color="auto" w:fill="D9D9D9" w:themeFill="background1" w:themeFillShade="D9"/>
          </w:tcPr>
          <w:p w:rsidR="00C23A95" w:rsidRPr="00547FF6" w:rsidP="00762D1E">
            <w:pPr>
              <w:spacing w:after="0" w:line="240" w:lineRule="auto"/>
              <w:jc w:val="center"/>
              <w:rPr>
                <w:rFonts w:ascii="Candara" w:hAnsi="Candara"/>
                <w:sz w:val="18"/>
              </w:rPr>
            </w:pPr>
            <w:r w:rsidRPr="00547FF6">
              <w:rPr>
                <w:rFonts w:ascii="Candara" w:hAnsi="Candara"/>
                <w:sz w:val="18"/>
                <w:szCs w:val="20"/>
              </w:rPr>
              <w:t>Eksporta struktūra</w:t>
            </w:r>
          </w:p>
        </w:tc>
      </w:tr>
      <w:tr w:rsidTr="00BD528E">
        <w:tblPrEx>
          <w:tblW w:w="10488" w:type="dxa"/>
          <w:jc w:val="center"/>
          <w:tblLook w:val="04A0"/>
        </w:tblPrEx>
        <w:trPr>
          <w:jc w:val="center"/>
        </w:trPr>
        <w:tc>
          <w:tcPr>
            <w:tcW w:w="3576" w:type="dxa"/>
          </w:tcPr>
          <w:p w:rsidR="00C23A95" w:rsidRPr="00B612F1" w:rsidP="00762D1E">
            <w:pPr>
              <w:spacing w:after="0" w:line="240" w:lineRule="auto"/>
              <w:jc w:val="center"/>
              <w:rPr>
                <w:rFonts w:ascii="Candara" w:hAnsi="Candara"/>
                <w:b/>
                <w:szCs w:val="28"/>
              </w:rPr>
            </w:pPr>
            <w:r w:rsidRPr="004F3DC7">
              <w:rPr>
                <w:noProof/>
                <w:sz w:val="18"/>
                <w:szCs w:val="18"/>
                <w:lang w:eastAsia="lv-LV"/>
              </w:rPr>
              <w:drawing>
                <wp:inline distT="0" distB="0" distL="0" distR="0">
                  <wp:extent cx="1657350" cy="1368000"/>
                  <wp:effectExtent l="0" t="0" r="0" b="0"/>
                  <wp:docPr id="41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tc>
        <w:tc>
          <w:tcPr>
            <w:tcW w:w="6912" w:type="dxa"/>
            <w:gridSpan w:val="3"/>
          </w:tcPr>
          <w:p w:rsidR="00C23A95" w:rsidRPr="004B5C57" w:rsidP="00762D1E">
            <w:pPr>
              <w:tabs>
                <w:tab w:val="left" w:pos="8080"/>
              </w:tabs>
              <w:spacing w:after="0" w:line="240" w:lineRule="auto"/>
              <w:ind w:right="-31"/>
              <w:jc w:val="center"/>
              <w:rPr>
                <w:sz w:val="18"/>
              </w:rPr>
            </w:pPr>
            <w:r w:rsidRPr="004B5C57">
              <w:rPr>
                <w:sz w:val="18"/>
              </w:rPr>
              <w:t xml:space="preserve">Latvija </w:t>
            </w:r>
            <w:r>
              <w:rPr>
                <w:sz w:val="18"/>
              </w:rPr>
              <w:t xml:space="preserve">                                                                                      </w:t>
            </w:r>
            <w:r w:rsidRPr="004B5C57">
              <w:rPr>
                <w:sz w:val="18"/>
              </w:rPr>
              <w:t>ES-28</w:t>
            </w:r>
          </w:p>
          <w:p w:rsidR="00C23A95" w:rsidRPr="004B5C57" w:rsidP="00762D1E">
            <w:pPr>
              <w:tabs>
                <w:tab w:val="left" w:pos="8080"/>
              </w:tabs>
              <w:spacing w:after="0" w:line="240" w:lineRule="auto"/>
              <w:ind w:right="-31"/>
            </w:pPr>
            <w:r>
              <w:rPr>
                <w:noProof/>
                <w:lang w:eastAsia="lv-LV"/>
              </w:rPr>
              <w:drawing>
                <wp:inline distT="0" distB="0" distL="0" distR="0">
                  <wp:extent cx="2617393" cy="1242725"/>
                  <wp:effectExtent l="0" t="0" r="0" b="0"/>
                  <wp:docPr id="420" name="Chart 4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r>
              <w:rPr>
                <w:noProof/>
                <w:lang w:eastAsia="lv-LV"/>
              </w:rPr>
              <w:drawing>
                <wp:inline distT="0" distB="0" distL="0" distR="0">
                  <wp:extent cx="1356258" cy="1242725"/>
                  <wp:effectExtent l="0" t="0" r="0" b="0"/>
                  <wp:docPr id="421" name="Chart 4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tc>
      </w:tr>
      <w:tr w:rsidTr="00BD528E">
        <w:tblPrEx>
          <w:tblW w:w="10488" w:type="dxa"/>
          <w:jc w:val="center"/>
          <w:tblLook w:val="04A0"/>
        </w:tblPrEx>
        <w:trPr>
          <w:jc w:val="center"/>
        </w:trPr>
        <w:tc>
          <w:tcPr>
            <w:tcW w:w="3576" w:type="dxa"/>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Darbaspēka izmaksu dinamika</w:t>
            </w:r>
            <w:r>
              <w:rPr>
                <w:rFonts w:ascii="Candara" w:hAnsi="Candara"/>
                <w:sz w:val="18"/>
                <w:szCs w:val="20"/>
              </w:rPr>
              <w:t>, tūkst. EUR</w:t>
            </w:r>
          </w:p>
        </w:tc>
        <w:tc>
          <w:tcPr>
            <w:tcW w:w="3576" w:type="dxa"/>
            <w:gridSpan w:val="2"/>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Produktivitātes dinamika</w:t>
            </w:r>
            <w:r>
              <w:rPr>
                <w:rFonts w:ascii="Candara" w:hAnsi="Candara"/>
                <w:sz w:val="18"/>
                <w:szCs w:val="20"/>
              </w:rPr>
              <w:t>, tūkst. EUR</w:t>
            </w:r>
          </w:p>
        </w:tc>
        <w:tc>
          <w:tcPr>
            <w:tcW w:w="3336" w:type="dxa"/>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Produktivitāte un darbaspēka izmaksas</w:t>
            </w:r>
          </w:p>
        </w:tc>
      </w:tr>
      <w:tr w:rsidTr="00BD528E">
        <w:tblPrEx>
          <w:tblW w:w="10488" w:type="dxa"/>
          <w:jc w:val="center"/>
          <w:tblLook w:val="04A0"/>
        </w:tblPrEx>
        <w:trPr>
          <w:jc w:val="center"/>
        </w:trPr>
        <w:tc>
          <w:tcPr>
            <w:tcW w:w="3576" w:type="dxa"/>
          </w:tcPr>
          <w:p w:rsidR="00C23A95" w:rsidP="00762D1E">
            <w:pPr>
              <w:spacing w:after="0" w:line="240" w:lineRule="auto"/>
              <w:jc w:val="center"/>
              <w:rPr>
                <w:rFonts w:ascii="Candara" w:hAnsi="Candara"/>
              </w:rPr>
            </w:pPr>
            <w:r w:rsidRPr="00B612F1">
              <w:rPr>
                <w:rFonts w:ascii="Candara" w:hAnsi="Candara"/>
                <w:noProof/>
                <w:sz w:val="18"/>
                <w:szCs w:val="18"/>
                <w:lang w:eastAsia="lv-LV"/>
              </w:rPr>
              <w:drawing>
                <wp:inline distT="0" distB="0" distL="0" distR="0">
                  <wp:extent cx="2133600" cy="1098550"/>
                  <wp:effectExtent l="0" t="0" r="0" b="6350"/>
                  <wp:docPr id="422"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p>
        </w:tc>
        <w:tc>
          <w:tcPr>
            <w:tcW w:w="3576" w:type="dxa"/>
            <w:gridSpan w:val="2"/>
          </w:tcPr>
          <w:p w:rsidR="00C23A95" w:rsidP="00762D1E">
            <w:pPr>
              <w:spacing w:after="0" w:line="240" w:lineRule="auto"/>
              <w:jc w:val="center"/>
              <w:rPr>
                <w:rFonts w:ascii="Candara" w:hAnsi="Candara"/>
              </w:rPr>
            </w:pPr>
            <w:r w:rsidRPr="00B612F1">
              <w:rPr>
                <w:rFonts w:ascii="Candara" w:hAnsi="Candara"/>
                <w:noProof/>
                <w:sz w:val="18"/>
                <w:szCs w:val="18"/>
                <w:lang w:eastAsia="lv-LV"/>
              </w:rPr>
              <w:drawing>
                <wp:inline distT="0" distB="0" distL="0" distR="0">
                  <wp:extent cx="2133600" cy="1060450"/>
                  <wp:effectExtent l="0" t="0" r="0" b="6350"/>
                  <wp:docPr id="423" name="Objec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tc>
        <w:tc>
          <w:tcPr>
            <w:tcW w:w="3336" w:type="dxa"/>
            <w:vMerge w:val="restart"/>
          </w:tcPr>
          <w:p w:rsidR="00C23A95" w:rsidP="00762D1E">
            <w:pPr>
              <w:spacing w:after="0" w:line="240" w:lineRule="auto"/>
              <w:jc w:val="center"/>
              <w:rPr>
                <w:rFonts w:ascii="Candara" w:hAnsi="Candara"/>
              </w:rPr>
            </w:pPr>
            <w:r w:rsidRPr="00B612F1">
              <w:rPr>
                <w:rFonts w:ascii="Candara" w:eastAsia="Times New Roman" w:hAnsi="Candara"/>
                <w:noProof/>
                <w:sz w:val="18"/>
                <w:szCs w:val="18"/>
                <w:lang w:eastAsia="lv-LV"/>
              </w:rPr>
              <w:drawing>
                <wp:inline distT="0" distB="0" distL="0" distR="0">
                  <wp:extent cx="1847850" cy="2228850"/>
                  <wp:effectExtent l="0" t="0" r="0" b="0"/>
                  <wp:docPr id="424" name="Chart 4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tc>
      </w:tr>
      <w:tr w:rsidTr="00BD528E">
        <w:tblPrEx>
          <w:tblW w:w="10488" w:type="dxa"/>
          <w:jc w:val="center"/>
          <w:tblLook w:val="04A0"/>
        </w:tblPrEx>
        <w:trPr>
          <w:jc w:val="center"/>
        </w:trPr>
        <w:tc>
          <w:tcPr>
            <w:tcW w:w="3576" w:type="dxa"/>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Darbaspēka izmaksas, ES-28=100</w:t>
            </w:r>
          </w:p>
        </w:tc>
        <w:tc>
          <w:tcPr>
            <w:tcW w:w="3576" w:type="dxa"/>
            <w:gridSpan w:val="2"/>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Produktivitāte, ES-28=100</w:t>
            </w:r>
          </w:p>
        </w:tc>
        <w:tc>
          <w:tcPr>
            <w:tcW w:w="3336" w:type="dxa"/>
            <w:vMerge/>
            <w:shd w:val="clear" w:color="auto" w:fill="D9D9D9" w:themeFill="background1" w:themeFillShade="D9"/>
          </w:tcPr>
          <w:p w:rsidR="00C23A95" w:rsidRPr="00483382" w:rsidP="003A2C2A">
            <w:pPr>
              <w:jc w:val="center"/>
              <w:rPr>
                <w:rFonts w:ascii="Candara" w:hAnsi="Candara"/>
                <w:sz w:val="18"/>
              </w:rPr>
            </w:pPr>
          </w:p>
        </w:tc>
      </w:tr>
      <w:tr w:rsidTr="00BD528E">
        <w:tblPrEx>
          <w:tblW w:w="10488" w:type="dxa"/>
          <w:jc w:val="center"/>
          <w:tblLook w:val="04A0"/>
        </w:tblPrEx>
        <w:trPr>
          <w:jc w:val="center"/>
        </w:trPr>
        <w:tc>
          <w:tcPr>
            <w:tcW w:w="3576" w:type="dxa"/>
          </w:tcPr>
          <w:p w:rsidR="00C23A95" w:rsidP="00762D1E">
            <w:pPr>
              <w:spacing w:after="0" w:line="240" w:lineRule="auto"/>
              <w:jc w:val="center"/>
              <w:rPr>
                <w:rFonts w:ascii="Candara" w:hAnsi="Candara"/>
              </w:rPr>
            </w:pPr>
            <w:r w:rsidRPr="00B41842">
              <w:rPr>
                <w:rFonts w:ascii="Arial Narrow" w:hAnsi="Arial Narrow"/>
                <w:noProof/>
                <w:lang w:eastAsia="lv-LV"/>
              </w:rPr>
              <w:drawing>
                <wp:inline distT="0" distB="0" distL="0" distR="0">
                  <wp:extent cx="2124075" cy="1057275"/>
                  <wp:effectExtent l="0" t="0" r="0" b="0"/>
                  <wp:docPr id="42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tc>
        <w:tc>
          <w:tcPr>
            <w:tcW w:w="3576" w:type="dxa"/>
            <w:gridSpan w:val="2"/>
          </w:tcPr>
          <w:p w:rsidR="00C23A95" w:rsidP="00762D1E">
            <w:pPr>
              <w:spacing w:after="0" w:line="240" w:lineRule="auto"/>
              <w:jc w:val="center"/>
              <w:rPr>
                <w:rFonts w:ascii="Candara" w:hAnsi="Candara"/>
              </w:rPr>
            </w:pPr>
            <w:r w:rsidRPr="00123E9E">
              <w:rPr>
                <w:rFonts w:ascii="Arial Narrow" w:hAnsi="Arial Narrow"/>
                <w:noProof/>
                <w:lang w:eastAsia="lv-LV"/>
              </w:rPr>
              <w:drawing>
                <wp:inline distT="0" distB="0" distL="0" distR="0">
                  <wp:extent cx="1943100" cy="1057275"/>
                  <wp:effectExtent l="0" t="0" r="0" b="0"/>
                  <wp:docPr id="42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p>
        </w:tc>
        <w:tc>
          <w:tcPr>
            <w:tcW w:w="3336" w:type="dxa"/>
            <w:vMerge/>
          </w:tcPr>
          <w:p w:rsidR="00C23A95" w:rsidP="003A2C2A">
            <w:pPr>
              <w:jc w:val="center"/>
              <w:rPr>
                <w:rFonts w:ascii="Candara" w:hAnsi="Candara"/>
              </w:rPr>
            </w:pPr>
          </w:p>
        </w:tc>
      </w:tr>
      <w:tr w:rsidTr="00BD528E">
        <w:tblPrEx>
          <w:tblW w:w="10488" w:type="dxa"/>
          <w:jc w:val="center"/>
          <w:tblLook w:val="04A0"/>
        </w:tblPrEx>
        <w:trPr>
          <w:jc w:val="center"/>
        </w:trPr>
        <w:tc>
          <w:tcPr>
            <w:tcW w:w="5299" w:type="dxa"/>
            <w:gridSpan w:val="2"/>
            <w:shd w:val="clear" w:color="auto" w:fill="D9D9D9" w:themeFill="background1" w:themeFillShade="D9"/>
          </w:tcPr>
          <w:p w:rsidR="00C23A95" w:rsidRPr="00483382" w:rsidP="00762D1E">
            <w:pPr>
              <w:spacing w:after="0" w:line="240" w:lineRule="auto"/>
              <w:jc w:val="center"/>
              <w:rPr>
                <w:rFonts w:ascii="Candara" w:hAnsi="Candara"/>
                <w:sz w:val="18"/>
                <w:szCs w:val="20"/>
              </w:rPr>
            </w:pPr>
            <w:r w:rsidRPr="00483382">
              <w:rPr>
                <w:rFonts w:ascii="Candara" w:hAnsi="Candara"/>
                <w:sz w:val="18"/>
                <w:szCs w:val="20"/>
              </w:rPr>
              <w:t>Darbaspēka izmaksas</w:t>
            </w:r>
            <w:r w:rsidR="00F35BE1">
              <w:rPr>
                <w:rFonts w:ascii="Candara" w:hAnsi="Candara"/>
                <w:sz w:val="18"/>
                <w:szCs w:val="20"/>
              </w:rPr>
              <w:t xml:space="preserve"> uz 1 nodarbināto</w:t>
            </w:r>
            <w:r w:rsidR="0009538C">
              <w:rPr>
                <w:rFonts w:ascii="Candara" w:hAnsi="Candara"/>
                <w:sz w:val="18"/>
                <w:szCs w:val="20"/>
              </w:rPr>
              <w:t xml:space="preserve"> 2015</w:t>
            </w:r>
            <w:r w:rsidR="004C2A38">
              <w:rPr>
                <w:rFonts w:ascii="Candara" w:hAnsi="Candara"/>
                <w:sz w:val="18"/>
                <w:szCs w:val="20"/>
              </w:rPr>
              <w:t>.g.</w:t>
            </w:r>
            <w:r>
              <w:rPr>
                <w:rFonts w:ascii="Candara" w:hAnsi="Candara"/>
                <w:sz w:val="18"/>
                <w:szCs w:val="20"/>
              </w:rPr>
              <w:t>, tūkst. EUR</w:t>
            </w:r>
          </w:p>
        </w:tc>
        <w:tc>
          <w:tcPr>
            <w:tcW w:w="5189" w:type="dxa"/>
            <w:gridSpan w:val="2"/>
            <w:shd w:val="clear" w:color="auto" w:fill="D9D9D9" w:themeFill="background1" w:themeFillShade="D9"/>
          </w:tcPr>
          <w:p w:rsidR="00C23A95" w:rsidRPr="00483382" w:rsidP="00762D1E">
            <w:pPr>
              <w:spacing w:after="0" w:line="240" w:lineRule="auto"/>
              <w:jc w:val="center"/>
              <w:rPr>
                <w:rFonts w:ascii="Candara" w:hAnsi="Candara"/>
                <w:sz w:val="18"/>
                <w:szCs w:val="20"/>
              </w:rPr>
            </w:pPr>
            <w:r w:rsidRPr="00483382">
              <w:rPr>
                <w:rFonts w:ascii="Candara" w:hAnsi="Candara"/>
                <w:sz w:val="18"/>
                <w:szCs w:val="20"/>
              </w:rPr>
              <w:t>Produktivitāte</w:t>
            </w:r>
            <w:r w:rsidR="004C2A38">
              <w:rPr>
                <w:rFonts w:ascii="Candara" w:hAnsi="Candara"/>
                <w:sz w:val="18"/>
                <w:szCs w:val="20"/>
              </w:rPr>
              <w:t xml:space="preserve"> (PV uz 1 nodarbināto) 201</w:t>
            </w:r>
            <w:r w:rsidR="00EF7B74">
              <w:rPr>
                <w:rFonts w:ascii="Candara" w:hAnsi="Candara"/>
                <w:sz w:val="18"/>
                <w:szCs w:val="20"/>
              </w:rPr>
              <w:t>5</w:t>
            </w:r>
            <w:r w:rsidR="004C2A38">
              <w:rPr>
                <w:rFonts w:ascii="Candara" w:hAnsi="Candara"/>
                <w:sz w:val="18"/>
                <w:szCs w:val="20"/>
              </w:rPr>
              <w:t>.g.</w:t>
            </w:r>
            <w:r>
              <w:rPr>
                <w:rFonts w:ascii="Candara" w:hAnsi="Candara"/>
                <w:sz w:val="18"/>
                <w:szCs w:val="20"/>
              </w:rPr>
              <w:t>, tūkst. EUR</w:t>
            </w:r>
          </w:p>
        </w:tc>
      </w:tr>
      <w:tr w:rsidTr="00BD528E">
        <w:tblPrEx>
          <w:tblW w:w="10488" w:type="dxa"/>
          <w:jc w:val="center"/>
          <w:tblLook w:val="04A0"/>
        </w:tblPrEx>
        <w:trPr>
          <w:jc w:val="center"/>
        </w:trPr>
        <w:tc>
          <w:tcPr>
            <w:tcW w:w="5299" w:type="dxa"/>
            <w:gridSpan w:val="2"/>
          </w:tcPr>
          <w:p w:rsidR="00C23A95" w:rsidP="00762D1E">
            <w:pPr>
              <w:spacing w:after="0" w:line="240" w:lineRule="auto"/>
              <w:jc w:val="center"/>
              <w:rPr>
                <w:rFonts w:ascii="Candara" w:hAnsi="Candara"/>
              </w:rPr>
            </w:pPr>
            <w:r w:rsidRPr="00421CA2">
              <w:rPr>
                <w:noProof/>
                <w:lang w:eastAsia="lv-LV"/>
              </w:rPr>
              <w:drawing>
                <wp:inline distT="0" distB="0" distL="0" distR="0">
                  <wp:extent cx="3152775" cy="1155700"/>
                  <wp:effectExtent l="0" t="0" r="0" b="6350"/>
                  <wp:docPr id="427" name="Chart 4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p>
        </w:tc>
        <w:tc>
          <w:tcPr>
            <w:tcW w:w="5189" w:type="dxa"/>
            <w:gridSpan w:val="2"/>
          </w:tcPr>
          <w:p w:rsidR="00C23A95" w:rsidP="00762D1E">
            <w:pPr>
              <w:spacing w:after="0" w:line="240" w:lineRule="auto"/>
              <w:jc w:val="center"/>
              <w:rPr>
                <w:rFonts w:ascii="Candara" w:hAnsi="Candara"/>
              </w:rPr>
            </w:pPr>
            <w:r w:rsidRPr="00421CA2">
              <w:rPr>
                <w:noProof/>
                <w:lang w:eastAsia="lv-LV"/>
              </w:rPr>
              <w:drawing>
                <wp:inline distT="0" distB="0" distL="0" distR="0">
                  <wp:extent cx="3152775" cy="1171575"/>
                  <wp:effectExtent l="0" t="0" r="0" b="0"/>
                  <wp:docPr id="428" name="Chart 4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p>
        </w:tc>
      </w:tr>
      <w:tr w:rsidTr="00BD528E">
        <w:tblPrEx>
          <w:tblW w:w="10488" w:type="dxa"/>
          <w:jc w:val="center"/>
          <w:tblLook w:val="04A0"/>
        </w:tblPrEx>
        <w:trPr>
          <w:jc w:val="center"/>
        </w:trPr>
        <w:tc>
          <w:tcPr>
            <w:tcW w:w="5299" w:type="dxa"/>
            <w:gridSpan w:val="2"/>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Produktivitāte un darbaspēka izmaksas ES-28 valstīs 2010.g</w:t>
            </w:r>
            <w:r w:rsidR="002B71CE">
              <w:rPr>
                <w:rFonts w:ascii="Candara" w:hAnsi="Candara"/>
                <w:sz w:val="18"/>
                <w:szCs w:val="20"/>
              </w:rPr>
              <w:t>.</w:t>
            </w:r>
          </w:p>
        </w:tc>
        <w:tc>
          <w:tcPr>
            <w:tcW w:w="5189" w:type="dxa"/>
            <w:gridSpan w:val="2"/>
            <w:shd w:val="clear" w:color="auto" w:fill="D9D9D9" w:themeFill="background1" w:themeFillShade="D9"/>
          </w:tcPr>
          <w:p w:rsidR="00C23A95" w:rsidRPr="00483382" w:rsidP="00762D1E">
            <w:pPr>
              <w:spacing w:after="0" w:line="240" w:lineRule="auto"/>
              <w:jc w:val="center"/>
              <w:rPr>
                <w:rFonts w:ascii="Candara" w:hAnsi="Candara"/>
                <w:sz w:val="18"/>
              </w:rPr>
            </w:pPr>
            <w:r w:rsidRPr="00483382">
              <w:rPr>
                <w:rFonts w:ascii="Candara" w:hAnsi="Candara"/>
                <w:sz w:val="18"/>
                <w:szCs w:val="20"/>
              </w:rPr>
              <w:t>Produktivitāte un darbaspēka izmaksas ES-28 valstīs 201</w:t>
            </w:r>
            <w:r w:rsidR="00EF7B74">
              <w:rPr>
                <w:rFonts w:ascii="Candara" w:hAnsi="Candara"/>
                <w:sz w:val="18"/>
                <w:szCs w:val="20"/>
              </w:rPr>
              <w:t>5</w:t>
            </w:r>
            <w:r w:rsidRPr="00483382">
              <w:rPr>
                <w:rFonts w:ascii="Candara" w:hAnsi="Candara"/>
                <w:sz w:val="18"/>
                <w:szCs w:val="20"/>
              </w:rPr>
              <w:t>.g</w:t>
            </w:r>
            <w:r w:rsidR="002B71CE">
              <w:rPr>
                <w:rFonts w:ascii="Candara" w:hAnsi="Candara"/>
                <w:sz w:val="18"/>
                <w:szCs w:val="20"/>
              </w:rPr>
              <w:t>.</w:t>
            </w:r>
          </w:p>
        </w:tc>
      </w:tr>
      <w:tr w:rsidTr="00BD528E">
        <w:tblPrEx>
          <w:tblW w:w="10488" w:type="dxa"/>
          <w:jc w:val="center"/>
          <w:tblLook w:val="04A0"/>
        </w:tblPrEx>
        <w:trPr>
          <w:jc w:val="center"/>
        </w:trPr>
        <w:tc>
          <w:tcPr>
            <w:tcW w:w="5299" w:type="dxa"/>
            <w:gridSpan w:val="2"/>
          </w:tcPr>
          <w:p w:rsidR="00C23A95" w:rsidP="00762D1E">
            <w:pPr>
              <w:spacing w:after="0" w:line="240" w:lineRule="auto"/>
              <w:rPr>
                <w:rFonts w:ascii="Candara" w:hAnsi="Candara"/>
              </w:rPr>
            </w:pPr>
            <w:r w:rsidRPr="00B612F1">
              <w:rPr>
                <w:rFonts w:ascii="Candara" w:eastAsia="Times New Roman" w:hAnsi="Candara"/>
                <w:noProof/>
                <w:sz w:val="18"/>
                <w:szCs w:val="18"/>
                <w:lang w:eastAsia="lv-LV"/>
              </w:rPr>
              <w:drawing>
                <wp:inline distT="0" distB="0" distL="0" distR="0">
                  <wp:extent cx="3057525" cy="1333500"/>
                  <wp:effectExtent l="0" t="0" r="0" b="0"/>
                  <wp:docPr id="429" name="Chart 4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tc>
        <w:tc>
          <w:tcPr>
            <w:tcW w:w="5189" w:type="dxa"/>
            <w:gridSpan w:val="2"/>
          </w:tcPr>
          <w:p w:rsidR="00C23A95" w:rsidP="00762D1E">
            <w:pPr>
              <w:spacing w:after="0" w:line="240" w:lineRule="auto"/>
              <w:rPr>
                <w:rFonts w:ascii="Candara" w:hAnsi="Candara"/>
              </w:rPr>
            </w:pPr>
            <w:r w:rsidRPr="00B612F1">
              <w:rPr>
                <w:rFonts w:ascii="Candara" w:eastAsia="Times New Roman" w:hAnsi="Candara"/>
                <w:noProof/>
                <w:sz w:val="18"/>
                <w:szCs w:val="18"/>
                <w:lang w:eastAsia="lv-LV"/>
              </w:rPr>
              <w:drawing>
                <wp:inline distT="0" distB="0" distL="0" distR="0">
                  <wp:extent cx="3057525" cy="1333500"/>
                  <wp:effectExtent l="0" t="0" r="0" b="0"/>
                  <wp:docPr id="430" name="Chart 4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p>
        </w:tc>
      </w:tr>
    </w:tbl>
    <w:p w:rsidR="00C23A95" w:rsidP="00C23A95">
      <w:pPr>
        <w:spacing w:after="0" w:line="240" w:lineRule="auto"/>
        <w:rPr>
          <w:rFonts w:ascii="Candara" w:hAnsi="Candara"/>
          <w:b/>
          <w:color w:val="000000"/>
          <w:szCs w:val="28"/>
        </w:rPr>
      </w:pPr>
    </w:p>
    <w:p w:rsidR="00CA1496" w:rsidP="00CA1496">
      <w:pPr>
        <w:spacing w:after="0" w:line="240" w:lineRule="auto"/>
        <w:jc w:val="both"/>
        <w:rPr>
          <w:rFonts w:ascii="Candara" w:hAnsi="Candara"/>
          <w:color w:val="000000"/>
          <w:szCs w:val="28"/>
        </w:rPr>
      </w:pPr>
      <w:bookmarkEnd w:id="53"/>
      <w:r>
        <w:rPr>
          <w:rFonts w:ascii="Candara" w:hAnsi="Candara"/>
          <w:b/>
          <w:color w:val="000000"/>
          <w:szCs w:val="28"/>
          <w:u w:val="single"/>
        </w:rPr>
        <w:t xml:space="preserve">Nozares īpatsvars </w:t>
      </w:r>
      <w:r w:rsidRPr="00DF40AC">
        <w:rPr>
          <w:rFonts w:ascii="Candara" w:hAnsi="Candara"/>
          <w:b/>
          <w:color w:val="000000"/>
          <w:szCs w:val="28"/>
          <w:u w:val="single"/>
        </w:rPr>
        <w:t xml:space="preserve">tautsaimniecībā, </w:t>
      </w:r>
      <w:r>
        <w:rPr>
          <w:rFonts w:ascii="Candara" w:hAnsi="Candara"/>
          <w:b/>
          <w:color w:val="000000"/>
          <w:szCs w:val="28"/>
          <w:u w:val="single"/>
        </w:rPr>
        <w:t>procentos</w:t>
      </w:r>
      <w:r>
        <w:rPr>
          <w:rFonts w:ascii="Candara" w:hAnsi="Candara"/>
          <w:color w:val="000000"/>
          <w:szCs w:val="28"/>
        </w:rPr>
        <w:t>.</w:t>
      </w:r>
      <w:r w:rsidRPr="00A613A2">
        <w:rPr>
          <w:rFonts w:ascii="Candara" w:hAnsi="Candara"/>
          <w:color w:val="000000"/>
          <w:szCs w:val="28"/>
        </w:rPr>
        <w:t xml:space="preserve"> </w:t>
      </w:r>
      <w:r>
        <w:rPr>
          <w:rFonts w:ascii="Candara" w:hAnsi="Candara"/>
          <w:color w:val="000000"/>
          <w:szCs w:val="28"/>
        </w:rPr>
        <w:t>Pārējo nozaru īpatsvars kopējā tautsaimniecībā 2005.gadā bija 1,3%. Krīzes laikā īpatsvars pieauga līdz 1,5%, nākamajos gados tas pakāpeniski samazinās.</w:t>
      </w:r>
      <w:r w:rsidRPr="00AE3E74">
        <w:rPr>
          <w:rFonts w:ascii="Candara" w:hAnsi="Candara"/>
          <w:color w:val="000000"/>
          <w:szCs w:val="28"/>
        </w:rPr>
        <w:t xml:space="preserve"> </w:t>
      </w:r>
      <w:r>
        <w:rPr>
          <w:rFonts w:ascii="Candara" w:hAnsi="Candara"/>
          <w:color w:val="000000"/>
          <w:szCs w:val="28"/>
        </w:rPr>
        <w:t>2015.gadā tas bija 1,2%.</w:t>
      </w:r>
    </w:p>
    <w:p w:rsidR="00CA1496" w:rsidP="00CA1496">
      <w:pPr>
        <w:spacing w:after="0" w:line="240" w:lineRule="auto"/>
        <w:jc w:val="both"/>
        <w:rPr>
          <w:rFonts w:ascii="Candara" w:hAnsi="Candara"/>
          <w:color w:val="000000"/>
          <w:szCs w:val="28"/>
        </w:rPr>
      </w:pPr>
      <w:r w:rsidRPr="00DF40AC">
        <w:rPr>
          <w:rFonts w:ascii="Candara" w:hAnsi="Candara"/>
          <w:b/>
          <w:color w:val="000000"/>
          <w:szCs w:val="28"/>
          <w:u w:val="single"/>
        </w:rPr>
        <w:t>Pievienotās vērtības un darba vietu skaita izmaiņas</w:t>
      </w:r>
      <w:r>
        <w:rPr>
          <w:rFonts w:ascii="Candara" w:hAnsi="Candara"/>
          <w:b/>
          <w:color w:val="000000"/>
          <w:szCs w:val="28"/>
          <w:u w:val="single"/>
        </w:rPr>
        <w:t>, 2005=100.</w:t>
      </w:r>
      <w:r w:rsidRPr="00F835E8">
        <w:rPr>
          <w:rFonts w:ascii="Candara" w:hAnsi="Candara"/>
          <w:color w:val="000000"/>
          <w:szCs w:val="28"/>
        </w:rPr>
        <w:t xml:space="preserve"> </w:t>
      </w:r>
      <w:r>
        <w:rPr>
          <w:rFonts w:ascii="Candara" w:hAnsi="Candara"/>
          <w:color w:val="000000"/>
          <w:szCs w:val="28"/>
        </w:rPr>
        <w:t>Krīzes laikā pārējās nozarēs bija vērojams ražošanas apjomu kritums, lai gan tas nebija tik straujš kā citās apstrādes rūpniecības nozarēs. Savukārt pēc krīzes ievērojams ražošanas apjomu kāpums bija tikai 2012.gadā. No 2013. gada</w:t>
      </w:r>
      <w:r w:rsidRPr="00F743E1">
        <w:rPr>
          <w:rFonts w:ascii="Candara" w:hAnsi="Candara"/>
          <w:color w:val="000000"/>
          <w:szCs w:val="28"/>
        </w:rPr>
        <w:t xml:space="preserve"> </w:t>
      </w:r>
      <w:r>
        <w:rPr>
          <w:rFonts w:ascii="Candara" w:hAnsi="Candara"/>
          <w:color w:val="000000"/>
          <w:szCs w:val="28"/>
        </w:rPr>
        <w:t xml:space="preserve">ražošanas apjomi samazinājās. </w:t>
      </w:r>
      <w:r w:rsidRPr="0088569F">
        <w:rPr>
          <w:rFonts w:ascii="Candara" w:hAnsi="Candara"/>
          <w:color w:val="000000"/>
          <w:szCs w:val="28"/>
        </w:rPr>
        <w:t>Salīdzinot ar krīzes zemāko punktu 20</w:t>
      </w:r>
      <w:r>
        <w:rPr>
          <w:rFonts w:ascii="Candara" w:hAnsi="Candara"/>
          <w:color w:val="000000"/>
          <w:szCs w:val="28"/>
        </w:rPr>
        <w:t>09</w:t>
      </w:r>
      <w:r w:rsidRPr="0088569F">
        <w:rPr>
          <w:rFonts w:ascii="Candara" w:hAnsi="Candara"/>
          <w:color w:val="000000"/>
          <w:szCs w:val="28"/>
        </w:rPr>
        <w:t xml:space="preserve">. </w:t>
      </w:r>
      <w:r>
        <w:rPr>
          <w:rFonts w:ascii="Candara" w:hAnsi="Candara"/>
          <w:color w:val="000000"/>
          <w:szCs w:val="28"/>
        </w:rPr>
        <w:t>g</w:t>
      </w:r>
      <w:r w:rsidRPr="0088569F">
        <w:rPr>
          <w:rFonts w:ascii="Candara" w:hAnsi="Candara"/>
          <w:color w:val="000000"/>
          <w:szCs w:val="28"/>
        </w:rPr>
        <w:t>adā</w:t>
      </w:r>
      <w:r>
        <w:rPr>
          <w:rFonts w:ascii="Candara" w:hAnsi="Candara"/>
          <w:color w:val="000000"/>
          <w:szCs w:val="28"/>
        </w:rPr>
        <w:t>,</w:t>
      </w:r>
      <w:r w:rsidRPr="0088569F">
        <w:rPr>
          <w:rFonts w:ascii="Candara" w:hAnsi="Candara"/>
          <w:color w:val="000000"/>
          <w:szCs w:val="28"/>
        </w:rPr>
        <w:t xml:space="preserve"> </w:t>
      </w:r>
      <w:r w:rsidRPr="00FD08E2">
        <w:rPr>
          <w:rFonts w:ascii="Candara" w:hAnsi="Candara"/>
          <w:color w:val="000000"/>
          <w:szCs w:val="28"/>
        </w:rPr>
        <w:t>pārējās nozarēs</w:t>
      </w:r>
      <w:r w:rsidRPr="0088569F">
        <w:rPr>
          <w:rFonts w:ascii="Candara" w:hAnsi="Candara"/>
          <w:color w:val="000000"/>
          <w:szCs w:val="28"/>
        </w:rPr>
        <w:t xml:space="preserve"> izlaides apjomi 201</w:t>
      </w:r>
      <w:r>
        <w:rPr>
          <w:rFonts w:ascii="Candara" w:hAnsi="Candara"/>
          <w:color w:val="000000"/>
          <w:szCs w:val="28"/>
        </w:rPr>
        <w:t>5</w:t>
      </w:r>
      <w:r w:rsidRPr="0088569F">
        <w:rPr>
          <w:rFonts w:ascii="Candara" w:hAnsi="Candara"/>
          <w:color w:val="000000"/>
          <w:szCs w:val="28"/>
        </w:rPr>
        <w:t xml:space="preserve">.gadā bija </w:t>
      </w:r>
      <w:r>
        <w:rPr>
          <w:rFonts w:ascii="Candara" w:hAnsi="Candara"/>
          <w:color w:val="000000"/>
          <w:szCs w:val="28"/>
        </w:rPr>
        <w:t xml:space="preserve">vien </w:t>
      </w:r>
      <w:r w:rsidRPr="0088569F">
        <w:rPr>
          <w:rFonts w:ascii="Candara" w:hAnsi="Candara"/>
          <w:color w:val="000000"/>
          <w:szCs w:val="28"/>
        </w:rPr>
        <w:t xml:space="preserve">par </w:t>
      </w:r>
      <w:r>
        <w:rPr>
          <w:rFonts w:ascii="Candara" w:hAnsi="Candara"/>
          <w:color w:val="000000"/>
          <w:szCs w:val="28"/>
        </w:rPr>
        <w:t>2</w:t>
      </w:r>
      <w:r w:rsidRPr="0088569F">
        <w:rPr>
          <w:rFonts w:ascii="Candara" w:hAnsi="Candara"/>
          <w:color w:val="000000"/>
          <w:szCs w:val="28"/>
        </w:rPr>
        <w:t xml:space="preserve">% </w:t>
      </w:r>
      <w:r>
        <w:rPr>
          <w:rFonts w:ascii="Candara" w:hAnsi="Candara"/>
          <w:color w:val="000000"/>
          <w:szCs w:val="28"/>
        </w:rPr>
        <w:t>augst</w:t>
      </w:r>
      <w:r w:rsidRPr="0088569F">
        <w:rPr>
          <w:rFonts w:ascii="Candara" w:hAnsi="Candara"/>
          <w:color w:val="000000"/>
          <w:szCs w:val="28"/>
        </w:rPr>
        <w:t>āki</w:t>
      </w:r>
      <w:r>
        <w:rPr>
          <w:rFonts w:ascii="Candara" w:hAnsi="Candara"/>
          <w:color w:val="000000"/>
          <w:szCs w:val="28"/>
        </w:rPr>
        <w:t xml:space="preserve"> un </w:t>
      </w:r>
      <w:r w:rsidRPr="0088569F">
        <w:rPr>
          <w:rFonts w:ascii="Candara" w:hAnsi="Candara"/>
          <w:color w:val="000000"/>
          <w:szCs w:val="28"/>
        </w:rPr>
        <w:t xml:space="preserve">par </w:t>
      </w:r>
      <w:r>
        <w:rPr>
          <w:rFonts w:ascii="Candara" w:hAnsi="Candara"/>
          <w:color w:val="000000"/>
          <w:szCs w:val="28"/>
        </w:rPr>
        <w:t>8</w:t>
      </w:r>
      <w:r w:rsidRPr="0088569F">
        <w:rPr>
          <w:rFonts w:ascii="Candara" w:hAnsi="Candara"/>
          <w:color w:val="000000"/>
          <w:szCs w:val="28"/>
        </w:rPr>
        <w:t xml:space="preserve">% </w:t>
      </w:r>
      <w:r>
        <w:rPr>
          <w:rFonts w:ascii="Candara" w:hAnsi="Candara"/>
          <w:color w:val="000000"/>
          <w:szCs w:val="28"/>
        </w:rPr>
        <w:t xml:space="preserve">atpalika no </w:t>
      </w:r>
      <w:r w:rsidRPr="0088569F">
        <w:rPr>
          <w:rFonts w:ascii="Candara" w:hAnsi="Candara"/>
          <w:color w:val="000000"/>
          <w:szCs w:val="28"/>
        </w:rPr>
        <w:t>pirmskrīzes līme</w:t>
      </w:r>
      <w:r>
        <w:rPr>
          <w:rFonts w:ascii="Candara" w:hAnsi="Candara"/>
          <w:color w:val="000000"/>
          <w:szCs w:val="28"/>
        </w:rPr>
        <w:t>ņa</w:t>
      </w:r>
      <w:r w:rsidRPr="0088569F">
        <w:rPr>
          <w:rFonts w:ascii="Candara" w:hAnsi="Candara"/>
          <w:color w:val="000000"/>
          <w:szCs w:val="28"/>
        </w:rPr>
        <w:t>.</w:t>
      </w:r>
    </w:p>
    <w:p w:rsidR="00CA1496" w:rsidP="00CA1496">
      <w:pPr>
        <w:spacing w:after="0" w:line="240" w:lineRule="auto"/>
        <w:jc w:val="both"/>
        <w:rPr>
          <w:rFonts w:ascii="Candara" w:hAnsi="Candara"/>
          <w:b/>
          <w:color w:val="000000"/>
          <w:szCs w:val="28"/>
          <w:u w:val="single"/>
        </w:rPr>
      </w:pPr>
      <w:r w:rsidRPr="000767E0">
        <w:rPr>
          <w:rFonts w:ascii="Candara" w:hAnsi="Candara"/>
          <w:color w:val="000000"/>
          <w:szCs w:val="28"/>
        </w:rPr>
        <w:t xml:space="preserve">Salīdzinājumā ar ražošanas apjomu kāpumu darbavietu skaits </w:t>
      </w:r>
      <w:r w:rsidRPr="00FD08E2">
        <w:rPr>
          <w:rFonts w:ascii="Candara" w:hAnsi="Candara"/>
          <w:color w:val="000000"/>
          <w:szCs w:val="28"/>
        </w:rPr>
        <w:t>pārējās nozarēs</w:t>
      </w:r>
      <w:r w:rsidRPr="000767E0">
        <w:rPr>
          <w:rFonts w:ascii="Candara" w:hAnsi="Candara"/>
          <w:color w:val="000000"/>
          <w:szCs w:val="28"/>
        </w:rPr>
        <w:t xml:space="preserve"> aug </w:t>
      </w:r>
      <w:r>
        <w:rPr>
          <w:rFonts w:ascii="Candara" w:hAnsi="Candara"/>
          <w:color w:val="000000"/>
          <w:szCs w:val="28"/>
        </w:rPr>
        <w:t>straujāk</w:t>
      </w:r>
      <w:r w:rsidRPr="000767E0">
        <w:rPr>
          <w:rFonts w:ascii="Candara" w:hAnsi="Candara"/>
          <w:color w:val="000000"/>
          <w:szCs w:val="28"/>
        </w:rPr>
        <w:t xml:space="preserve">, kas liecina par produktivitātes </w:t>
      </w:r>
      <w:r>
        <w:rPr>
          <w:rFonts w:ascii="Candara" w:hAnsi="Candara"/>
          <w:color w:val="000000"/>
          <w:szCs w:val="28"/>
        </w:rPr>
        <w:t>kritumu</w:t>
      </w:r>
      <w:r w:rsidRPr="000767E0">
        <w:rPr>
          <w:rFonts w:ascii="Candara" w:hAnsi="Candara"/>
          <w:color w:val="000000"/>
          <w:szCs w:val="28"/>
        </w:rPr>
        <w:t xml:space="preserve">. </w:t>
      </w:r>
      <w:r>
        <w:rPr>
          <w:rFonts w:ascii="Candara" w:hAnsi="Candara"/>
          <w:color w:val="000000"/>
          <w:szCs w:val="28"/>
        </w:rPr>
        <w:t>D</w:t>
      </w:r>
      <w:r w:rsidRPr="0088569F">
        <w:rPr>
          <w:rFonts w:ascii="Candara" w:hAnsi="Candara"/>
          <w:color w:val="000000"/>
          <w:szCs w:val="28"/>
        </w:rPr>
        <w:t xml:space="preserve">arbavietu skaits </w:t>
      </w:r>
      <w:r w:rsidRPr="00FD08E2">
        <w:rPr>
          <w:rFonts w:ascii="Candara" w:hAnsi="Candara"/>
          <w:color w:val="000000"/>
          <w:szCs w:val="28"/>
        </w:rPr>
        <w:t>pārējās nozarēs</w:t>
      </w:r>
      <w:r w:rsidRPr="0088569F">
        <w:rPr>
          <w:rFonts w:ascii="Candara" w:hAnsi="Candara"/>
          <w:color w:val="000000"/>
          <w:szCs w:val="28"/>
        </w:rPr>
        <w:t xml:space="preserve"> </w:t>
      </w:r>
      <w:r>
        <w:rPr>
          <w:rFonts w:ascii="Candara" w:hAnsi="Candara"/>
          <w:color w:val="000000"/>
          <w:szCs w:val="28"/>
        </w:rPr>
        <w:t>pēc krīzes pieauga katru gadu, sākot ar 2014.gadu, tas samazinās. 2015.gadā, s</w:t>
      </w:r>
      <w:r w:rsidRPr="0088569F">
        <w:rPr>
          <w:rFonts w:ascii="Candara" w:hAnsi="Candara"/>
          <w:color w:val="000000"/>
          <w:szCs w:val="28"/>
        </w:rPr>
        <w:t>alīdzinot ar zemāko punktu 20</w:t>
      </w:r>
      <w:r>
        <w:rPr>
          <w:rFonts w:ascii="Candara" w:hAnsi="Candara"/>
          <w:color w:val="000000"/>
          <w:szCs w:val="28"/>
        </w:rPr>
        <w:t>10</w:t>
      </w:r>
      <w:r w:rsidRPr="0088569F">
        <w:rPr>
          <w:rFonts w:ascii="Candara" w:hAnsi="Candara"/>
          <w:color w:val="000000"/>
          <w:szCs w:val="28"/>
        </w:rPr>
        <w:t xml:space="preserve">.gadā, darbavietu skaits bija </w:t>
      </w:r>
      <w:r>
        <w:rPr>
          <w:rFonts w:ascii="Candara" w:hAnsi="Candara"/>
          <w:color w:val="000000"/>
          <w:szCs w:val="28"/>
        </w:rPr>
        <w:t>pieaudzis</w:t>
      </w:r>
      <w:r w:rsidRPr="0088569F">
        <w:rPr>
          <w:rFonts w:ascii="Candara" w:hAnsi="Candara"/>
          <w:color w:val="000000"/>
          <w:szCs w:val="28"/>
        </w:rPr>
        <w:t xml:space="preserve"> par </w:t>
      </w:r>
      <w:r>
        <w:rPr>
          <w:rFonts w:ascii="Candara" w:hAnsi="Candara"/>
          <w:color w:val="000000"/>
          <w:szCs w:val="28"/>
        </w:rPr>
        <w:t>13</w:t>
      </w:r>
      <w:r w:rsidRPr="0088569F">
        <w:rPr>
          <w:rFonts w:ascii="Candara" w:hAnsi="Candara"/>
          <w:color w:val="000000"/>
          <w:szCs w:val="28"/>
        </w:rPr>
        <w:t>%.</w:t>
      </w:r>
    </w:p>
    <w:p w:rsidR="00CA1496" w:rsidRPr="00547FF6" w:rsidP="00CA1496">
      <w:pPr>
        <w:spacing w:after="0" w:line="240" w:lineRule="auto"/>
        <w:jc w:val="both"/>
        <w:rPr>
          <w:rFonts w:ascii="Candara" w:hAnsi="Candara"/>
          <w:color w:val="000000"/>
          <w:szCs w:val="28"/>
        </w:rPr>
      </w:pPr>
      <w:r w:rsidRPr="00547FF6">
        <w:rPr>
          <w:rFonts w:ascii="Candara" w:hAnsi="Candara"/>
          <w:b/>
          <w:color w:val="000000"/>
          <w:szCs w:val="28"/>
          <w:u w:val="single"/>
        </w:rPr>
        <w:t>Produkcijas eksports, milj. EUR</w:t>
      </w:r>
      <w:r>
        <w:rPr>
          <w:rFonts w:ascii="Candara" w:hAnsi="Candara"/>
          <w:b/>
          <w:color w:val="000000"/>
          <w:szCs w:val="28"/>
          <w:u w:val="single"/>
        </w:rPr>
        <w:t>.</w:t>
      </w:r>
      <w:r w:rsidRPr="00547FF6">
        <w:rPr>
          <w:rFonts w:ascii="Candara" w:hAnsi="Candara"/>
          <w:color w:val="000000"/>
          <w:szCs w:val="28"/>
        </w:rPr>
        <w:t xml:space="preserve"> Kopš krīzes zemākā punkta 2009. gadā eksportētās produkcijas apjomi ir dubultojušies. 2015.gadā eksporta pieaugums ir kļuvis mērenāks saistībā ar situāciju ārējā vidē.</w:t>
      </w:r>
    </w:p>
    <w:p w:rsidR="00CA1496" w:rsidRPr="00547FF6" w:rsidP="00CA1496">
      <w:pPr>
        <w:spacing w:after="0" w:line="240" w:lineRule="auto"/>
        <w:jc w:val="both"/>
        <w:rPr>
          <w:rFonts w:ascii="Candara" w:hAnsi="Candara"/>
          <w:b/>
          <w:color w:val="000000"/>
          <w:szCs w:val="28"/>
          <w:u w:val="single"/>
        </w:rPr>
      </w:pPr>
      <w:r w:rsidRPr="00547FF6">
        <w:rPr>
          <w:rFonts w:ascii="Candara" w:hAnsi="Candara"/>
          <w:b/>
          <w:color w:val="000000"/>
          <w:szCs w:val="28"/>
          <w:u w:val="single"/>
        </w:rPr>
        <w:t>Eksports uz 1 strādājošo, tūkst. EUR</w:t>
      </w:r>
      <w:r>
        <w:rPr>
          <w:rFonts w:ascii="Candara" w:hAnsi="Candara"/>
          <w:b/>
          <w:color w:val="000000"/>
          <w:szCs w:val="28"/>
          <w:u w:val="single"/>
        </w:rPr>
        <w:t>.</w:t>
      </w:r>
      <w:r w:rsidRPr="00547FF6">
        <w:rPr>
          <w:rFonts w:ascii="Candara" w:hAnsi="Candara"/>
          <w:color w:val="000000"/>
          <w:szCs w:val="28"/>
        </w:rPr>
        <w:t xml:space="preserve"> Kopš krīzes perioda eksporta apjoms uz vienu strādājošo ir būtiski audzis.</w:t>
      </w:r>
    </w:p>
    <w:p w:rsidR="00CA1496" w:rsidRPr="00547FF6" w:rsidP="00CA1496">
      <w:pPr>
        <w:spacing w:after="0" w:line="240" w:lineRule="auto"/>
        <w:jc w:val="both"/>
        <w:rPr>
          <w:rFonts w:ascii="Candara" w:hAnsi="Candara"/>
          <w:color w:val="000000"/>
          <w:szCs w:val="28"/>
        </w:rPr>
      </w:pPr>
      <w:r w:rsidRPr="00547FF6">
        <w:rPr>
          <w:rFonts w:ascii="Candara" w:hAnsi="Candara"/>
          <w:b/>
          <w:color w:val="000000"/>
          <w:szCs w:val="28"/>
          <w:u w:val="single"/>
        </w:rPr>
        <w:t>Eksports uz 1 strādājošo ES 28 valstīs, tūkst. EUR</w:t>
      </w:r>
      <w:r>
        <w:rPr>
          <w:rFonts w:ascii="Candara" w:hAnsi="Candara"/>
          <w:b/>
          <w:color w:val="000000"/>
          <w:szCs w:val="28"/>
          <w:u w:val="single"/>
        </w:rPr>
        <w:t>.</w:t>
      </w:r>
      <w:r w:rsidRPr="00547FF6">
        <w:rPr>
          <w:rFonts w:ascii="Candara" w:hAnsi="Candara"/>
          <w:color w:val="000000"/>
          <w:szCs w:val="28"/>
        </w:rPr>
        <w:t xml:space="preserve"> Latvijā eksports apjoms uz vienu strādājošo </w:t>
      </w:r>
      <w:r>
        <w:rPr>
          <w:rFonts w:ascii="Candara" w:hAnsi="Candara"/>
          <w:color w:val="000000"/>
          <w:szCs w:val="28"/>
        </w:rPr>
        <w:t>pārējās nozarēs</w:t>
      </w:r>
      <w:r w:rsidRPr="00547FF6">
        <w:rPr>
          <w:rFonts w:ascii="Candara" w:hAnsi="Candara"/>
          <w:color w:val="000000"/>
          <w:szCs w:val="28"/>
        </w:rPr>
        <w:t xml:space="preserve"> bija zemāks nekā Lietuvā un Igaunijā, kā arī ES valstīs vidēji.</w:t>
      </w:r>
    </w:p>
    <w:p w:rsidR="00CA1496" w:rsidRPr="00547FF6" w:rsidP="00CA1496">
      <w:pPr>
        <w:spacing w:after="0" w:line="240" w:lineRule="auto"/>
        <w:jc w:val="both"/>
        <w:rPr>
          <w:rFonts w:ascii="Candara" w:hAnsi="Candara"/>
          <w:b/>
          <w:color w:val="000000"/>
          <w:szCs w:val="28"/>
          <w:u w:val="single"/>
        </w:rPr>
      </w:pPr>
      <w:r w:rsidRPr="00547FF6">
        <w:rPr>
          <w:rFonts w:ascii="Candara" w:hAnsi="Candara"/>
          <w:b/>
          <w:color w:val="000000"/>
          <w:szCs w:val="28"/>
          <w:u w:val="single"/>
        </w:rPr>
        <w:t>Eksporta tirgi</w:t>
      </w:r>
      <w:r>
        <w:rPr>
          <w:rFonts w:ascii="Candara" w:hAnsi="Candara"/>
          <w:b/>
          <w:color w:val="000000"/>
          <w:szCs w:val="28"/>
          <w:u w:val="single"/>
        </w:rPr>
        <w:t>.</w:t>
      </w:r>
      <w:r w:rsidRPr="00547FF6">
        <w:rPr>
          <w:rFonts w:ascii="Candara" w:hAnsi="Candara"/>
          <w:color w:val="000000"/>
          <w:szCs w:val="28"/>
        </w:rPr>
        <w:t xml:space="preserve"> Lielākie eksporta tirgi šajās nozarēs ir Igaunija, Lietuva, Vācija, Apvienotā karaliste, Norvēģija un Polija.</w:t>
      </w:r>
    </w:p>
    <w:p w:rsidR="00CA1496" w:rsidP="00CA1496">
      <w:pPr>
        <w:spacing w:after="0" w:line="240" w:lineRule="auto"/>
        <w:jc w:val="both"/>
        <w:rPr>
          <w:rFonts w:ascii="Candara" w:hAnsi="Candara"/>
          <w:b/>
          <w:color w:val="000000"/>
          <w:szCs w:val="28"/>
          <w:u w:val="single"/>
        </w:rPr>
      </w:pPr>
      <w:r w:rsidRPr="00547FF6">
        <w:rPr>
          <w:rFonts w:ascii="Candara" w:hAnsi="Candara"/>
          <w:b/>
          <w:color w:val="000000"/>
          <w:szCs w:val="28"/>
          <w:u w:val="single"/>
        </w:rPr>
        <w:t>Eksporta struktūra</w:t>
      </w:r>
      <w:r>
        <w:rPr>
          <w:rFonts w:ascii="Candara" w:hAnsi="Candara"/>
          <w:b/>
          <w:color w:val="000000"/>
          <w:szCs w:val="28"/>
          <w:u w:val="single"/>
        </w:rPr>
        <w:t>.</w:t>
      </w:r>
      <w:r w:rsidRPr="00547FF6">
        <w:rPr>
          <w:rFonts w:ascii="Candara" w:hAnsi="Candara"/>
          <w:color w:val="000000"/>
          <w:szCs w:val="28"/>
        </w:rPr>
        <w:t xml:space="preserve"> Latvijā kopš 2005.gada ir samazinājies mēbeļu un to daļu īpatsvars eksporta struktūrā, bet pieaudzis dārgakmeņu, dārgmetālu, bižutērijas, kā arī saliekamo konstrukciju eksporta īpatsvars.</w:t>
      </w:r>
    </w:p>
    <w:p w:rsidR="00CA1496" w:rsidRPr="007C7824" w:rsidP="00CA1496">
      <w:pPr>
        <w:spacing w:after="0" w:line="240" w:lineRule="auto"/>
        <w:jc w:val="both"/>
        <w:rPr>
          <w:rFonts w:ascii="Candara" w:hAnsi="Candara"/>
          <w:b/>
          <w:color w:val="000000"/>
          <w:szCs w:val="28"/>
          <w:u w:val="single"/>
        </w:rPr>
      </w:pPr>
      <w:r w:rsidRPr="00DF40AC">
        <w:rPr>
          <w:rFonts w:ascii="Candara" w:hAnsi="Candara"/>
          <w:b/>
          <w:color w:val="000000"/>
          <w:szCs w:val="28"/>
          <w:u w:val="single"/>
        </w:rPr>
        <w:t>Darbaspēka izmaksu dinamika</w:t>
      </w:r>
      <w:r>
        <w:rPr>
          <w:rFonts w:ascii="Candara" w:hAnsi="Candara"/>
          <w:b/>
          <w:color w:val="000000"/>
          <w:szCs w:val="28"/>
          <w:u w:val="single"/>
        </w:rPr>
        <w:t>, tūkst.</w:t>
      </w:r>
      <w:r>
        <w:rPr>
          <w:rFonts w:ascii="Candara" w:hAnsi="Candara"/>
          <w:color w:val="000000"/>
          <w:szCs w:val="28"/>
        </w:rPr>
        <w:t xml:space="preserve"> </w:t>
      </w:r>
      <w:r w:rsidRPr="00164E49">
        <w:rPr>
          <w:rFonts w:ascii="Candara" w:hAnsi="Candara"/>
          <w:color w:val="000000"/>
          <w:szCs w:val="28"/>
        </w:rPr>
        <w:t>Atsākoties ekonomikas izaugsmei, kopš 201</w:t>
      </w:r>
      <w:r>
        <w:rPr>
          <w:rFonts w:ascii="Candara" w:hAnsi="Candara"/>
          <w:color w:val="000000"/>
          <w:szCs w:val="28"/>
        </w:rPr>
        <w:t>2.gada darbaspēka izmaksas</w:t>
      </w:r>
      <w:r w:rsidRPr="00164E49">
        <w:rPr>
          <w:rFonts w:ascii="Candara" w:hAnsi="Candara"/>
          <w:color w:val="000000"/>
          <w:szCs w:val="28"/>
        </w:rPr>
        <w:t xml:space="preserve"> </w:t>
      </w:r>
      <w:r>
        <w:rPr>
          <w:rFonts w:ascii="Candara" w:hAnsi="Candara"/>
          <w:color w:val="000000"/>
          <w:szCs w:val="28"/>
        </w:rPr>
        <w:t>pieaug</w:t>
      </w:r>
      <w:r w:rsidRPr="00164E49">
        <w:rPr>
          <w:rFonts w:ascii="Candara" w:hAnsi="Candara"/>
          <w:color w:val="000000"/>
          <w:szCs w:val="28"/>
        </w:rPr>
        <w:t>, 201</w:t>
      </w:r>
      <w:r>
        <w:rPr>
          <w:rFonts w:ascii="Candara" w:hAnsi="Candara"/>
          <w:color w:val="000000"/>
          <w:szCs w:val="28"/>
        </w:rPr>
        <w:t>3</w:t>
      </w:r>
      <w:r w:rsidRPr="00164E49">
        <w:rPr>
          <w:rFonts w:ascii="Candara" w:hAnsi="Candara"/>
          <w:color w:val="000000"/>
          <w:szCs w:val="28"/>
        </w:rPr>
        <w:t xml:space="preserve">.gadā </w:t>
      </w:r>
      <w:r>
        <w:rPr>
          <w:rFonts w:ascii="Candara" w:hAnsi="Candara"/>
          <w:color w:val="000000"/>
          <w:szCs w:val="28"/>
        </w:rPr>
        <w:t>tām</w:t>
      </w:r>
      <w:r w:rsidRPr="00164E49">
        <w:rPr>
          <w:rFonts w:ascii="Candara" w:hAnsi="Candara"/>
          <w:color w:val="000000"/>
          <w:szCs w:val="28"/>
        </w:rPr>
        <w:t xml:space="preserve"> sasniedzot jau pirmskrīzes perioda līmeni.</w:t>
      </w:r>
    </w:p>
    <w:p w:rsidR="00CA1496" w:rsidP="00CA1496">
      <w:pPr>
        <w:spacing w:after="0" w:line="240" w:lineRule="auto"/>
        <w:jc w:val="both"/>
        <w:rPr>
          <w:rFonts w:ascii="Candara" w:hAnsi="Candara"/>
          <w:color w:val="000000"/>
          <w:szCs w:val="28"/>
        </w:rPr>
      </w:pPr>
      <w:r w:rsidRPr="00DF40AC">
        <w:rPr>
          <w:rFonts w:ascii="Candara" w:hAnsi="Candara"/>
          <w:b/>
          <w:color w:val="000000"/>
          <w:szCs w:val="28"/>
          <w:u w:val="single"/>
        </w:rPr>
        <w:t>Produktivitātes dinamika</w:t>
      </w:r>
      <w:r>
        <w:rPr>
          <w:rFonts w:ascii="Candara" w:hAnsi="Candara"/>
          <w:b/>
          <w:color w:val="000000"/>
          <w:szCs w:val="28"/>
          <w:u w:val="single"/>
        </w:rPr>
        <w:t>, tūkst.</w:t>
      </w:r>
      <w:r>
        <w:rPr>
          <w:rFonts w:ascii="Candara" w:hAnsi="Candara"/>
          <w:color w:val="000000"/>
          <w:szCs w:val="28"/>
        </w:rPr>
        <w:t xml:space="preserve"> Krīzes laikā bija vērojams produktivitātes pieaugums strauja nodarbināto skaita krituma dēļ. </w:t>
      </w:r>
      <w:r w:rsidRPr="00D6729D">
        <w:rPr>
          <w:rFonts w:ascii="Candara" w:hAnsi="Candara"/>
          <w:color w:val="000000"/>
          <w:szCs w:val="28"/>
        </w:rPr>
        <w:t>Savukārt</w:t>
      </w:r>
      <w:r>
        <w:rPr>
          <w:rFonts w:ascii="Candara" w:hAnsi="Candara"/>
          <w:color w:val="000000"/>
          <w:szCs w:val="28"/>
        </w:rPr>
        <w:t>,</w:t>
      </w:r>
      <w:r w:rsidRPr="00D6729D">
        <w:rPr>
          <w:rFonts w:ascii="Candara" w:hAnsi="Candara"/>
          <w:color w:val="000000"/>
          <w:szCs w:val="28"/>
        </w:rPr>
        <w:t xml:space="preserve"> </w:t>
      </w:r>
      <w:r>
        <w:rPr>
          <w:rFonts w:ascii="Candara" w:hAnsi="Candara"/>
          <w:color w:val="000000"/>
          <w:szCs w:val="28"/>
        </w:rPr>
        <w:t>pēc kāpuma 2012.gadā, 2013.gadā produktivitāte samazinājās un 2014.-2015.gadā praktiski nemainās.</w:t>
      </w:r>
    </w:p>
    <w:p w:rsidR="00CA1496" w:rsidRPr="00FB0BD5" w:rsidP="00CA1496">
      <w:pPr>
        <w:spacing w:after="0" w:line="240" w:lineRule="auto"/>
        <w:jc w:val="both"/>
        <w:rPr>
          <w:rFonts w:ascii="Candara" w:hAnsi="Candara"/>
          <w:b/>
          <w:color w:val="000000"/>
          <w:szCs w:val="28"/>
          <w:u w:val="single"/>
        </w:rPr>
      </w:pPr>
      <w:r w:rsidRPr="00082B09">
        <w:rPr>
          <w:rFonts w:ascii="Candara" w:hAnsi="Candara"/>
          <w:b/>
          <w:color w:val="000000"/>
          <w:szCs w:val="28"/>
          <w:u w:val="single"/>
        </w:rPr>
        <w:t>Produktivitāte un darbaspēka izmaksas</w:t>
      </w:r>
      <w:r>
        <w:rPr>
          <w:rFonts w:ascii="Candara" w:hAnsi="Candara"/>
          <w:b/>
          <w:color w:val="000000"/>
          <w:szCs w:val="28"/>
          <w:u w:val="single"/>
        </w:rPr>
        <w:t>.</w:t>
      </w:r>
      <w:r w:rsidRPr="00082B09">
        <w:rPr>
          <w:rFonts w:ascii="Candara" w:hAnsi="Candara"/>
          <w:color w:val="000000"/>
          <w:szCs w:val="28"/>
        </w:rPr>
        <w:t xml:space="preserve"> </w:t>
      </w:r>
      <w:r w:rsidRPr="00EF043E">
        <w:rPr>
          <w:rFonts w:ascii="Candara" w:hAnsi="Candara"/>
          <w:color w:val="000000"/>
          <w:szCs w:val="28"/>
        </w:rPr>
        <w:t>Pēdējos gados nozarē darbaspēka izmaksas pieaug straujāk nekā produktivitāte, kas liecina par cenu konkurēts</w:t>
      </w:r>
      <w:r>
        <w:rPr>
          <w:rFonts w:ascii="Candara" w:hAnsi="Candara"/>
          <w:color w:val="000000"/>
          <w:szCs w:val="28"/>
        </w:rPr>
        <w:t xml:space="preserve">pējas (izmaksu) pazemināšanos. </w:t>
      </w:r>
      <w:r w:rsidRPr="00EF043E">
        <w:rPr>
          <w:rFonts w:ascii="Candara" w:hAnsi="Candara"/>
          <w:color w:val="000000"/>
          <w:szCs w:val="28"/>
        </w:rPr>
        <w:t>Krīzes laikā ULC samazinājās, ko noteica būtisks nodarbināto skaita samazinājums, darbaspēka izmaksām samazinoties straujāk un ražošanas apjomiem samazinoties mazāk nekā nodarbināto skaitam</w:t>
      </w:r>
      <w:r w:rsidRPr="00FD08E2">
        <w:rPr>
          <w:rFonts w:ascii="Candara" w:hAnsi="Candara"/>
          <w:color w:val="000000"/>
          <w:szCs w:val="28"/>
        </w:rPr>
        <w:t>. No 2012.gada līdz 201</w:t>
      </w:r>
      <w:r>
        <w:rPr>
          <w:rFonts w:ascii="Candara" w:hAnsi="Candara"/>
          <w:color w:val="000000"/>
          <w:szCs w:val="28"/>
        </w:rPr>
        <w:t>5</w:t>
      </w:r>
      <w:r w:rsidRPr="00FD08E2">
        <w:rPr>
          <w:rFonts w:ascii="Candara" w:hAnsi="Candara"/>
          <w:color w:val="000000"/>
          <w:szCs w:val="28"/>
        </w:rPr>
        <w:t xml:space="preserve">.gadam strauji pieaug darbaspēka izmaksas, kamēr produktivitāte samazinās vai pieaug minimāli. Šādu nozares attīstības modeli var raksturot kā ekstensīvu. </w:t>
      </w:r>
    </w:p>
    <w:p w:rsidR="00CA1496" w:rsidRPr="00F835E8" w:rsidP="00CA1496">
      <w:pPr>
        <w:spacing w:after="0" w:line="240" w:lineRule="auto"/>
        <w:jc w:val="both"/>
        <w:rPr>
          <w:rFonts w:ascii="Candara" w:hAnsi="Candara"/>
          <w:color w:val="000000"/>
          <w:szCs w:val="28"/>
        </w:rPr>
      </w:pPr>
      <w:r w:rsidRPr="00DF40AC">
        <w:rPr>
          <w:rFonts w:ascii="Candara" w:hAnsi="Candara"/>
          <w:b/>
          <w:color w:val="000000"/>
          <w:szCs w:val="28"/>
          <w:u w:val="single"/>
        </w:rPr>
        <w:t>Darbaspēka izmaksas, ES-28=100</w:t>
      </w:r>
      <w:r>
        <w:rPr>
          <w:rFonts w:ascii="Candara" w:hAnsi="Candara"/>
          <w:b/>
          <w:color w:val="000000"/>
          <w:szCs w:val="28"/>
          <w:u w:val="single"/>
        </w:rPr>
        <w:t>.</w:t>
      </w:r>
      <w:r>
        <w:rPr>
          <w:rFonts w:ascii="Candara" w:hAnsi="Candara"/>
          <w:color w:val="000000"/>
          <w:szCs w:val="28"/>
        </w:rPr>
        <w:t xml:space="preserve"> </w:t>
      </w:r>
      <w:r w:rsidRPr="00756F4B">
        <w:rPr>
          <w:rFonts w:ascii="Candara" w:hAnsi="Candara"/>
          <w:color w:val="000000"/>
          <w:szCs w:val="28"/>
        </w:rPr>
        <w:t xml:space="preserve">Salīdzinot ar darbaspēka izmaksu vidējo līmeni ES, </w:t>
      </w:r>
      <w:r w:rsidRPr="00EF043E">
        <w:rPr>
          <w:rFonts w:ascii="Candara" w:hAnsi="Candara"/>
          <w:color w:val="000000"/>
          <w:szCs w:val="28"/>
        </w:rPr>
        <w:t>pārējās nozarēs</w:t>
      </w:r>
      <w:r>
        <w:rPr>
          <w:rFonts w:ascii="Candara" w:hAnsi="Candara"/>
          <w:color w:val="000000"/>
          <w:szCs w:val="28"/>
        </w:rPr>
        <w:t xml:space="preserve"> </w:t>
      </w:r>
      <w:r w:rsidRPr="00756F4B">
        <w:rPr>
          <w:rFonts w:ascii="Candara" w:hAnsi="Candara"/>
          <w:color w:val="000000"/>
          <w:szCs w:val="28"/>
        </w:rPr>
        <w:t xml:space="preserve">tas ir </w:t>
      </w:r>
      <w:r>
        <w:rPr>
          <w:rFonts w:ascii="Candara" w:hAnsi="Candara"/>
          <w:color w:val="000000"/>
          <w:szCs w:val="28"/>
        </w:rPr>
        <w:t>zem</w:t>
      </w:r>
      <w:r w:rsidRPr="00756F4B">
        <w:rPr>
          <w:rFonts w:ascii="Candara" w:hAnsi="Candara"/>
          <w:color w:val="000000"/>
          <w:szCs w:val="28"/>
        </w:rPr>
        <w:t>āks nekā tautsaimniecībā kopumā</w:t>
      </w:r>
      <w:r>
        <w:rPr>
          <w:rFonts w:ascii="Candara" w:hAnsi="Candara"/>
          <w:color w:val="000000"/>
          <w:szCs w:val="28"/>
        </w:rPr>
        <w:t xml:space="preserve"> un</w:t>
      </w:r>
      <w:r w:rsidRPr="00756F4B">
        <w:rPr>
          <w:rFonts w:ascii="Candara" w:hAnsi="Candara"/>
          <w:color w:val="000000"/>
          <w:szCs w:val="28"/>
        </w:rPr>
        <w:t xml:space="preserve"> pēdējos gados tas </w:t>
      </w:r>
      <w:r>
        <w:rPr>
          <w:rFonts w:ascii="Candara" w:hAnsi="Candara"/>
          <w:color w:val="000000"/>
          <w:szCs w:val="28"/>
        </w:rPr>
        <w:t>nedaudz pieaug</w:t>
      </w:r>
      <w:r w:rsidRPr="00756F4B">
        <w:rPr>
          <w:rFonts w:ascii="Candara" w:hAnsi="Candara"/>
          <w:color w:val="000000"/>
          <w:szCs w:val="28"/>
        </w:rPr>
        <w:t>.</w:t>
      </w:r>
    </w:p>
    <w:p w:rsidR="00CA1496" w:rsidP="00CA1496">
      <w:pPr>
        <w:spacing w:after="0" w:line="240" w:lineRule="auto"/>
        <w:jc w:val="both"/>
        <w:rPr>
          <w:rFonts w:ascii="Candara" w:hAnsi="Candara"/>
          <w:color w:val="000000"/>
          <w:szCs w:val="28"/>
        </w:rPr>
      </w:pPr>
      <w:r w:rsidRPr="00DF40AC">
        <w:rPr>
          <w:rFonts w:ascii="Candara" w:hAnsi="Candara"/>
          <w:b/>
          <w:color w:val="000000"/>
          <w:szCs w:val="28"/>
          <w:u w:val="single"/>
        </w:rPr>
        <w:t>Produktivitāte, ES-28=100</w:t>
      </w:r>
      <w:r>
        <w:rPr>
          <w:rFonts w:ascii="Candara" w:hAnsi="Candara"/>
          <w:b/>
          <w:color w:val="000000"/>
          <w:szCs w:val="28"/>
          <w:u w:val="single"/>
        </w:rPr>
        <w:t>.</w:t>
      </w:r>
      <w:r>
        <w:rPr>
          <w:rFonts w:ascii="Candara" w:hAnsi="Candara"/>
          <w:color w:val="000000"/>
          <w:szCs w:val="28"/>
        </w:rPr>
        <w:t xml:space="preserve"> </w:t>
      </w:r>
      <w:r w:rsidRPr="00260386">
        <w:rPr>
          <w:rFonts w:ascii="Candara" w:hAnsi="Candara"/>
          <w:color w:val="000000"/>
          <w:szCs w:val="28"/>
        </w:rPr>
        <w:t xml:space="preserve">Salīdzinot ar vidējo līmeni ES, </w:t>
      </w:r>
      <w:r w:rsidRPr="00EF043E">
        <w:rPr>
          <w:rFonts w:ascii="Candara" w:hAnsi="Candara"/>
          <w:color w:val="000000"/>
          <w:szCs w:val="28"/>
        </w:rPr>
        <w:t>pārējās nozarēs</w:t>
      </w:r>
      <w:r w:rsidRPr="00260386">
        <w:rPr>
          <w:rFonts w:ascii="Candara" w:hAnsi="Candara"/>
          <w:color w:val="000000"/>
          <w:szCs w:val="28"/>
        </w:rPr>
        <w:t xml:space="preserve"> </w:t>
      </w:r>
      <w:r>
        <w:rPr>
          <w:rFonts w:ascii="Candara" w:hAnsi="Candara"/>
          <w:color w:val="000000"/>
          <w:szCs w:val="28"/>
        </w:rPr>
        <w:t>produktivitātes līmenis</w:t>
      </w:r>
      <w:r w:rsidRPr="00260386">
        <w:rPr>
          <w:rFonts w:ascii="Candara" w:hAnsi="Candara"/>
          <w:color w:val="000000"/>
          <w:szCs w:val="28"/>
        </w:rPr>
        <w:t xml:space="preserve"> </w:t>
      </w:r>
      <w:r>
        <w:rPr>
          <w:rFonts w:ascii="Candara" w:hAnsi="Candara"/>
          <w:color w:val="000000"/>
          <w:szCs w:val="28"/>
        </w:rPr>
        <w:t>krīzes laikā bija augstāks nekā tautsaimniecībā kopumā, bet pēdējos gados vērojams tā kritums un</w:t>
      </w:r>
      <w:r w:rsidRPr="00260386">
        <w:rPr>
          <w:rFonts w:ascii="Candara" w:hAnsi="Candara"/>
          <w:color w:val="000000"/>
          <w:szCs w:val="28"/>
        </w:rPr>
        <w:t xml:space="preserve"> </w:t>
      </w:r>
      <w:r>
        <w:rPr>
          <w:rFonts w:ascii="Candara" w:hAnsi="Candara"/>
          <w:color w:val="000000"/>
          <w:szCs w:val="28"/>
        </w:rPr>
        <w:t>tas ir zemāks</w:t>
      </w:r>
      <w:r w:rsidRPr="00260386">
        <w:rPr>
          <w:rFonts w:ascii="Candara" w:hAnsi="Candara"/>
          <w:color w:val="000000"/>
          <w:szCs w:val="28"/>
        </w:rPr>
        <w:t xml:space="preserve"> nekā tautsaimniecībā kopumā</w:t>
      </w:r>
      <w:r>
        <w:rPr>
          <w:rFonts w:ascii="Candara" w:hAnsi="Candara"/>
          <w:color w:val="000000"/>
          <w:szCs w:val="28"/>
        </w:rPr>
        <w:t>.</w:t>
      </w:r>
    </w:p>
    <w:p w:rsidR="00CA1496" w:rsidP="00CA1496">
      <w:pPr>
        <w:spacing w:after="0" w:line="240" w:lineRule="auto"/>
        <w:jc w:val="both"/>
        <w:rPr>
          <w:rFonts w:ascii="Candara" w:hAnsi="Candara"/>
          <w:color w:val="000000"/>
          <w:szCs w:val="28"/>
        </w:rPr>
      </w:pPr>
      <w:r w:rsidRPr="00DF40AC">
        <w:rPr>
          <w:rFonts w:ascii="Candara" w:hAnsi="Candara"/>
          <w:b/>
          <w:color w:val="000000"/>
          <w:szCs w:val="28"/>
          <w:u w:val="single"/>
        </w:rPr>
        <w:t>Darbaspēka izmaksas</w:t>
      </w:r>
      <w:r>
        <w:rPr>
          <w:rFonts w:ascii="Candara" w:hAnsi="Candara"/>
          <w:b/>
          <w:color w:val="000000"/>
          <w:szCs w:val="28"/>
          <w:u w:val="single"/>
        </w:rPr>
        <w:t>, salīdzinot ar ES valstīm, 2015.gadā.</w:t>
      </w:r>
      <w:r>
        <w:rPr>
          <w:rFonts w:ascii="Candara" w:hAnsi="Candara"/>
          <w:color w:val="000000"/>
          <w:szCs w:val="28"/>
        </w:rPr>
        <w:t xml:space="preserve"> </w:t>
      </w:r>
      <w:r w:rsidRPr="007F0EB6">
        <w:rPr>
          <w:rFonts w:ascii="Candara" w:hAnsi="Candara"/>
          <w:color w:val="000000"/>
          <w:szCs w:val="28"/>
        </w:rPr>
        <w:t>Latvijā 201</w:t>
      </w:r>
      <w:r>
        <w:rPr>
          <w:rFonts w:ascii="Candara" w:hAnsi="Candara"/>
          <w:color w:val="000000"/>
          <w:szCs w:val="28"/>
        </w:rPr>
        <w:t>5</w:t>
      </w:r>
      <w:r w:rsidRPr="007F0EB6">
        <w:rPr>
          <w:rFonts w:ascii="Candara" w:hAnsi="Candara"/>
          <w:color w:val="000000"/>
          <w:szCs w:val="28"/>
        </w:rPr>
        <w:t xml:space="preserve">.gadā darbaspēka izmaksas </w:t>
      </w:r>
      <w:r w:rsidRPr="00EF043E">
        <w:rPr>
          <w:rFonts w:ascii="Candara" w:hAnsi="Candara"/>
          <w:color w:val="000000"/>
          <w:szCs w:val="28"/>
        </w:rPr>
        <w:t>pārējās nozarēs</w:t>
      </w:r>
      <w:r w:rsidRPr="007F0EB6">
        <w:rPr>
          <w:rFonts w:ascii="Candara" w:hAnsi="Candara"/>
          <w:color w:val="000000"/>
          <w:szCs w:val="28"/>
        </w:rPr>
        <w:t xml:space="preserve"> </w:t>
      </w:r>
      <w:r w:rsidRPr="000849BE">
        <w:rPr>
          <w:rFonts w:ascii="Candara" w:hAnsi="Candara"/>
          <w:color w:val="000000"/>
          <w:szCs w:val="28"/>
        </w:rPr>
        <w:t>bija zemāka</w:t>
      </w:r>
      <w:r>
        <w:rPr>
          <w:rFonts w:ascii="Candara" w:hAnsi="Candara"/>
          <w:color w:val="000000"/>
          <w:szCs w:val="28"/>
        </w:rPr>
        <w:t>s</w:t>
      </w:r>
      <w:r w:rsidRPr="000849BE">
        <w:rPr>
          <w:rFonts w:ascii="Candara" w:hAnsi="Candara"/>
          <w:color w:val="000000"/>
          <w:szCs w:val="28"/>
        </w:rPr>
        <w:t xml:space="preserve"> nekā Lietuvā un Igaunijā. Kopumā starp ES valstīm Latvija bija </w:t>
      </w:r>
      <w:r>
        <w:rPr>
          <w:rFonts w:ascii="Candara" w:hAnsi="Candara"/>
          <w:color w:val="000000"/>
          <w:szCs w:val="28"/>
        </w:rPr>
        <w:t>23</w:t>
      </w:r>
      <w:r w:rsidRPr="000849BE">
        <w:rPr>
          <w:rFonts w:ascii="Candara" w:hAnsi="Candara"/>
          <w:color w:val="000000"/>
          <w:szCs w:val="28"/>
        </w:rPr>
        <w:t>.vietā.</w:t>
      </w:r>
    </w:p>
    <w:p w:rsidR="00CA1496" w:rsidRPr="0009319E" w:rsidP="00CA1496">
      <w:pPr>
        <w:spacing w:after="0" w:line="240" w:lineRule="auto"/>
        <w:jc w:val="both"/>
        <w:rPr>
          <w:rFonts w:ascii="Candara" w:hAnsi="Candara"/>
          <w:color w:val="000000"/>
          <w:szCs w:val="28"/>
        </w:rPr>
      </w:pPr>
      <w:r w:rsidRPr="00DF40AC">
        <w:rPr>
          <w:rFonts w:ascii="Candara" w:hAnsi="Candara"/>
          <w:b/>
          <w:color w:val="000000"/>
          <w:szCs w:val="28"/>
          <w:u w:val="single"/>
        </w:rPr>
        <w:t>Produktivitāte</w:t>
      </w:r>
      <w:r>
        <w:rPr>
          <w:rFonts w:ascii="Candara" w:hAnsi="Candara"/>
          <w:b/>
          <w:color w:val="000000"/>
          <w:szCs w:val="28"/>
          <w:u w:val="single"/>
        </w:rPr>
        <w:t>,</w:t>
      </w:r>
      <w:r w:rsidRPr="0009319E">
        <w:rPr>
          <w:rFonts w:ascii="Candara" w:hAnsi="Candara"/>
          <w:b/>
          <w:color w:val="000000"/>
          <w:szCs w:val="28"/>
          <w:u w:val="single"/>
        </w:rPr>
        <w:t xml:space="preserve"> </w:t>
      </w:r>
      <w:r>
        <w:rPr>
          <w:rFonts w:ascii="Candara" w:hAnsi="Candara"/>
          <w:b/>
          <w:color w:val="000000"/>
          <w:szCs w:val="28"/>
          <w:u w:val="single"/>
        </w:rPr>
        <w:t>salīdzinot ar ES valstīm, 2015.gadā.</w:t>
      </w:r>
      <w:r>
        <w:rPr>
          <w:rFonts w:ascii="Candara" w:hAnsi="Candara"/>
          <w:color w:val="000000"/>
          <w:szCs w:val="28"/>
        </w:rPr>
        <w:t xml:space="preserve"> </w:t>
      </w:r>
      <w:r w:rsidRPr="000849BE">
        <w:rPr>
          <w:rFonts w:ascii="Candara" w:hAnsi="Candara"/>
          <w:color w:val="000000"/>
          <w:szCs w:val="28"/>
        </w:rPr>
        <w:t>Latvijā 201</w:t>
      </w:r>
      <w:r>
        <w:rPr>
          <w:rFonts w:ascii="Candara" w:hAnsi="Candara"/>
          <w:color w:val="000000"/>
          <w:szCs w:val="28"/>
        </w:rPr>
        <w:t>5</w:t>
      </w:r>
      <w:r w:rsidRPr="000849BE">
        <w:rPr>
          <w:rFonts w:ascii="Candara" w:hAnsi="Candara"/>
          <w:color w:val="000000"/>
          <w:szCs w:val="28"/>
        </w:rPr>
        <w:t xml:space="preserve">.gadā produktivitāte </w:t>
      </w:r>
      <w:r w:rsidRPr="00EF043E">
        <w:rPr>
          <w:rFonts w:ascii="Candara" w:hAnsi="Candara"/>
          <w:color w:val="000000"/>
          <w:szCs w:val="28"/>
        </w:rPr>
        <w:t>pārējās nozarēs</w:t>
      </w:r>
      <w:r w:rsidRPr="000849BE">
        <w:rPr>
          <w:rFonts w:ascii="Candara" w:hAnsi="Candara"/>
          <w:color w:val="000000"/>
          <w:szCs w:val="28"/>
        </w:rPr>
        <w:t xml:space="preserve"> bija </w:t>
      </w:r>
      <w:r>
        <w:rPr>
          <w:rFonts w:ascii="Candara" w:hAnsi="Candara"/>
          <w:color w:val="000000"/>
          <w:szCs w:val="28"/>
        </w:rPr>
        <w:t>zem</w:t>
      </w:r>
      <w:r w:rsidRPr="000849BE">
        <w:rPr>
          <w:rFonts w:ascii="Candara" w:hAnsi="Candara"/>
          <w:color w:val="000000"/>
          <w:szCs w:val="28"/>
        </w:rPr>
        <w:t xml:space="preserve">āka nekā Lietuvā un Igaunijā. </w:t>
      </w:r>
    </w:p>
    <w:p w:rsidR="00CA1496" w:rsidRPr="0009319E" w:rsidP="00CA1496">
      <w:pPr>
        <w:spacing w:after="0" w:line="240" w:lineRule="auto"/>
        <w:jc w:val="both"/>
        <w:rPr>
          <w:rFonts w:ascii="Candara" w:hAnsi="Candara"/>
          <w:color w:val="000000"/>
          <w:szCs w:val="28"/>
        </w:rPr>
      </w:pPr>
      <w:r w:rsidRPr="00DF40AC">
        <w:rPr>
          <w:rFonts w:ascii="Candara" w:hAnsi="Candara"/>
          <w:b/>
          <w:color w:val="000000"/>
          <w:szCs w:val="28"/>
          <w:u w:val="single"/>
        </w:rPr>
        <w:t>Produktivitāte un darbaspēka izmaksas ES-28 valstīs 2010.g</w:t>
      </w:r>
      <w:r>
        <w:rPr>
          <w:rFonts w:ascii="Candara" w:hAnsi="Candara"/>
          <w:b/>
          <w:color w:val="000000"/>
          <w:szCs w:val="28"/>
          <w:u w:val="single"/>
        </w:rPr>
        <w:t xml:space="preserve">adā un </w:t>
      </w:r>
      <w:r w:rsidRPr="00DF40AC">
        <w:rPr>
          <w:rFonts w:ascii="Candara" w:hAnsi="Candara"/>
          <w:b/>
          <w:color w:val="000000"/>
          <w:szCs w:val="28"/>
          <w:u w:val="single"/>
        </w:rPr>
        <w:t>201</w:t>
      </w:r>
      <w:r>
        <w:rPr>
          <w:rFonts w:ascii="Candara" w:hAnsi="Candara"/>
          <w:b/>
          <w:color w:val="000000"/>
          <w:szCs w:val="28"/>
          <w:u w:val="single"/>
        </w:rPr>
        <w:t>5</w:t>
      </w:r>
      <w:r w:rsidRPr="00DF40AC">
        <w:rPr>
          <w:rFonts w:ascii="Candara" w:hAnsi="Candara"/>
          <w:b/>
          <w:color w:val="000000"/>
          <w:szCs w:val="28"/>
          <w:u w:val="single"/>
        </w:rPr>
        <w:t>.g</w:t>
      </w:r>
      <w:r>
        <w:rPr>
          <w:rFonts w:ascii="Candara" w:hAnsi="Candara"/>
          <w:b/>
          <w:color w:val="000000"/>
          <w:szCs w:val="28"/>
          <w:u w:val="single"/>
        </w:rPr>
        <w:t>adā.</w:t>
      </w:r>
      <w:r>
        <w:rPr>
          <w:rFonts w:ascii="Candara" w:hAnsi="Candara"/>
          <w:color w:val="000000"/>
          <w:szCs w:val="28"/>
        </w:rPr>
        <w:t xml:space="preserve"> </w:t>
      </w:r>
      <w:r w:rsidRPr="00EF043E">
        <w:rPr>
          <w:rFonts w:ascii="Candara" w:hAnsi="Candara"/>
          <w:color w:val="000000"/>
          <w:szCs w:val="28"/>
        </w:rPr>
        <w:t xml:space="preserve">Darbaspēka izmaksas uz 1 produkcijas </w:t>
      </w:r>
      <w:r>
        <w:rPr>
          <w:rFonts w:ascii="Candara" w:hAnsi="Candara"/>
          <w:color w:val="000000"/>
          <w:szCs w:val="28"/>
        </w:rPr>
        <w:t xml:space="preserve">vienību </w:t>
      </w:r>
      <w:r w:rsidRPr="00EF043E">
        <w:rPr>
          <w:rFonts w:ascii="Candara" w:hAnsi="Candara"/>
          <w:color w:val="000000"/>
          <w:szCs w:val="28"/>
        </w:rPr>
        <w:t xml:space="preserve">(ULC) </w:t>
      </w:r>
      <w:r>
        <w:rPr>
          <w:rFonts w:ascii="Candara" w:hAnsi="Candara"/>
          <w:color w:val="000000"/>
          <w:szCs w:val="28"/>
        </w:rPr>
        <w:t>pārējās nozarēs</w:t>
      </w:r>
      <w:r w:rsidRPr="00EF043E">
        <w:rPr>
          <w:rFonts w:ascii="Candara" w:hAnsi="Candara"/>
          <w:color w:val="000000"/>
          <w:szCs w:val="28"/>
        </w:rPr>
        <w:t xml:space="preserve"> Latvijā 2010.gadā bija viens no zemākajiem rādītājiem starp ES valstīm, zemāks tas bija </w:t>
      </w:r>
      <w:r>
        <w:rPr>
          <w:rFonts w:ascii="Candara" w:hAnsi="Candara"/>
          <w:color w:val="000000"/>
          <w:szCs w:val="28"/>
        </w:rPr>
        <w:t>tikai</w:t>
      </w:r>
      <w:r w:rsidRPr="00EF043E">
        <w:rPr>
          <w:rFonts w:ascii="Candara" w:hAnsi="Candara"/>
          <w:color w:val="000000"/>
          <w:szCs w:val="28"/>
        </w:rPr>
        <w:t xml:space="preserve"> </w:t>
      </w:r>
      <w:r>
        <w:rPr>
          <w:rFonts w:ascii="Candara" w:hAnsi="Candara"/>
          <w:color w:val="000000"/>
          <w:szCs w:val="28"/>
        </w:rPr>
        <w:t>Rumānijā</w:t>
      </w:r>
      <w:r w:rsidRPr="00EF043E">
        <w:rPr>
          <w:rFonts w:ascii="Candara" w:hAnsi="Candara"/>
          <w:color w:val="000000"/>
          <w:szCs w:val="28"/>
        </w:rPr>
        <w:t>. Arī 201</w:t>
      </w:r>
      <w:r>
        <w:rPr>
          <w:rFonts w:ascii="Candara" w:hAnsi="Candara"/>
          <w:color w:val="000000"/>
          <w:szCs w:val="28"/>
        </w:rPr>
        <w:t>5</w:t>
      </w:r>
      <w:r w:rsidRPr="00EF043E">
        <w:rPr>
          <w:rFonts w:ascii="Candara" w:hAnsi="Candara"/>
          <w:color w:val="000000"/>
          <w:szCs w:val="28"/>
        </w:rPr>
        <w:t>.gadā ULC Latvijā bija viens no zemākajiem rādītājiem. Latvijā 201</w:t>
      </w:r>
      <w:r>
        <w:rPr>
          <w:rFonts w:ascii="Candara" w:hAnsi="Candara"/>
          <w:color w:val="000000"/>
          <w:szCs w:val="28"/>
        </w:rPr>
        <w:t>5</w:t>
      </w:r>
      <w:r w:rsidRPr="00EF043E">
        <w:rPr>
          <w:rFonts w:ascii="Candara" w:hAnsi="Candara"/>
          <w:color w:val="000000"/>
          <w:szCs w:val="28"/>
        </w:rPr>
        <w:t xml:space="preserve">.gadā, salīdzinot ar 2010.gadu ULC ir pieaudzis par </w:t>
      </w:r>
      <w:r>
        <w:rPr>
          <w:rFonts w:ascii="Candara" w:hAnsi="Candara"/>
          <w:color w:val="000000"/>
          <w:szCs w:val="28"/>
        </w:rPr>
        <w:t>23</w:t>
      </w:r>
      <w:r w:rsidRPr="00EF043E">
        <w:rPr>
          <w:rFonts w:ascii="Candara" w:hAnsi="Candara"/>
          <w:color w:val="000000"/>
          <w:szCs w:val="28"/>
        </w:rPr>
        <w:t>%, ko noteica darbaspēka izmaksu kāpums</w:t>
      </w:r>
      <w:r>
        <w:rPr>
          <w:rFonts w:ascii="Candara" w:hAnsi="Candara"/>
          <w:color w:val="000000"/>
          <w:szCs w:val="28"/>
        </w:rPr>
        <w:t xml:space="preserve">, </w:t>
      </w:r>
      <w:r w:rsidRPr="00EF043E">
        <w:rPr>
          <w:rFonts w:ascii="Candara" w:hAnsi="Candara"/>
          <w:color w:val="000000"/>
          <w:szCs w:val="28"/>
        </w:rPr>
        <w:t>ražošanas apjom</w:t>
      </w:r>
      <w:r>
        <w:rPr>
          <w:rFonts w:ascii="Candara" w:hAnsi="Candara"/>
          <w:color w:val="000000"/>
          <w:szCs w:val="28"/>
        </w:rPr>
        <w:t>iem</w:t>
      </w:r>
      <w:r w:rsidRPr="00EF043E">
        <w:rPr>
          <w:rFonts w:ascii="Candara" w:hAnsi="Candara"/>
          <w:color w:val="000000"/>
          <w:szCs w:val="28"/>
        </w:rPr>
        <w:t xml:space="preserve"> </w:t>
      </w:r>
      <w:r>
        <w:rPr>
          <w:rFonts w:ascii="Candara" w:hAnsi="Candara"/>
          <w:color w:val="000000"/>
          <w:szCs w:val="28"/>
        </w:rPr>
        <w:t>saglabājoties 2010.gada līmenī</w:t>
      </w:r>
      <w:r w:rsidRPr="00EF043E">
        <w:rPr>
          <w:rFonts w:ascii="Candara" w:hAnsi="Candara"/>
          <w:color w:val="000000"/>
          <w:szCs w:val="28"/>
        </w:rPr>
        <w:t>. Jāatzīmē, ka ULC Latvijā 201</w:t>
      </w:r>
      <w:r>
        <w:rPr>
          <w:rFonts w:ascii="Candara" w:hAnsi="Candara"/>
          <w:color w:val="000000"/>
          <w:szCs w:val="28"/>
        </w:rPr>
        <w:t>5</w:t>
      </w:r>
      <w:r w:rsidRPr="00EF043E">
        <w:rPr>
          <w:rFonts w:ascii="Candara" w:hAnsi="Candara"/>
          <w:color w:val="000000"/>
          <w:szCs w:val="28"/>
        </w:rPr>
        <w:t>.gadā bija par 2</w:t>
      </w:r>
      <w:r>
        <w:rPr>
          <w:rFonts w:ascii="Candara" w:hAnsi="Candara"/>
          <w:color w:val="000000"/>
          <w:szCs w:val="28"/>
        </w:rPr>
        <w:t>4</w:t>
      </w:r>
      <w:r w:rsidRPr="00EF043E">
        <w:rPr>
          <w:rFonts w:ascii="Candara" w:hAnsi="Candara"/>
          <w:color w:val="000000"/>
          <w:szCs w:val="28"/>
        </w:rPr>
        <w:t>% zemāks nekā vidēji ES, kas liecina, ka nozarē lēta darbaspēka konkurētspējas priekšrocības saglabājas.</w:t>
      </w:r>
    </w:p>
    <w:p w:rsidR="00C23A95" w:rsidP="00762D1E">
      <w:pPr>
        <w:spacing w:after="0" w:line="240" w:lineRule="auto"/>
        <w:rPr>
          <w:rFonts w:ascii="Candara" w:hAnsi="Candara"/>
          <w:color w:val="000000"/>
          <w:szCs w:val="28"/>
        </w:rPr>
      </w:pPr>
      <w:r>
        <w:rPr>
          <w:rFonts w:ascii="Candara" w:hAnsi="Candara"/>
          <w:color w:val="000000"/>
          <w:szCs w:val="28"/>
        </w:rPr>
        <w:br w:type="page"/>
      </w:r>
    </w:p>
    <w:p w:rsidR="00B2274B" w:rsidP="00B2274B">
      <w:pPr>
        <w:pStyle w:val="Heading1"/>
        <w:jc w:val="center"/>
        <w:rPr>
          <w:b/>
          <w:sz w:val="22"/>
        </w:rPr>
      </w:pPr>
      <w:bookmarkStart w:id="56" w:name="_Toc482792413"/>
      <w:bookmarkStart w:id="57" w:name="_Hlk504751384"/>
      <w:bookmarkStart w:id="58" w:name="_Toc256000015"/>
      <w:bookmarkStart w:id="59" w:name="_Toc256000041"/>
      <w:r>
        <w:rPr>
          <w:b/>
          <w:sz w:val="22"/>
        </w:rPr>
        <w:t>D ELEKTROENERĢIJA, GĀZES APGĀDE, SILTUMAPGĀDE UN GAISA KONDICIONĒŠANA</w:t>
      </w:r>
      <w:bookmarkEnd w:id="59"/>
      <w:bookmarkEnd w:id="58"/>
      <w:bookmarkEnd w:id="56"/>
    </w:p>
    <w:tbl>
      <w:tblPr>
        <w:tblW w:w="10556"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3581"/>
        <w:gridCol w:w="1779"/>
        <w:gridCol w:w="1839"/>
        <w:gridCol w:w="3357"/>
      </w:tblGrid>
      <w:tr w:rsidTr="007E5762">
        <w:tblPrEx>
          <w:tblW w:w="10556"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Ex>
        <w:trPr>
          <w:jc w:val="center"/>
        </w:trPr>
        <w:tc>
          <w:tcPr>
            <w:tcW w:w="35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Nozares īpatsvars tautsaimniecībā (faktiskajās cenās), %</w:t>
            </w:r>
          </w:p>
        </w:tc>
        <w:tc>
          <w:tcPr>
            <w:tcW w:w="361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Pievienotās vērtības un darba vietu skaita izmaiņas (2005=100)</w:t>
            </w:r>
          </w:p>
        </w:tc>
        <w:tc>
          <w:tcPr>
            <w:tcW w:w="335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Elektroenerģijas eksports, milj. EUR*</w:t>
            </w:r>
          </w:p>
        </w:tc>
      </w:tr>
      <w:tr w:rsidTr="007E5762">
        <w:tblPrEx>
          <w:tblW w:w="10556" w:type="dxa"/>
          <w:jc w:val="center"/>
          <w:tblLook w:val="04A0"/>
        </w:tblPrEx>
        <w:trPr>
          <w:jc w:val="center"/>
        </w:trPr>
        <w:tc>
          <w:tcPr>
            <w:tcW w:w="35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rPr>
                <w:rFonts w:ascii="Candara" w:hAnsi="Candara"/>
              </w:rPr>
            </w:pPr>
            <w:r>
              <w:rPr>
                <w:noProof/>
                <w:lang w:eastAsia="lv-LV"/>
              </w:rPr>
              <w:drawing>
                <wp:inline distT="0" distB="0" distL="0" distR="0">
                  <wp:extent cx="2136775" cy="976108"/>
                  <wp:effectExtent l="0" t="0" r="0" b="0"/>
                  <wp:docPr id="731" name="Chart 7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tc>
        <w:tc>
          <w:tcPr>
            <w:tcW w:w="361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1943100" cy="1004157"/>
                  <wp:effectExtent l="0" t="0" r="0" b="5715"/>
                  <wp:docPr id="730" name="Chart 7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tc>
        <w:tc>
          <w:tcPr>
            <w:tcW w:w="335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rPr>
                <w:rFonts w:ascii="Candara" w:hAnsi="Candara"/>
              </w:rPr>
            </w:pPr>
            <w:r>
              <w:rPr>
                <w:b/>
                <w:noProof/>
                <w:lang w:eastAsia="lv-LV"/>
              </w:rPr>
              <w:drawing>
                <wp:inline distT="0" distB="0" distL="0" distR="0">
                  <wp:extent cx="1978025" cy="932180"/>
                  <wp:effectExtent l="0" t="0" r="3175" b="1270"/>
                  <wp:docPr id="729" name="Chart 7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p>
          <w:p w:rsidR="00B2274B" w:rsidP="00762D1E">
            <w:pPr>
              <w:spacing w:after="0" w:line="240" w:lineRule="auto"/>
              <w:rPr>
                <w:rFonts w:ascii="Candara" w:hAnsi="Candara"/>
              </w:rPr>
            </w:pPr>
            <w:r>
              <w:rPr>
                <w:rFonts w:ascii="Candara" w:hAnsi="Candara"/>
                <w:sz w:val="14"/>
                <w:szCs w:val="14"/>
              </w:rPr>
              <w:t>* EM novērtējums pēc KN produktu klasifikācijas</w:t>
            </w:r>
          </w:p>
        </w:tc>
      </w:tr>
      <w:tr w:rsidTr="007E5762">
        <w:tblPrEx>
          <w:tblW w:w="10556" w:type="dxa"/>
          <w:jc w:val="center"/>
          <w:tblLook w:val="04A0"/>
        </w:tblPrEx>
        <w:trPr>
          <w:jc w:val="center"/>
        </w:trPr>
        <w:tc>
          <w:tcPr>
            <w:tcW w:w="35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Eksports uz 1 strādājošo, tūkst. EUR</w:t>
            </w:r>
          </w:p>
        </w:tc>
        <w:tc>
          <w:tcPr>
            <w:tcW w:w="6975"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Eksports uz 1 strādājošo ES-28 valstīs, tūkst. EUR</w:t>
            </w:r>
          </w:p>
        </w:tc>
      </w:tr>
      <w:tr w:rsidTr="007E5762">
        <w:tblPrEx>
          <w:tblW w:w="10556" w:type="dxa"/>
          <w:jc w:val="center"/>
          <w:tblLook w:val="04A0"/>
        </w:tblPrEx>
        <w:trPr>
          <w:jc w:val="center"/>
        </w:trPr>
        <w:tc>
          <w:tcPr>
            <w:tcW w:w="35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36775" cy="1099524"/>
                  <wp:effectExtent l="0" t="0" r="0" b="5715"/>
                  <wp:docPr id="728" name="Chart 7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p>
        </w:tc>
        <w:tc>
          <w:tcPr>
            <w:tcW w:w="6975"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4114800" cy="1121964"/>
                  <wp:effectExtent l="0" t="0" r="0" b="2540"/>
                  <wp:docPr id="727" name="Chart 7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p>
        </w:tc>
      </w:tr>
      <w:tr w:rsidTr="007E5762">
        <w:tblPrEx>
          <w:tblW w:w="10556" w:type="dxa"/>
          <w:jc w:val="center"/>
          <w:tblLook w:val="04A0"/>
        </w:tblPrEx>
        <w:trPr>
          <w:jc w:val="center"/>
        </w:trPr>
        <w:tc>
          <w:tcPr>
            <w:tcW w:w="10556"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7E5762" w:rsidP="007E5762">
            <w:pPr>
              <w:spacing w:after="0" w:line="240" w:lineRule="auto"/>
              <w:jc w:val="center"/>
              <w:rPr>
                <w:rFonts w:ascii="Candara" w:hAnsi="Candara"/>
                <w:sz w:val="18"/>
              </w:rPr>
            </w:pPr>
            <w:r>
              <w:rPr>
                <w:rFonts w:ascii="Candara" w:hAnsi="Candara"/>
                <w:sz w:val="18"/>
                <w:szCs w:val="20"/>
              </w:rPr>
              <w:t>Eksporta tirgi, 2016.g.</w:t>
            </w:r>
          </w:p>
        </w:tc>
      </w:tr>
      <w:tr w:rsidTr="002E37BD">
        <w:tblPrEx>
          <w:tblW w:w="10556" w:type="dxa"/>
          <w:jc w:val="center"/>
          <w:tblLook w:val="04A0"/>
        </w:tblPrEx>
        <w:trPr>
          <w:jc w:val="center"/>
        </w:trPr>
        <w:tc>
          <w:tcPr>
            <w:tcW w:w="10556"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7E5762" w:rsidP="007E5762">
            <w:pPr>
              <w:tabs>
                <w:tab w:val="left" w:pos="8080"/>
              </w:tabs>
              <w:spacing w:after="0" w:line="240" w:lineRule="auto"/>
              <w:ind w:right="-28"/>
              <w:jc w:val="center"/>
            </w:pPr>
            <w:r>
              <w:rPr>
                <w:noProof/>
                <w:lang w:eastAsia="lv-LV"/>
              </w:rPr>
              <w:drawing>
                <wp:inline distT="0" distB="0" distL="0" distR="0">
                  <wp:extent cx="1899285" cy="1266190"/>
                  <wp:effectExtent l="0" t="0" r="0" b="0"/>
                  <wp:docPr id="726" name="Chart 7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inline>
              </w:drawing>
            </w:r>
          </w:p>
        </w:tc>
      </w:tr>
      <w:tr w:rsidTr="007E5762">
        <w:tblPrEx>
          <w:tblW w:w="10556" w:type="dxa"/>
          <w:jc w:val="center"/>
          <w:tblLook w:val="04A0"/>
        </w:tblPrEx>
        <w:trPr>
          <w:jc w:val="center"/>
        </w:trPr>
        <w:tc>
          <w:tcPr>
            <w:tcW w:w="35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Darbaspēka izmaksu dinamika, tūkst. EUR</w:t>
            </w:r>
          </w:p>
        </w:tc>
        <w:tc>
          <w:tcPr>
            <w:tcW w:w="361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Produktivitātes dinamika, tūkst. EUR</w:t>
            </w:r>
          </w:p>
        </w:tc>
        <w:tc>
          <w:tcPr>
            <w:tcW w:w="335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 un darbaspēka izmaksas</w:t>
            </w:r>
          </w:p>
        </w:tc>
      </w:tr>
      <w:tr w:rsidTr="007E5762">
        <w:tblPrEx>
          <w:tblW w:w="10556" w:type="dxa"/>
          <w:jc w:val="center"/>
          <w:tblLook w:val="04A0"/>
        </w:tblPrEx>
        <w:trPr>
          <w:jc w:val="center"/>
        </w:trPr>
        <w:tc>
          <w:tcPr>
            <w:tcW w:w="35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36775" cy="1169670"/>
                  <wp:effectExtent l="0" t="0" r="0" b="0"/>
                  <wp:docPr id="725" name="Chart 7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p>
        </w:tc>
        <w:tc>
          <w:tcPr>
            <w:tcW w:w="361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36775" cy="1169670"/>
                  <wp:effectExtent l="0" t="0" r="0" b="0"/>
                  <wp:docPr id="724" name="Chart 7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tc>
        <w:tc>
          <w:tcPr>
            <w:tcW w:w="3357"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1846580" cy="2233295"/>
                  <wp:effectExtent l="0" t="0" r="0" b="0"/>
                  <wp:docPr id="723" name="Chart 7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tc>
      </w:tr>
      <w:tr w:rsidTr="007E5762">
        <w:tblPrEx>
          <w:tblW w:w="10556" w:type="dxa"/>
          <w:jc w:val="center"/>
          <w:tblLook w:val="04A0"/>
        </w:tblPrEx>
        <w:trPr>
          <w:jc w:val="center"/>
        </w:trPr>
        <w:tc>
          <w:tcPr>
            <w:tcW w:w="35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Darbaspēka izmaksas, ES-28=100</w:t>
            </w:r>
          </w:p>
        </w:tc>
        <w:tc>
          <w:tcPr>
            <w:tcW w:w="361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 ES-28=100</w:t>
            </w:r>
          </w:p>
        </w:tc>
        <w:tc>
          <w:tcPr>
            <w:tcW w:w="0" w:type="auto"/>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B2274B">
            <w:pPr>
              <w:rPr>
                <w:rFonts w:ascii="Candara" w:hAnsi="Candara"/>
              </w:rPr>
            </w:pPr>
          </w:p>
        </w:tc>
      </w:tr>
      <w:tr w:rsidTr="007E5762">
        <w:tblPrEx>
          <w:tblW w:w="10556" w:type="dxa"/>
          <w:jc w:val="center"/>
          <w:tblLook w:val="04A0"/>
        </w:tblPrEx>
        <w:trPr>
          <w:jc w:val="center"/>
        </w:trPr>
        <w:tc>
          <w:tcPr>
            <w:tcW w:w="35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27885" cy="1055370"/>
                  <wp:effectExtent l="0" t="0" r="5715" b="0"/>
                  <wp:docPr id="722" name="Chart 7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p>
        </w:tc>
        <w:tc>
          <w:tcPr>
            <w:tcW w:w="361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36775" cy="1055370"/>
                  <wp:effectExtent l="0" t="0" r="0" b="0"/>
                  <wp:docPr id="721" name="Chart 7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tc>
        <w:tc>
          <w:tcPr>
            <w:tcW w:w="0" w:type="auto"/>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B2274B">
            <w:pPr>
              <w:rPr>
                <w:rFonts w:ascii="Candara" w:hAnsi="Candara"/>
              </w:rPr>
            </w:pPr>
          </w:p>
        </w:tc>
      </w:tr>
      <w:tr w:rsidTr="007E5762">
        <w:tblPrEx>
          <w:tblW w:w="10556" w:type="dxa"/>
          <w:jc w:val="center"/>
          <w:tblLook w:val="04A0"/>
        </w:tblPrEx>
        <w:trPr>
          <w:jc w:val="center"/>
        </w:trPr>
        <w:tc>
          <w:tcPr>
            <w:tcW w:w="536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Darbaspēka izmaksas uz 1 nodarbināto 2016.g., tūkst. EUR</w:t>
            </w:r>
          </w:p>
        </w:tc>
        <w:tc>
          <w:tcPr>
            <w:tcW w:w="519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Produktivitāte (PV uz 1 nodarbināto) 2016.g., tūkst. EUR</w:t>
            </w:r>
          </w:p>
        </w:tc>
      </w:tr>
      <w:tr w:rsidTr="007E5762">
        <w:tblPrEx>
          <w:tblW w:w="10556" w:type="dxa"/>
          <w:jc w:val="center"/>
          <w:tblLook w:val="04A0"/>
        </w:tblPrEx>
        <w:trPr>
          <w:jc w:val="center"/>
        </w:trPr>
        <w:tc>
          <w:tcPr>
            <w:tcW w:w="536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3156585" cy="1169670"/>
                  <wp:effectExtent l="0" t="0" r="5715" b="0"/>
                  <wp:docPr id="720" name="Chart 7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p>
        </w:tc>
        <w:tc>
          <w:tcPr>
            <w:tcW w:w="519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3156585" cy="1169670"/>
                  <wp:effectExtent l="0" t="0" r="5715" b="0"/>
                  <wp:docPr id="719" name="Chart 7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5"/>
                    </a:graphicData>
                  </a:graphic>
                </wp:inline>
              </w:drawing>
            </w:r>
          </w:p>
        </w:tc>
      </w:tr>
      <w:tr w:rsidTr="007E5762">
        <w:tblPrEx>
          <w:tblW w:w="10556" w:type="dxa"/>
          <w:jc w:val="center"/>
          <w:tblLook w:val="04A0"/>
        </w:tblPrEx>
        <w:trPr>
          <w:jc w:val="center"/>
        </w:trPr>
        <w:tc>
          <w:tcPr>
            <w:tcW w:w="536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 un darbaspēka izmaksas ES-28 valstīs 2010.g.</w:t>
            </w:r>
          </w:p>
        </w:tc>
        <w:tc>
          <w:tcPr>
            <w:tcW w:w="519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 un darbaspēka izmaksas ES-28 valstīs 2015.g.</w:t>
            </w:r>
          </w:p>
        </w:tc>
      </w:tr>
      <w:tr w:rsidTr="007E5762">
        <w:tblPrEx>
          <w:tblW w:w="10556" w:type="dxa"/>
          <w:jc w:val="center"/>
          <w:tblLook w:val="04A0"/>
        </w:tblPrEx>
        <w:trPr>
          <w:jc w:val="center"/>
        </w:trPr>
        <w:tc>
          <w:tcPr>
            <w:tcW w:w="536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rPr>
                <w:rFonts w:ascii="Candara" w:hAnsi="Candara"/>
              </w:rPr>
            </w:pPr>
            <w:r>
              <w:rPr>
                <w:noProof/>
                <w:lang w:eastAsia="lv-LV"/>
              </w:rPr>
              <w:drawing>
                <wp:inline distT="0" distB="0" distL="0" distR="0">
                  <wp:extent cx="3059430" cy="1336675"/>
                  <wp:effectExtent l="0" t="0" r="0" b="0"/>
                  <wp:docPr id="718" name="Chart 7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6"/>
                    </a:graphicData>
                  </a:graphic>
                </wp:inline>
              </w:drawing>
            </w:r>
          </w:p>
        </w:tc>
        <w:tc>
          <w:tcPr>
            <w:tcW w:w="519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rPr>
                <w:rFonts w:ascii="Candara" w:hAnsi="Candara"/>
              </w:rPr>
            </w:pPr>
            <w:r>
              <w:rPr>
                <w:noProof/>
                <w:lang w:eastAsia="lv-LV"/>
              </w:rPr>
              <w:drawing>
                <wp:inline distT="0" distB="0" distL="0" distR="0">
                  <wp:extent cx="3059430" cy="1336675"/>
                  <wp:effectExtent l="0" t="0" r="7620" b="0"/>
                  <wp:docPr id="717" name="Chart 7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p>
        </w:tc>
      </w:tr>
    </w:tbl>
    <w:p w:rsidR="00B2274B" w:rsidP="00B2274B">
      <w:pPr>
        <w:spacing w:after="0" w:line="240" w:lineRule="auto"/>
        <w:rPr>
          <w:rFonts w:ascii="Candara" w:hAnsi="Candara"/>
          <w:b/>
          <w:color w:val="000000"/>
          <w:szCs w:val="28"/>
        </w:rPr>
      </w:pPr>
    </w:p>
    <w:p w:rsidR="00777474" w:rsidP="00777474">
      <w:pPr>
        <w:spacing w:after="0" w:line="240" w:lineRule="auto"/>
        <w:jc w:val="both"/>
        <w:rPr>
          <w:rFonts w:ascii="Candara" w:hAnsi="Candara"/>
          <w:b/>
          <w:color w:val="000000"/>
          <w:szCs w:val="28"/>
          <w:u w:val="single"/>
        </w:rPr>
      </w:pPr>
      <w:bookmarkEnd w:id="57"/>
      <w:r>
        <w:rPr>
          <w:rFonts w:ascii="Candara" w:hAnsi="Candara"/>
          <w:b/>
          <w:color w:val="000000"/>
          <w:szCs w:val="28"/>
          <w:u w:val="single"/>
        </w:rPr>
        <w:t>Nozares īpatsvars tautsaimniecībā, procentos.</w:t>
      </w:r>
      <w:r>
        <w:rPr>
          <w:rFonts w:ascii="Candara" w:hAnsi="Candara"/>
          <w:color w:val="000000"/>
          <w:szCs w:val="28"/>
        </w:rPr>
        <w:t xml:space="preserve"> Nozares īpatsvars tautsaimniecībā bija palielinājies no 2,2% 2005.gadā līdz 3,3% 2010.gadā. Kopš 2011.gada nozares īpatsvars pakāpeniski samazinās, 2015.gadā sasniedzot 2,4%.</w:t>
      </w:r>
    </w:p>
    <w:p w:rsidR="00777474" w:rsidP="00777474">
      <w:pPr>
        <w:spacing w:after="0" w:line="240" w:lineRule="auto"/>
        <w:jc w:val="both"/>
        <w:rPr>
          <w:rFonts w:ascii="Candara" w:hAnsi="Candara"/>
          <w:color w:val="000000"/>
          <w:szCs w:val="28"/>
        </w:rPr>
      </w:pPr>
      <w:r>
        <w:rPr>
          <w:rFonts w:ascii="Candara" w:hAnsi="Candara"/>
          <w:b/>
          <w:color w:val="000000"/>
          <w:szCs w:val="28"/>
          <w:u w:val="single"/>
        </w:rPr>
        <w:t>Pievienotās vērtības un darba vietu skaita izmaiņas, 2005=100.</w:t>
      </w:r>
      <w:r>
        <w:rPr>
          <w:rFonts w:ascii="Candara" w:hAnsi="Candara"/>
          <w:color w:val="000000"/>
          <w:szCs w:val="28"/>
        </w:rPr>
        <w:t xml:space="preserve"> Nozarē ražošanas apjomi 2014. un 2015.gadā saruka. Lielā mērā tas bija saistīts ar laika apstākļiem, kā rezultātā tika saražoti mazāki elektroenerģijas un siltumenerģijas apjomi. Kopš krīzes 2009. gadā nozares izlaides apjomi ir samazinājušies par 10,5%. Salīdzinājumā ar ražošanas apjomu kritumu darbavietu skaits nozarē samazinās lēnāk, kas liecina par produktivitātes kritumu.</w:t>
      </w:r>
      <w:r>
        <w:t xml:space="preserve"> </w:t>
      </w:r>
      <w:r>
        <w:rPr>
          <w:rFonts w:ascii="Candara" w:hAnsi="Candara"/>
          <w:color w:val="000000"/>
          <w:szCs w:val="28"/>
        </w:rPr>
        <w:t>2016.gadā, salīdzinot ar krīzes zemāko punktu 2010.gadā, darbavietu skaits bija pieaudzis par 1%, bet par 13% atpalika no pirmskrīzes līmeņa.</w:t>
      </w:r>
    </w:p>
    <w:p w:rsidR="00777474" w:rsidP="00777474">
      <w:pPr>
        <w:spacing w:after="0" w:line="240" w:lineRule="auto"/>
        <w:jc w:val="both"/>
        <w:rPr>
          <w:rFonts w:ascii="Candara" w:hAnsi="Candara"/>
          <w:color w:val="000000"/>
          <w:szCs w:val="28"/>
        </w:rPr>
      </w:pPr>
      <w:r>
        <w:rPr>
          <w:rFonts w:ascii="Candara" w:hAnsi="Candara"/>
          <w:b/>
          <w:color w:val="000000"/>
          <w:szCs w:val="28"/>
          <w:u w:val="single"/>
        </w:rPr>
        <w:t>Elektroenerģijas eksports, milj. EUR.</w:t>
      </w:r>
      <w:r>
        <w:rPr>
          <w:rFonts w:ascii="Candara" w:hAnsi="Candara"/>
          <w:color w:val="000000"/>
          <w:szCs w:val="28"/>
        </w:rPr>
        <w:t xml:space="preserve"> Elektroenerģijas eksportu būtiski ietekmē tās cena. 2011.gadā strauji palielinoties elektroeneģijas cenai, tās vērtība strauji pieauga. Savukārt sākot no 2012.gadā, saglabājoties elektroenerģijas eksporta apjomiem, tā vērtība bija ievērojami mazāka.</w:t>
      </w:r>
    </w:p>
    <w:p w:rsidR="00777474" w:rsidP="00777474">
      <w:pPr>
        <w:spacing w:after="0" w:line="240" w:lineRule="auto"/>
        <w:jc w:val="both"/>
        <w:rPr>
          <w:rFonts w:ascii="Candara" w:hAnsi="Candara"/>
          <w:b/>
          <w:color w:val="000000"/>
          <w:szCs w:val="28"/>
          <w:u w:val="single"/>
        </w:rPr>
      </w:pPr>
      <w:r>
        <w:rPr>
          <w:rFonts w:ascii="Candara" w:hAnsi="Candara"/>
          <w:b/>
          <w:color w:val="000000"/>
          <w:szCs w:val="28"/>
          <w:u w:val="single"/>
        </w:rPr>
        <w:t>Eksports uz 1 strādājošo, tūkst. EUR.</w:t>
      </w:r>
      <w:r>
        <w:rPr>
          <w:rFonts w:ascii="Candara" w:hAnsi="Candara"/>
          <w:color w:val="000000"/>
          <w:szCs w:val="28"/>
        </w:rPr>
        <w:t xml:space="preserve"> Eksporta apjoma uz vienu strādājošo svārstības pamatā ir atkarīgas no elektroeneģijas cenas. Kopš 2011.gada eksports uz vienu strādājošo ir ievērojami sarucis. </w:t>
      </w:r>
    </w:p>
    <w:p w:rsidR="00777474" w:rsidP="00777474">
      <w:pPr>
        <w:spacing w:after="0" w:line="240" w:lineRule="auto"/>
        <w:jc w:val="both"/>
        <w:rPr>
          <w:rFonts w:ascii="Candara" w:hAnsi="Candara"/>
          <w:color w:val="000000"/>
          <w:szCs w:val="28"/>
        </w:rPr>
      </w:pPr>
      <w:r>
        <w:rPr>
          <w:rFonts w:ascii="Candara" w:hAnsi="Candara"/>
          <w:b/>
          <w:color w:val="000000"/>
          <w:szCs w:val="28"/>
          <w:u w:val="single"/>
        </w:rPr>
        <w:t>Eksports uz 1 strādājošo ES 28 valstīs, tūkst. EUR.</w:t>
      </w:r>
      <w:r>
        <w:rPr>
          <w:rFonts w:ascii="Candara" w:hAnsi="Candara"/>
          <w:color w:val="000000"/>
          <w:szCs w:val="28"/>
        </w:rPr>
        <w:t xml:space="preserve"> Latvijā eksports apjoms uz vienu strādājošo bija zemāks nekā Lietuvā, Igaunijā un ES vidēji.</w:t>
      </w:r>
    </w:p>
    <w:p w:rsidR="00777474" w:rsidP="00777474">
      <w:pPr>
        <w:spacing w:after="0" w:line="240" w:lineRule="auto"/>
        <w:jc w:val="both"/>
        <w:rPr>
          <w:rFonts w:ascii="Candara" w:hAnsi="Candara"/>
          <w:b/>
          <w:color w:val="000000"/>
          <w:szCs w:val="28"/>
          <w:u w:val="single"/>
        </w:rPr>
      </w:pPr>
      <w:r>
        <w:rPr>
          <w:rFonts w:ascii="Candara" w:hAnsi="Candara"/>
          <w:b/>
          <w:color w:val="000000"/>
          <w:szCs w:val="28"/>
          <w:u w:val="single"/>
        </w:rPr>
        <w:t>Eksporta tirgi.</w:t>
      </w:r>
      <w:r>
        <w:rPr>
          <w:rFonts w:ascii="Candara" w:hAnsi="Candara"/>
          <w:color w:val="000000"/>
          <w:szCs w:val="28"/>
        </w:rPr>
        <w:t xml:space="preserve"> Elektroenerģijas eksporta tirgi ir Igaunija un Lietuva.</w:t>
      </w:r>
    </w:p>
    <w:p w:rsidR="00777474" w:rsidP="00777474">
      <w:pPr>
        <w:spacing w:after="0" w:line="240" w:lineRule="auto"/>
        <w:jc w:val="both"/>
        <w:rPr>
          <w:rFonts w:ascii="Candara" w:hAnsi="Candara"/>
          <w:b/>
          <w:color w:val="000000"/>
          <w:szCs w:val="28"/>
          <w:u w:val="single"/>
        </w:rPr>
      </w:pPr>
      <w:r>
        <w:rPr>
          <w:rFonts w:ascii="Candara" w:hAnsi="Candara"/>
          <w:b/>
          <w:color w:val="000000"/>
          <w:szCs w:val="28"/>
          <w:u w:val="single"/>
        </w:rPr>
        <w:t>Darbaspēka izmaksu dinamika, tūkst.</w:t>
      </w:r>
      <w:r>
        <w:rPr>
          <w:rFonts w:ascii="Candara" w:hAnsi="Candara"/>
          <w:color w:val="000000"/>
          <w:szCs w:val="28"/>
        </w:rPr>
        <w:t xml:space="preserve"> Krīzes laikā darbaspēka izmaksas nozarē saglabājās praktiski nemainīgas, pārsniedzot pirmskrīzes līmeni. Atsākoties ekonomikas izaugsmei, kopš 2012.gada darba samaksas pieaugums nozarē pakāpeniski pieaug (izņemot 2013.gadu).</w:t>
      </w:r>
    </w:p>
    <w:p w:rsidR="00777474" w:rsidP="00777474">
      <w:pPr>
        <w:spacing w:after="0" w:line="240" w:lineRule="auto"/>
        <w:jc w:val="both"/>
        <w:rPr>
          <w:rFonts w:ascii="Candara" w:hAnsi="Candara"/>
          <w:color w:val="000000"/>
          <w:szCs w:val="28"/>
        </w:rPr>
      </w:pPr>
      <w:r>
        <w:rPr>
          <w:rFonts w:ascii="Candara" w:hAnsi="Candara"/>
          <w:b/>
          <w:color w:val="000000"/>
          <w:szCs w:val="28"/>
          <w:u w:val="single"/>
        </w:rPr>
        <w:t>Produktivitātes dinamika, tūkst.</w:t>
      </w:r>
      <w:r>
        <w:rPr>
          <w:rFonts w:ascii="Candara" w:hAnsi="Candara"/>
          <w:color w:val="000000"/>
          <w:szCs w:val="28"/>
        </w:rPr>
        <w:t xml:space="preserve"> Ražošana apjomu kāpums un būtisks nodarbināto skaita samazinājums krīzes laikā veicināja strauju produktivitātes kāpumu 2010.gadā. Savukārt, 2011.gadā, samazinoties ražošanas apjomiem, produktivitāte samazinājās. Kopš 2011.gada vērojams pakāpenisks produktivitātes kritums, kas saistīts ar ražošanas apjomu kritumu par 19%. Kopš 2015.gada produktivitāte pieaug, sasniedzot 2011.gada līmeni. </w:t>
      </w:r>
    </w:p>
    <w:p w:rsidR="00777474" w:rsidP="00777474">
      <w:pPr>
        <w:spacing w:after="0" w:line="240" w:lineRule="auto"/>
        <w:jc w:val="both"/>
        <w:rPr>
          <w:rFonts w:ascii="Candara" w:hAnsi="Candara"/>
          <w:b/>
          <w:color w:val="000000"/>
          <w:szCs w:val="28"/>
          <w:u w:val="single"/>
        </w:rPr>
      </w:pPr>
      <w:r>
        <w:rPr>
          <w:rFonts w:ascii="Candara" w:hAnsi="Candara"/>
          <w:b/>
          <w:color w:val="000000"/>
          <w:szCs w:val="28"/>
          <w:u w:val="single"/>
        </w:rPr>
        <w:t>Produktivitāte un darbaspēka izmaksas.</w:t>
      </w:r>
      <w:r>
        <w:rPr>
          <w:rFonts w:ascii="Candara" w:hAnsi="Candara"/>
          <w:color w:val="000000"/>
          <w:szCs w:val="28"/>
        </w:rPr>
        <w:t xml:space="preserve"> Krīze pozitīvi ietekmēja nozares konkurētspēju (ULC samazinājās par 18%, ko galvenokārt noteica nodarbināto skaita samazinājums un ražošanas apjomu kāpums 2010.gadā). Bet kopš 2011.gada ULC pakāpeniski pieaug, ko noteica darbaspēka izmaksu kāpums un produktivitātes kritums, ražošanas apjomiem samazinoties piecas reizes straujāk nekā nodarbināto skaitam. Tas liecina par cenu konkurētspējas (izmaksu) samazināšanos. 2016.gadā, salīdzinot ar 2010.gadu, darbaspēka izmaksas uz 1 produkcijas vienību Latvijā bija par 48% augstākas, bet produktivitāte par 10% zemākā līmenī. Izmaksu konkurētspējas priekšrocības ES tirgū samazinās.</w:t>
      </w:r>
    </w:p>
    <w:p w:rsidR="00777474" w:rsidP="00777474">
      <w:pPr>
        <w:spacing w:after="0" w:line="240" w:lineRule="auto"/>
        <w:jc w:val="both"/>
        <w:rPr>
          <w:rFonts w:ascii="Candara" w:hAnsi="Candara"/>
          <w:color w:val="000000"/>
          <w:szCs w:val="28"/>
        </w:rPr>
      </w:pPr>
      <w:r>
        <w:rPr>
          <w:rFonts w:ascii="Candara" w:hAnsi="Candara"/>
          <w:b/>
          <w:color w:val="000000"/>
          <w:szCs w:val="28"/>
          <w:u w:val="single"/>
        </w:rPr>
        <w:t>Darbaspēka izmaksas, ES-28=100.</w:t>
      </w:r>
      <w:r>
        <w:rPr>
          <w:rFonts w:ascii="Candara" w:hAnsi="Candara"/>
          <w:color w:val="000000"/>
          <w:szCs w:val="28"/>
        </w:rPr>
        <w:t xml:space="preserve"> Salīdzinot ar darbaspēka izmaksu vidējo līmeni ES, nozarē tās ir zemākas nekā tautsaimniecībā kopumā, bet pēdējos gados rādītājs ir palielinājies.</w:t>
      </w:r>
    </w:p>
    <w:p w:rsidR="00777474" w:rsidP="00777474">
      <w:pPr>
        <w:spacing w:after="0" w:line="240" w:lineRule="auto"/>
        <w:jc w:val="both"/>
        <w:rPr>
          <w:rFonts w:ascii="Candara" w:hAnsi="Candara"/>
          <w:color w:val="000000"/>
          <w:szCs w:val="28"/>
        </w:rPr>
      </w:pPr>
      <w:r>
        <w:rPr>
          <w:rFonts w:ascii="Candara" w:hAnsi="Candara"/>
          <w:b/>
          <w:color w:val="000000"/>
          <w:szCs w:val="28"/>
          <w:u w:val="single"/>
        </w:rPr>
        <w:t>Produktivitāte, ES-28=100.</w:t>
      </w:r>
      <w:r>
        <w:rPr>
          <w:rFonts w:ascii="Candara" w:hAnsi="Candara"/>
          <w:color w:val="000000"/>
          <w:szCs w:val="28"/>
        </w:rPr>
        <w:t xml:space="preserve"> Salīdzinot ar vidējo līmeni ES, nozarē produktivitātes līmenis ir zemāks nekā tautsaimniecībā kopumā. Krīzes laikā iegūto konkurētspējas priekšrocību pamatā produktivitāte strauji palielinājās. Pēckrīzes periodā līdz pat 2016.gadam vērojams līmeņa samazinājums.</w:t>
      </w:r>
    </w:p>
    <w:p w:rsidR="00777474" w:rsidP="00777474">
      <w:pPr>
        <w:spacing w:after="0" w:line="240" w:lineRule="auto"/>
        <w:jc w:val="both"/>
        <w:rPr>
          <w:rFonts w:ascii="Candara" w:hAnsi="Candara"/>
          <w:color w:val="000000"/>
          <w:szCs w:val="28"/>
        </w:rPr>
      </w:pPr>
      <w:r>
        <w:rPr>
          <w:rFonts w:ascii="Candara" w:hAnsi="Candara"/>
          <w:b/>
          <w:color w:val="000000"/>
          <w:szCs w:val="28"/>
          <w:u w:val="single"/>
        </w:rPr>
        <w:t>Darbaspēka izmaksas, salīdzinot ar ES valstīm, 2016.gadā.</w:t>
      </w:r>
      <w:r>
        <w:rPr>
          <w:rFonts w:ascii="Candara" w:hAnsi="Candara"/>
          <w:color w:val="000000"/>
          <w:szCs w:val="28"/>
        </w:rPr>
        <w:t xml:space="preserve"> Latvijā 2016.gadā darbaspēka izmaksas nozarē bija vienas no zemākajām starp ES valstīm, zemākas tās bija tikai Polijā, Bulgārijā, Lietuvā un Rumānijā. </w:t>
      </w:r>
    </w:p>
    <w:p w:rsidR="00777474" w:rsidP="00777474">
      <w:pPr>
        <w:spacing w:after="0" w:line="240" w:lineRule="auto"/>
        <w:jc w:val="both"/>
        <w:rPr>
          <w:rFonts w:ascii="Candara" w:hAnsi="Candara"/>
          <w:color w:val="000000"/>
          <w:szCs w:val="28"/>
        </w:rPr>
      </w:pPr>
      <w:r>
        <w:rPr>
          <w:rFonts w:ascii="Candara" w:hAnsi="Candara"/>
          <w:b/>
          <w:color w:val="000000"/>
          <w:szCs w:val="28"/>
          <w:u w:val="single"/>
        </w:rPr>
        <w:t>Produktivitāte, salīdzinot ar ES valstīm, 2016.gadā.</w:t>
      </w:r>
      <w:r>
        <w:rPr>
          <w:rFonts w:ascii="Candara" w:hAnsi="Candara"/>
          <w:color w:val="000000"/>
          <w:szCs w:val="28"/>
        </w:rPr>
        <w:t xml:space="preserve"> Latvijā 2016.gadā produktivitāte nozarē bija viena no zemākajām starp ES valstīm, zemāka tā bija tikai Bulgārijā.</w:t>
      </w:r>
    </w:p>
    <w:p w:rsidR="00777474" w:rsidP="00777474">
      <w:pPr>
        <w:spacing w:after="0" w:line="240" w:lineRule="auto"/>
        <w:jc w:val="both"/>
        <w:rPr>
          <w:rFonts w:ascii="Candara" w:hAnsi="Candara"/>
          <w:color w:val="000000"/>
          <w:szCs w:val="28"/>
        </w:rPr>
      </w:pPr>
      <w:r>
        <w:rPr>
          <w:rFonts w:ascii="Candara" w:hAnsi="Candara"/>
          <w:b/>
          <w:color w:val="000000"/>
          <w:szCs w:val="28"/>
          <w:u w:val="single"/>
        </w:rPr>
        <w:t>Produktivitāte un darbaspēka izmaksas ES-28 valstīs 2010.gadā un 2015.gadā.</w:t>
      </w:r>
      <w:r>
        <w:rPr>
          <w:rFonts w:ascii="Candara" w:hAnsi="Candara"/>
          <w:color w:val="000000"/>
          <w:szCs w:val="28"/>
        </w:rPr>
        <w:t xml:space="preserve"> Darbaspēka izmaksas uz 1 produkcijas vienību (ULC) nozarē Latvijā 2010.gadā bija vienādā līmenī ar ES vidējo rādītāju. 2015.gadā tas bija par 24% augstāks nekā ES vidējais rādītājs. Latvijā 2015.gadā, salīdzinot ar 2010.gadu darbaspēka izmaksas uz 1 produkcijas vienību ir pieaugušas par 48%, ko noteica darbaspēka izmaksu kāpums par 26% un ražošanas apjomu kritums par 19%  un attiecīgi arī produktivitātes kritums bija 15%. Tas liecina, ka nozarē lēta darbaspēka konkurētspējas priekšrocības samazinās.</w:t>
      </w:r>
    </w:p>
    <w:p w:rsidR="00B2274B" w:rsidP="00B2274B">
      <w:pPr>
        <w:spacing w:after="0" w:line="240" w:lineRule="auto"/>
        <w:jc w:val="both"/>
        <w:rPr>
          <w:rFonts w:ascii="Candara" w:hAnsi="Candara"/>
          <w:color w:val="000000"/>
          <w:szCs w:val="28"/>
        </w:rPr>
      </w:pPr>
      <w:r>
        <w:rPr>
          <w:rFonts w:ascii="Candara" w:hAnsi="Candara"/>
          <w:color w:val="000000"/>
          <w:szCs w:val="28"/>
        </w:rPr>
        <w:br w:type="page"/>
      </w:r>
    </w:p>
    <w:p w:rsidR="00B2274B" w:rsidP="00B2274B">
      <w:pPr>
        <w:pStyle w:val="Heading1"/>
        <w:jc w:val="center"/>
        <w:rPr>
          <w:b/>
          <w:sz w:val="22"/>
        </w:rPr>
      </w:pPr>
      <w:bookmarkStart w:id="60" w:name="_Toc482792414"/>
      <w:bookmarkStart w:id="61" w:name="_Hlk504752821"/>
      <w:bookmarkStart w:id="62" w:name="_Toc256000016"/>
      <w:bookmarkStart w:id="63" w:name="_Toc256000042"/>
      <w:r>
        <w:rPr>
          <w:b/>
          <w:sz w:val="22"/>
        </w:rPr>
        <w:t>E ŪDENS APGĀDE; NOTEKŪDEŅU, ATKRITUMU APSAIMNIEKOŠANA UN SANĀCIJA</w:t>
      </w:r>
      <w:bookmarkEnd w:id="63"/>
      <w:bookmarkEnd w:id="62"/>
      <w:bookmarkEnd w:id="60"/>
    </w:p>
    <w:tbl>
      <w:tblPr>
        <w:tblW w:w="10529"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3581"/>
        <w:gridCol w:w="1772"/>
        <w:gridCol w:w="1893"/>
        <w:gridCol w:w="3303"/>
      </w:tblGrid>
      <w:tr w:rsidTr="00B2274B">
        <w:tblPrEx>
          <w:tblW w:w="10529"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Nozares īpatsvars tautsaimniecībā (faktiskajās cenās), %</w:t>
            </w:r>
          </w:p>
        </w:tc>
        <w:tc>
          <w:tcPr>
            <w:tcW w:w="3647"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Pievienotās vērtības un darba vietu skaita izmaiņas (2005=100)</w:t>
            </w:r>
          </w:p>
        </w:tc>
        <w:tc>
          <w:tcPr>
            <w:tcW w:w="330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Pr>
          <w:p w:rsidR="00B2274B">
            <w:pPr>
              <w:jc w:val="center"/>
              <w:rPr>
                <w:rFonts w:ascii="Candara" w:hAnsi="Candara"/>
                <w:sz w:val="18"/>
                <w:szCs w:val="20"/>
              </w:rPr>
            </w:pPr>
          </w:p>
        </w:tc>
      </w:tr>
      <w:tr w:rsidTr="00B2274B">
        <w:tblPrEx>
          <w:tblW w:w="10529"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rPr>
                <w:rFonts w:ascii="Candara" w:hAnsi="Candara"/>
              </w:rPr>
            </w:pPr>
            <w:r>
              <w:rPr>
                <w:noProof/>
                <w:lang w:eastAsia="lv-LV"/>
              </w:rPr>
              <w:drawing>
                <wp:inline distT="0" distB="0" distL="0" distR="0">
                  <wp:extent cx="2136775" cy="1055370"/>
                  <wp:effectExtent l="0" t="0" r="0" b="0"/>
                  <wp:docPr id="716" name="Chart 7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8"/>
                    </a:graphicData>
                  </a:graphic>
                </wp:inline>
              </w:drawing>
            </w:r>
          </w:p>
        </w:tc>
        <w:tc>
          <w:tcPr>
            <w:tcW w:w="3647"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1943100" cy="1072515"/>
                  <wp:effectExtent l="0" t="0" r="0" b="0"/>
                  <wp:docPr id="715" name="Chart 7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9"/>
                    </a:graphicData>
                  </a:graphic>
                </wp:inline>
              </w:drawing>
            </w:r>
          </w:p>
        </w:tc>
        <w:tc>
          <w:tcPr>
            <w:tcW w:w="330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B2274B">
            <w:pPr>
              <w:rPr>
                <w:rFonts w:ascii="Candara" w:hAnsi="Candara"/>
              </w:rPr>
            </w:pPr>
          </w:p>
        </w:tc>
      </w:tr>
      <w:tr w:rsidTr="00B2274B">
        <w:tblPrEx>
          <w:tblW w:w="10529"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Darbaspēka izmaksu dinamika, tūkst. EUR</w:t>
            </w:r>
          </w:p>
        </w:tc>
        <w:tc>
          <w:tcPr>
            <w:tcW w:w="3647"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Produktivitātes dinamika, tūkst. EUR</w:t>
            </w:r>
          </w:p>
        </w:tc>
        <w:tc>
          <w:tcPr>
            <w:tcW w:w="330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 un darbaspēka izmaksas</w:t>
            </w:r>
          </w:p>
        </w:tc>
      </w:tr>
      <w:tr w:rsidTr="00B2274B">
        <w:tblPrEx>
          <w:tblW w:w="10529"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36775" cy="1169670"/>
                  <wp:effectExtent l="0" t="0" r="0" b="0"/>
                  <wp:docPr id="714" name="Chart 7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0"/>
                    </a:graphicData>
                  </a:graphic>
                </wp:inline>
              </w:drawing>
            </w:r>
          </w:p>
        </w:tc>
        <w:tc>
          <w:tcPr>
            <w:tcW w:w="3647"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36775" cy="1169670"/>
                  <wp:effectExtent l="0" t="0" r="0" b="0"/>
                  <wp:docPr id="713" name="Chart 7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1"/>
                    </a:graphicData>
                  </a:graphic>
                </wp:inline>
              </w:drawing>
            </w:r>
          </w:p>
        </w:tc>
        <w:tc>
          <w:tcPr>
            <w:tcW w:w="3306"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1846580" cy="2233295"/>
                  <wp:effectExtent l="0" t="0" r="0" b="0"/>
                  <wp:docPr id="712" name="Chart 7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2"/>
                    </a:graphicData>
                  </a:graphic>
                </wp:inline>
              </w:drawing>
            </w:r>
          </w:p>
        </w:tc>
      </w:tr>
      <w:tr w:rsidTr="00B2274B">
        <w:tblPrEx>
          <w:tblW w:w="10529"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Darbaspēka izmaksas, ES-28=100</w:t>
            </w:r>
          </w:p>
        </w:tc>
        <w:tc>
          <w:tcPr>
            <w:tcW w:w="3647"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 ES-28=100</w:t>
            </w:r>
          </w:p>
        </w:tc>
        <w:tc>
          <w:tcPr>
            <w:tcW w:w="0" w:type="auto"/>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B2274B">
            <w:pPr>
              <w:rPr>
                <w:rFonts w:ascii="Candara" w:hAnsi="Candara"/>
              </w:rPr>
            </w:pPr>
          </w:p>
        </w:tc>
      </w:tr>
      <w:tr w:rsidTr="00B2274B">
        <w:tblPrEx>
          <w:tblW w:w="10529"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27885" cy="1055370"/>
                  <wp:effectExtent l="0" t="0" r="5715" b="0"/>
                  <wp:docPr id="711" name="Chart 7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3"/>
                    </a:graphicData>
                  </a:graphic>
                </wp:inline>
              </w:drawing>
            </w:r>
          </w:p>
        </w:tc>
        <w:tc>
          <w:tcPr>
            <w:tcW w:w="3647"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36775" cy="1055370"/>
                  <wp:effectExtent l="0" t="0" r="0" b="0"/>
                  <wp:docPr id="710" name="Chart 7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4"/>
                    </a:graphicData>
                  </a:graphic>
                </wp:inline>
              </w:drawing>
            </w:r>
          </w:p>
        </w:tc>
        <w:tc>
          <w:tcPr>
            <w:tcW w:w="0" w:type="auto"/>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B2274B">
            <w:pPr>
              <w:rPr>
                <w:rFonts w:ascii="Candara" w:hAnsi="Candara"/>
              </w:rPr>
            </w:pPr>
          </w:p>
        </w:tc>
      </w:tr>
      <w:tr w:rsidTr="00B2274B">
        <w:tblPrEx>
          <w:tblW w:w="10529" w:type="dxa"/>
          <w:jc w:val="center"/>
          <w:tblLook w:val="04A0"/>
        </w:tblPrEx>
        <w:trPr>
          <w:jc w:val="center"/>
        </w:trPr>
        <w:tc>
          <w:tcPr>
            <w:tcW w:w="534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Darbaspēka izmaksas uz 1 nodarbināto 2015.g., tūkst. EUR</w:t>
            </w:r>
          </w:p>
        </w:tc>
        <w:tc>
          <w:tcPr>
            <w:tcW w:w="518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Produktivitāte (PV uz 1 nodarbināto) 2015.g., tūkst. EUR</w:t>
            </w:r>
          </w:p>
        </w:tc>
      </w:tr>
      <w:tr w:rsidTr="00B2274B">
        <w:tblPrEx>
          <w:tblW w:w="10529" w:type="dxa"/>
          <w:jc w:val="center"/>
          <w:tblLook w:val="04A0"/>
        </w:tblPrEx>
        <w:trPr>
          <w:jc w:val="center"/>
        </w:trPr>
        <w:tc>
          <w:tcPr>
            <w:tcW w:w="534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3156585" cy="1169670"/>
                  <wp:effectExtent l="0" t="0" r="5715" b="0"/>
                  <wp:docPr id="709" name="Chart 7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5"/>
                    </a:graphicData>
                  </a:graphic>
                </wp:inline>
              </w:drawing>
            </w:r>
          </w:p>
        </w:tc>
        <w:tc>
          <w:tcPr>
            <w:tcW w:w="518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3156585" cy="1169670"/>
                  <wp:effectExtent l="0" t="0" r="5715" b="0"/>
                  <wp:docPr id="708" name="Chart 7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6"/>
                    </a:graphicData>
                  </a:graphic>
                </wp:inline>
              </w:drawing>
            </w:r>
          </w:p>
        </w:tc>
      </w:tr>
      <w:tr w:rsidTr="00B2274B">
        <w:tblPrEx>
          <w:tblW w:w="10529" w:type="dxa"/>
          <w:jc w:val="center"/>
          <w:tblLook w:val="04A0"/>
        </w:tblPrEx>
        <w:trPr>
          <w:jc w:val="center"/>
        </w:trPr>
        <w:tc>
          <w:tcPr>
            <w:tcW w:w="534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 un darbaspēka izmaksas ES-28 valstīs 2010.g.</w:t>
            </w:r>
          </w:p>
        </w:tc>
        <w:tc>
          <w:tcPr>
            <w:tcW w:w="518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 un darbaspēka izmaksas ES-28 valstīs 2016.g.</w:t>
            </w:r>
          </w:p>
        </w:tc>
      </w:tr>
      <w:tr w:rsidTr="00B2274B">
        <w:tblPrEx>
          <w:tblW w:w="10529" w:type="dxa"/>
          <w:jc w:val="center"/>
          <w:tblLook w:val="04A0"/>
        </w:tblPrEx>
        <w:trPr>
          <w:jc w:val="center"/>
        </w:trPr>
        <w:tc>
          <w:tcPr>
            <w:tcW w:w="534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rPr>
                <w:rFonts w:ascii="Candara" w:hAnsi="Candara"/>
              </w:rPr>
            </w:pPr>
            <w:r>
              <w:rPr>
                <w:noProof/>
                <w:lang w:eastAsia="lv-LV"/>
              </w:rPr>
              <w:drawing>
                <wp:inline distT="0" distB="0" distL="0" distR="0">
                  <wp:extent cx="3059430" cy="1485900"/>
                  <wp:effectExtent l="0" t="0" r="0" b="0"/>
                  <wp:docPr id="707" name="Chart 7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7"/>
                    </a:graphicData>
                  </a:graphic>
                </wp:inline>
              </w:drawing>
            </w:r>
          </w:p>
        </w:tc>
        <w:tc>
          <w:tcPr>
            <w:tcW w:w="518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rPr>
                <w:rFonts w:ascii="Candara" w:hAnsi="Candara"/>
              </w:rPr>
            </w:pPr>
            <w:r>
              <w:rPr>
                <w:noProof/>
                <w:lang w:eastAsia="lv-LV"/>
              </w:rPr>
              <w:drawing>
                <wp:inline distT="0" distB="0" distL="0" distR="0">
                  <wp:extent cx="3059430" cy="1459230"/>
                  <wp:effectExtent l="0" t="0" r="0" b="7620"/>
                  <wp:docPr id="706" name="Chart 7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8"/>
                    </a:graphicData>
                  </a:graphic>
                </wp:inline>
              </w:drawing>
            </w:r>
          </w:p>
        </w:tc>
      </w:tr>
    </w:tbl>
    <w:p w:rsidR="00B2274B" w:rsidP="00B2274B">
      <w:pPr>
        <w:spacing w:after="0" w:line="240" w:lineRule="auto"/>
        <w:rPr>
          <w:rFonts w:ascii="Candara" w:hAnsi="Candara"/>
          <w:b/>
          <w:color w:val="000000"/>
          <w:szCs w:val="28"/>
        </w:rPr>
      </w:pPr>
    </w:p>
    <w:p w:rsidR="00B2274B" w:rsidP="00762D1E">
      <w:pPr>
        <w:spacing w:after="0" w:line="240" w:lineRule="auto"/>
        <w:rPr>
          <w:rFonts w:ascii="Candara" w:hAnsi="Candara"/>
          <w:b/>
          <w:color w:val="000000"/>
          <w:szCs w:val="28"/>
        </w:rPr>
      </w:pPr>
      <w:r>
        <w:rPr>
          <w:rFonts w:ascii="Candara" w:hAnsi="Candara"/>
          <w:b/>
          <w:color w:val="000000"/>
          <w:szCs w:val="28"/>
        </w:rPr>
        <w:br w:type="page"/>
      </w:r>
    </w:p>
    <w:p w:rsidR="00B2274B" w:rsidP="00B2274B">
      <w:pPr>
        <w:spacing w:after="0" w:line="240" w:lineRule="auto"/>
        <w:rPr>
          <w:rFonts w:ascii="Candara" w:hAnsi="Candara"/>
          <w:b/>
          <w:color w:val="000000"/>
          <w:szCs w:val="28"/>
        </w:rPr>
      </w:pPr>
    </w:p>
    <w:p w:rsidR="00D87763" w:rsidP="00D87763">
      <w:pPr>
        <w:spacing w:after="0" w:line="240" w:lineRule="auto"/>
        <w:jc w:val="both"/>
        <w:rPr>
          <w:rFonts w:ascii="Candara" w:hAnsi="Candara"/>
          <w:b/>
          <w:color w:val="000000"/>
          <w:szCs w:val="28"/>
          <w:u w:val="single"/>
        </w:rPr>
      </w:pPr>
      <w:r>
        <w:rPr>
          <w:rFonts w:ascii="Candara" w:hAnsi="Candara"/>
          <w:b/>
          <w:color w:val="000000"/>
          <w:szCs w:val="28"/>
          <w:u w:val="single"/>
        </w:rPr>
        <w:t>Nozares īpatsvars tautsaimniecībā, procentos.</w:t>
      </w:r>
      <w:r>
        <w:rPr>
          <w:rFonts w:ascii="Candara" w:hAnsi="Candara"/>
          <w:color w:val="000000"/>
          <w:szCs w:val="28"/>
        </w:rPr>
        <w:t xml:space="preserve"> Nozares īpatsvars tautsaimniecībā bija palielinājies no 0,7% 2005.gadā līdz 1% 2010.gadā. Kopš 2011.gada nozares īpatsvars pakāpeniski samazinājās, 2014.gadā sasniedzot 0,87%. 2015.gadā īpatsvars nedaudz pieauga līdz 0,89% un 2016.gadā tas bija 0,9%.</w:t>
      </w:r>
    </w:p>
    <w:p w:rsidR="00D87763" w:rsidP="00D87763">
      <w:pPr>
        <w:spacing w:after="0" w:line="240" w:lineRule="auto"/>
        <w:jc w:val="both"/>
        <w:rPr>
          <w:rFonts w:ascii="Candara" w:hAnsi="Candara"/>
          <w:color w:val="000000"/>
          <w:szCs w:val="28"/>
        </w:rPr>
      </w:pPr>
      <w:r>
        <w:rPr>
          <w:rFonts w:ascii="Candara" w:hAnsi="Candara"/>
          <w:b/>
          <w:color w:val="000000"/>
          <w:szCs w:val="28"/>
          <w:u w:val="single"/>
        </w:rPr>
        <w:t>Pievienotās vērtības un darba vietu skaita izmaiņas, 2005=100.</w:t>
      </w:r>
      <w:r>
        <w:rPr>
          <w:rFonts w:ascii="Candara" w:hAnsi="Candara"/>
          <w:color w:val="000000"/>
          <w:szCs w:val="28"/>
        </w:rPr>
        <w:t xml:space="preserve"> Nozarē ražošanas apjomi pēdējos gados pieaug. Krīzes laikā 2009.gadā bija vērojams straujš ražošanas apjomu kāpums notekūdeņu, atkritumu apsaimniekošanas un sanitārijas pakalpojumiem (par 38%), savukārt 2010.gadā šajā apakšnozarē bija vērojams kritums (par 32%), būtiski samazinoties izvesto atkritumu apjomiem. Kopš 2010. gada nozares izlaides apjomi ir pieauguši par 10%, bet par 25% atpaliek no pirmskrīzes līmeņa. </w:t>
      </w:r>
    </w:p>
    <w:p w:rsidR="00D87763" w:rsidP="00D87763">
      <w:pPr>
        <w:spacing w:after="0" w:line="240" w:lineRule="auto"/>
        <w:jc w:val="both"/>
        <w:rPr>
          <w:rFonts w:ascii="Candara" w:hAnsi="Candara"/>
          <w:color w:val="000000"/>
          <w:szCs w:val="28"/>
        </w:rPr>
      </w:pPr>
      <w:r>
        <w:rPr>
          <w:rFonts w:ascii="Candara" w:hAnsi="Candara"/>
          <w:color w:val="000000"/>
          <w:szCs w:val="28"/>
        </w:rPr>
        <w:t>Salīdzinājumā ar ražošanas apjomu kāpumu darbavietu skaits nozarē pēdējos gados samazinās, kas liecina par produktivitātes kāpumu. 2014.-2015.gadā darbavietu skaits samazinājās par 3%. 2016.gadā, salīdzinot ar krīzes zemāko punktu 2010.gadā, darbavietu skaits bija pieaudzis par 17%, bet par 11% atpalika no pirmskrīzes līmeņa.</w:t>
      </w:r>
    </w:p>
    <w:p w:rsidR="00D87763" w:rsidP="00D87763">
      <w:pPr>
        <w:spacing w:after="0" w:line="240" w:lineRule="auto"/>
        <w:jc w:val="both"/>
        <w:rPr>
          <w:rFonts w:ascii="Candara" w:hAnsi="Candara"/>
          <w:b/>
          <w:color w:val="000000"/>
          <w:szCs w:val="28"/>
          <w:u w:val="single"/>
        </w:rPr>
      </w:pPr>
      <w:r>
        <w:rPr>
          <w:rFonts w:ascii="Candara" w:hAnsi="Candara"/>
          <w:b/>
          <w:color w:val="000000"/>
          <w:szCs w:val="28"/>
          <w:u w:val="single"/>
        </w:rPr>
        <w:t>Darbaspēka izmaksu dinamika, tūkst.</w:t>
      </w:r>
      <w:r>
        <w:rPr>
          <w:rFonts w:ascii="Candara" w:hAnsi="Candara"/>
          <w:color w:val="000000"/>
          <w:szCs w:val="28"/>
        </w:rPr>
        <w:t xml:space="preserve"> Krīzes laikā darbaspēka izmaksas nozarē saglabājās praktiski nemainīgas, pārsniedzot pirmskrīzes līmeni. Atsākoties ekonomikas izaugsmei, kopš 2012.gada darba samaksas pieaugums nozarē pakāpeniski pieaug.</w:t>
      </w:r>
    </w:p>
    <w:p w:rsidR="00D87763" w:rsidP="00D87763">
      <w:pPr>
        <w:spacing w:after="0" w:line="240" w:lineRule="auto"/>
        <w:jc w:val="both"/>
        <w:rPr>
          <w:rFonts w:ascii="Candara" w:hAnsi="Candara"/>
          <w:color w:val="000000"/>
          <w:szCs w:val="28"/>
        </w:rPr>
      </w:pPr>
      <w:r>
        <w:rPr>
          <w:rFonts w:ascii="Candara" w:hAnsi="Candara"/>
          <w:b/>
          <w:color w:val="000000"/>
          <w:szCs w:val="28"/>
          <w:u w:val="single"/>
        </w:rPr>
        <w:t>Produktivitātes dinamika, tūkst.</w:t>
      </w:r>
      <w:r>
        <w:rPr>
          <w:rFonts w:ascii="Candara" w:hAnsi="Candara"/>
          <w:color w:val="000000"/>
          <w:szCs w:val="28"/>
        </w:rPr>
        <w:t xml:space="preserve"> Nodarbināto skaita samazinājums un būtisks ražošana apjomu kāpums krīzes laikā veicināja strauju produktivitātes kāpumu 2009.gadā. Savukārt, 2010.gadā, samazinoties ražošanas apjomiem, produktivitāte samazinājās. Pēc produktivitātes kāpuma 2011.gadā, 2012.-2013.gadā tā atkal samazinājās, ko noteica nodarbināto skaita pieaugums. Pēdējos gados vērojams pakāpenisks produktivitātes kāpums, kas saistīts ar nodarbināto skaita kritumu un ražošanas apjomu kāpumu.</w:t>
      </w:r>
    </w:p>
    <w:p w:rsidR="00D87763" w:rsidP="00D87763">
      <w:pPr>
        <w:spacing w:after="0" w:line="240" w:lineRule="auto"/>
        <w:jc w:val="both"/>
        <w:rPr>
          <w:rFonts w:ascii="Candara" w:hAnsi="Candara"/>
          <w:color w:val="000000"/>
          <w:szCs w:val="28"/>
        </w:rPr>
      </w:pPr>
      <w:r>
        <w:rPr>
          <w:rFonts w:ascii="Candara" w:hAnsi="Candara"/>
          <w:b/>
          <w:color w:val="000000"/>
          <w:szCs w:val="28"/>
          <w:u w:val="single"/>
        </w:rPr>
        <w:t>Produktivitāte un darbaspēka izmaksas.</w:t>
      </w:r>
      <w:r>
        <w:rPr>
          <w:rFonts w:ascii="Candara" w:hAnsi="Candara"/>
          <w:color w:val="000000"/>
          <w:szCs w:val="28"/>
        </w:rPr>
        <w:t xml:space="preserve"> 2009.gadā straujš izlaides kāpums pozitīvi ietekmēja nozares konkurētspēju (ULC samazinājās par 36%). Bet 2010.gadā un 2012.gadā ULC strauji pieauga, ko noteica izlaides apjomu kritums. Tas liecināja par cenu konkurētspējas (izmaksu) samazināšanos. Pēdējos gados situācija ir uzlabojusies. 2016.gadā, salīdzinot ar 2013.gadu, darbaspēka izmaksas uz 1 produkcijas vienību Latvijā bija par 5% zemākas.</w:t>
      </w:r>
    </w:p>
    <w:p w:rsidR="00D87763" w:rsidP="00D87763">
      <w:pPr>
        <w:spacing w:after="0" w:line="240" w:lineRule="auto"/>
        <w:jc w:val="both"/>
        <w:rPr>
          <w:rFonts w:ascii="Candara" w:hAnsi="Candara"/>
          <w:color w:val="000000"/>
          <w:szCs w:val="28"/>
        </w:rPr>
      </w:pPr>
      <w:r>
        <w:rPr>
          <w:rFonts w:ascii="Candara" w:hAnsi="Candara"/>
          <w:b/>
          <w:color w:val="000000"/>
          <w:szCs w:val="28"/>
          <w:u w:val="single"/>
        </w:rPr>
        <w:t>Darbaspēka izmaksas, ES-28=100.</w:t>
      </w:r>
      <w:r>
        <w:rPr>
          <w:rFonts w:ascii="Candara" w:hAnsi="Candara"/>
          <w:color w:val="000000"/>
          <w:szCs w:val="28"/>
        </w:rPr>
        <w:t xml:space="preserve"> Salīdzinot ar darbaspēka izmaksu vidējo līmeni ES, nozarē tās ir zemākas nekā tautsaimniecībā kopumā. Pēdējos gados rādītājs pieaug un tuvojas ES vidējam līmenim.</w:t>
      </w:r>
    </w:p>
    <w:p w:rsidR="00D87763" w:rsidP="00D87763">
      <w:pPr>
        <w:spacing w:after="0" w:line="240" w:lineRule="auto"/>
        <w:jc w:val="both"/>
        <w:rPr>
          <w:rFonts w:ascii="Candara" w:hAnsi="Candara"/>
          <w:color w:val="000000"/>
          <w:szCs w:val="28"/>
        </w:rPr>
      </w:pPr>
      <w:r>
        <w:rPr>
          <w:rFonts w:ascii="Candara" w:hAnsi="Candara"/>
          <w:b/>
          <w:color w:val="000000"/>
          <w:szCs w:val="28"/>
          <w:u w:val="single"/>
        </w:rPr>
        <w:t>Produktivitāte, ES-28=100.</w:t>
      </w:r>
      <w:r>
        <w:rPr>
          <w:rFonts w:ascii="Candara" w:hAnsi="Candara"/>
          <w:color w:val="000000"/>
          <w:szCs w:val="28"/>
        </w:rPr>
        <w:t xml:space="preserve"> Salīdzinot ar vidējo līmeni ES, nozarē produktivitātes līmenis ir zemāks nekā tautsaimniecībā kopumā. Pēdējos gados rādītājs uzlabojas un tuvojas ES vidējam līmenim.</w:t>
      </w:r>
    </w:p>
    <w:p w:rsidR="00D87763" w:rsidP="00D87763">
      <w:pPr>
        <w:spacing w:after="0" w:line="240" w:lineRule="auto"/>
        <w:jc w:val="both"/>
        <w:rPr>
          <w:rFonts w:ascii="Candara" w:hAnsi="Candara"/>
          <w:color w:val="000000"/>
          <w:szCs w:val="28"/>
        </w:rPr>
      </w:pPr>
      <w:r>
        <w:rPr>
          <w:rFonts w:ascii="Candara" w:hAnsi="Candara"/>
          <w:b/>
          <w:color w:val="000000"/>
          <w:szCs w:val="28"/>
          <w:u w:val="single"/>
        </w:rPr>
        <w:t>Darbaspēka izmaksas, salīdzinot ar ES valstīm, 2015.gadā.</w:t>
      </w:r>
      <w:r>
        <w:rPr>
          <w:rFonts w:ascii="Candara" w:hAnsi="Candara"/>
          <w:color w:val="000000"/>
          <w:szCs w:val="28"/>
        </w:rPr>
        <w:t xml:space="preserve"> Latvijā 2015.gadā darbaspēka izmaksas nozarē bija vienas no zemākajām starp ES valstīm, zemākas tās bija tikai Ungārijā, Polijā un Bulgārijā.</w:t>
      </w:r>
    </w:p>
    <w:p w:rsidR="00D87763" w:rsidP="00D87763">
      <w:pPr>
        <w:spacing w:after="0" w:line="240" w:lineRule="auto"/>
        <w:jc w:val="both"/>
        <w:rPr>
          <w:rFonts w:ascii="Candara" w:hAnsi="Candara"/>
          <w:color w:val="000000"/>
          <w:szCs w:val="28"/>
        </w:rPr>
      </w:pPr>
      <w:r>
        <w:rPr>
          <w:rFonts w:ascii="Candara" w:hAnsi="Candara"/>
          <w:b/>
          <w:color w:val="000000"/>
          <w:szCs w:val="28"/>
          <w:u w:val="single"/>
        </w:rPr>
        <w:t>Produktivitāte, salīdzinot ar ES valstīm, 2015.gadā.</w:t>
      </w:r>
      <w:r>
        <w:rPr>
          <w:rFonts w:ascii="Candara" w:hAnsi="Candara"/>
          <w:color w:val="000000"/>
          <w:szCs w:val="28"/>
        </w:rPr>
        <w:t xml:space="preserve"> Latvijā 2015.gadā produktivitāte nozarē bija augstāka nekā Lietuvā, bet zemāka nekā Igaunijā. Kopumā starp ES valstīm Latvija bija 19.vietā.</w:t>
      </w:r>
    </w:p>
    <w:p w:rsidR="00D87763" w:rsidP="00D87763">
      <w:pPr>
        <w:spacing w:after="0" w:line="240" w:lineRule="auto"/>
        <w:jc w:val="both"/>
        <w:rPr>
          <w:rFonts w:ascii="Candara" w:hAnsi="Candara"/>
          <w:color w:val="000000"/>
          <w:szCs w:val="28"/>
        </w:rPr>
      </w:pPr>
      <w:r>
        <w:rPr>
          <w:rFonts w:ascii="Candara" w:hAnsi="Candara"/>
          <w:b/>
          <w:color w:val="000000"/>
          <w:szCs w:val="28"/>
          <w:u w:val="single"/>
        </w:rPr>
        <w:t>Produktivitāte un darbaspēka izmaksas ES-28 valstīs 2010.gadā un 2015.gadā.</w:t>
      </w:r>
      <w:r>
        <w:rPr>
          <w:rFonts w:ascii="Candara" w:hAnsi="Candara"/>
          <w:color w:val="000000"/>
          <w:szCs w:val="28"/>
        </w:rPr>
        <w:t xml:space="preserve"> Darbaspēka izmaksas uz 1 produkcijas vienību (ULC) nozarē Latvijā 2010.gadā praktiski bija vienādā līmenī ar ES vidējo rādītāju, bet 2016.gadā bija zemākas nekā vidēji ES. Latvijā 2016.gadā, salīdzinot ar 2010.gadu darbaspēka izmaksas uz 1 produkcijas vienību ir pieaugušas par 21%, ko noteica darbaspēka izmaksu kāpums par 19,5%. Savukārt, pēdējos gados ULC samazinās un produktivitāte pieaug, kas liecina, ka nozarē lēta darbaspēka konkurētspējas priekšrocības saglabājas.</w:t>
      </w:r>
    </w:p>
    <w:p w:rsidR="00B2274B" w:rsidP="00762D1E">
      <w:pPr>
        <w:spacing w:after="0" w:line="240" w:lineRule="auto"/>
        <w:rPr>
          <w:rFonts w:ascii="Candara" w:hAnsi="Candara"/>
          <w:color w:val="000000"/>
          <w:szCs w:val="28"/>
        </w:rPr>
      </w:pPr>
      <w:r>
        <w:rPr>
          <w:rFonts w:ascii="Candara" w:hAnsi="Candara"/>
          <w:color w:val="000000"/>
          <w:szCs w:val="28"/>
        </w:rPr>
        <w:br w:type="page"/>
      </w:r>
    </w:p>
    <w:p w:rsidR="00B2274B" w:rsidP="00B2274B">
      <w:pPr>
        <w:pStyle w:val="Heading1"/>
        <w:jc w:val="center"/>
        <w:rPr>
          <w:b/>
          <w:sz w:val="22"/>
        </w:rPr>
      </w:pPr>
      <w:bookmarkStart w:id="64" w:name="_Toc482792415"/>
      <w:bookmarkStart w:id="65" w:name="_Hlk504753843"/>
      <w:bookmarkEnd w:id="61"/>
      <w:bookmarkStart w:id="66" w:name="_Toc256000017"/>
      <w:bookmarkStart w:id="67" w:name="_Toc256000043"/>
      <w:r>
        <w:rPr>
          <w:b/>
          <w:sz w:val="22"/>
        </w:rPr>
        <w:t>F BŪVNIECĪBA</w:t>
      </w:r>
      <w:bookmarkEnd w:id="67"/>
      <w:bookmarkEnd w:id="66"/>
      <w:bookmarkEnd w:id="64"/>
    </w:p>
    <w:tbl>
      <w:tblPr>
        <w:tblW w:w="10537"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3581"/>
        <w:gridCol w:w="1851"/>
        <w:gridCol w:w="1780"/>
        <w:gridCol w:w="3416"/>
      </w:tblGrid>
      <w:tr w:rsidTr="00B2274B">
        <w:tblPrEx>
          <w:tblW w:w="10537"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Nozares īpatsvars tautsaimniecībā (faktiskajās cenās), %</w:t>
            </w:r>
          </w:p>
        </w:tc>
        <w:tc>
          <w:tcPr>
            <w:tcW w:w="357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Pievienotās vērtības un darba vietu skaita izmaiņas (2005=100)</w:t>
            </w:r>
          </w:p>
        </w:tc>
        <w:tc>
          <w:tcPr>
            <w:tcW w:w="33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Produkcijas eksports, milj. EUR*</w:t>
            </w:r>
          </w:p>
        </w:tc>
      </w:tr>
      <w:tr w:rsidTr="00B2274B">
        <w:tblPrEx>
          <w:tblW w:w="10537"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rPr>
                <w:rFonts w:ascii="Candara" w:hAnsi="Candara"/>
              </w:rPr>
            </w:pPr>
            <w:r>
              <w:rPr>
                <w:noProof/>
                <w:lang w:eastAsia="lv-LV"/>
              </w:rPr>
              <w:drawing>
                <wp:inline distT="0" distB="0" distL="0" distR="0">
                  <wp:extent cx="2136775" cy="975995"/>
                  <wp:effectExtent l="0" t="0" r="0" b="0"/>
                  <wp:docPr id="705" name="Chart 7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9"/>
                    </a:graphicData>
                  </a:graphic>
                </wp:inline>
              </w:drawing>
            </w:r>
          </w:p>
        </w:tc>
        <w:tc>
          <w:tcPr>
            <w:tcW w:w="357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1943100" cy="1019810"/>
                  <wp:effectExtent l="0" t="0" r="0" b="0"/>
                  <wp:docPr id="704" name="Chart 7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0"/>
                    </a:graphicData>
                  </a:graphic>
                </wp:inline>
              </w:drawing>
            </w:r>
          </w:p>
        </w:tc>
        <w:tc>
          <w:tcPr>
            <w:tcW w:w="33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rPr>
                <w:rFonts w:ascii="Candara" w:hAnsi="Candara"/>
              </w:rPr>
            </w:pPr>
            <w:r>
              <w:rPr>
                <w:b/>
                <w:noProof/>
                <w:lang w:eastAsia="lv-LV"/>
              </w:rPr>
              <w:drawing>
                <wp:inline distT="0" distB="0" distL="0" distR="0">
                  <wp:extent cx="1978025" cy="923290"/>
                  <wp:effectExtent l="0" t="0" r="3175" b="0"/>
                  <wp:docPr id="703" name="Chart 7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1"/>
                    </a:graphicData>
                  </a:graphic>
                </wp:inline>
              </w:drawing>
            </w:r>
          </w:p>
          <w:p w:rsidR="00B2274B" w:rsidP="00762D1E">
            <w:pPr>
              <w:spacing w:after="0" w:line="240" w:lineRule="auto"/>
              <w:rPr>
                <w:rFonts w:ascii="Candara" w:hAnsi="Candara"/>
              </w:rPr>
            </w:pPr>
            <w:r>
              <w:rPr>
                <w:rFonts w:ascii="Candara" w:hAnsi="Candara"/>
                <w:sz w:val="14"/>
                <w:szCs w:val="14"/>
              </w:rPr>
              <w:t>* Latvijas Bankas dati</w:t>
            </w:r>
          </w:p>
        </w:tc>
      </w:tr>
      <w:tr w:rsidTr="00B2274B">
        <w:tblPrEx>
          <w:tblW w:w="10537"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Eksports uz 1 strādājošo, tūkst. EUR</w:t>
            </w:r>
          </w:p>
        </w:tc>
        <w:tc>
          <w:tcPr>
            <w:tcW w:w="6961"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Eksports uz 1 strādājošo ES-28 valstīs, tūkst. EUR</w:t>
            </w:r>
          </w:p>
        </w:tc>
      </w:tr>
      <w:tr w:rsidTr="00B2274B">
        <w:tblPrEx>
          <w:tblW w:w="10537"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36775" cy="1169670"/>
                  <wp:effectExtent l="0" t="0" r="0" b="0"/>
                  <wp:docPr id="702" name="Chart 7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2"/>
                    </a:graphicData>
                  </a:graphic>
                </wp:inline>
              </w:drawing>
            </w:r>
          </w:p>
        </w:tc>
        <w:tc>
          <w:tcPr>
            <w:tcW w:w="6961"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4114800" cy="1169670"/>
                  <wp:effectExtent l="0" t="0" r="0" b="0"/>
                  <wp:docPr id="701" name="Chart 7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3"/>
                    </a:graphicData>
                  </a:graphic>
                </wp:inline>
              </w:drawing>
            </w:r>
          </w:p>
        </w:tc>
      </w:tr>
      <w:tr w:rsidTr="00B2274B">
        <w:tblPrEx>
          <w:tblW w:w="10537" w:type="dxa"/>
          <w:jc w:val="center"/>
          <w:tblLook w:val="04A0"/>
        </w:tblPrEx>
        <w:trPr>
          <w:jc w:val="center"/>
        </w:trPr>
        <w:tc>
          <w:tcPr>
            <w:tcW w:w="10537"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Eksporta tirgi, 2016.g.*</w:t>
            </w:r>
          </w:p>
        </w:tc>
      </w:tr>
      <w:tr w:rsidTr="00B2274B">
        <w:tblPrEx>
          <w:tblW w:w="10537" w:type="dxa"/>
          <w:jc w:val="center"/>
          <w:tblLook w:val="04A0"/>
        </w:tblPrEx>
        <w:trPr>
          <w:jc w:val="center"/>
        </w:trPr>
        <w:tc>
          <w:tcPr>
            <w:tcW w:w="10537"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B2274B" w:rsidP="00762D1E">
            <w:pPr>
              <w:tabs>
                <w:tab w:val="left" w:pos="8080"/>
              </w:tabs>
              <w:spacing w:after="0" w:line="240" w:lineRule="auto"/>
              <w:ind w:right="-31"/>
              <w:jc w:val="center"/>
            </w:pPr>
            <w:r>
              <w:rPr>
                <w:noProof/>
                <w:lang w:eastAsia="lv-LV"/>
              </w:rPr>
              <w:drawing>
                <wp:inline distT="0" distB="0" distL="0" distR="0">
                  <wp:extent cx="3895090" cy="1371600"/>
                  <wp:effectExtent l="0" t="0" r="0" b="0"/>
                  <wp:docPr id="700" name="Chart 7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4"/>
                    </a:graphicData>
                  </a:graphic>
                </wp:inline>
              </w:drawing>
            </w:r>
          </w:p>
          <w:p w:rsidR="00B2274B" w:rsidP="00762D1E">
            <w:pPr>
              <w:tabs>
                <w:tab w:val="left" w:pos="8080"/>
              </w:tabs>
              <w:spacing w:after="0" w:line="240" w:lineRule="auto"/>
              <w:ind w:right="-31"/>
              <w:jc w:val="center"/>
            </w:pPr>
            <w:r>
              <w:rPr>
                <w:rFonts w:ascii="Candara" w:hAnsi="Candara"/>
                <w:sz w:val="14"/>
                <w:szCs w:val="14"/>
              </w:rPr>
              <w:t>* Latvijas Bankas dati</w:t>
            </w:r>
          </w:p>
        </w:tc>
      </w:tr>
      <w:tr w:rsidTr="00B2274B">
        <w:tblPrEx>
          <w:tblW w:w="10537"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Darbaspēka izmaksu dinamika, tūkst. EUR</w:t>
            </w:r>
          </w:p>
        </w:tc>
        <w:tc>
          <w:tcPr>
            <w:tcW w:w="357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Produktivitātes dinamika, tūkst. EUR</w:t>
            </w:r>
          </w:p>
        </w:tc>
        <w:tc>
          <w:tcPr>
            <w:tcW w:w="33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 un darbaspēka izmaksas</w:t>
            </w:r>
          </w:p>
        </w:tc>
      </w:tr>
      <w:tr w:rsidTr="00B2274B">
        <w:tblPrEx>
          <w:tblW w:w="10537"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36775" cy="1046480"/>
                  <wp:effectExtent l="0" t="0" r="0" b="1270"/>
                  <wp:docPr id="699" name="Chart 6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5"/>
                    </a:graphicData>
                  </a:graphic>
                </wp:inline>
              </w:drawing>
            </w:r>
          </w:p>
        </w:tc>
        <w:tc>
          <w:tcPr>
            <w:tcW w:w="357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36775" cy="1037590"/>
                  <wp:effectExtent l="0" t="0" r="0" b="0"/>
                  <wp:docPr id="698" name="Chart 6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6"/>
                    </a:graphicData>
                  </a:graphic>
                </wp:inline>
              </w:drawing>
            </w:r>
          </w:p>
        </w:tc>
        <w:tc>
          <w:tcPr>
            <w:tcW w:w="3385"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1846580" cy="2233295"/>
                  <wp:effectExtent l="0" t="0" r="0" b="0"/>
                  <wp:docPr id="697" name="Chart 6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7"/>
                    </a:graphicData>
                  </a:graphic>
                </wp:inline>
              </w:drawing>
            </w:r>
          </w:p>
        </w:tc>
      </w:tr>
      <w:tr w:rsidTr="00B2274B">
        <w:tblPrEx>
          <w:tblW w:w="10537"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Darbaspēka izmaksas, ES-28=100</w:t>
            </w:r>
          </w:p>
        </w:tc>
        <w:tc>
          <w:tcPr>
            <w:tcW w:w="357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 ES-28=100</w:t>
            </w:r>
          </w:p>
        </w:tc>
        <w:tc>
          <w:tcPr>
            <w:tcW w:w="0" w:type="auto"/>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B2274B">
            <w:pPr>
              <w:rPr>
                <w:rFonts w:ascii="Candara" w:hAnsi="Candara"/>
              </w:rPr>
            </w:pPr>
          </w:p>
        </w:tc>
      </w:tr>
      <w:tr w:rsidTr="00B2274B">
        <w:tblPrEx>
          <w:tblW w:w="10537"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27885" cy="1055370"/>
                  <wp:effectExtent l="0" t="0" r="5715" b="0"/>
                  <wp:docPr id="696" name="Chart 6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8"/>
                    </a:graphicData>
                  </a:graphic>
                </wp:inline>
              </w:drawing>
            </w:r>
          </w:p>
        </w:tc>
        <w:tc>
          <w:tcPr>
            <w:tcW w:w="357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36775" cy="1055370"/>
                  <wp:effectExtent l="0" t="0" r="0" b="0"/>
                  <wp:docPr id="695" name="Chart 6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9"/>
                    </a:graphicData>
                  </a:graphic>
                </wp:inline>
              </w:drawing>
            </w:r>
          </w:p>
        </w:tc>
        <w:tc>
          <w:tcPr>
            <w:tcW w:w="0" w:type="auto"/>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B2274B">
            <w:pPr>
              <w:rPr>
                <w:rFonts w:ascii="Candara" w:hAnsi="Candara"/>
              </w:rPr>
            </w:pPr>
          </w:p>
        </w:tc>
      </w:tr>
      <w:tr w:rsidTr="00B2274B">
        <w:tblPrEx>
          <w:tblW w:w="10537" w:type="dxa"/>
          <w:jc w:val="center"/>
          <w:tblLook w:val="04A0"/>
        </w:tblPrEx>
        <w:trPr>
          <w:jc w:val="center"/>
        </w:trPr>
        <w:tc>
          <w:tcPr>
            <w:tcW w:w="535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Darbaspēka izmaksas uz 1 nodarbināto 2016.g., tūkst. EUR</w:t>
            </w:r>
          </w:p>
        </w:tc>
        <w:tc>
          <w:tcPr>
            <w:tcW w:w="518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Produktivitāte (PV uz 1 nodarbināto) 2016.g., tūkst. EUR</w:t>
            </w:r>
          </w:p>
        </w:tc>
      </w:tr>
      <w:tr w:rsidTr="00B2274B">
        <w:tblPrEx>
          <w:tblW w:w="10537" w:type="dxa"/>
          <w:jc w:val="center"/>
          <w:tblLook w:val="04A0"/>
        </w:tblPrEx>
        <w:trPr>
          <w:jc w:val="center"/>
        </w:trPr>
        <w:tc>
          <w:tcPr>
            <w:tcW w:w="535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3156585" cy="1169670"/>
                  <wp:effectExtent l="0" t="0" r="5715" b="0"/>
                  <wp:docPr id="694" name="Chart 6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0"/>
                    </a:graphicData>
                  </a:graphic>
                </wp:inline>
              </w:drawing>
            </w:r>
          </w:p>
        </w:tc>
        <w:tc>
          <w:tcPr>
            <w:tcW w:w="518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3156585" cy="1169670"/>
                  <wp:effectExtent l="0" t="0" r="5715" b="0"/>
                  <wp:docPr id="693" name="Chart 6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1"/>
                    </a:graphicData>
                  </a:graphic>
                </wp:inline>
              </w:drawing>
            </w:r>
          </w:p>
        </w:tc>
      </w:tr>
      <w:tr w:rsidTr="00B2274B">
        <w:tblPrEx>
          <w:tblW w:w="10537" w:type="dxa"/>
          <w:jc w:val="center"/>
          <w:tblLook w:val="04A0"/>
        </w:tblPrEx>
        <w:trPr>
          <w:jc w:val="center"/>
        </w:trPr>
        <w:tc>
          <w:tcPr>
            <w:tcW w:w="535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 un darbaspēka izmaksas ES-28 valstīs 2010.g.</w:t>
            </w:r>
          </w:p>
        </w:tc>
        <w:tc>
          <w:tcPr>
            <w:tcW w:w="518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 un darbaspēka izmaksas ES-28 valstīs 2016.g.</w:t>
            </w:r>
          </w:p>
        </w:tc>
      </w:tr>
      <w:tr w:rsidTr="00B2274B">
        <w:tblPrEx>
          <w:tblW w:w="10537" w:type="dxa"/>
          <w:jc w:val="center"/>
          <w:tblLook w:val="04A0"/>
        </w:tblPrEx>
        <w:trPr>
          <w:jc w:val="center"/>
        </w:trPr>
        <w:tc>
          <w:tcPr>
            <w:tcW w:w="535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rPr>
                <w:rFonts w:ascii="Candara" w:hAnsi="Candara"/>
              </w:rPr>
            </w:pPr>
            <w:r>
              <w:rPr>
                <w:noProof/>
                <w:lang w:eastAsia="lv-LV"/>
              </w:rPr>
              <w:drawing>
                <wp:inline distT="0" distB="0" distL="0" distR="0">
                  <wp:extent cx="3059430" cy="1336675"/>
                  <wp:effectExtent l="0" t="0" r="0" b="0"/>
                  <wp:docPr id="692" name="Chart 6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2"/>
                    </a:graphicData>
                  </a:graphic>
                </wp:inline>
              </w:drawing>
            </w:r>
          </w:p>
        </w:tc>
        <w:tc>
          <w:tcPr>
            <w:tcW w:w="518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rPr>
                <w:rFonts w:ascii="Candara" w:hAnsi="Candara"/>
              </w:rPr>
            </w:pPr>
            <w:r>
              <w:rPr>
                <w:noProof/>
                <w:lang w:eastAsia="lv-LV"/>
              </w:rPr>
              <w:drawing>
                <wp:inline distT="0" distB="0" distL="0" distR="0">
                  <wp:extent cx="3059430" cy="1336675"/>
                  <wp:effectExtent l="0" t="0" r="0" b="0"/>
                  <wp:docPr id="691" name="Chart 6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3"/>
                    </a:graphicData>
                  </a:graphic>
                </wp:inline>
              </w:drawing>
            </w:r>
          </w:p>
        </w:tc>
      </w:tr>
    </w:tbl>
    <w:p w:rsidR="00B2274B" w:rsidP="00B2274B">
      <w:pPr>
        <w:spacing w:after="0" w:line="240" w:lineRule="auto"/>
        <w:rPr>
          <w:rFonts w:ascii="Candara" w:hAnsi="Candara"/>
          <w:b/>
          <w:color w:val="000000"/>
          <w:szCs w:val="28"/>
        </w:rPr>
      </w:pPr>
    </w:p>
    <w:p w:rsidR="008F2255" w:rsidP="008F2255">
      <w:pPr>
        <w:spacing w:after="0" w:line="240" w:lineRule="auto"/>
        <w:jc w:val="both"/>
        <w:rPr>
          <w:rFonts w:ascii="Candara" w:hAnsi="Candara"/>
          <w:color w:val="000000"/>
          <w:szCs w:val="28"/>
        </w:rPr>
      </w:pPr>
      <w:bookmarkEnd w:id="65"/>
      <w:r>
        <w:rPr>
          <w:rFonts w:ascii="Candara" w:hAnsi="Candara"/>
          <w:b/>
          <w:color w:val="000000"/>
          <w:szCs w:val="28"/>
          <w:u w:val="single"/>
        </w:rPr>
        <w:t>Nozares īpatsvars tautsaimniecībā, procentos.</w:t>
      </w:r>
      <w:r>
        <w:rPr>
          <w:rFonts w:ascii="Candara" w:hAnsi="Candara"/>
          <w:color w:val="000000"/>
          <w:szCs w:val="28"/>
        </w:rPr>
        <w:t xml:space="preserve"> Būvniecības īpatsvars kopējā tautsaimniecībā 2005.gadā bija 6,7%. Tās īpatsvars pieauga līdz 10% 2007.gadā, bet krīzes laikā samazinājās līdz 5% 2010.gadā. Savukārt pēc krīzes periodā līdz 2014.gadam būvniecības īpatsvars pieauga par 1,7 procentpunktiem līdz 6,7%, 2016.gadā atkal samazinoties līdz 5,3%.</w:t>
      </w:r>
    </w:p>
    <w:p w:rsidR="008F2255" w:rsidP="008F2255">
      <w:pPr>
        <w:spacing w:after="0" w:line="240" w:lineRule="auto"/>
        <w:jc w:val="both"/>
        <w:rPr>
          <w:rFonts w:ascii="Candara" w:hAnsi="Candara"/>
          <w:color w:val="000000"/>
          <w:szCs w:val="28"/>
        </w:rPr>
      </w:pPr>
      <w:r>
        <w:rPr>
          <w:rFonts w:ascii="Candara" w:hAnsi="Candara"/>
          <w:b/>
          <w:color w:val="000000"/>
          <w:szCs w:val="28"/>
          <w:u w:val="single"/>
        </w:rPr>
        <w:t>Pievienotās vērtības un darba vietu skaita izmaiņas, 2005=100.</w:t>
      </w:r>
      <w:r>
        <w:rPr>
          <w:rFonts w:ascii="Candara" w:hAnsi="Candara"/>
          <w:color w:val="000000"/>
          <w:szCs w:val="28"/>
        </w:rPr>
        <w:t xml:space="preserve"> 2016.gadā ražošanas apjomi būvniecībā samazinājās par 18%. Kopš krīzes zemākā punkta 2010. gadā nozares izlaides apjomi ir auguši par 25%, tomēr par 51% atpaliek no pirmskrīzes perioda. Salīdzinājumā ar ražošanas apjomu kāpumu darbavietu skaits nozarē aug krietni lēnāk. 2016.gadā aizņemto darbavietu skaits samazinājās par 8%. Salīdzinot ar krīzes zemāko punktu 2010.gadā, darbavietu skaits pieauga par 18%, bet bija par 41% zemāks nekā pirms krīzes.</w:t>
      </w:r>
    </w:p>
    <w:p w:rsidR="008F2255" w:rsidP="008F2255">
      <w:pPr>
        <w:spacing w:after="0" w:line="240" w:lineRule="auto"/>
        <w:jc w:val="both"/>
        <w:rPr>
          <w:rFonts w:ascii="Candara" w:hAnsi="Candara"/>
          <w:color w:val="000000"/>
          <w:szCs w:val="28"/>
        </w:rPr>
      </w:pPr>
      <w:r>
        <w:rPr>
          <w:rFonts w:ascii="Candara" w:hAnsi="Candara"/>
          <w:b/>
          <w:color w:val="000000"/>
          <w:szCs w:val="28"/>
          <w:u w:val="single"/>
        </w:rPr>
        <w:t>Produkcijas eksports, milj. EUR.</w:t>
      </w:r>
      <w:r>
        <w:rPr>
          <w:rFonts w:ascii="Candara" w:hAnsi="Candara"/>
          <w:color w:val="000000"/>
          <w:szCs w:val="28"/>
        </w:rPr>
        <w:t xml:space="preserve"> Kopš 2005. gada būvniecības pakalpojumu eksports ir pieaudzis vairākas reizes. Pēc eksporta apjoma krituma 2015.gadā, nozares eksporta rādītāji 2016.gadā strauji uzlabojās par 57%.</w:t>
      </w:r>
    </w:p>
    <w:p w:rsidR="008F2255" w:rsidP="008F2255">
      <w:pPr>
        <w:spacing w:after="0" w:line="240" w:lineRule="auto"/>
        <w:jc w:val="both"/>
        <w:rPr>
          <w:rFonts w:ascii="Candara" w:hAnsi="Candara"/>
          <w:b/>
          <w:color w:val="000000"/>
          <w:szCs w:val="28"/>
          <w:u w:val="single"/>
        </w:rPr>
      </w:pPr>
      <w:r>
        <w:rPr>
          <w:rFonts w:ascii="Candara" w:hAnsi="Candara"/>
          <w:b/>
          <w:color w:val="000000"/>
          <w:szCs w:val="28"/>
          <w:u w:val="single"/>
        </w:rPr>
        <w:t>Eksports uz 1 strādājošo, tūkst. EUR.</w:t>
      </w:r>
      <w:r>
        <w:rPr>
          <w:rFonts w:ascii="Candara" w:hAnsi="Candara"/>
          <w:color w:val="000000"/>
          <w:szCs w:val="28"/>
        </w:rPr>
        <w:t xml:space="preserve"> Līdzīgi kā kopējais pakalpojumu eksports, eksports uz 1 strādājošo desmit gadu laikā ir būtiski audzis, 2016.gadā strauji uzlabojoties pēc krituma iepriekšējā gadā.</w:t>
      </w:r>
    </w:p>
    <w:p w:rsidR="008F2255" w:rsidP="008F2255">
      <w:pPr>
        <w:spacing w:after="0" w:line="240" w:lineRule="auto"/>
        <w:jc w:val="both"/>
        <w:rPr>
          <w:rFonts w:ascii="Candara" w:hAnsi="Candara"/>
          <w:color w:val="000000"/>
          <w:szCs w:val="28"/>
        </w:rPr>
      </w:pPr>
      <w:r>
        <w:rPr>
          <w:rFonts w:ascii="Candara" w:hAnsi="Candara"/>
          <w:b/>
          <w:color w:val="000000"/>
          <w:szCs w:val="28"/>
          <w:u w:val="single"/>
        </w:rPr>
        <w:t>Eksports uz 1 strādājošo ES 28 valstīs, tūkst. EUR.</w:t>
      </w:r>
      <w:r>
        <w:rPr>
          <w:rFonts w:ascii="Candara" w:hAnsi="Candara"/>
          <w:color w:val="000000"/>
          <w:szCs w:val="28"/>
        </w:rPr>
        <w:t xml:space="preserve"> Latvijā eksporta apjoms uz vienu strādājošo būvniecības nozarē ir būtiski pārsniedz ES vidējo līmeni. Salīdzinot ar kaimiņvalstīm, tas zemāks nekā Igaunijā, bet augstāks kā Lietuvā.</w:t>
      </w:r>
    </w:p>
    <w:p w:rsidR="008F2255" w:rsidP="008F2255">
      <w:pPr>
        <w:spacing w:after="0" w:line="240" w:lineRule="auto"/>
        <w:jc w:val="both"/>
        <w:rPr>
          <w:rFonts w:ascii="Candara" w:hAnsi="Candara"/>
          <w:b/>
          <w:color w:val="000000"/>
          <w:szCs w:val="28"/>
          <w:u w:val="single"/>
        </w:rPr>
      </w:pPr>
      <w:r>
        <w:rPr>
          <w:rFonts w:ascii="Candara" w:hAnsi="Candara"/>
          <w:b/>
          <w:color w:val="000000"/>
          <w:szCs w:val="28"/>
          <w:u w:val="single"/>
        </w:rPr>
        <w:t>Eksporta tirgi.</w:t>
      </w:r>
      <w:r>
        <w:rPr>
          <w:rFonts w:ascii="Candara" w:hAnsi="Candara"/>
          <w:color w:val="000000"/>
          <w:szCs w:val="28"/>
        </w:rPr>
        <w:t xml:space="preserve"> Lielākie eksporta tirgi būvniecības nozarē ir Lietuva, Zviedrija, Norvēģija, Igaunija, Apvienotā Karaliste, Krievija, Vācija un Francija.</w:t>
      </w:r>
    </w:p>
    <w:p w:rsidR="008F2255" w:rsidP="008F2255">
      <w:pPr>
        <w:spacing w:after="0" w:line="240" w:lineRule="auto"/>
        <w:jc w:val="both"/>
        <w:rPr>
          <w:rFonts w:ascii="Candara" w:hAnsi="Candara"/>
          <w:b/>
          <w:color w:val="000000"/>
          <w:szCs w:val="28"/>
          <w:u w:val="single"/>
        </w:rPr>
      </w:pPr>
      <w:r>
        <w:rPr>
          <w:rFonts w:ascii="Candara" w:hAnsi="Candara"/>
          <w:b/>
          <w:color w:val="000000"/>
          <w:szCs w:val="28"/>
          <w:u w:val="single"/>
        </w:rPr>
        <w:t>Darbaspēka izmaksu dinamika, tūkst.</w:t>
      </w:r>
      <w:r>
        <w:rPr>
          <w:rFonts w:ascii="Candara" w:hAnsi="Candara"/>
          <w:color w:val="000000"/>
          <w:szCs w:val="28"/>
        </w:rPr>
        <w:t xml:space="preserve"> Darbaspēka izmaksas būtiski pieauga 2007.gadā, krīzes laikā samazinājās, tomēr tās pārsniedz pirmskrīzes perioda līmeni. Atsākoties ekonomikas izaugsmei, kopš 2012.gada vērojams pakāpenisks darba samaksas pieaugums.</w:t>
      </w:r>
    </w:p>
    <w:p w:rsidR="008F2255" w:rsidP="008F2255">
      <w:pPr>
        <w:spacing w:after="0" w:line="240" w:lineRule="auto"/>
        <w:jc w:val="both"/>
        <w:rPr>
          <w:rFonts w:ascii="Candara" w:hAnsi="Candara"/>
          <w:color w:val="000000"/>
          <w:szCs w:val="28"/>
        </w:rPr>
      </w:pPr>
      <w:r>
        <w:rPr>
          <w:rFonts w:ascii="Candara" w:hAnsi="Candara"/>
          <w:b/>
          <w:color w:val="000000"/>
          <w:szCs w:val="28"/>
          <w:u w:val="single"/>
        </w:rPr>
        <w:t>Produktivitātes dinamika, tūkst.</w:t>
      </w:r>
      <w:r>
        <w:rPr>
          <w:rFonts w:ascii="Candara" w:hAnsi="Candara"/>
          <w:color w:val="000000"/>
          <w:szCs w:val="28"/>
        </w:rPr>
        <w:t xml:space="preserve"> Neskatoties uz būtisko nodarbināto skaita kritumu, produktivitāte krīzes periodā samazinājās, ko veicināja straujāks ražošanas apjomu kritums. Vienlaikus darbaspēka izmaksu kritums bija mērenāks. Pēckrīzes periodā, 2011.-2012.gadā strauji pieaugot ražošanas apjomiem, produktivitāte palielinājās. 2013.-2015.gadā produktivitātes līmenis praktiski nemainījās. 2016.gadā samazinoties ražošanas apjomiem, arī produktivitāte uzrādīja kritumu.</w:t>
      </w:r>
    </w:p>
    <w:p w:rsidR="008F2255" w:rsidP="008F2255">
      <w:pPr>
        <w:spacing w:after="0" w:line="240" w:lineRule="auto"/>
        <w:jc w:val="both"/>
        <w:rPr>
          <w:rFonts w:ascii="Candara" w:hAnsi="Candara"/>
          <w:color w:val="000000"/>
          <w:szCs w:val="28"/>
        </w:rPr>
      </w:pPr>
      <w:r>
        <w:rPr>
          <w:rFonts w:ascii="Candara" w:hAnsi="Candara"/>
          <w:b/>
          <w:color w:val="000000"/>
          <w:szCs w:val="28"/>
          <w:u w:val="single"/>
        </w:rPr>
        <w:t>Produktivitāte un darbaspēka izmaksas.</w:t>
      </w:r>
      <w:r>
        <w:rPr>
          <w:rFonts w:ascii="Candara" w:hAnsi="Candara"/>
          <w:color w:val="000000"/>
          <w:szCs w:val="28"/>
        </w:rPr>
        <w:t xml:space="preserve"> Krīzei bija būtiska ietekme uz nozares produktivitāti. 2010.gadā produktivitātes līmenis bija par 27% zemāks nekā 2007.gadā, ko noteica ražošanas apjomu kritums par 61% un nodarbināto skaita samazinājums par 46%. Jāatzīmē ka šajā laika periodā korekcijas darbaspēka izmaksās bija nedaudz mērenākas (kritums par 21%), kas arī noteica ULC pieaugumu. Atšķirībā no citām nozarēm, būvniecības nozarē krīzes izraisītās korekcijas neuzlaboja izmaksu konkurētspējas rādītājus. Tā kā būvniecībā ir liela ēnu ekonomikas daļa, tad ULC dinamika korekti neatspoguļo esošo situāciju. Pēdējos gados stingrāka būvuzņēmumu uzraudzība saistībā ar darbaspēka piesaisti un atlīdzību ir atgriezusi nozares attīstības ilgtermiņa tendences, kurai raksturīgs nemainīgs produktivitātes līmenis vienlaikus ar augošām darbaspēka izmaksām. 2014.-2016.gadā būvniecības nozarē darbaspēka izmaksu pieaugums un produktivitātes kritums liecina par cenu konkurētspējas (izmaksu) pazemināšanos.</w:t>
      </w:r>
    </w:p>
    <w:p w:rsidR="008F2255" w:rsidP="008F2255">
      <w:pPr>
        <w:spacing w:after="0" w:line="240" w:lineRule="auto"/>
        <w:jc w:val="both"/>
        <w:rPr>
          <w:rFonts w:ascii="Candara" w:hAnsi="Candara"/>
          <w:color w:val="000000"/>
          <w:szCs w:val="28"/>
        </w:rPr>
      </w:pPr>
      <w:r>
        <w:rPr>
          <w:rFonts w:ascii="Candara" w:hAnsi="Candara"/>
          <w:b/>
          <w:color w:val="000000"/>
          <w:szCs w:val="28"/>
          <w:u w:val="single"/>
        </w:rPr>
        <w:t>Darbaspēka izmaksas, ES-28=100.</w:t>
      </w:r>
      <w:r>
        <w:rPr>
          <w:rFonts w:ascii="Candara" w:hAnsi="Candara"/>
          <w:color w:val="000000"/>
          <w:szCs w:val="28"/>
        </w:rPr>
        <w:t xml:space="preserve"> Salīdzinot ar darbaspēka izmaksu vidējo līmeni ES, būvniecībai tas ir tuvāk ES vidējam līmenim nekā tautsaimniecībā kopumā un pēdējos gados tas pieaug vairāk tuvojoties ES vidējam līmenim.</w:t>
      </w:r>
    </w:p>
    <w:p w:rsidR="008F2255" w:rsidP="008F2255">
      <w:pPr>
        <w:spacing w:after="0" w:line="240" w:lineRule="auto"/>
        <w:jc w:val="both"/>
        <w:rPr>
          <w:rFonts w:ascii="Candara" w:hAnsi="Candara"/>
          <w:color w:val="000000"/>
          <w:szCs w:val="28"/>
        </w:rPr>
      </w:pPr>
      <w:r>
        <w:rPr>
          <w:rFonts w:ascii="Candara" w:hAnsi="Candara"/>
          <w:b/>
          <w:color w:val="000000"/>
          <w:szCs w:val="28"/>
          <w:u w:val="single"/>
        </w:rPr>
        <w:t>Produktivitāte, ES-28=100.</w:t>
      </w:r>
      <w:r>
        <w:rPr>
          <w:rFonts w:ascii="Candara" w:hAnsi="Candara"/>
          <w:color w:val="000000"/>
          <w:szCs w:val="28"/>
        </w:rPr>
        <w:t xml:space="preserve"> Salīdzinot ar vidējo līmeni ES, būvniecības produktivitātes līmenis pirmskrīzes periodā un 2012.-2014.gadā bija tuvāk ES vidējam līmenim. 2015.-2016.gadā tas samazinājās un 2016.gadā bija vien 39%, kas, salīdzinot ar 2012.gadu, bija samazinājies par 7 procentpunktiem, būtiski atpaliekot arī no vidējā līmeņa tautsaimniecībā kopumā.</w:t>
      </w:r>
    </w:p>
    <w:p w:rsidR="008F2255" w:rsidP="008F2255">
      <w:pPr>
        <w:spacing w:after="0" w:line="240" w:lineRule="auto"/>
        <w:jc w:val="both"/>
        <w:rPr>
          <w:rFonts w:ascii="Candara" w:hAnsi="Candara"/>
          <w:color w:val="000000"/>
          <w:szCs w:val="28"/>
        </w:rPr>
      </w:pPr>
      <w:r>
        <w:rPr>
          <w:rFonts w:ascii="Candara" w:hAnsi="Candara"/>
          <w:b/>
          <w:color w:val="000000"/>
          <w:szCs w:val="28"/>
          <w:u w:val="single"/>
        </w:rPr>
        <w:t>Darbaspēka izmaksas, salīdzinot ar ES valstīm, 2016.gadā.</w:t>
      </w:r>
      <w:r>
        <w:rPr>
          <w:rFonts w:ascii="Candara" w:hAnsi="Candara"/>
          <w:color w:val="000000"/>
          <w:szCs w:val="28"/>
        </w:rPr>
        <w:t xml:space="preserve"> Latvijā 2016.gadā darbaspēka izmaksas būvniecībā bija zemākas nekā Igaunijā, bet augstākas kā Lietuvā. Kopumā starp ES valstīm Latvija bija 17.vietā.</w:t>
      </w:r>
    </w:p>
    <w:p w:rsidR="008F2255" w:rsidP="008F2255">
      <w:pPr>
        <w:spacing w:after="0" w:line="240" w:lineRule="auto"/>
        <w:jc w:val="both"/>
        <w:rPr>
          <w:rFonts w:ascii="Candara" w:hAnsi="Candara"/>
          <w:color w:val="000000"/>
          <w:szCs w:val="28"/>
        </w:rPr>
      </w:pPr>
      <w:r>
        <w:rPr>
          <w:rFonts w:ascii="Candara" w:hAnsi="Candara"/>
          <w:b/>
          <w:color w:val="000000"/>
          <w:szCs w:val="28"/>
          <w:u w:val="single"/>
        </w:rPr>
        <w:t>Produktivitāte, salīdzinot ar ES valstīm, 2016.gadā.</w:t>
      </w:r>
      <w:r>
        <w:rPr>
          <w:rFonts w:ascii="Candara" w:hAnsi="Candara"/>
          <w:color w:val="000000"/>
          <w:szCs w:val="28"/>
        </w:rPr>
        <w:t xml:space="preserve"> Latvijā 2016.gadā produktivitāte būvniecībā bija viena no zemākajām ES, zemāka tā bija tikai Rumānijā, Ungārijā un Bulgārijā.</w:t>
      </w:r>
    </w:p>
    <w:p w:rsidR="008F2255" w:rsidP="008F2255">
      <w:pPr>
        <w:spacing w:after="0" w:line="240" w:lineRule="auto"/>
        <w:jc w:val="both"/>
        <w:rPr>
          <w:rFonts w:ascii="Candara" w:hAnsi="Candara"/>
          <w:color w:val="000000"/>
          <w:szCs w:val="28"/>
        </w:rPr>
      </w:pPr>
      <w:r>
        <w:rPr>
          <w:rFonts w:ascii="Candara" w:hAnsi="Candara"/>
          <w:b/>
          <w:color w:val="000000"/>
          <w:szCs w:val="28"/>
          <w:u w:val="single"/>
        </w:rPr>
        <w:t>Produktivitāte un darbaspēka izmaksas ES-28 valstīs 2010.gadā un 2016.gadā.</w:t>
      </w:r>
      <w:r>
        <w:rPr>
          <w:rFonts w:ascii="Candara" w:hAnsi="Candara"/>
          <w:color w:val="000000"/>
          <w:szCs w:val="28"/>
        </w:rPr>
        <w:t xml:space="preserve"> Darbaspēka izmaksas uz 1 produkcijas vienību (ULC) būvniecības nozarē Latvijā 2016.gadā ir viens no augstākajiem rādītājiem starp Austrumeiropas valstīm un līdzvērtīgs vecajām ES dalībvalstīm, augstāks tas bija tikai Īrijā un Lielbritānijā. 2010.gadā ULC Latvijā bija nedaudz augstāks par ES vidējo līmeni. Produktivitātes kāpumu Latvijā 2016.gadā, salīdzinot ar 2010.gadu, noteica ražošanas apjomu kāpums, kas bija nedaudz straujāks nekā nodarbināto skaita pieaugums. Tomēr augstais ULC līmenis Latvijā nozarē liecina par būtiskām problēmām konkurētspējas nodrošināšanā.</w:t>
      </w:r>
    </w:p>
    <w:p w:rsidR="00B2274B" w:rsidP="00762D1E">
      <w:pPr>
        <w:spacing w:after="0" w:line="240" w:lineRule="auto"/>
        <w:rPr>
          <w:rFonts w:ascii="Candara" w:hAnsi="Candara"/>
          <w:color w:val="000000"/>
          <w:szCs w:val="28"/>
        </w:rPr>
      </w:pPr>
      <w:r>
        <w:rPr>
          <w:rFonts w:ascii="Candara" w:hAnsi="Candara"/>
          <w:color w:val="000000"/>
          <w:szCs w:val="28"/>
        </w:rPr>
        <w:br w:type="page"/>
      </w:r>
    </w:p>
    <w:p w:rsidR="00B2274B" w:rsidP="00B2274B">
      <w:pPr>
        <w:pStyle w:val="Heading1"/>
        <w:jc w:val="center"/>
        <w:rPr>
          <w:b/>
          <w:sz w:val="22"/>
        </w:rPr>
      </w:pPr>
      <w:bookmarkStart w:id="68" w:name="_Toc482792416"/>
      <w:bookmarkStart w:id="69" w:name="_Hlk504754384"/>
      <w:bookmarkStart w:id="70" w:name="_Toc256000018"/>
      <w:bookmarkStart w:id="71" w:name="_Toc256000044"/>
      <w:r>
        <w:rPr>
          <w:b/>
          <w:sz w:val="22"/>
        </w:rPr>
        <w:t>G TIRDZNIECĪBA</w:t>
      </w:r>
      <w:bookmarkEnd w:id="71"/>
      <w:bookmarkEnd w:id="70"/>
      <w:bookmarkEnd w:id="68"/>
    </w:p>
    <w:tbl>
      <w:tblPr>
        <w:tblW w:w="10547"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3581"/>
        <w:gridCol w:w="1790"/>
        <w:gridCol w:w="1880"/>
        <w:gridCol w:w="3316"/>
      </w:tblGrid>
      <w:tr w:rsidTr="00B2274B">
        <w:tblPrEx>
          <w:tblW w:w="10547"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Nozares īpatsvars tautsaimniecībā (faktiskajās cenās), %</w:t>
            </w:r>
          </w:p>
        </w:tc>
        <w:tc>
          <w:tcPr>
            <w:tcW w:w="365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Pievienotās vērtības un darba vietu skaita izmaiņas (2005=100)</w:t>
            </w:r>
          </w:p>
        </w:tc>
        <w:tc>
          <w:tcPr>
            <w:tcW w:w="33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B2274B">
            <w:pPr>
              <w:jc w:val="center"/>
              <w:rPr>
                <w:rFonts w:ascii="Candara" w:hAnsi="Candara"/>
                <w:sz w:val="18"/>
                <w:szCs w:val="20"/>
              </w:rPr>
            </w:pPr>
          </w:p>
        </w:tc>
      </w:tr>
      <w:tr w:rsidTr="00B2274B">
        <w:tblPrEx>
          <w:tblW w:w="10547"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rPr>
                <w:rFonts w:ascii="Candara" w:hAnsi="Candara"/>
              </w:rPr>
            </w:pPr>
            <w:r>
              <w:rPr>
                <w:noProof/>
                <w:lang w:eastAsia="lv-LV"/>
              </w:rPr>
              <w:drawing>
                <wp:inline distT="0" distB="0" distL="0" distR="0">
                  <wp:extent cx="2136775" cy="1125220"/>
                  <wp:effectExtent l="0" t="0" r="0" b="0"/>
                  <wp:docPr id="690" name="Chart 6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4"/>
                    </a:graphicData>
                  </a:graphic>
                </wp:inline>
              </w:drawing>
            </w:r>
          </w:p>
        </w:tc>
        <w:tc>
          <w:tcPr>
            <w:tcW w:w="365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rPr>
                <w:rFonts w:ascii="Candara" w:hAnsi="Candara"/>
              </w:rPr>
            </w:pPr>
            <w:r>
              <w:rPr>
                <w:noProof/>
                <w:lang w:eastAsia="lv-LV"/>
              </w:rPr>
              <w:drawing>
                <wp:inline distT="0" distB="0" distL="0" distR="0">
                  <wp:extent cx="1943100" cy="1125220"/>
                  <wp:effectExtent l="0" t="0" r="0" b="0"/>
                  <wp:docPr id="689" name="Chart 6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5"/>
                    </a:graphicData>
                  </a:graphic>
                </wp:inline>
              </w:drawing>
            </w:r>
          </w:p>
        </w:tc>
        <w:tc>
          <w:tcPr>
            <w:tcW w:w="33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B2274B">
            <w:pPr>
              <w:rPr>
                <w:rFonts w:ascii="Candara" w:hAnsi="Candara"/>
              </w:rPr>
            </w:pPr>
          </w:p>
        </w:tc>
      </w:tr>
      <w:tr w:rsidTr="00B2274B">
        <w:tblPrEx>
          <w:tblW w:w="10547"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Darbaspēka izmaksu dinamika, tūkst. EUR</w:t>
            </w:r>
          </w:p>
        </w:tc>
        <w:tc>
          <w:tcPr>
            <w:tcW w:w="365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Produktivitātes dinamika, tūkst. EUR</w:t>
            </w:r>
          </w:p>
        </w:tc>
        <w:tc>
          <w:tcPr>
            <w:tcW w:w="33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 un darbaspēka izmaksas</w:t>
            </w:r>
          </w:p>
        </w:tc>
      </w:tr>
      <w:tr w:rsidTr="00B2274B">
        <w:tblPrEx>
          <w:tblW w:w="10547"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36775" cy="1169670"/>
                  <wp:effectExtent l="0" t="0" r="0" b="0"/>
                  <wp:docPr id="688" name="Chart 6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6"/>
                    </a:graphicData>
                  </a:graphic>
                </wp:inline>
              </w:drawing>
            </w:r>
          </w:p>
        </w:tc>
        <w:tc>
          <w:tcPr>
            <w:tcW w:w="365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36775" cy="1169670"/>
                  <wp:effectExtent l="0" t="0" r="0" b="0"/>
                  <wp:docPr id="687" name="Chart 6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7"/>
                    </a:graphicData>
                  </a:graphic>
                </wp:inline>
              </w:drawing>
            </w:r>
          </w:p>
        </w:tc>
        <w:tc>
          <w:tcPr>
            <w:tcW w:w="3320"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1846580" cy="2233295"/>
                  <wp:effectExtent l="0" t="0" r="0" b="0"/>
                  <wp:docPr id="686" name="Chart 6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8"/>
                    </a:graphicData>
                  </a:graphic>
                </wp:inline>
              </w:drawing>
            </w:r>
          </w:p>
        </w:tc>
      </w:tr>
      <w:tr w:rsidTr="00B2274B">
        <w:tblPrEx>
          <w:tblW w:w="10547"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Darbaspēka izmaksas, ES-28=100</w:t>
            </w:r>
          </w:p>
        </w:tc>
        <w:tc>
          <w:tcPr>
            <w:tcW w:w="365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 ES-28=100</w:t>
            </w:r>
          </w:p>
        </w:tc>
        <w:tc>
          <w:tcPr>
            <w:tcW w:w="0" w:type="auto"/>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B2274B">
            <w:pPr>
              <w:rPr>
                <w:rFonts w:ascii="Candara" w:hAnsi="Candara"/>
              </w:rPr>
            </w:pPr>
          </w:p>
        </w:tc>
      </w:tr>
      <w:tr w:rsidTr="00B2274B">
        <w:tblPrEx>
          <w:tblW w:w="10547"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27885" cy="1055370"/>
                  <wp:effectExtent l="0" t="0" r="5715" b="0"/>
                  <wp:docPr id="685" name="Chart 6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9"/>
                    </a:graphicData>
                  </a:graphic>
                </wp:inline>
              </w:drawing>
            </w:r>
          </w:p>
        </w:tc>
        <w:tc>
          <w:tcPr>
            <w:tcW w:w="365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36775" cy="1055370"/>
                  <wp:effectExtent l="0" t="0" r="0" b="0"/>
                  <wp:docPr id="684" name="Chart 6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0"/>
                    </a:graphicData>
                  </a:graphic>
                </wp:inline>
              </w:drawing>
            </w:r>
          </w:p>
        </w:tc>
        <w:tc>
          <w:tcPr>
            <w:tcW w:w="0" w:type="auto"/>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B2274B">
            <w:pPr>
              <w:rPr>
                <w:rFonts w:ascii="Candara" w:hAnsi="Candara"/>
              </w:rPr>
            </w:pPr>
          </w:p>
        </w:tc>
      </w:tr>
      <w:tr w:rsidTr="00B2274B">
        <w:tblPrEx>
          <w:tblW w:w="10547" w:type="dxa"/>
          <w:jc w:val="center"/>
          <w:tblLook w:val="04A0"/>
        </w:tblPrEx>
        <w:trPr>
          <w:jc w:val="center"/>
        </w:trPr>
        <w:tc>
          <w:tcPr>
            <w:tcW w:w="536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Darbaspēka izmaksas uz 1 nodarbināto 2016.g., tūkst. EUR</w:t>
            </w:r>
          </w:p>
        </w:tc>
        <w:tc>
          <w:tcPr>
            <w:tcW w:w="518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Produktivitāte (PV uz 1 nodarbināto) 2016.g., tūkst. EUR</w:t>
            </w:r>
          </w:p>
        </w:tc>
      </w:tr>
      <w:tr w:rsidTr="00B2274B">
        <w:tblPrEx>
          <w:tblW w:w="10547" w:type="dxa"/>
          <w:jc w:val="center"/>
          <w:tblLook w:val="04A0"/>
        </w:tblPrEx>
        <w:trPr>
          <w:jc w:val="center"/>
        </w:trPr>
        <w:tc>
          <w:tcPr>
            <w:tcW w:w="536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3156585" cy="1169670"/>
                  <wp:effectExtent l="0" t="0" r="5715" b="0"/>
                  <wp:docPr id="683" name="Chart 6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1"/>
                    </a:graphicData>
                  </a:graphic>
                </wp:inline>
              </w:drawing>
            </w:r>
          </w:p>
        </w:tc>
        <w:tc>
          <w:tcPr>
            <w:tcW w:w="518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3156585" cy="1169670"/>
                  <wp:effectExtent l="0" t="0" r="5715" b="0"/>
                  <wp:docPr id="682" name="Chart 6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2"/>
                    </a:graphicData>
                  </a:graphic>
                </wp:inline>
              </w:drawing>
            </w:r>
          </w:p>
        </w:tc>
      </w:tr>
      <w:tr w:rsidTr="00B2274B">
        <w:tblPrEx>
          <w:tblW w:w="10547" w:type="dxa"/>
          <w:jc w:val="center"/>
          <w:tblLook w:val="04A0"/>
        </w:tblPrEx>
        <w:trPr>
          <w:jc w:val="center"/>
        </w:trPr>
        <w:tc>
          <w:tcPr>
            <w:tcW w:w="536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 un darbaspēka izmaksas ES-28 valstīs 2010.g.</w:t>
            </w:r>
          </w:p>
        </w:tc>
        <w:tc>
          <w:tcPr>
            <w:tcW w:w="518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 un darbaspēka izmaksas ES-28 valstīs 2016.g.</w:t>
            </w:r>
          </w:p>
        </w:tc>
      </w:tr>
      <w:tr w:rsidTr="00B2274B">
        <w:tblPrEx>
          <w:tblW w:w="10547" w:type="dxa"/>
          <w:jc w:val="center"/>
          <w:tblLook w:val="04A0"/>
        </w:tblPrEx>
        <w:trPr>
          <w:jc w:val="center"/>
        </w:trPr>
        <w:tc>
          <w:tcPr>
            <w:tcW w:w="536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rPr>
                <w:rFonts w:ascii="Candara" w:hAnsi="Candara"/>
              </w:rPr>
            </w:pPr>
            <w:r>
              <w:rPr>
                <w:noProof/>
                <w:lang w:eastAsia="lv-LV"/>
              </w:rPr>
              <w:drawing>
                <wp:inline distT="0" distB="0" distL="0" distR="0">
                  <wp:extent cx="3059430" cy="1336675"/>
                  <wp:effectExtent l="0" t="0" r="0" b="0"/>
                  <wp:docPr id="681" name="Chart 6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3"/>
                    </a:graphicData>
                  </a:graphic>
                </wp:inline>
              </w:drawing>
            </w:r>
          </w:p>
        </w:tc>
        <w:tc>
          <w:tcPr>
            <w:tcW w:w="518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rPr>
                <w:rFonts w:ascii="Candara" w:hAnsi="Candara"/>
              </w:rPr>
            </w:pPr>
            <w:r>
              <w:rPr>
                <w:noProof/>
                <w:lang w:eastAsia="lv-LV"/>
              </w:rPr>
              <w:drawing>
                <wp:inline distT="0" distB="0" distL="0" distR="0">
                  <wp:extent cx="3059430" cy="1336675"/>
                  <wp:effectExtent l="0" t="0" r="0" b="0"/>
                  <wp:docPr id="680" name="Chart 6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4"/>
                    </a:graphicData>
                  </a:graphic>
                </wp:inline>
              </w:drawing>
            </w:r>
          </w:p>
        </w:tc>
      </w:tr>
    </w:tbl>
    <w:p w:rsidR="00B2274B" w:rsidP="00B2274B">
      <w:pPr>
        <w:spacing w:after="0" w:line="240" w:lineRule="auto"/>
        <w:rPr>
          <w:rFonts w:ascii="Candara" w:hAnsi="Candara"/>
          <w:b/>
          <w:color w:val="000000"/>
          <w:szCs w:val="28"/>
        </w:rPr>
      </w:pPr>
    </w:p>
    <w:p w:rsidR="00B2274B" w:rsidP="00762D1E">
      <w:pPr>
        <w:spacing w:after="0" w:line="240" w:lineRule="auto"/>
        <w:rPr>
          <w:rFonts w:ascii="Candara" w:hAnsi="Candara"/>
          <w:b/>
          <w:color w:val="000000"/>
          <w:szCs w:val="28"/>
        </w:rPr>
      </w:pPr>
      <w:r>
        <w:rPr>
          <w:rFonts w:ascii="Candara" w:hAnsi="Candara"/>
          <w:b/>
          <w:color w:val="000000"/>
          <w:szCs w:val="28"/>
        </w:rPr>
        <w:br w:type="page"/>
      </w:r>
    </w:p>
    <w:p w:rsidR="00B2274B" w:rsidP="00B2274B">
      <w:pPr>
        <w:spacing w:after="0" w:line="240" w:lineRule="auto"/>
        <w:rPr>
          <w:rFonts w:ascii="Candara" w:hAnsi="Candara"/>
          <w:b/>
          <w:color w:val="000000"/>
          <w:szCs w:val="28"/>
        </w:rPr>
      </w:pPr>
    </w:p>
    <w:p w:rsidR="0074046A" w:rsidP="0074046A">
      <w:pPr>
        <w:spacing w:after="0" w:line="240" w:lineRule="auto"/>
        <w:jc w:val="both"/>
        <w:rPr>
          <w:rFonts w:ascii="Candara" w:hAnsi="Candara"/>
          <w:color w:val="000000"/>
          <w:szCs w:val="28"/>
        </w:rPr>
      </w:pPr>
      <w:bookmarkEnd w:id="69"/>
      <w:r>
        <w:rPr>
          <w:rFonts w:ascii="Candara" w:hAnsi="Candara"/>
          <w:b/>
          <w:color w:val="000000"/>
          <w:szCs w:val="28"/>
          <w:u w:val="single"/>
        </w:rPr>
        <w:t>Nozares īpatsvars tautsaimniecībā, procentos.</w:t>
      </w:r>
      <w:r>
        <w:rPr>
          <w:rFonts w:ascii="Candara" w:hAnsi="Candara"/>
          <w:color w:val="000000"/>
          <w:szCs w:val="28"/>
        </w:rPr>
        <w:t xml:space="preserve"> Tirdzniecības nozarei ir viens no lielākajiem īpatsvariem tautsaimniecībā, tomēr tas kopš 2005.gada pakāpeniski samazinājās no 16,5% līdz 14,7% 2016.gadā, pieaugumu piedzīvojot vien 2009.-2010.gadā krīzes laikā.</w:t>
      </w:r>
    </w:p>
    <w:p w:rsidR="0074046A" w:rsidP="0074046A">
      <w:pPr>
        <w:spacing w:after="0" w:line="240" w:lineRule="auto"/>
        <w:jc w:val="both"/>
        <w:rPr>
          <w:rFonts w:ascii="Candara" w:hAnsi="Candara"/>
          <w:color w:val="000000"/>
          <w:szCs w:val="28"/>
        </w:rPr>
      </w:pPr>
      <w:r>
        <w:rPr>
          <w:rFonts w:ascii="Candara" w:hAnsi="Candara"/>
          <w:b/>
          <w:color w:val="000000"/>
          <w:szCs w:val="28"/>
          <w:u w:val="single"/>
        </w:rPr>
        <w:t>Pievienotās vērtības un darba vietu skaita izmaiņas, 2005=100.</w:t>
      </w:r>
      <w:r>
        <w:rPr>
          <w:rFonts w:ascii="Candara" w:hAnsi="Candara"/>
          <w:color w:val="000000"/>
          <w:szCs w:val="28"/>
        </w:rPr>
        <w:t xml:space="preserve"> Kopš 2011.gada nozares izlaides apjomi pieaug katru gadu. Tirdzniecības nozari pozitīvi ietekmē privātā patēriņa kāpums un mazumtirdzniecības apgrozījuma pieaugums. 2016.gadā ražošanas apjomi nozarē palielinājās par 3,3%, salīdzinot ar 2015.gadu. Kopš krīzes zemākā punkta 2010.gadā nozares izlaides apjomi ir kāpuši par 23,4%, bet atpaliek par 3,9% no pirmskrīzes līmeņa 2007.gadā.</w:t>
      </w:r>
    </w:p>
    <w:p w:rsidR="0074046A" w:rsidP="0074046A">
      <w:pPr>
        <w:spacing w:after="0" w:line="240" w:lineRule="auto"/>
        <w:jc w:val="both"/>
        <w:rPr>
          <w:rFonts w:ascii="Candara" w:hAnsi="Candara"/>
          <w:color w:val="000000"/>
          <w:szCs w:val="28"/>
        </w:rPr>
      </w:pPr>
      <w:r>
        <w:rPr>
          <w:rFonts w:ascii="Candara" w:hAnsi="Candara"/>
          <w:color w:val="000000"/>
          <w:szCs w:val="28"/>
        </w:rPr>
        <w:t>Salīdzinājumā ar ražošanas apjomu kāpumu darbavietu skaits nozarē aug krietni mērenāk, kas liecina par produktivitātes pieaugumu. Arī darbavietu skaits kopš 2011.gada pieaug katru gadu. 2015.gadā aizņemto darbavietu skaits pieauga par 1%, savukārt 2016.gadā bija vērojams par neliels kritums (par 0,2%).</w:t>
      </w:r>
      <w:r>
        <w:t xml:space="preserve"> </w:t>
      </w:r>
      <w:r>
        <w:rPr>
          <w:rFonts w:ascii="Candara" w:hAnsi="Candara"/>
          <w:color w:val="000000"/>
          <w:szCs w:val="28"/>
        </w:rPr>
        <w:t>2016.gadā, salīdzinot ar krīzes zemāko punktu 2010.gadā, darbavietu skaits ir pieaudzis par 7%,</w:t>
      </w:r>
      <w:r>
        <w:t xml:space="preserve"> </w:t>
      </w:r>
      <w:r>
        <w:rPr>
          <w:rFonts w:ascii="Candara" w:hAnsi="Candara"/>
          <w:color w:val="000000"/>
          <w:szCs w:val="28"/>
        </w:rPr>
        <w:t>bet par 26% atpaliek no pirmskrīzes līmeņa 2007.gadā.</w:t>
      </w:r>
    </w:p>
    <w:p w:rsidR="0074046A" w:rsidP="0074046A">
      <w:pPr>
        <w:spacing w:after="0" w:line="240" w:lineRule="auto"/>
        <w:jc w:val="both"/>
        <w:rPr>
          <w:rFonts w:ascii="Candara" w:hAnsi="Candara"/>
          <w:color w:val="000000"/>
          <w:szCs w:val="28"/>
        </w:rPr>
      </w:pPr>
      <w:r>
        <w:rPr>
          <w:rFonts w:ascii="Candara" w:hAnsi="Candara"/>
          <w:b/>
          <w:color w:val="000000"/>
          <w:szCs w:val="28"/>
          <w:u w:val="single"/>
        </w:rPr>
        <w:t>Darbaspēka izmaksu dinamika, tūkst.</w:t>
      </w:r>
      <w:r>
        <w:rPr>
          <w:rFonts w:ascii="Candara" w:hAnsi="Candara"/>
          <w:color w:val="000000"/>
          <w:szCs w:val="28"/>
        </w:rPr>
        <w:t xml:space="preserve"> Krīzes laikā darbaspēka izmaksas tirdzniecībā samazinājās, bet, atsākoties ekonomikas izaugsmei, 2011.-2016.gadā darba samaksas pieaugums nozarē kļuva straujāks, darbaspēka izmaksām sasniedzot jau pirmskrīzes perioda līmeni.</w:t>
      </w:r>
    </w:p>
    <w:p w:rsidR="0074046A" w:rsidP="0074046A">
      <w:pPr>
        <w:spacing w:after="0" w:line="240" w:lineRule="auto"/>
        <w:jc w:val="both"/>
        <w:rPr>
          <w:rFonts w:ascii="Candara" w:hAnsi="Candara"/>
          <w:color w:val="000000"/>
          <w:szCs w:val="28"/>
        </w:rPr>
      </w:pPr>
      <w:r>
        <w:rPr>
          <w:rFonts w:ascii="Candara" w:hAnsi="Candara"/>
          <w:b/>
          <w:color w:val="000000"/>
          <w:szCs w:val="28"/>
          <w:u w:val="single"/>
        </w:rPr>
        <w:t>Produktivitātes dinamika, tūkst.</w:t>
      </w:r>
      <w:r>
        <w:rPr>
          <w:rFonts w:ascii="Candara" w:hAnsi="Candara"/>
          <w:color w:val="000000"/>
          <w:szCs w:val="28"/>
        </w:rPr>
        <w:t xml:space="preserve"> Izlaides apjomu straujāks samazinājums nekā nodarbināto skaita kritums krīzes laikā 2009.gadā veicināja produktivitātes kritumu. Savukārt, kopš 2010.gada, pieaugot izlaides apjomiem un samazinoties nodarbināto skaitam, produktivitāte pakāpeniski palielinās.</w:t>
      </w:r>
    </w:p>
    <w:p w:rsidR="0074046A" w:rsidP="0074046A">
      <w:pPr>
        <w:spacing w:after="0" w:line="240" w:lineRule="auto"/>
        <w:jc w:val="both"/>
        <w:rPr>
          <w:rFonts w:ascii="Candara" w:hAnsi="Candara"/>
          <w:b/>
          <w:color w:val="000000"/>
          <w:szCs w:val="28"/>
          <w:u w:val="single"/>
        </w:rPr>
      </w:pPr>
      <w:r>
        <w:rPr>
          <w:rFonts w:ascii="Candara" w:hAnsi="Candara"/>
          <w:b/>
          <w:color w:val="000000"/>
          <w:szCs w:val="28"/>
          <w:u w:val="single"/>
        </w:rPr>
        <w:t>Produktivitāte un darbaspēka izmaksas.</w:t>
      </w:r>
      <w:r>
        <w:rPr>
          <w:rFonts w:ascii="Candara" w:hAnsi="Candara"/>
          <w:color w:val="000000"/>
          <w:szCs w:val="28"/>
        </w:rPr>
        <w:t xml:space="preserve"> Pēdējos gados nozarē darbaspēka izmaksas pieaug straujāk nekā produktivitāte, kas liecina par cenu konkurētspējas (izmaksu) pazemināšanos.  Šīs tendences ir līdzīgas pirms krīzes periodā vērojamām. Ekonomikas lejupslīdes jeb krīzes periodā ULC samazinājās, ko noteica būtisks nodarbināto skaita samazinājums, darbaspēka izmaksām samazinoties straujāk. Kopš 2011.gada darbaspēka izmaksas pieaug straujāk nekā produktivitāte. Vienlaikus jāatzīmē, ka kopš 2012.gada ULC nozarē Latvijā vidēji gadā pieauga par 5%, bet vidēji ES – par 1%,  tas nozīmē, ka izmaksu konkurētspējas priekšrocības ES tirgū samazinās.</w:t>
      </w:r>
    </w:p>
    <w:p w:rsidR="0074046A" w:rsidP="0074046A">
      <w:pPr>
        <w:spacing w:after="0" w:line="240" w:lineRule="auto"/>
        <w:jc w:val="both"/>
        <w:rPr>
          <w:rFonts w:ascii="Candara" w:hAnsi="Candara"/>
          <w:color w:val="000000"/>
          <w:szCs w:val="28"/>
        </w:rPr>
      </w:pPr>
      <w:r>
        <w:rPr>
          <w:rFonts w:ascii="Candara" w:hAnsi="Candara"/>
          <w:b/>
          <w:color w:val="000000"/>
          <w:szCs w:val="28"/>
          <w:u w:val="single"/>
        </w:rPr>
        <w:t>Darbaspēka izmaksas, ES-28=100.</w:t>
      </w:r>
      <w:r>
        <w:rPr>
          <w:rFonts w:ascii="Candara" w:hAnsi="Candara"/>
          <w:color w:val="000000"/>
          <w:szCs w:val="28"/>
        </w:rPr>
        <w:t xml:space="preserve"> Salīdzinot ar darbaspēka izmaksu vidējo līmeni ES, nozarē tas ir augstāk nekā tautsaimniecībā kopumā un pēdējos gados šis rādītājs pakāpeniski pieaug.</w:t>
      </w:r>
    </w:p>
    <w:p w:rsidR="0074046A" w:rsidP="0074046A">
      <w:pPr>
        <w:spacing w:after="0" w:line="240" w:lineRule="auto"/>
        <w:jc w:val="both"/>
        <w:rPr>
          <w:rFonts w:ascii="Candara" w:hAnsi="Candara"/>
          <w:color w:val="000000"/>
          <w:szCs w:val="28"/>
        </w:rPr>
      </w:pPr>
      <w:r>
        <w:rPr>
          <w:rFonts w:ascii="Candara" w:hAnsi="Candara"/>
          <w:b/>
          <w:color w:val="000000"/>
          <w:szCs w:val="28"/>
          <w:u w:val="single"/>
        </w:rPr>
        <w:t>Produktivitāte, ES-28=100.</w:t>
      </w:r>
      <w:r>
        <w:rPr>
          <w:rFonts w:ascii="Candara" w:hAnsi="Candara"/>
          <w:color w:val="000000"/>
          <w:szCs w:val="28"/>
        </w:rPr>
        <w:t xml:space="preserve"> Salīdzinot ar vidējo līmeni ES, nozarē produktivitātes līmenis ir augstāks nekā tautsaimniecībā kopumā. 2012.-2014. gadā produktivitāte stabili turējās vienādā līmenī pret ES vidējo rādītāju.</w:t>
      </w:r>
    </w:p>
    <w:p w:rsidR="0074046A" w:rsidP="0074046A">
      <w:pPr>
        <w:spacing w:after="0" w:line="240" w:lineRule="auto"/>
        <w:jc w:val="both"/>
        <w:rPr>
          <w:rFonts w:ascii="Candara" w:hAnsi="Candara"/>
          <w:color w:val="000000"/>
          <w:szCs w:val="28"/>
        </w:rPr>
      </w:pPr>
      <w:r>
        <w:rPr>
          <w:rFonts w:ascii="Candara" w:hAnsi="Candara"/>
          <w:b/>
          <w:color w:val="000000"/>
          <w:szCs w:val="28"/>
          <w:u w:val="single"/>
        </w:rPr>
        <w:t>Darbaspēka izmaksas, salīdzinot ar ES valstīm, 2015.gadā.</w:t>
      </w:r>
      <w:r>
        <w:rPr>
          <w:rFonts w:ascii="Candara" w:hAnsi="Candara"/>
          <w:color w:val="000000"/>
          <w:szCs w:val="28"/>
        </w:rPr>
        <w:t xml:space="preserve"> Latvijā 2015.gadā darbaspēka izmaksas nozarē bija vienas no zemākajām starp ES valstīm, zemākas tās bija tikai Polijā, Rumānijā, Ungārijā un Bulgārijā.</w:t>
      </w:r>
    </w:p>
    <w:p w:rsidR="0074046A" w:rsidP="0074046A">
      <w:pPr>
        <w:spacing w:after="0" w:line="240" w:lineRule="auto"/>
        <w:jc w:val="both"/>
        <w:rPr>
          <w:rFonts w:ascii="Candara" w:hAnsi="Candara"/>
          <w:color w:val="000000"/>
          <w:szCs w:val="28"/>
        </w:rPr>
      </w:pPr>
      <w:r>
        <w:rPr>
          <w:rFonts w:ascii="Candara" w:hAnsi="Candara"/>
          <w:b/>
          <w:color w:val="000000"/>
          <w:szCs w:val="28"/>
          <w:u w:val="single"/>
        </w:rPr>
        <w:t>Produktivitāte, salīdzinot ar ES valstīm, 2015.gadā.</w:t>
      </w:r>
      <w:r>
        <w:rPr>
          <w:rFonts w:ascii="Candara" w:hAnsi="Candara"/>
          <w:color w:val="000000"/>
          <w:szCs w:val="28"/>
        </w:rPr>
        <w:t xml:space="preserve"> Latvijā 2015.gadā produktivitāte nozarē bija viena no zemākajām starp ES valstīm, zemāka tā bija tikai Rumānijā, Ungārijā un Bulgārijā, Grieķijā un Slovākijā.</w:t>
      </w:r>
    </w:p>
    <w:p w:rsidR="0074046A" w:rsidP="0074046A">
      <w:pPr>
        <w:spacing w:after="0" w:line="240" w:lineRule="auto"/>
        <w:jc w:val="both"/>
        <w:rPr>
          <w:rFonts w:ascii="Candara" w:hAnsi="Candara"/>
          <w:color w:val="000000"/>
          <w:szCs w:val="28"/>
        </w:rPr>
      </w:pPr>
      <w:r>
        <w:rPr>
          <w:rFonts w:ascii="Candara" w:hAnsi="Candara"/>
          <w:b/>
          <w:color w:val="000000"/>
          <w:szCs w:val="28"/>
          <w:u w:val="single"/>
        </w:rPr>
        <w:t>Produktivitāte un darbaspēka izmaksas ES-28 valstīs 2010.gadā un 2015.gadā.</w:t>
      </w:r>
      <w:r>
        <w:rPr>
          <w:rFonts w:ascii="Candara" w:hAnsi="Candara"/>
          <w:color w:val="000000"/>
          <w:szCs w:val="28"/>
        </w:rPr>
        <w:t xml:space="preserve"> Darbaspēka izmaksas uz 1 produkcijas vienību (ULC) nozarē Latvijā 2010.gadā bija viens no zemākajiem rādītājiem ES, zemāks rādītājs bija tikai Lietuvā, Luksemburgā un Polijā, bet 2015.gadā tas jau bija tuvāks ES vidējam rādītājam, 7 valstīs bija zemāks rādītājs. Latvijā 2015.gadā, salīdzinot ar 2010.gadu darbaspēka izmaksas uz 1 produkcijas vienību ir pieaugušas par 22%, ko noteica darbaspēku izmaksu kāpums par 50%. Tas liecina, ka nozarē lēta darbaspēka konkurētspējas priekšrocības samazinās.</w:t>
      </w:r>
    </w:p>
    <w:p w:rsidR="00B2274B" w:rsidP="00762D1E">
      <w:pPr>
        <w:spacing w:after="0" w:line="240" w:lineRule="auto"/>
        <w:rPr>
          <w:rFonts w:ascii="Candara" w:hAnsi="Candara"/>
          <w:color w:val="000000"/>
          <w:szCs w:val="28"/>
        </w:rPr>
      </w:pPr>
      <w:r>
        <w:rPr>
          <w:rFonts w:ascii="Candara" w:hAnsi="Candara"/>
          <w:color w:val="000000"/>
          <w:szCs w:val="28"/>
        </w:rPr>
        <w:br w:type="page"/>
      </w:r>
    </w:p>
    <w:p w:rsidR="00B2274B" w:rsidP="00B2274B">
      <w:pPr>
        <w:pStyle w:val="Heading1"/>
        <w:jc w:val="center"/>
        <w:rPr>
          <w:b/>
          <w:sz w:val="22"/>
        </w:rPr>
      </w:pPr>
      <w:bookmarkStart w:id="72" w:name="_Toc482792417"/>
      <w:bookmarkStart w:id="73" w:name="_Hlk504755913"/>
      <w:bookmarkStart w:id="74" w:name="_Toc256000019"/>
      <w:bookmarkStart w:id="75" w:name="_Toc256000045"/>
      <w:r>
        <w:rPr>
          <w:b/>
          <w:sz w:val="22"/>
        </w:rPr>
        <w:t>H TRANSPORTS UN UZGLABĀŠANA</w:t>
      </w:r>
      <w:bookmarkEnd w:id="75"/>
      <w:bookmarkEnd w:id="74"/>
      <w:bookmarkEnd w:id="72"/>
    </w:p>
    <w:tbl>
      <w:tblPr>
        <w:tblW w:w="10488"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3581"/>
        <w:gridCol w:w="1779"/>
        <w:gridCol w:w="1839"/>
        <w:gridCol w:w="3357"/>
      </w:tblGrid>
      <w:tr w:rsidTr="00B2274B">
        <w:tblPrEx>
          <w:tblW w:w="10488"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Nozares īpatsvars tautsaimniecībā (faktiskajās cenās), %</w:t>
            </w:r>
          </w:p>
        </w:tc>
        <w:tc>
          <w:tcPr>
            <w:tcW w:w="357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Pievienotās vērtības un darba vietu skaita izmaiņas (2005=100)</w:t>
            </w:r>
          </w:p>
        </w:tc>
        <w:tc>
          <w:tcPr>
            <w:tcW w:w="33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Produkcijas eksports, milj. EUR*</w:t>
            </w:r>
          </w:p>
        </w:tc>
      </w:tr>
      <w:tr w:rsidTr="00B2274B">
        <w:tblPrEx>
          <w:tblW w:w="10488"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rPr>
                <w:rFonts w:ascii="Candara" w:hAnsi="Candara"/>
              </w:rPr>
            </w:pPr>
            <w:r>
              <w:rPr>
                <w:noProof/>
                <w:lang w:eastAsia="lv-LV"/>
              </w:rPr>
              <w:drawing>
                <wp:inline distT="0" distB="0" distL="0" distR="0">
                  <wp:extent cx="2136775" cy="1002030"/>
                  <wp:effectExtent l="0" t="0" r="0" b="0"/>
                  <wp:docPr id="679" name="Chart 6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5"/>
                    </a:graphicData>
                  </a:graphic>
                </wp:inline>
              </w:drawing>
            </w:r>
          </w:p>
        </w:tc>
        <w:tc>
          <w:tcPr>
            <w:tcW w:w="357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1943100" cy="1002030"/>
                  <wp:effectExtent l="0" t="0" r="0" b="7620"/>
                  <wp:docPr id="678" name="Chart 6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6"/>
                    </a:graphicData>
                  </a:graphic>
                </wp:inline>
              </w:drawing>
            </w:r>
          </w:p>
        </w:tc>
        <w:tc>
          <w:tcPr>
            <w:tcW w:w="33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rPr>
                <w:rFonts w:ascii="Candara" w:hAnsi="Candara"/>
              </w:rPr>
            </w:pPr>
            <w:r>
              <w:rPr>
                <w:b/>
                <w:noProof/>
                <w:lang w:eastAsia="lv-LV"/>
              </w:rPr>
              <w:drawing>
                <wp:inline distT="0" distB="0" distL="0" distR="0">
                  <wp:extent cx="1978025" cy="887730"/>
                  <wp:effectExtent l="0" t="0" r="3175" b="0"/>
                  <wp:docPr id="677" name="Chart 6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7"/>
                    </a:graphicData>
                  </a:graphic>
                </wp:inline>
              </w:drawing>
            </w:r>
          </w:p>
          <w:p w:rsidR="00B2274B" w:rsidP="00762D1E">
            <w:pPr>
              <w:spacing w:after="0" w:line="240" w:lineRule="auto"/>
              <w:rPr>
                <w:rFonts w:ascii="Candara" w:hAnsi="Candara"/>
              </w:rPr>
            </w:pPr>
            <w:r>
              <w:rPr>
                <w:rFonts w:ascii="Candara" w:hAnsi="Candara"/>
                <w:sz w:val="14"/>
                <w:szCs w:val="14"/>
              </w:rPr>
              <w:t>* Latvijas Bankas dati</w:t>
            </w:r>
          </w:p>
        </w:tc>
      </w:tr>
      <w:tr w:rsidTr="00B2274B">
        <w:tblPrEx>
          <w:tblW w:w="10488"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Eksports uz 1 strādājošo, tūkst. EUR</w:t>
            </w:r>
          </w:p>
        </w:tc>
        <w:tc>
          <w:tcPr>
            <w:tcW w:w="6912"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Eksports uz 1 strādājošo ES-28 valstīs, tūkst. EUR</w:t>
            </w:r>
          </w:p>
        </w:tc>
      </w:tr>
      <w:tr w:rsidTr="00B2274B">
        <w:tblPrEx>
          <w:tblW w:w="10488"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36775" cy="1169670"/>
                  <wp:effectExtent l="0" t="0" r="0" b="0"/>
                  <wp:docPr id="676" name="Chart 6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8"/>
                    </a:graphicData>
                  </a:graphic>
                </wp:inline>
              </w:drawing>
            </w:r>
          </w:p>
        </w:tc>
        <w:tc>
          <w:tcPr>
            <w:tcW w:w="6912"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4114800" cy="1169670"/>
                  <wp:effectExtent l="0" t="0" r="0" b="0"/>
                  <wp:docPr id="675" name="Chart 6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9"/>
                    </a:graphicData>
                  </a:graphic>
                </wp:inline>
              </w:drawing>
            </w:r>
          </w:p>
        </w:tc>
      </w:tr>
      <w:tr w:rsidTr="00B2274B">
        <w:tblPrEx>
          <w:tblW w:w="10488"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Eksporta tirgi, 2016.g.</w:t>
            </w:r>
            <w:r w:rsidR="00FE66C0">
              <w:rPr>
                <w:rFonts w:ascii="Candara" w:hAnsi="Candara"/>
                <w:sz w:val="18"/>
                <w:szCs w:val="20"/>
              </w:rPr>
              <w:t>*</w:t>
            </w:r>
          </w:p>
        </w:tc>
        <w:tc>
          <w:tcPr>
            <w:tcW w:w="6912"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Eksporta struktūra</w:t>
            </w:r>
            <w:r w:rsidR="00FE66C0">
              <w:rPr>
                <w:rFonts w:ascii="Candara" w:hAnsi="Candara"/>
                <w:sz w:val="18"/>
                <w:szCs w:val="20"/>
              </w:rPr>
              <w:t>*</w:t>
            </w:r>
          </w:p>
        </w:tc>
      </w:tr>
      <w:tr w:rsidTr="00B2274B">
        <w:tblPrEx>
          <w:tblW w:w="10488"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b/>
                <w:szCs w:val="28"/>
              </w:rPr>
            </w:pPr>
            <w:r>
              <w:rPr>
                <w:noProof/>
                <w:lang w:eastAsia="lv-LV"/>
              </w:rPr>
              <w:drawing>
                <wp:inline distT="0" distB="0" distL="0" distR="0">
                  <wp:extent cx="1661795" cy="1371600"/>
                  <wp:effectExtent l="0" t="0" r="0" b="0"/>
                  <wp:docPr id="674" name="Chart 6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0"/>
                    </a:graphicData>
                  </a:graphic>
                </wp:inline>
              </w:drawing>
            </w:r>
          </w:p>
          <w:p w:rsidR="00B2274B" w:rsidP="00762D1E">
            <w:pPr>
              <w:spacing w:after="0" w:line="240" w:lineRule="auto"/>
              <w:jc w:val="center"/>
              <w:rPr>
                <w:rFonts w:ascii="Candara" w:hAnsi="Candara"/>
                <w:b/>
                <w:szCs w:val="28"/>
              </w:rPr>
            </w:pPr>
            <w:r>
              <w:rPr>
                <w:rFonts w:ascii="Candara" w:hAnsi="Candara"/>
                <w:sz w:val="14"/>
                <w:szCs w:val="14"/>
              </w:rPr>
              <w:t>* Latvijas Bankas dati</w:t>
            </w:r>
          </w:p>
        </w:tc>
        <w:tc>
          <w:tcPr>
            <w:tcW w:w="6912"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tabs>
                <w:tab w:val="left" w:pos="8080"/>
              </w:tabs>
              <w:spacing w:after="0" w:line="240" w:lineRule="auto"/>
              <w:ind w:right="-31"/>
              <w:jc w:val="center"/>
              <w:rPr>
                <w:sz w:val="18"/>
              </w:rPr>
            </w:pPr>
            <w:r>
              <w:rPr>
                <w:sz w:val="18"/>
              </w:rPr>
              <w:t>Latvija*                                                                                       ES-28</w:t>
            </w:r>
          </w:p>
          <w:p w:rsidR="00B2274B" w:rsidP="00762D1E">
            <w:pPr>
              <w:tabs>
                <w:tab w:val="left" w:pos="8080"/>
              </w:tabs>
              <w:spacing w:after="0" w:line="240" w:lineRule="auto"/>
              <w:ind w:right="-31"/>
            </w:pPr>
            <w:r>
              <w:rPr>
                <w:noProof/>
                <w:lang w:eastAsia="lv-LV"/>
              </w:rPr>
              <w:drawing>
                <wp:inline distT="0" distB="0" distL="0" distR="0">
                  <wp:extent cx="2593975" cy="1248410"/>
                  <wp:effectExtent l="0" t="0" r="0" b="8890"/>
                  <wp:docPr id="673" name="Chart 6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1"/>
                    </a:graphicData>
                  </a:graphic>
                </wp:inline>
              </w:drawing>
            </w:r>
            <w:r>
              <w:rPr>
                <w:noProof/>
                <w:lang w:eastAsia="lv-LV"/>
              </w:rPr>
              <w:drawing>
                <wp:inline distT="0" distB="0" distL="0" distR="0">
                  <wp:extent cx="1442085" cy="1248410"/>
                  <wp:effectExtent l="0" t="0" r="5715" b="8890"/>
                  <wp:docPr id="672" name="Chart 6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2"/>
                    </a:graphicData>
                  </a:graphic>
                </wp:inline>
              </w:drawing>
            </w:r>
          </w:p>
          <w:p w:rsidR="00B2274B" w:rsidP="00762D1E">
            <w:pPr>
              <w:tabs>
                <w:tab w:val="left" w:pos="8080"/>
              </w:tabs>
              <w:spacing w:after="0" w:line="240" w:lineRule="auto"/>
              <w:ind w:left="416" w:right="-31"/>
            </w:pPr>
            <w:r>
              <w:rPr>
                <w:rFonts w:ascii="Candara" w:hAnsi="Candara"/>
                <w:sz w:val="14"/>
                <w:szCs w:val="14"/>
              </w:rPr>
              <w:t>* Latvijas Bankas dati</w:t>
            </w:r>
          </w:p>
        </w:tc>
      </w:tr>
      <w:tr w:rsidTr="00B2274B">
        <w:tblPrEx>
          <w:tblW w:w="10488"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Darbaspēka izmaksu dinamika, tūkst. EUR</w:t>
            </w:r>
          </w:p>
        </w:tc>
        <w:tc>
          <w:tcPr>
            <w:tcW w:w="357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Produktivitātes dinamika, tūkst. EUR</w:t>
            </w:r>
          </w:p>
        </w:tc>
        <w:tc>
          <w:tcPr>
            <w:tcW w:w="33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 un darbaspēka izmaksas</w:t>
            </w:r>
          </w:p>
        </w:tc>
      </w:tr>
      <w:tr w:rsidTr="00B2274B">
        <w:tblPrEx>
          <w:tblW w:w="10488"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36775" cy="1037590"/>
                  <wp:effectExtent l="0" t="0" r="0" b="0"/>
                  <wp:docPr id="671" name="Chart 6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3"/>
                    </a:graphicData>
                  </a:graphic>
                </wp:inline>
              </w:drawing>
            </w:r>
          </w:p>
        </w:tc>
        <w:tc>
          <w:tcPr>
            <w:tcW w:w="357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36775" cy="1063625"/>
                  <wp:effectExtent l="0" t="0" r="0" b="3175"/>
                  <wp:docPr id="670" name="Chart 6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4"/>
                    </a:graphicData>
                  </a:graphic>
                </wp:inline>
              </w:drawing>
            </w:r>
          </w:p>
        </w:tc>
        <w:tc>
          <w:tcPr>
            <w:tcW w:w="3336"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1846580" cy="2233295"/>
                  <wp:effectExtent l="0" t="0" r="0" b="0"/>
                  <wp:docPr id="669" name="Chart 6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5"/>
                    </a:graphicData>
                  </a:graphic>
                </wp:inline>
              </w:drawing>
            </w:r>
          </w:p>
        </w:tc>
      </w:tr>
      <w:tr w:rsidTr="00B2274B">
        <w:tblPrEx>
          <w:tblW w:w="10488"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Darbaspēka izmaksas, ES-28=100</w:t>
            </w:r>
          </w:p>
        </w:tc>
        <w:tc>
          <w:tcPr>
            <w:tcW w:w="357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 ES-28=100</w:t>
            </w:r>
          </w:p>
        </w:tc>
        <w:tc>
          <w:tcPr>
            <w:tcW w:w="0" w:type="auto"/>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B2274B">
            <w:pPr>
              <w:rPr>
                <w:rFonts w:ascii="Candara" w:hAnsi="Candara"/>
              </w:rPr>
            </w:pPr>
          </w:p>
        </w:tc>
      </w:tr>
      <w:tr w:rsidTr="00B2274B">
        <w:tblPrEx>
          <w:tblW w:w="10488"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27885" cy="1055370"/>
                  <wp:effectExtent l="0" t="0" r="5715" b="0"/>
                  <wp:docPr id="668" name="Chart 6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6"/>
                    </a:graphicData>
                  </a:graphic>
                </wp:inline>
              </w:drawing>
            </w:r>
          </w:p>
        </w:tc>
        <w:tc>
          <w:tcPr>
            <w:tcW w:w="357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36775" cy="1055370"/>
                  <wp:effectExtent l="0" t="0" r="0" b="0"/>
                  <wp:docPr id="667" name="Chart 6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7"/>
                    </a:graphicData>
                  </a:graphic>
                </wp:inline>
              </w:drawing>
            </w:r>
          </w:p>
        </w:tc>
        <w:tc>
          <w:tcPr>
            <w:tcW w:w="0" w:type="auto"/>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B2274B">
            <w:pPr>
              <w:rPr>
                <w:rFonts w:ascii="Candara" w:hAnsi="Candara"/>
              </w:rPr>
            </w:pPr>
          </w:p>
        </w:tc>
      </w:tr>
      <w:tr w:rsidTr="00B2274B">
        <w:tblPrEx>
          <w:tblW w:w="10488" w:type="dxa"/>
          <w:jc w:val="center"/>
          <w:tblLook w:val="04A0"/>
        </w:tblPrEx>
        <w:trPr>
          <w:jc w:val="center"/>
        </w:trPr>
        <w:tc>
          <w:tcPr>
            <w:tcW w:w="5299"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Darbaspēka izmaksas uz 1 nodarbināto 2016.g., tūkst. EUR</w:t>
            </w:r>
          </w:p>
        </w:tc>
        <w:tc>
          <w:tcPr>
            <w:tcW w:w="5189"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Produktivitāte (PV uz 1 nodarbināto) 2016.g., tūkst. EUR</w:t>
            </w:r>
          </w:p>
        </w:tc>
      </w:tr>
      <w:tr w:rsidTr="00B2274B">
        <w:tblPrEx>
          <w:tblW w:w="10488" w:type="dxa"/>
          <w:jc w:val="center"/>
          <w:tblLook w:val="04A0"/>
        </w:tblPrEx>
        <w:trPr>
          <w:jc w:val="center"/>
        </w:trPr>
        <w:tc>
          <w:tcPr>
            <w:tcW w:w="5299"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3156585" cy="1116330"/>
                  <wp:effectExtent l="0" t="0" r="5715" b="7620"/>
                  <wp:docPr id="666" name="Chart 6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8"/>
                    </a:graphicData>
                  </a:graphic>
                </wp:inline>
              </w:drawing>
            </w:r>
          </w:p>
        </w:tc>
        <w:tc>
          <w:tcPr>
            <w:tcW w:w="5189"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3156585" cy="1099185"/>
                  <wp:effectExtent l="0" t="0" r="5715" b="5715"/>
                  <wp:docPr id="665" name="Chart 6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9"/>
                    </a:graphicData>
                  </a:graphic>
                </wp:inline>
              </w:drawing>
            </w:r>
          </w:p>
        </w:tc>
      </w:tr>
      <w:tr w:rsidTr="00B2274B">
        <w:tblPrEx>
          <w:tblW w:w="10488" w:type="dxa"/>
          <w:jc w:val="center"/>
          <w:tblLook w:val="04A0"/>
        </w:tblPrEx>
        <w:trPr>
          <w:jc w:val="center"/>
        </w:trPr>
        <w:tc>
          <w:tcPr>
            <w:tcW w:w="5299"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 un darbaspēka izmaksas ES-28 valstīs 2010.g.</w:t>
            </w:r>
          </w:p>
        </w:tc>
        <w:tc>
          <w:tcPr>
            <w:tcW w:w="5189"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 un darbaspēka izmaksas ES-28 valstīs 2016.g.</w:t>
            </w:r>
          </w:p>
        </w:tc>
      </w:tr>
      <w:tr w:rsidTr="00B2274B">
        <w:tblPrEx>
          <w:tblW w:w="10488" w:type="dxa"/>
          <w:jc w:val="center"/>
          <w:tblLook w:val="04A0"/>
        </w:tblPrEx>
        <w:trPr>
          <w:jc w:val="center"/>
        </w:trPr>
        <w:tc>
          <w:tcPr>
            <w:tcW w:w="5299"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rPr>
                <w:rFonts w:ascii="Candara" w:hAnsi="Candara"/>
              </w:rPr>
            </w:pPr>
            <w:r>
              <w:rPr>
                <w:noProof/>
                <w:lang w:eastAsia="lv-LV"/>
              </w:rPr>
              <w:drawing>
                <wp:inline distT="0" distB="0" distL="0" distR="0">
                  <wp:extent cx="3059430" cy="1336675"/>
                  <wp:effectExtent l="0" t="0" r="0" b="0"/>
                  <wp:docPr id="664" name="Chart 6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0"/>
                    </a:graphicData>
                  </a:graphic>
                </wp:inline>
              </w:drawing>
            </w:r>
          </w:p>
        </w:tc>
        <w:tc>
          <w:tcPr>
            <w:tcW w:w="5189"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rPr>
                <w:rFonts w:ascii="Candara" w:hAnsi="Candara"/>
              </w:rPr>
            </w:pPr>
            <w:r>
              <w:rPr>
                <w:noProof/>
                <w:lang w:eastAsia="lv-LV"/>
              </w:rPr>
              <w:drawing>
                <wp:inline distT="0" distB="0" distL="0" distR="0">
                  <wp:extent cx="3059430" cy="1336675"/>
                  <wp:effectExtent l="0" t="0" r="7620" b="0"/>
                  <wp:docPr id="663" name="Chart 6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1"/>
                    </a:graphicData>
                  </a:graphic>
                </wp:inline>
              </w:drawing>
            </w:r>
          </w:p>
        </w:tc>
      </w:tr>
    </w:tbl>
    <w:p w:rsidR="00B2274B" w:rsidP="00B2274B">
      <w:pPr>
        <w:spacing w:after="0" w:line="240" w:lineRule="auto"/>
        <w:rPr>
          <w:rFonts w:ascii="Candara" w:hAnsi="Candara"/>
          <w:b/>
          <w:color w:val="000000"/>
          <w:szCs w:val="28"/>
        </w:rPr>
      </w:pPr>
    </w:p>
    <w:p w:rsidR="009B7CEE" w:rsidP="009B7CEE">
      <w:pPr>
        <w:spacing w:after="0" w:line="240" w:lineRule="auto"/>
        <w:jc w:val="both"/>
        <w:rPr>
          <w:rFonts w:ascii="Candara" w:hAnsi="Candara"/>
          <w:b/>
          <w:color w:val="000000"/>
          <w:szCs w:val="28"/>
          <w:u w:val="single"/>
        </w:rPr>
      </w:pPr>
      <w:bookmarkEnd w:id="73"/>
      <w:r>
        <w:rPr>
          <w:rFonts w:ascii="Candara" w:hAnsi="Candara"/>
          <w:b/>
          <w:color w:val="000000"/>
          <w:szCs w:val="28"/>
          <w:u w:val="single"/>
        </w:rPr>
        <w:t>Nozares īpatsvars tautsaimniecībā, procentos.</w:t>
      </w:r>
      <w:r>
        <w:rPr>
          <w:rFonts w:ascii="Candara" w:hAnsi="Candara"/>
          <w:color w:val="000000"/>
          <w:szCs w:val="28"/>
        </w:rPr>
        <w:t xml:space="preserve"> Nozares īpatsvars tautsaimniecībā bija samazinājies no 12,3% 2005.gadā līdz 10,5% 2010.gadā. Pēdējos gados pārvadājumu apjomu samazinājums ir piebremzējis nozares izaugsmi un nozares īpatsvars ir samazinājies līdz 8,7% 2016.gadā.</w:t>
      </w:r>
    </w:p>
    <w:p w:rsidR="009B7CEE" w:rsidP="009B7CEE">
      <w:pPr>
        <w:spacing w:after="0" w:line="240" w:lineRule="auto"/>
        <w:jc w:val="both"/>
        <w:rPr>
          <w:rFonts w:ascii="Candara" w:hAnsi="Candara"/>
          <w:color w:val="000000"/>
          <w:szCs w:val="28"/>
        </w:rPr>
      </w:pPr>
      <w:r>
        <w:rPr>
          <w:rFonts w:ascii="Candara" w:hAnsi="Candara"/>
          <w:b/>
          <w:color w:val="000000"/>
          <w:szCs w:val="28"/>
          <w:u w:val="single"/>
        </w:rPr>
        <w:t>Pievienotās vērtības un darba vietu skaita izmaiņas, 2005=100.</w:t>
      </w:r>
      <w:r>
        <w:rPr>
          <w:rFonts w:ascii="Candara" w:hAnsi="Candara"/>
          <w:color w:val="000000"/>
          <w:szCs w:val="28"/>
        </w:rPr>
        <w:t xml:space="preserve"> Nozare ir cieši saistīta ar starptautiskajiem pārvadājumiem, tajā skaitā pa dzelzceļu pārvadāto kravu, kā arī ostās saņemto un nosūtīto kravu apjomiem. 2014. gadā nozarē sniegto pakalpojumu apjomi pieauga par 1,3%, bet 2015.gads nebija tik veiksmīgs un apjomi samazinājās par 1,5% un 2016.gadā bijā vērojams neliels pieaugums (par 0,5%). Kopš krīzes zemākā punkta 2010.gadā nozares izlaides apjomi ir kāpuši par 17%, bet atpaliek par 9,7% no pirmskrīzes līmeņa 2007.gadā.</w:t>
      </w:r>
    </w:p>
    <w:p w:rsidR="009B7CEE" w:rsidP="009B7CEE">
      <w:pPr>
        <w:spacing w:after="0" w:line="240" w:lineRule="auto"/>
        <w:jc w:val="both"/>
        <w:rPr>
          <w:rFonts w:ascii="Candara" w:hAnsi="Candara"/>
          <w:color w:val="000000"/>
          <w:szCs w:val="28"/>
        </w:rPr>
      </w:pPr>
      <w:r>
        <w:rPr>
          <w:rFonts w:ascii="Candara" w:hAnsi="Candara"/>
          <w:color w:val="000000"/>
          <w:szCs w:val="28"/>
        </w:rPr>
        <w:t>Salīdzinājumā ar ražošanas apjomu kāpumu, darbavietu skaits nozarē aug mērenāk, kas liecina par produktivitātes pieaugumu. Kopš 2013.gada, piebremzējoties nozares izaugsmei, pieprasījums pēc darbaspēka ir mazinājies. 2016.gadā aizņemto darbavietu skaits palielinājās par 0,1%.</w:t>
      </w:r>
      <w:r>
        <w:t xml:space="preserve"> </w:t>
      </w:r>
      <w:r>
        <w:rPr>
          <w:rFonts w:ascii="Candara" w:hAnsi="Candara"/>
          <w:color w:val="000000"/>
          <w:szCs w:val="28"/>
        </w:rPr>
        <w:t>2016.gadā, salīdzinot ar krīzes zemāko punktu 2010.gadā, darbavietu skaits bija pieaudzis par 15%,</w:t>
      </w:r>
      <w:r>
        <w:t xml:space="preserve"> </w:t>
      </w:r>
      <w:r>
        <w:rPr>
          <w:rFonts w:ascii="Candara" w:hAnsi="Candara"/>
          <w:color w:val="000000"/>
          <w:szCs w:val="28"/>
        </w:rPr>
        <w:t>bet par gandrīz 3% atpaliek no pirmskrīzes līmeņa.</w:t>
      </w:r>
    </w:p>
    <w:p w:rsidR="009B7CEE" w:rsidP="009B7CEE">
      <w:pPr>
        <w:spacing w:after="0" w:line="240" w:lineRule="auto"/>
        <w:jc w:val="both"/>
        <w:rPr>
          <w:rFonts w:ascii="Candara" w:hAnsi="Candara"/>
          <w:color w:val="000000"/>
          <w:szCs w:val="28"/>
        </w:rPr>
      </w:pPr>
      <w:r>
        <w:rPr>
          <w:rFonts w:ascii="Candara" w:hAnsi="Candara"/>
          <w:b/>
          <w:color w:val="000000"/>
          <w:szCs w:val="28"/>
          <w:u w:val="single"/>
        </w:rPr>
        <w:t>Produkcijas eksports, milj. EUR.</w:t>
      </w:r>
      <w:r>
        <w:rPr>
          <w:rFonts w:ascii="Candara" w:hAnsi="Candara"/>
          <w:color w:val="000000"/>
          <w:szCs w:val="28"/>
        </w:rPr>
        <w:t xml:space="preserve"> Kopš krīzes zemākā punkta 2009. gadā transporta pakalpojumu eksporta apjomi līdz 2012.gadam stabili auga. Pēdējos trīs gados eksports ir nedaudz mazinājies saistībā ar nelabvēlīgu ārējo vidi.</w:t>
      </w:r>
    </w:p>
    <w:p w:rsidR="009B7CEE" w:rsidP="009B7CEE">
      <w:pPr>
        <w:spacing w:after="0" w:line="240" w:lineRule="auto"/>
        <w:jc w:val="both"/>
        <w:rPr>
          <w:rFonts w:ascii="Candara" w:hAnsi="Candara"/>
          <w:b/>
          <w:color w:val="000000"/>
          <w:szCs w:val="28"/>
          <w:u w:val="single"/>
        </w:rPr>
      </w:pPr>
      <w:r>
        <w:rPr>
          <w:rFonts w:ascii="Candara" w:hAnsi="Candara"/>
          <w:b/>
          <w:color w:val="000000"/>
          <w:szCs w:val="28"/>
          <w:u w:val="single"/>
        </w:rPr>
        <w:t>Eksports uz 1 strādājošo, tūkst. EUR.</w:t>
      </w:r>
      <w:r>
        <w:rPr>
          <w:rFonts w:ascii="Candara" w:hAnsi="Candara"/>
          <w:color w:val="000000"/>
          <w:szCs w:val="28"/>
        </w:rPr>
        <w:t xml:space="preserve"> Eksporta apjoms uz vienu strādājošo pakāpeniski pieauga līdz 2012.gadam. Pēdējos trīs gados tas nedaudz saruka, tomēr saglabājās virs pirmskrīzes līmeņa.</w:t>
      </w:r>
    </w:p>
    <w:p w:rsidR="009B7CEE" w:rsidP="009B7CEE">
      <w:pPr>
        <w:spacing w:after="0" w:line="240" w:lineRule="auto"/>
        <w:jc w:val="both"/>
        <w:rPr>
          <w:rFonts w:ascii="Candara" w:hAnsi="Candara"/>
          <w:color w:val="000000"/>
          <w:szCs w:val="28"/>
        </w:rPr>
      </w:pPr>
      <w:r>
        <w:rPr>
          <w:rFonts w:ascii="Candara" w:hAnsi="Candara"/>
          <w:b/>
          <w:color w:val="000000"/>
          <w:szCs w:val="28"/>
          <w:u w:val="single"/>
        </w:rPr>
        <w:t>Eksports uz 1 strādājošo ES 28 valstīs, tūkst. EUR.</w:t>
      </w:r>
      <w:r>
        <w:rPr>
          <w:rFonts w:ascii="Candara" w:hAnsi="Candara"/>
          <w:color w:val="000000"/>
          <w:szCs w:val="28"/>
        </w:rPr>
        <w:t xml:space="preserve"> Transporta pakalpojumu eksports uz vienu strādājošo bija zemāks nekā Lietuvā un Igaunijā, kā arī nedaudz zem ES vidējā līmeņa.</w:t>
      </w:r>
    </w:p>
    <w:p w:rsidR="009B7CEE" w:rsidP="009B7CEE">
      <w:pPr>
        <w:spacing w:after="0" w:line="240" w:lineRule="auto"/>
        <w:jc w:val="both"/>
        <w:rPr>
          <w:rFonts w:ascii="Candara" w:hAnsi="Candara"/>
          <w:b/>
          <w:color w:val="000000"/>
          <w:szCs w:val="28"/>
          <w:u w:val="single"/>
        </w:rPr>
      </w:pPr>
      <w:r>
        <w:rPr>
          <w:rFonts w:ascii="Candara" w:hAnsi="Candara"/>
          <w:b/>
          <w:color w:val="000000"/>
          <w:szCs w:val="28"/>
          <w:u w:val="single"/>
        </w:rPr>
        <w:t>Eksporta tirgi.</w:t>
      </w:r>
      <w:r>
        <w:rPr>
          <w:rFonts w:ascii="Candara" w:hAnsi="Candara"/>
          <w:color w:val="000000"/>
          <w:szCs w:val="28"/>
        </w:rPr>
        <w:t xml:space="preserve"> Lielākie transporta pakalpojumu eksporta tirgi ir Šveice, Apvienotā Karaliste, Krievija, Vācija, Nīderlande un Igaunija.</w:t>
      </w:r>
    </w:p>
    <w:p w:rsidR="009B7CEE" w:rsidP="009B7CEE">
      <w:pPr>
        <w:spacing w:after="0" w:line="240" w:lineRule="auto"/>
        <w:jc w:val="both"/>
        <w:rPr>
          <w:rFonts w:ascii="Candara" w:hAnsi="Candara"/>
          <w:b/>
          <w:color w:val="000000"/>
          <w:szCs w:val="28"/>
          <w:u w:val="single"/>
        </w:rPr>
      </w:pPr>
      <w:r>
        <w:rPr>
          <w:rFonts w:ascii="Candara" w:hAnsi="Candara"/>
          <w:b/>
          <w:color w:val="000000"/>
          <w:szCs w:val="28"/>
          <w:u w:val="single"/>
        </w:rPr>
        <w:t>Eksporta struktūra.</w:t>
      </w:r>
      <w:r>
        <w:rPr>
          <w:rFonts w:ascii="Candara" w:hAnsi="Candara"/>
          <w:color w:val="000000"/>
          <w:szCs w:val="28"/>
        </w:rPr>
        <w:t xml:space="preserve"> Latvijā kopš 2005.gada ir samazinājies jūras un gaisa transporta  īpatsvars eksporta struktūrā, bet pieaudzis autotransporta un dzelzceļa transporta īpatsvars.</w:t>
      </w:r>
    </w:p>
    <w:p w:rsidR="009B7CEE" w:rsidP="009B7CEE">
      <w:pPr>
        <w:spacing w:after="0" w:line="240" w:lineRule="auto"/>
        <w:jc w:val="both"/>
        <w:rPr>
          <w:rFonts w:ascii="Candara" w:hAnsi="Candara"/>
          <w:color w:val="000000"/>
          <w:szCs w:val="28"/>
        </w:rPr>
      </w:pPr>
      <w:r>
        <w:rPr>
          <w:rFonts w:ascii="Candara" w:hAnsi="Candara"/>
          <w:b/>
          <w:color w:val="000000"/>
          <w:szCs w:val="28"/>
          <w:u w:val="single"/>
        </w:rPr>
        <w:t>Darbaspēka izmaksu dinamika, tūkst.</w:t>
      </w:r>
      <w:r>
        <w:rPr>
          <w:rFonts w:ascii="Candara" w:hAnsi="Candara"/>
          <w:color w:val="000000"/>
          <w:szCs w:val="28"/>
        </w:rPr>
        <w:t xml:space="preserve"> Krīzes laikā darbaspēka izmaksas nozarē samazinājās, bet, atsākoties ekonomikas izaugsmei, 2012.-2016.gadā darba samaksas pieaugums nozarē kļuva straujāks, darbaspēka izmaksām sasniedzot jau pirmskrīzes perioda līmeni.</w:t>
      </w:r>
    </w:p>
    <w:p w:rsidR="009B7CEE" w:rsidP="009B7CEE">
      <w:pPr>
        <w:spacing w:after="0" w:line="240" w:lineRule="auto"/>
        <w:jc w:val="both"/>
        <w:rPr>
          <w:rFonts w:ascii="Candara" w:hAnsi="Candara"/>
          <w:color w:val="000000"/>
          <w:szCs w:val="28"/>
        </w:rPr>
      </w:pPr>
      <w:r>
        <w:rPr>
          <w:rFonts w:ascii="Candara" w:hAnsi="Candara"/>
          <w:b/>
          <w:color w:val="000000"/>
          <w:szCs w:val="28"/>
          <w:u w:val="single"/>
        </w:rPr>
        <w:t>Produktivitātes dinamika, tūkst.</w:t>
      </w:r>
      <w:r>
        <w:rPr>
          <w:rFonts w:ascii="Candara" w:hAnsi="Candara"/>
          <w:color w:val="000000"/>
          <w:szCs w:val="28"/>
        </w:rPr>
        <w:t xml:space="preserve"> Būtisks izlaides apjomu samazinājums krīzes laikā veicināja strauju produktivitātes kritumu 2009.-2010.gadā. Savukārt, 2011.-2012.gadā, strauji pieaugot izlaides apjomiem un samazinoties nodarbināto skaitam, produktivitāte palielinājās. Kopš 2013.gada produktivitāte praktiski saglabājas nemainīga un pēdējos divos gados nedaudz sarūk. </w:t>
      </w:r>
    </w:p>
    <w:p w:rsidR="009B7CEE" w:rsidP="009B7CEE">
      <w:pPr>
        <w:spacing w:after="0" w:line="240" w:lineRule="auto"/>
        <w:jc w:val="both"/>
        <w:rPr>
          <w:rFonts w:ascii="Candara" w:hAnsi="Candara"/>
          <w:b/>
          <w:color w:val="000000"/>
          <w:szCs w:val="28"/>
          <w:u w:val="single"/>
        </w:rPr>
      </w:pPr>
      <w:r>
        <w:rPr>
          <w:rFonts w:ascii="Candara" w:hAnsi="Candara"/>
          <w:b/>
          <w:color w:val="000000"/>
          <w:szCs w:val="28"/>
          <w:u w:val="single"/>
        </w:rPr>
        <w:t>Produktivitāte un darbaspēka izmaksas.</w:t>
      </w:r>
      <w:r>
        <w:rPr>
          <w:rFonts w:ascii="Candara" w:hAnsi="Candara"/>
          <w:color w:val="000000"/>
          <w:szCs w:val="28"/>
        </w:rPr>
        <w:t xml:space="preserve"> Krīzes laikā ULC pieauga par 9%, ko galvenokārt noteica nozares apjomu kritums 2009.-2010.gadā. 2011.gadā ULC strauji samazinājās strauja izlaides apjomu kāpuma dēļ. Jāatzīmē, ka laika periodā no 2005. līdz 2015.gadam, tikai 2011.gadā nozarē bija vērojams ULC kritums. Kopš 2012.gada nozarē darbaspēka izmaksas pieaug straujāk nekā produktivitāte, kas liecina par cenu konkurētspējas (izmaksu) pazemināšanos. 2013.-2015.gadā darbaspēka izmaksas uz 1 produkcijas vienību Latvijā bija par 15%, bet ES vidēji par 8% augstākā līmenī, kamēr produktivitāte Latvijā pieauga par 1%, bet ES samazinājās par 1%, darbaspēka izmaksām Latvijā pieaugot par 15%, bet ES – par 7%, tas nozīmē, ka izmaksu konkurētspējas priekšrocības ES tirgū samazinās.</w:t>
      </w:r>
    </w:p>
    <w:p w:rsidR="009B7CEE" w:rsidP="009B7CEE">
      <w:pPr>
        <w:spacing w:after="0" w:line="240" w:lineRule="auto"/>
        <w:jc w:val="both"/>
        <w:rPr>
          <w:rFonts w:ascii="Candara" w:hAnsi="Candara"/>
          <w:color w:val="000000"/>
          <w:szCs w:val="28"/>
        </w:rPr>
      </w:pPr>
      <w:r>
        <w:rPr>
          <w:rFonts w:ascii="Candara" w:hAnsi="Candara"/>
          <w:b/>
          <w:color w:val="000000"/>
          <w:szCs w:val="28"/>
          <w:u w:val="single"/>
        </w:rPr>
        <w:t>Darbaspēka izmaksas, ES-28=100.</w:t>
      </w:r>
      <w:r>
        <w:rPr>
          <w:rFonts w:ascii="Candara" w:hAnsi="Candara"/>
          <w:color w:val="000000"/>
          <w:szCs w:val="28"/>
        </w:rPr>
        <w:t xml:space="preserve"> Salīdzinot ar darbaspēka izmaksu vidējo līmeni ES, nozarē tas ir augstāk nekā tautsaimniecībā kopumā un pēdējos gados šis rādītājs pakāpeniski pieaug.</w:t>
      </w:r>
    </w:p>
    <w:p w:rsidR="009B7CEE" w:rsidP="009B7CEE">
      <w:pPr>
        <w:spacing w:after="0" w:line="240" w:lineRule="auto"/>
        <w:jc w:val="both"/>
        <w:rPr>
          <w:rFonts w:ascii="Candara" w:hAnsi="Candara"/>
          <w:color w:val="000000"/>
          <w:szCs w:val="28"/>
        </w:rPr>
      </w:pPr>
      <w:r>
        <w:rPr>
          <w:rFonts w:ascii="Candara" w:hAnsi="Candara"/>
          <w:b/>
          <w:color w:val="000000"/>
          <w:szCs w:val="28"/>
          <w:u w:val="single"/>
        </w:rPr>
        <w:t>Produktivitāte, ES-28=100.</w:t>
      </w:r>
      <w:r>
        <w:rPr>
          <w:rFonts w:ascii="Candara" w:hAnsi="Candara"/>
          <w:color w:val="000000"/>
          <w:szCs w:val="28"/>
        </w:rPr>
        <w:t xml:space="preserve"> Salīdzinot ar vidējo līmeni ES, nozarē produktivitātes līmenis ir augstāks nekā tautsaimniecībā kopumā. Kopš 2013.gada produktivitātes līmenis salīdzinot ar ES vidējo samazinās.</w:t>
      </w:r>
    </w:p>
    <w:p w:rsidR="009B7CEE" w:rsidP="009B7CEE">
      <w:pPr>
        <w:spacing w:after="0" w:line="240" w:lineRule="auto"/>
        <w:jc w:val="both"/>
        <w:rPr>
          <w:rFonts w:ascii="Candara" w:hAnsi="Candara"/>
          <w:color w:val="000000"/>
          <w:szCs w:val="28"/>
        </w:rPr>
      </w:pPr>
      <w:r>
        <w:rPr>
          <w:rFonts w:ascii="Candara" w:hAnsi="Candara"/>
          <w:b/>
          <w:color w:val="000000"/>
          <w:szCs w:val="28"/>
          <w:u w:val="single"/>
        </w:rPr>
        <w:t>Darbaspēka izmaksas, salīdzinot ar ES valstīm, 2015.gadā.</w:t>
      </w:r>
      <w:r>
        <w:rPr>
          <w:rFonts w:ascii="Candara" w:hAnsi="Candara"/>
          <w:color w:val="000000"/>
          <w:szCs w:val="28"/>
        </w:rPr>
        <w:t xml:space="preserve"> Latvijā 2015.gadā darbaspēka izmaksas nozarē bija zemākas nekā Lietuvā un Igaunijā. Kopumā starp ES valstīm Latvija bija 21.vietā.</w:t>
      </w:r>
    </w:p>
    <w:p w:rsidR="009B7CEE" w:rsidP="009B7CEE">
      <w:pPr>
        <w:spacing w:after="0" w:line="240" w:lineRule="auto"/>
        <w:jc w:val="both"/>
        <w:rPr>
          <w:rFonts w:ascii="Candara" w:hAnsi="Candara"/>
          <w:color w:val="000000"/>
          <w:szCs w:val="28"/>
        </w:rPr>
      </w:pPr>
      <w:r>
        <w:rPr>
          <w:rFonts w:ascii="Candara" w:hAnsi="Candara"/>
          <w:b/>
          <w:color w:val="000000"/>
          <w:szCs w:val="28"/>
          <w:u w:val="single"/>
        </w:rPr>
        <w:t>Produktivitāte, salīdzinot ar ES valstīm, 2015.gadā.</w:t>
      </w:r>
      <w:r>
        <w:rPr>
          <w:rFonts w:ascii="Candara" w:hAnsi="Candara"/>
          <w:color w:val="000000"/>
          <w:szCs w:val="28"/>
        </w:rPr>
        <w:t xml:space="preserve"> Latvijā 2015.gadā produktivitāte nozarē bija augstāka nekā Igaunijā, bet zemāka nekā Lietuvā. Kopumā starp ES valstīm Latvija bija 19.vietā.</w:t>
      </w:r>
    </w:p>
    <w:p w:rsidR="009B7CEE" w:rsidP="009B7CEE">
      <w:pPr>
        <w:spacing w:after="0" w:line="240" w:lineRule="auto"/>
        <w:jc w:val="both"/>
        <w:rPr>
          <w:rFonts w:ascii="Candara" w:hAnsi="Candara"/>
          <w:color w:val="000000"/>
          <w:szCs w:val="28"/>
        </w:rPr>
      </w:pPr>
      <w:r>
        <w:rPr>
          <w:rFonts w:ascii="Candara" w:hAnsi="Candara"/>
          <w:b/>
          <w:color w:val="000000"/>
          <w:szCs w:val="28"/>
          <w:u w:val="single"/>
        </w:rPr>
        <w:t>Produktivitāte un darbaspēka izmaksas ES-28 valstīs 2010.gadā un 2015.gadā.</w:t>
      </w:r>
      <w:r>
        <w:rPr>
          <w:rFonts w:ascii="Candara" w:hAnsi="Candara"/>
          <w:color w:val="000000"/>
          <w:szCs w:val="28"/>
        </w:rPr>
        <w:t xml:space="preserve"> Darbaspēka izmaksas uz 1 produkcijas vienību (ULC) nozarē Latvijā 2010.gadā bija daudz zemākas nekā ES vidēji, zemāks rādītājs bija 4 valstīs, t.sk. Lietuvā un Igaunijā. Arī 2015.gadā tas saglabājās viens no zemākajiem starp ES valstīm. Jāatzīmē, ka Igaunijā tas bija augstāks nekā vidēji ES. Latvijā 2015.gadā, salīdzinot ar 2010.gadu darbaspēka izmaksas uz 1 produkcijas vienību ir pieaugušas par 4%, ko noteica darbaspēku izmaksu kāpums par 40%, kas bija straujāks par produktivitātes kāpumu, kas pieauga par 36%. Tas liecina,</w:t>
      </w:r>
      <w:r>
        <w:t xml:space="preserve"> ka </w:t>
      </w:r>
      <w:r>
        <w:rPr>
          <w:rFonts w:ascii="Candara" w:hAnsi="Candara"/>
          <w:color w:val="000000"/>
          <w:szCs w:val="28"/>
        </w:rPr>
        <w:t>lēta darbaspēka konkurētspējas priekšrocības vēl saglabājas. Tomēr ņemot vērā, ka pēdējos gados ULC Latvijā pieaug straujāk nekā vidēji ES, tad konkurētspējas priekšrocības pakāpeniski samazināsies.</w:t>
      </w:r>
    </w:p>
    <w:p w:rsidR="00B2274B" w:rsidP="00762D1E">
      <w:pPr>
        <w:spacing w:after="0" w:line="240" w:lineRule="auto"/>
        <w:rPr>
          <w:rFonts w:ascii="Candara" w:hAnsi="Candara"/>
          <w:color w:val="000000"/>
          <w:szCs w:val="28"/>
        </w:rPr>
      </w:pPr>
      <w:r>
        <w:rPr>
          <w:rFonts w:ascii="Candara" w:hAnsi="Candara"/>
          <w:color w:val="000000"/>
          <w:szCs w:val="28"/>
        </w:rPr>
        <w:br w:type="page"/>
      </w:r>
    </w:p>
    <w:p w:rsidR="00B2274B" w:rsidP="00B2274B">
      <w:pPr>
        <w:pStyle w:val="Heading1"/>
        <w:spacing w:after="200"/>
        <w:jc w:val="center"/>
        <w:rPr>
          <w:b/>
          <w:sz w:val="22"/>
        </w:rPr>
      </w:pPr>
      <w:bookmarkStart w:id="76" w:name="_Toc482792418"/>
      <w:bookmarkStart w:id="77" w:name="_Hlk504756567"/>
      <w:bookmarkStart w:id="78" w:name="_Toc256000020"/>
      <w:bookmarkStart w:id="79" w:name="_Toc256000046"/>
      <w:r>
        <w:rPr>
          <w:b/>
          <w:sz w:val="22"/>
        </w:rPr>
        <w:t>I IZMITINĀŠANA UN ĒDINĀŠANAS PAKALPOJUMI</w:t>
      </w:r>
      <w:bookmarkEnd w:id="79"/>
      <w:bookmarkEnd w:id="78"/>
      <w:bookmarkEnd w:id="76"/>
    </w:p>
    <w:tbl>
      <w:tblPr>
        <w:tblW w:w="10055"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3581"/>
        <w:gridCol w:w="1777"/>
        <w:gridCol w:w="1880"/>
        <w:gridCol w:w="3316"/>
      </w:tblGrid>
      <w:tr w:rsidTr="00B2274B">
        <w:tblPrEx>
          <w:tblW w:w="10055"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Ex>
        <w:trPr>
          <w:jc w:val="center"/>
        </w:trPr>
        <w:tc>
          <w:tcPr>
            <w:tcW w:w="335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Nozares īpatsvars tautsaimniecībā (faktiskajās cenās), %</w:t>
            </w:r>
          </w:p>
        </w:tc>
        <w:tc>
          <w:tcPr>
            <w:tcW w:w="345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Pievienotās vērtības un darba vietu skaita izmaiņas (2005=100)</w:t>
            </w:r>
          </w:p>
        </w:tc>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B2274B">
            <w:pPr>
              <w:jc w:val="center"/>
              <w:rPr>
                <w:rFonts w:ascii="Candara" w:hAnsi="Candara"/>
                <w:sz w:val="18"/>
                <w:szCs w:val="20"/>
              </w:rPr>
            </w:pPr>
          </w:p>
        </w:tc>
      </w:tr>
      <w:tr w:rsidTr="00B2274B">
        <w:tblPrEx>
          <w:tblW w:w="10055" w:type="dxa"/>
          <w:jc w:val="center"/>
          <w:tblLook w:val="04A0"/>
        </w:tblPrEx>
        <w:trPr>
          <w:jc w:val="center"/>
        </w:trPr>
        <w:tc>
          <w:tcPr>
            <w:tcW w:w="335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rPr>
                <w:rFonts w:ascii="Candara" w:hAnsi="Candara"/>
              </w:rPr>
            </w:pPr>
            <w:r>
              <w:rPr>
                <w:noProof/>
                <w:lang w:eastAsia="lv-LV"/>
              </w:rPr>
              <w:drawing>
                <wp:inline distT="0" distB="0" distL="0" distR="0">
                  <wp:extent cx="2136775" cy="1125220"/>
                  <wp:effectExtent l="0" t="0" r="0" b="0"/>
                  <wp:docPr id="662" name="Chart 6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2"/>
                    </a:graphicData>
                  </a:graphic>
                </wp:inline>
              </w:drawing>
            </w:r>
          </w:p>
        </w:tc>
        <w:tc>
          <w:tcPr>
            <w:tcW w:w="345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1943100" cy="1125220"/>
                  <wp:effectExtent l="0" t="0" r="0" b="0"/>
                  <wp:docPr id="661" name="Chart 6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3"/>
                    </a:graphicData>
                  </a:graphic>
                </wp:inline>
              </w:drawing>
            </w:r>
          </w:p>
        </w:tc>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B2274B">
            <w:pPr>
              <w:rPr>
                <w:rFonts w:ascii="Candara" w:hAnsi="Candara"/>
              </w:rPr>
            </w:pPr>
          </w:p>
        </w:tc>
      </w:tr>
      <w:tr w:rsidTr="00B2274B">
        <w:tblPrEx>
          <w:tblW w:w="10055" w:type="dxa"/>
          <w:jc w:val="center"/>
          <w:tblLook w:val="04A0"/>
        </w:tblPrEx>
        <w:trPr>
          <w:jc w:val="center"/>
        </w:trPr>
        <w:tc>
          <w:tcPr>
            <w:tcW w:w="335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Darbaspēka izmaksu dinamika, tūkst. EUR</w:t>
            </w:r>
          </w:p>
        </w:tc>
        <w:tc>
          <w:tcPr>
            <w:tcW w:w="345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Produktivitātes dinamika, tūkst. EUR</w:t>
            </w:r>
          </w:p>
        </w:tc>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 un darbaspēka izmaksas</w:t>
            </w:r>
          </w:p>
        </w:tc>
      </w:tr>
      <w:tr w:rsidTr="00B2274B">
        <w:tblPrEx>
          <w:tblW w:w="10055" w:type="dxa"/>
          <w:jc w:val="center"/>
          <w:tblLook w:val="04A0"/>
        </w:tblPrEx>
        <w:trPr>
          <w:jc w:val="center"/>
        </w:trPr>
        <w:tc>
          <w:tcPr>
            <w:tcW w:w="335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36775" cy="1169670"/>
                  <wp:effectExtent l="0" t="0" r="0" b="0"/>
                  <wp:docPr id="660" name="Chart 6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4"/>
                    </a:graphicData>
                  </a:graphic>
                </wp:inline>
              </w:drawing>
            </w:r>
          </w:p>
        </w:tc>
        <w:tc>
          <w:tcPr>
            <w:tcW w:w="345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36775" cy="1169670"/>
                  <wp:effectExtent l="0" t="0" r="0" b="0"/>
                  <wp:docPr id="659" name="Chart 6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5"/>
                    </a:graphicData>
                  </a:graphic>
                </wp:inline>
              </w:drawing>
            </w:r>
          </w:p>
        </w:tc>
        <w:tc>
          <w:tcPr>
            <w:tcW w:w="3240"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1846580" cy="2233295"/>
                  <wp:effectExtent l="0" t="0" r="0" b="0"/>
                  <wp:docPr id="658" name="Chart 6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6"/>
                    </a:graphicData>
                  </a:graphic>
                </wp:inline>
              </w:drawing>
            </w:r>
          </w:p>
        </w:tc>
      </w:tr>
      <w:tr w:rsidTr="00B2274B">
        <w:tblPrEx>
          <w:tblW w:w="10055" w:type="dxa"/>
          <w:jc w:val="center"/>
          <w:tblLook w:val="04A0"/>
        </w:tblPrEx>
        <w:trPr>
          <w:jc w:val="center"/>
        </w:trPr>
        <w:tc>
          <w:tcPr>
            <w:tcW w:w="335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Darbaspēka izmaksas, ES-28=100</w:t>
            </w:r>
          </w:p>
        </w:tc>
        <w:tc>
          <w:tcPr>
            <w:tcW w:w="345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 ES-28=100</w:t>
            </w:r>
          </w:p>
        </w:tc>
        <w:tc>
          <w:tcPr>
            <w:tcW w:w="0" w:type="auto"/>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B2274B">
            <w:pPr>
              <w:rPr>
                <w:rFonts w:ascii="Candara" w:hAnsi="Candara"/>
              </w:rPr>
            </w:pPr>
          </w:p>
        </w:tc>
      </w:tr>
      <w:tr w:rsidTr="00B2274B">
        <w:tblPrEx>
          <w:tblW w:w="10055" w:type="dxa"/>
          <w:jc w:val="center"/>
          <w:tblLook w:val="04A0"/>
        </w:tblPrEx>
        <w:trPr>
          <w:jc w:val="center"/>
        </w:trPr>
        <w:tc>
          <w:tcPr>
            <w:tcW w:w="335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27885" cy="1055370"/>
                  <wp:effectExtent l="0" t="0" r="5715" b="0"/>
                  <wp:docPr id="657" name="Chart 6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7"/>
                    </a:graphicData>
                  </a:graphic>
                </wp:inline>
              </w:drawing>
            </w:r>
          </w:p>
        </w:tc>
        <w:tc>
          <w:tcPr>
            <w:tcW w:w="345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36775" cy="1055370"/>
                  <wp:effectExtent l="0" t="0" r="0" b="0"/>
                  <wp:docPr id="656" name="Chart 6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8"/>
                    </a:graphicData>
                  </a:graphic>
                </wp:inline>
              </w:drawing>
            </w:r>
          </w:p>
        </w:tc>
        <w:tc>
          <w:tcPr>
            <w:tcW w:w="0" w:type="auto"/>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B2274B">
            <w:pPr>
              <w:rPr>
                <w:rFonts w:ascii="Candara" w:hAnsi="Candara"/>
              </w:rPr>
            </w:pPr>
          </w:p>
        </w:tc>
      </w:tr>
      <w:tr w:rsidTr="00B2274B">
        <w:tblPrEx>
          <w:tblW w:w="10055" w:type="dxa"/>
          <w:jc w:val="center"/>
          <w:tblLook w:val="04A0"/>
        </w:tblPrEx>
        <w:trPr>
          <w:jc w:val="center"/>
        </w:trPr>
        <w:tc>
          <w:tcPr>
            <w:tcW w:w="502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Darbaspēka izmaksas uz 1 nodarbināto 2016.g., tūkst. EUR</w:t>
            </w:r>
          </w:p>
        </w:tc>
        <w:tc>
          <w:tcPr>
            <w:tcW w:w="5027"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Produktivitāte (PV uz 1 nodarbināto) 2016.g., tūkst. EUR</w:t>
            </w:r>
          </w:p>
        </w:tc>
      </w:tr>
      <w:tr w:rsidTr="00B2274B">
        <w:tblPrEx>
          <w:tblW w:w="10055" w:type="dxa"/>
          <w:jc w:val="center"/>
          <w:tblLook w:val="04A0"/>
        </w:tblPrEx>
        <w:trPr>
          <w:jc w:val="center"/>
        </w:trPr>
        <w:tc>
          <w:tcPr>
            <w:tcW w:w="502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3156585" cy="1169670"/>
                  <wp:effectExtent l="0" t="0" r="5715" b="0"/>
                  <wp:docPr id="655" name="Chart 6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9"/>
                    </a:graphicData>
                  </a:graphic>
                </wp:inline>
              </w:drawing>
            </w:r>
          </w:p>
        </w:tc>
        <w:tc>
          <w:tcPr>
            <w:tcW w:w="5027"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3156585" cy="1169670"/>
                  <wp:effectExtent l="0" t="0" r="5715" b="0"/>
                  <wp:docPr id="654" name="Chart 6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0"/>
                    </a:graphicData>
                  </a:graphic>
                </wp:inline>
              </w:drawing>
            </w:r>
          </w:p>
        </w:tc>
      </w:tr>
      <w:tr w:rsidTr="00B2274B">
        <w:tblPrEx>
          <w:tblW w:w="10055" w:type="dxa"/>
          <w:jc w:val="center"/>
          <w:tblLook w:val="04A0"/>
        </w:tblPrEx>
        <w:trPr>
          <w:jc w:val="center"/>
        </w:trPr>
        <w:tc>
          <w:tcPr>
            <w:tcW w:w="502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 un darbaspēka izmaksas ES-28 valstīs 2010.g.</w:t>
            </w:r>
          </w:p>
        </w:tc>
        <w:tc>
          <w:tcPr>
            <w:tcW w:w="5027"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 un darbaspēka izmaksas ES-28 valstīs 2016.g.</w:t>
            </w:r>
          </w:p>
        </w:tc>
      </w:tr>
      <w:tr w:rsidTr="00B2274B">
        <w:tblPrEx>
          <w:tblW w:w="10055" w:type="dxa"/>
          <w:jc w:val="center"/>
          <w:tblLook w:val="04A0"/>
        </w:tblPrEx>
        <w:trPr>
          <w:jc w:val="center"/>
        </w:trPr>
        <w:tc>
          <w:tcPr>
            <w:tcW w:w="502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rPr>
                <w:rFonts w:ascii="Candara" w:hAnsi="Candara"/>
              </w:rPr>
            </w:pPr>
            <w:r>
              <w:rPr>
                <w:noProof/>
                <w:lang w:eastAsia="lv-LV"/>
              </w:rPr>
              <w:drawing>
                <wp:inline distT="0" distB="0" distL="0" distR="0">
                  <wp:extent cx="3059430" cy="1468120"/>
                  <wp:effectExtent l="0" t="0" r="0" b="0"/>
                  <wp:docPr id="653" name="Chart 6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1"/>
                    </a:graphicData>
                  </a:graphic>
                </wp:inline>
              </w:drawing>
            </w:r>
          </w:p>
        </w:tc>
        <w:tc>
          <w:tcPr>
            <w:tcW w:w="5027"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rPr>
                <w:rFonts w:ascii="Candara" w:hAnsi="Candara"/>
              </w:rPr>
            </w:pPr>
            <w:r>
              <w:rPr>
                <w:noProof/>
                <w:lang w:eastAsia="lv-LV"/>
              </w:rPr>
              <w:drawing>
                <wp:inline distT="0" distB="0" distL="0" distR="0">
                  <wp:extent cx="3059430" cy="1468120"/>
                  <wp:effectExtent l="0" t="0" r="0" b="0"/>
                  <wp:docPr id="652" name="Chart 6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2"/>
                    </a:graphicData>
                  </a:graphic>
                </wp:inline>
              </w:drawing>
            </w:r>
          </w:p>
        </w:tc>
      </w:tr>
    </w:tbl>
    <w:p w:rsidR="00B2274B" w:rsidP="00B2274B">
      <w:pPr>
        <w:spacing w:after="0" w:line="240" w:lineRule="auto"/>
        <w:rPr>
          <w:rFonts w:ascii="Candara" w:hAnsi="Candara"/>
          <w:b/>
          <w:color w:val="000000"/>
          <w:szCs w:val="28"/>
        </w:rPr>
      </w:pPr>
    </w:p>
    <w:p w:rsidR="00B2274B" w:rsidP="00762D1E">
      <w:pPr>
        <w:spacing w:after="0" w:line="240" w:lineRule="auto"/>
        <w:rPr>
          <w:rFonts w:ascii="Candara" w:hAnsi="Candara"/>
          <w:b/>
          <w:color w:val="000000"/>
          <w:szCs w:val="28"/>
        </w:rPr>
      </w:pPr>
      <w:r>
        <w:rPr>
          <w:rFonts w:ascii="Candara" w:hAnsi="Candara"/>
          <w:b/>
          <w:color w:val="000000"/>
          <w:szCs w:val="28"/>
        </w:rPr>
        <w:br w:type="page"/>
      </w:r>
    </w:p>
    <w:p w:rsidR="00B2274B" w:rsidP="00B2274B">
      <w:pPr>
        <w:spacing w:after="0" w:line="240" w:lineRule="auto"/>
        <w:jc w:val="both"/>
        <w:rPr>
          <w:rFonts w:ascii="Candara" w:hAnsi="Candara"/>
          <w:b/>
          <w:color w:val="000000"/>
          <w:szCs w:val="28"/>
          <w:u w:val="single"/>
        </w:rPr>
      </w:pPr>
    </w:p>
    <w:p w:rsidR="00FA6F1F" w:rsidRPr="00BF2205" w:rsidP="00FA6F1F">
      <w:pPr>
        <w:spacing w:after="0" w:line="240" w:lineRule="auto"/>
        <w:jc w:val="both"/>
        <w:rPr>
          <w:rFonts w:ascii="Candara" w:hAnsi="Candara"/>
          <w:color w:val="000000"/>
          <w:szCs w:val="28"/>
        </w:rPr>
      </w:pPr>
      <w:bookmarkEnd w:id="77"/>
      <w:r w:rsidRPr="00BF2205">
        <w:rPr>
          <w:rFonts w:ascii="Candara" w:hAnsi="Candara"/>
          <w:b/>
          <w:color w:val="000000"/>
          <w:szCs w:val="28"/>
          <w:u w:val="single"/>
        </w:rPr>
        <w:t>Nozares īpatsvars tautsaimniecībā, procentos.</w:t>
      </w:r>
      <w:r w:rsidRPr="00BF2205">
        <w:rPr>
          <w:rFonts w:ascii="Candara" w:hAnsi="Candara"/>
          <w:color w:val="000000"/>
          <w:szCs w:val="28"/>
        </w:rPr>
        <w:t xml:space="preserve"> Nozares īpatsvars kopš 2005.gada pakāpeniski palielinās no 1,5% līdz 2% 2016.gadā, nelielu kritumu piedzīvojot vien 2012.gadā.</w:t>
      </w:r>
    </w:p>
    <w:p w:rsidR="00FA6F1F" w:rsidRPr="00BF2205" w:rsidP="00FA6F1F">
      <w:pPr>
        <w:spacing w:after="0" w:line="240" w:lineRule="auto"/>
        <w:jc w:val="both"/>
        <w:rPr>
          <w:rFonts w:ascii="Candara" w:hAnsi="Candara"/>
          <w:color w:val="000000"/>
          <w:szCs w:val="28"/>
        </w:rPr>
      </w:pPr>
      <w:r w:rsidRPr="00BF2205">
        <w:rPr>
          <w:rFonts w:ascii="Candara" w:hAnsi="Candara"/>
          <w:b/>
          <w:color w:val="000000"/>
          <w:szCs w:val="28"/>
          <w:u w:val="single"/>
        </w:rPr>
        <w:t>Pievienotās vērtības un darba vietu skaita izmaiņas, 2005=100.</w:t>
      </w:r>
      <w:r w:rsidRPr="00BF2205">
        <w:rPr>
          <w:rFonts w:ascii="Candara" w:hAnsi="Candara"/>
          <w:color w:val="000000"/>
          <w:szCs w:val="28"/>
        </w:rPr>
        <w:t xml:space="preserve"> Kopš 2010.gada nozares izlaides apjomi pieaug katru gadu, izņemot 2012.gadu, kad izlaides apjomi samazinājās par 2%. Nozari pozitīvi ietekmē tūristu skaita pieaugums. 2016.gadā izlaides apjomi nozarē palielinājās par 8%. Kopš krīzes zemākā punkta 2009.gadā nozares izlaides apjomi ir kāpuši par 51% un par 8% pārsniedz pirmskrīzes līmeni. Līdzīgi izlaides apjomu kāpumam aug arī darbavietu skaits nozarē. Darbavietu skaits kopš 2011.gada pieaug katru gadu. 2016. gadā aizņemto darbavietu skaits pieauga par 2%.</w:t>
      </w:r>
      <w:r w:rsidRPr="00BF2205">
        <w:t xml:space="preserve"> </w:t>
      </w:r>
      <w:r w:rsidRPr="00BF2205">
        <w:rPr>
          <w:rFonts w:ascii="Candara" w:hAnsi="Candara"/>
          <w:color w:val="000000"/>
          <w:szCs w:val="28"/>
        </w:rPr>
        <w:t>2016.gadā, salīdzinot ar krīzes zemāko punktu 2010.gadā, darbavietu skaits ir pieaudzis par 42%,</w:t>
      </w:r>
      <w:r w:rsidRPr="00BF2205">
        <w:t xml:space="preserve"> </w:t>
      </w:r>
      <w:r w:rsidRPr="00BF2205">
        <w:rPr>
          <w:rFonts w:ascii="Candara" w:hAnsi="Candara"/>
          <w:color w:val="000000"/>
          <w:szCs w:val="28"/>
        </w:rPr>
        <w:t>bet par 0,2% atpaliek no pirmskrīzes līmeņa.</w:t>
      </w:r>
    </w:p>
    <w:p w:rsidR="00FA6F1F" w:rsidRPr="00BF2205" w:rsidP="00FA6F1F">
      <w:pPr>
        <w:spacing w:after="0" w:line="240" w:lineRule="auto"/>
        <w:jc w:val="both"/>
        <w:rPr>
          <w:rFonts w:ascii="Candara" w:hAnsi="Candara"/>
          <w:color w:val="000000"/>
          <w:szCs w:val="28"/>
        </w:rPr>
      </w:pPr>
      <w:r w:rsidRPr="00BF2205">
        <w:rPr>
          <w:rFonts w:ascii="Candara" w:hAnsi="Candara"/>
          <w:b/>
          <w:color w:val="000000"/>
          <w:szCs w:val="28"/>
          <w:u w:val="single"/>
        </w:rPr>
        <w:t>Darbaspēka izmaksu dinamika, tūkst.</w:t>
      </w:r>
      <w:r w:rsidRPr="00BF2205">
        <w:rPr>
          <w:rFonts w:ascii="Candara" w:hAnsi="Candara"/>
          <w:color w:val="000000"/>
          <w:szCs w:val="28"/>
        </w:rPr>
        <w:t xml:space="preserve"> Krīzes laikā darbaspēka izmaksas nozarē samazinājās, bet, atsākoties ekonomikas izaugsmei, 2011.-2016.gadā darba samaksas pieaugums nozarē kļuva straujāks, darbaspēka izmaksām sasniedzot jau pirmskrīzes perioda līmeni.</w:t>
      </w:r>
    </w:p>
    <w:p w:rsidR="00FA6F1F" w:rsidRPr="00BF2205" w:rsidP="00FA6F1F">
      <w:pPr>
        <w:spacing w:after="0" w:line="240" w:lineRule="auto"/>
        <w:jc w:val="both"/>
        <w:rPr>
          <w:rFonts w:ascii="Candara" w:hAnsi="Candara"/>
          <w:color w:val="000000"/>
          <w:szCs w:val="28"/>
        </w:rPr>
      </w:pPr>
      <w:r w:rsidRPr="00BF2205">
        <w:rPr>
          <w:rFonts w:ascii="Candara" w:hAnsi="Candara"/>
          <w:b/>
          <w:color w:val="000000"/>
          <w:szCs w:val="28"/>
          <w:u w:val="single"/>
        </w:rPr>
        <w:t>Produktivitātes dinamika, tūkst.</w:t>
      </w:r>
      <w:r w:rsidRPr="00BF2205">
        <w:rPr>
          <w:rFonts w:ascii="Candara" w:hAnsi="Candara"/>
          <w:color w:val="000000"/>
          <w:szCs w:val="28"/>
        </w:rPr>
        <w:t xml:space="preserve"> Izlaides apjomu straujāks samazinājums nekā nodarbināto skaita kritums krīzes laikā 2009.gadā veicināja produktivitātes kritumu. Savukārt, 2010.-2011.gadā, pieaugot izlaides apjomiem un samazinoties nodarbināto skaitam, produktivitāte palielinājās. 2012.gadā bija vērojams produktivitātes kritums, ko noteica nodarbināto skaita pieaugums. Pēdējos gados produktivitāte ir nedaudz palielinājusies, pārsniedzot pirmskrīzes perioda līmeni.</w:t>
      </w:r>
    </w:p>
    <w:p w:rsidR="00FA6F1F" w:rsidRPr="00BF2205" w:rsidP="00FA6F1F">
      <w:pPr>
        <w:spacing w:after="0" w:line="240" w:lineRule="auto"/>
        <w:jc w:val="both"/>
        <w:rPr>
          <w:rFonts w:ascii="Candara" w:hAnsi="Candara"/>
          <w:b/>
          <w:color w:val="000000"/>
          <w:szCs w:val="28"/>
          <w:u w:val="single"/>
        </w:rPr>
      </w:pPr>
      <w:r w:rsidRPr="00BF2205">
        <w:rPr>
          <w:rFonts w:ascii="Candara" w:hAnsi="Candara"/>
          <w:b/>
          <w:color w:val="000000"/>
          <w:szCs w:val="28"/>
          <w:u w:val="single"/>
        </w:rPr>
        <w:t>Produktivitāte un darbaspēka izmaksas.</w:t>
      </w:r>
      <w:r w:rsidRPr="00BF2205">
        <w:rPr>
          <w:rFonts w:ascii="Candara" w:hAnsi="Candara"/>
          <w:color w:val="000000"/>
          <w:szCs w:val="28"/>
        </w:rPr>
        <w:t xml:space="preserve"> Pēdējos gados nozarē darbaspēka izmaksas pieaug straujāk nekā produktivitāte, kas liecina par cenu konkurētspējas (izmaksu) pazemināšanos.  Šīs tendences ir līdzīgas pirms krīzes periodā vērojamām. Ekonomikas lejupslīdes jeb krīzes periodā ULC samazinājās, ko noteica būtisks nodarbināto skaita samazinājums, darbaspēka izmaksām samazinoties straujāk. Kopš 2012.gada darbaspēka izmaksas pieaug straujāk nekā produktivitāte. Vienlaikus jāatzīmē, ka kopš 2012.gada ULC nozarē Latvijā vidēji gadā pieauga par 12%, bet vidēji ES – par 3%,  tas nozīmē, ka izmaksu konkurētspējas priekšrocības ES tirgū samazinās.</w:t>
      </w:r>
    </w:p>
    <w:p w:rsidR="00FA6F1F" w:rsidRPr="00BF2205" w:rsidP="00FA6F1F">
      <w:pPr>
        <w:spacing w:after="0" w:line="240" w:lineRule="auto"/>
        <w:jc w:val="both"/>
        <w:rPr>
          <w:rFonts w:ascii="Candara" w:hAnsi="Candara"/>
          <w:color w:val="000000"/>
          <w:szCs w:val="28"/>
        </w:rPr>
      </w:pPr>
      <w:r w:rsidRPr="00BF2205">
        <w:rPr>
          <w:rFonts w:ascii="Candara" w:hAnsi="Candara"/>
          <w:b/>
          <w:color w:val="000000"/>
          <w:szCs w:val="28"/>
          <w:u w:val="single"/>
        </w:rPr>
        <w:t>Darbaspēka izmaksas, ES-28=100.</w:t>
      </w:r>
      <w:r w:rsidRPr="00BF2205">
        <w:rPr>
          <w:rFonts w:ascii="Candara" w:hAnsi="Candara"/>
          <w:color w:val="000000"/>
          <w:szCs w:val="28"/>
        </w:rPr>
        <w:t xml:space="preserve"> Salīdzinot ar darbaspēka izmaksu vidējo līmeni ES, nozarē tas ir augstāk nekā tautsaimniecībā kopumā un pēdējos gados šis rādītājs pakāpeniski pieaug.</w:t>
      </w:r>
    </w:p>
    <w:p w:rsidR="00FA6F1F" w:rsidRPr="00BF2205" w:rsidP="00FA6F1F">
      <w:pPr>
        <w:spacing w:after="0" w:line="240" w:lineRule="auto"/>
        <w:jc w:val="both"/>
        <w:rPr>
          <w:rFonts w:ascii="Candara" w:hAnsi="Candara"/>
          <w:color w:val="000000"/>
          <w:szCs w:val="28"/>
        </w:rPr>
      </w:pPr>
      <w:r w:rsidRPr="00BF2205">
        <w:rPr>
          <w:rFonts w:ascii="Candara" w:hAnsi="Candara"/>
          <w:b/>
          <w:color w:val="000000"/>
          <w:szCs w:val="28"/>
          <w:u w:val="single"/>
        </w:rPr>
        <w:t>Produktivitāte, ES-28=100.</w:t>
      </w:r>
      <w:r w:rsidRPr="00BF2205">
        <w:rPr>
          <w:rFonts w:ascii="Candara" w:hAnsi="Candara"/>
          <w:color w:val="000000"/>
          <w:szCs w:val="28"/>
        </w:rPr>
        <w:t xml:space="preserve"> Salīdzinot ar vidējo līmeni ES, nozarē produktivitātes līmenis pēckrīzes periodā bija zemāks nekā tautsaimniecībā kopumā, bet 2016.gadā produktivitātes līmenis ir jau nedaudz pārsniedz produktivitāti tautsaimniecībā kopumā.</w:t>
      </w:r>
    </w:p>
    <w:p w:rsidR="00FA6F1F" w:rsidRPr="00BF2205" w:rsidP="00FA6F1F">
      <w:pPr>
        <w:spacing w:after="0" w:line="240" w:lineRule="auto"/>
        <w:jc w:val="both"/>
        <w:rPr>
          <w:rFonts w:ascii="Candara" w:hAnsi="Candara"/>
          <w:color w:val="000000"/>
          <w:szCs w:val="28"/>
        </w:rPr>
      </w:pPr>
      <w:r w:rsidRPr="00BF2205">
        <w:rPr>
          <w:rFonts w:ascii="Candara" w:hAnsi="Candara"/>
          <w:b/>
          <w:color w:val="000000"/>
          <w:szCs w:val="28"/>
          <w:u w:val="single"/>
        </w:rPr>
        <w:t>Darbaspēka izmaksas, salīdzinot ar ES valstīm, 2016.gadā.</w:t>
      </w:r>
      <w:r w:rsidRPr="00BF2205">
        <w:rPr>
          <w:rFonts w:ascii="Candara" w:hAnsi="Candara"/>
          <w:color w:val="000000"/>
          <w:szCs w:val="28"/>
        </w:rPr>
        <w:t xml:space="preserve"> Latvijā 2016.gadā darbaspēka izmaksas nozarē bija augstākas nekā Lietuvā un Igaunijā. Kopumā starp ES valstīm Latvija bija 18.vietā.</w:t>
      </w:r>
    </w:p>
    <w:p w:rsidR="00FA6F1F" w:rsidRPr="00BF2205" w:rsidP="00FA6F1F">
      <w:pPr>
        <w:spacing w:after="0" w:line="240" w:lineRule="auto"/>
        <w:jc w:val="both"/>
        <w:rPr>
          <w:rFonts w:ascii="Candara" w:hAnsi="Candara"/>
          <w:color w:val="000000"/>
          <w:szCs w:val="28"/>
        </w:rPr>
      </w:pPr>
      <w:r w:rsidRPr="00BF2205">
        <w:rPr>
          <w:rFonts w:ascii="Candara" w:hAnsi="Candara"/>
          <w:b/>
          <w:color w:val="000000"/>
          <w:szCs w:val="28"/>
          <w:u w:val="single"/>
        </w:rPr>
        <w:t>Produktivitāte, salīdzinot ar ES valstīm, 2016.gadā.</w:t>
      </w:r>
      <w:r w:rsidRPr="00BF2205">
        <w:rPr>
          <w:rFonts w:ascii="Candara" w:hAnsi="Candara"/>
          <w:color w:val="000000"/>
          <w:szCs w:val="28"/>
        </w:rPr>
        <w:t xml:space="preserve"> Latvijā 2016.gadā produktivitāte nozarē bija augstāka nekā Igaunijā, bet zemāka nekā Lietuvā. Kopumā starp ES valstīm Latvija bija 20.vietā.</w:t>
      </w:r>
    </w:p>
    <w:p w:rsidR="00FA6F1F" w:rsidP="00FA6F1F">
      <w:pPr>
        <w:spacing w:after="0" w:line="240" w:lineRule="auto"/>
        <w:jc w:val="both"/>
        <w:rPr>
          <w:rFonts w:ascii="Candara" w:hAnsi="Candara"/>
          <w:color w:val="000000"/>
          <w:szCs w:val="28"/>
        </w:rPr>
      </w:pPr>
      <w:r w:rsidRPr="00BF2205">
        <w:rPr>
          <w:rFonts w:ascii="Candara" w:hAnsi="Candara"/>
          <w:b/>
          <w:color w:val="000000"/>
          <w:szCs w:val="28"/>
          <w:u w:val="single"/>
        </w:rPr>
        <w:t>Produktivitāte un darbaspēka izmaksas ES-28 valstīs 2010.gadā un 2016.gadā.</w:t>
      </w:r>
      <w:r w:rsidRPr="00BF2205">
        <w:rPr>
          <w:rFonts w:ascii="Candara" w:hAnsi="Candara"/>
          <w:color w:val="000000"/>
          <w:szCs w:val="28"/>
        </w:rPr>
        <w:t xml:space="preserve"> Darbaspēka izmaksas uz 1 produkcijas vienību (ULC) nozarē Latvijā 2010.gadā bija tuvu vidējam rādītājam ES, bet 2016.gadā tas jau bija augstāks par ES vidējo rādītāju. Latvijā 2016.gadā, salīdzinot ar 2010.gadu, darbaspēka izmaksas uz 1 produkcijas vienību ir pieaugušas par 47%, ko noteica darbaspēku izmaksu kāpums par 58%. Tas liecina, ka nozarē lēta darbaspēka konkurētspējas priekšrocības samazinās.</w:t>
      </w:r>
    </w:p>
    <w:p w:rsidR="00B2274B" w:rsidP="00762D1E">
      <w:pPr>
        <w:spacing w:after="0" w:line="240" w:lineRule="auto"/>
        <w:rPr>
          <w:rFonts w:ascii="Candara" w:hAnsi="Candara"/>
          <w:color w:val="000000"/>
          <w:szCs w:val="28"/>
        </w:rPr>
      </w:pPr>
      <w:r>
        <w:rPr>
          <w:rFonts w:ascii="Candara" w:hAnsi="Candara"/>
          <w:color w:val="000000"/>
          <w:szCs w:val="28"/>
        </w:rPr>
        <w:br w:type="page"/>
      </w:r>
    </w:p>
    <w:p w:rsidR="00B2274B" w:rsidP="00B2274B">
      <w:pPr>
        <w:pStyle w:val="Heading1"/>
        <w:jc w:val="center"/>
        <w:rPr>
          <w:b/>
          <w:sz w:val="22"/>
        </w:rPr>
      </w:pPr>
      <w:bookmarkStart w:id="80" w:name="_Toc482792419"/>
      <w:bookmarkStart w:id="81" w:name="_Hlk504761006"/>
      <w:bookmarkStart w:id="82" w:name="_Toc256000021"/>
      <w:bookmarkStart w:id="83" w:name="_Toc256000047"/>
      <w:r>
        <w:rPr>
          <w:b/>
          <w:sz w:val="22"/>
        </w:rPr>
        <w:t>J INFORMĀCIJAS UN KOMUNIKĀCIJU PAKALPOJUMI</w:t>
      </w:r>
      <w:bookmarkEnd w:id="83"/>
      <w:bookmarkEnd w:id="82"/>
      <w:bookmarkEnd w:id="80"/>
    </w:p>
    <w:tbl>
      <w:tblPr>
        <w:tblW w:w="10488"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3581"/>
        <w:gridCol w:w="1779"/>
        <w:gridCol w:w="1839"/>
        <w:gridCol w:w="3357"/>
      </w:tblGrid>
      <w:tr w:rsidTr="00B2274B">
        <w:tblPrEx>
          <w:tblW w:w="10488"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Nozares īpatsvars tautsaimniecībā (faktiskajās cenās), %</w:t>
            </w:r>
          </w:p>
        </w:tc>
        <w:tc>
          <w:tcPr>
            <w:tcW w:w="357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Pievienotās vērtības un darba vietu skaita izmaiņas (2005=100)</w:t>
            </w:r>
          </w:p>
        </w:tc>
        <w:tc>
          <w:tcPr>
            <w:tcW w:w="33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Produkcijas eksports, milj. EUR*</w:t>
            </w:r>
          </w:p>
        </w:tc>
      </w:tr>
      <w:tr w:rsidTr="00B2274B">
        <w:tblPrEx>
          <w:tblW w:w="10488"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rPr>
                <w:rFonts w:ascii="Candara" w:hAnsi="Candara"/>
              </w:rPr>
            </w:pPr>
            <w:r>
              <w:rPr>
                <w:noProof/>
                <w:lang w:eastAsia="lv-LV"/>
              </w:rPr>
              <w:drawing>
                <wp:inline distT="0" distB="0" distL="0" distR="0">
                  <wp:extent cx="2136775" cy="1063625"/>
                  <wp:effectExtent l="0" t="0" r="0" b="3175"/>
                  <wp:docPr id="651" name="Chart 6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3"/>
                    </a:graphicData>
                  </a:graphic>
                </wp:inline>
              </w:drawing>
            </w:r>
          </w:p>
        </w:tc>
        <w:tc>
          <w:tcPr>
            <w:tcW w:w="357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1943100" cy="1072515"/>
                  <wp:effectExtent l="0" t="0" r="0" b="0"/>
                  <wp:docPr id="650" name="Chart 6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4"/>
                    </a:graphicData>
                  </a:graphic>
                </wp:inline>
              </w:drawing>
            </w:r>
          </w:p>
        </w:tc>
        <w:tc>
          <w:tcPr>
            <w:tcW w:w="33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rPr>
                <w:rFonts w:ascii="Candara" w:hAnsi="Candara"/>
              </w:rPr>
            </w:pPr>
            <w:r>
              <w:rPr>
                <w:b/>
                <w:noProof/>
                <w:lang w:eastAsia="lv-LV"/>
              </w:rPr>
              <w:drawing>
                <wp:inline distT="0" distB="0" distL="0" distR="0">
                  <wp:extent cx="1978025" cy="932180"/>
                  <wp:effectExtent l="0" t="0" r="3175" b="1270"/>
                  <wp:docPr id="649" name="Chart 6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5"/>
                    </a:graphicData>
                  </a:graphic>
                </wp:inline>
              </w:drawing>
            </w:r>
          </w:p>
          <w:p w:rsidR="00B2274B" w:rsidP="00762D1E">
            <w:pPr>
              <w:spacing w:after="0" w:line="240" w:lineRule="auto"/>
              <w:rPr>
                <w:rFonts w:ascii="Candara" w:hAnsi="Candara"/>
              </w:rPr>
            </w:pPr>
            <w:r>
              <w:rPr>
                <w:rFonts w:ascii="Candara" w:hAnsi="Candara"/>
                <w:sz w:val="14"/>
                <w:szCs w:val="14"/>
              </w:rPr>
              <w:t>* Latvijas Bankas dati</w:t>
            </w:r>
          </w:p>
        </w:tc>
      </w:tr>
      <w:tr w:rsidTr="00B2274B">
        <w:tblPrEx>
          <w:tblW w:w="10488"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Eksports uz 1 strādājošo, tūkst. EUR</w:t>
            </w:r>
          </w:p>
        </w:tc>
        <w:tc>
          <w:tcPr>
            <w:tcW w:w="6912"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Eksports uz 1 strādājošo ES-28 valstīs, tūkst. EUR</w:t>
            </w:r>
          </w:p>
        </w:tc>
      </w:tr>
      <w:tr w:rsidTr="00B2274B">
        <w:tblPrEx>
          <w:tblW w:w="10488"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36775" cy="1169670"/>
                  <wp:effectExtent l="0" t="0" r="0" b="0"/>
                  <wp:docPr id="648" name="Chart 6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6"/>
                    </a:graphicData>
                  </a:graphic>
                </wp:inline>
              </w:drawing>
            </w:r>
          </w:p>
        </w:tc>
        <w:tc>
          <w:tcPr>
            <w:tcW w:w="6912"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4114800" cy="1169670"/>
                  <wp:effectExtent l="0" t="0" r="0" b="0"/>
                  <wp:docPr id="647" name="Chart 6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7"/>
                    </a:graphicData>
                  </a:graphic>
                </wp:inline>
              </w:drawing>
            </w:r>
          </w:p>
        </w:tc>
      </w:tr>
      <w:tr w:rsidTr="00B2274B">
        <w:tblPrEx>
          <w:tblW w:w="10488"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Eksporta tirgi, 2015.g.*</w:t>
            </w:r>
          </w:p>
        </w:tc>
        <w:tc>
          <w:tcPr>
            <w:tcW w:w="6912"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Eksporta struktūra*</w:t>
            </w:r>
          </w:p>
        </w:tc>
      </w:tr>
      <w:tr w:rsidTr="00B2274B">
        <w:tblPrEx>
          <w:tblW w:w="10488"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b/>
                <w:szCs w:val="28"/>
              </w:rPr>
            </w:pPr>
            <w:r>
              <w:rPr>
                <w:noProof/>
                <w:lang w:eastAsia="lv-LV"/>
              </w:rPr>
              <w:drawing>
                <wp:inline distT="0" distB="0" distL="0" distR="0">
                  <wp:extent cx="2030730" cy="1371600"/>
                  <wp:effectExtent l="0" t="0" r="0" b="0"/>
                  <wp:docPr id="646" name="Chart 6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8"/>
                    </a:graphicData>
                  </a:graphic>
                </wp:inline>
              </w:drawing>
            </w:r>
          </w:p>
          <w:p w:rsidR="00B2274B" w:rsidP="00762D1E">
            <w:pPr>
              <w:spacing w:after="0" w:line="240" w:lineRule="auto"/>
              <w:jc w:val="center"/>
              <w:rPr>
                <w:rFonts w:ascii="Candara" w:hAnsi="Candara"/>
                <w:b/>
                <w:szCs w:val="28"/>
              </w:rPr>
            </w:pPr>
            <w:r>
              <w:rPr>
                <w:rFonts w:ascii="Candara" w:hAnsi="Candara"/>
                <w:sz w:val="14"/>
                <w:szCs w:val="14"/>
              </w:rPr>
              <w:t>* Latvijas Bankas dati</w:t>
            </w:r>
          </w:p>
        </w:tc>
        <w:tc>
          <w:tcPr>
            <w:tcW w:w="6912"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tabs>
                <w:tab w:val="left" w:pos="8080"/>
              </w:tabs>
              <w:spacing w:after="0" w:line="240" w:lineRule="auto"/>
              <w:ind w:right="-31"/>
              <w:jc w:val="center"/>
              <w:rPr>
                <w:sz w:val="18"/>
              </w:rPr>
            </w:pPr>
            <w:r>
              <w:rPr>
                <w:sz w:val="18"/>
              </w:rPr>
              <w:t>Latvija*                                                                                       ES-28</w:t>
            </w:r>
          </w:p>
          <w:p w:rsidR="00B2274B" w:rsidP="00762D1E">
            <w:pPr>
              <w:tabs>
                <w:tab w:val="left" w:pos="8080"/>
              </w:tabs>
              <w:spacing w:after="0" w:line="240" w:lineRule="auto"/>
              <w:ind w:right="-31"/>
            </w:pPr>
            <w:r>
              <w:rPr>
                <w:noProof/>
                <w:lang w:eastAsia="lv-LV"/>
              </w:rPr>
              <w:drawing>
                <wp:inline distT="0" distB="0" distL="0" distR="0">
                  <wp:extent cx="2620010" cy="1239520"/>
                  <wp:effectExtent l="0" t="0" r="8890" b="0"/>
                  <wp:docPr id="645" name="Chart 6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9"/>
                    </a:graphicData>
                  </a:graphic>
                </wp:inline>
              </w:drawing>
            </w:r>
            <w:r>
              <w:rPr>
                <w:noProof/>
                <w:lang w:eastAsia="lv-LV"/>
              </w:rPr>
              <w:drawing>
                <wp:inline distT="0" distB="0" distL="0" distR="0">
                  <wp:extent cx="1353820" cy="1239520"/>
                  <wp:effectExtent l="0" t="0" r="0" b="0"/>
                  <wp:docPr id="644" name="Chart 6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0"/>
                    </a:graphicData>
                  </a:graphic>
                </wp:inline>
              </w:drawing>
            </w:r>
          </w:p>
          <w:p w:rsidR="00B2274B" w:rsidP="00762D1E">
            <w:pPr>
              <w:tabs>
                <w:tab w:val="left" w:pos="8080"/>
              </w:tabs>
              <w:spacing w:after="0" w:line="240" w:lineRule="auto"/>
              <w:ind w:left="477" w:right="-31"/>
            </w:pPr>
            <w:r>
              <w:rPr>
                <w:rFonts w:ascii="Candara" w:hAnsi="Candara"/>
                <w:sz w:val="14"/>
                <w:szCs w:val="14"/>
              </w:rPr>
              <w:t>* Latvijas Bankas dati</w:t>
            </w:r>
          </w:p>
        </w:tc>
      </w:tr>
      <w:tr w:rsidTr="00B2274B">
        <w:tblPrEx>
          <w:tblW w:w="10488"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Darbaspēka izmaksu dinamika, tūkst. EUR</w:t>
            </w:r>
          </w:p>
        </w:tc>
        <w:tc>
          <w:tcPr>
            <w:tcW w:w="357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Produktivitātes dinamika, tūkst. EUR</w:t>
            </w:r>
          </w:p>
        </w:tc>
        <w:tc>
          <w:tcPr>
            <w:tcW w:w="33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 un darbaspēka izmaksas</w:t>
            </w:r>
          </w:p>
        </w:tc>
      </w:tr>
      <w:tr w:rsidTr="00B2274B">
        <w:tblPrEx>
          <w:tblW w:w="10488"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36775" cy="1072515"/>
                  <wp:effectExtent l="0" t="0" r="0" b="0"/>
                  <wp:docPr id="643" name="Chart 6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1"/>
                    </a:graphicData>
                  </a:graphic>
                </wp:inline>
              </w:drawing>
            </w:r>
          </w:p>
        </w:tc>
        <w:tc>
          <w:tcPr>
            <w:tcW w:w="357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36775" cy="1055370"/>
                  <wp:effectExtent l="0" t="0" r="0" b="0"/>
                  <wp:docPr id="642" name="Chart 6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2"/>
                    </a:graphicData>
                  </a:graphic>
                </wp:inline>
              </w:drawing>
            </w:r>
          </w:p>
        </w:tc>
        <w:tc>
          <w:tcPr>
            <w:tcW w:w="3336"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1846580" cy="2233295"/>
                  <wp:effectExtent l="0" t="0" r="0" b="0"/>
                  <wp:docPr id="641" name="Chart 6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3"/>
                    </a:graphicData>
                  </a:graphic>
                </wp:inline>
              </w:drawing>
            </w:r>
          </w:p>
        </w:tc>
      </w:tr>
      <w:tr w:rsidTr="00B2274B">
        <w:tblPrEx>
          <w:tblW w:w="10488"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Darbaspēka izmaksas, ES-28=100</w:t>
            </w:r>
          </w:p>
        </w:tc>
        <w:tc>
          <w:tcPr>
            <w:tcW w:w="357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 ES-28=100</w:t>
            </w:r>
          </w:p>
        </w:tc>
        <w:tc>
          <w:tcPr>
            <w:tcW w:w="0" w:type="auto"/>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B2274B">
            <w:pPr>
              <w:rPr>
                <w:rFonts w:ascii="Candara" w:hAnsi="Candara"/>
              </w:rPr>
            </w:pPr>
          </w:p>
        </w:tc>
      </w:tr>
      <w:tr w:rsidTr="00B2274B">
        <w:tblPrEx>
          <w:tblW w:w="10488"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27885" cy="1055370"/>
                  <wp:effectExtent l="0" t="0" r="5715" b="0"/>
                  <wp:docPr id="640" name="Chart 6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4"/>
                    </a:graphicData>
                  </a:graphic>
                </wp:inline>
              </w:drawing>
            </w:r>
          </w:p>
        </w:tc>
        <w:tc>
          <w:tcPr>
            <w:tcW w:w="357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36775" cy="1055370"/>
                  <wp:effectExtent l="0" t="0" r="0" b="0"/>
                  <wp:docPr id="639" name="Chart 6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5"/>
                    </a:graphicData>
                  </a:graphic>
                </wp:inline>
              </w:drawing>
            </w:r>
          </w:p>
        </w:tc>
        <w:tc>
          <w:tcPr>
            <w:tcW w:w="0" w:type="auto"/>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B2274B">
            <w:pPr>
              <w:rPr>
                <w:rFonts w:ascii="Candara" w:hAnsi="Candara"/>
              </w:rPr>
            </w:pPr>
          </w:p>
        </w:tc>
      </w:tr>
      <w:tr w:rsidTr="00B2274B">
        <w:tblPrEx>
          <w:tblW w:w="10488" w:type="dxa"/>
          <w:jc w:val="center"/>
          <w:tblLook w:val="04A0"/>
        </w:tblPrEx>
        <w:trPr>
          <w:jc w:val="center"/>
        </w:trPr>
        <w:tc>
          <w:tcPr>
            <w:tcW w:w="5299"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Darbaspēka izmaksas uz 1 nodarbināto 2016.g., tūkst. EUR</w:t>
            </w:r>
          </w:p>
        </w:tc>
        <w:tc>
          <w:tcPr>
            <w:tcW w:w="5189"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Produktivitāte  (PV uz 1 nodarbināto) 2016.g., tūkst. EUR</w:t>
            </w:r>
          </w:p>
        </w:tc>
      </w:tr>
      <w:tr w:rsidTr="00B2274B">
        <w:tblPrEx>
          <w:tblW w:w="10488" w:type="dxa"/>
          <w:jc w:val="center"/>
          <w:tblLook w:val="04A0"/>
        </w:tblPrEx>
        <w:trPr>
          <w:jc w:val="center"/>
        </w:trPr>
        <w:tc>
          <w:tcPr>
            <w:tcW w:w="5299"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3156585" cy="1046480"/>
                  <wp:effectExtent l="0" t="0" r="5715" b="1270"/>
                  <wp:docPr id="638" name="Chart 6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6"/>
                    </a:graphicData>
                  </a:graphic>
                </wp:inline>
              </w:drawing>
            </w:r>
          </w:p>
        </w:tc>
        <w:tc>
          <w:tcPr>
            <w:tcW w:w="5189"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3156585" cy="1072515"/>
                  <wp:effectExtent l="0" t="0" r="5715" b="0"/>
                  <wp:docPr id="637" name="Chart 6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7"/>
                    </a:graphicData>
                  </a:graphic>
                </wp:inline>
              </w:drawing>
            </w:r>
          </w:p>
        </w:tc>
      </w:tr>
      <w:tr w:rsidTr="00B2274B">
        <w:tblPrEx>
          <w:tblW w:w="10488" w:type="dxa"/>
          <w:jc w:val="center"/>
          <w:tblLook w:val="04A0"/>
        </w:tblPrEx>
        <w:trPr>
          <w:jc w:val="center"/>
        </w:trPr>
        <w:tc>
          <w:tcPr>
            <w:tcW w:w="5299"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 un darbaspēka izmaksas ES-28 valstīs 2010.g.</w:t>
            </w:r>
          </w:p>
        </w:tc>
        <w:tc>
          <w:tcPr>
            <w:tcW w:w="5189"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 un darbaspēka izmaksas ES-28 valstīs 2016.g.</w:t>
            </w:r>
          </w:p>
        </w:tc>
      </w:tr>
      <w:tr w:rsidTr="00B2274B">
        <w:tblPrEx>
          <w:tblW w:w="10488" w:type="dxa"/>
          <w:jc w:val="center"/>
          <w:tblLook w:val="04A0"/>
        </w:tblPrEx>
        <w:trPr>
          <w:jc w:val="center"/>
        </w:trPr>
        <w:tc>
          <w:tcPr>
            <w:tcW w:w="5299"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rPr>
                <w:rFonts w:ascii="Candara" w:hAnsi="Candara"/>
              </w:rPr>
            </w:pPr>
            <w:r>
              <w:rPr>
                <w:noProof/>
                <w:lang w:eastAsia="lv-LV"/>
              </w:rPr>
              <w:drawing>
                <wp:inline distT="0" distB="0" distL="0" distR="0">
                  <wp:extent cx="3059430" cy="1336675"/>
                  <wp:effectExtent l="0" t="0" r="0" b="0"/>
                  <wp:docPr id="636" name="Chart 6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8"/>
                    </a:graphicData>
                  </a:graphic>
                </wp:inline>
              </w:drawing>
            </w:r>
          </w:p>
        </w:tc>
        <w:tc>
          <w:tcPr>
            <w:tcW w:w="5189"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rPr>
                <w:rFonts w:ascii="Candara" w:hAnsi="Candara"/>
              </w:rPr>
            </w:pPr>
            <w:r>
              <w:rPr>
                <w:noProof/>
                <w:lang w:eastAsia="lv-LV"/>
              </w:rPr>
              <w:drawing>
                <wp:inline distT="0" distB="0" distL="0" distR="0">
                  <wp:extent cx="3059430" cy="1336675"/>
                  <wp:effectExtent l="0" t="0" r="0" b="0"/>
                  <wp:docPr id="635" name="Chart 6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9"/>
                    </a:graphicData>
                  </a:graphic>
                </wp:inline>
              </w:drawing>
            </w:r>
          </w:p>
        </w:tc>
      </w:tr>
    </w:tbl>
    <w:p w:rsidR="00B2274B" w:rsidP="00B2274B">
      <w:pPr>
        <w:spacing w:after="0" w:line="240" w:lineRule="auto"/>
        <w:rPr>
          <w:rFonts w:ascii="Candara" w:hAnsi="Candara"/>
          <w:b/>
          <w:color w:val="000000"/>
          <w:szCs w:val="28"/>
        </w:rPr>
      </w:pPr>
    </w:p>
    <w:p w:rsidR="00806BCB" w:rsidP="00806BCB">
      <w:pPr>
        <w:spacing w:after="0" w:line="240" w:lineRule="auto"/>
        <w:jc w:val="both"/>
        <w:rPr>
          <w:rFonts w:ascii="Candara" w:hAnsi="Candara"/>
          <w:color w:val="000000"/>
          <w:szCs w:val="28"/>
        </w:rPr>
      </w:pPr>
      <w:r>
        <w:rPr>
          <w:rFonts w:ascii="Candara" w:hAnsi="Candara"/>
          <w:b/>
          <w:color w:val="000000"/>
          <w:szCs w:val="28"/>
          <w:u w:val="single"/>
        </w:rPr>
        <w:t xml:space="preserve">Nozares īpatsvars </w:t>
      </w:r>
      <w:r w:rsidRPr="00DF40AC">
        <w:rPr>
          <w:rFonts w:ascii="Candara" w:hAnsi="Candara"/>
          <w:b/>
          <w:color w:val="000000"/>
          <w:szCs w:val="28"/>
          <w:u w:val="single"/>
        </w:rPr>
        <w:t xml:space="preserve">tautsaimniecībā, </w:t>
      </w:r>
      <w:r>
        <w:rPr>
          <w:rFonts w:ascii="Candara" w:hAnsi="Candara"/>
          <w:b/>
          <w:color w:val="000000"/>
          <w:szCs w:val="28"/>
          <w:u w:val="single"/>
        </w:rPr>
        <w:t>procentos.</w:t>
      </w:r>
      <w:r w:rsidRPr="00F835E8">
        <w:rPr>
          <w:rFonts w:ascii="Candara" w:hAnsi="Candara"/>
          <w:color w:val="000000"/>
          <w:szCs w:val="28"/>
        </w:rPr>
        <w:t xml:space="preserve"> </w:t>
      </w:r>
      <w:r>
        <w:rPr>
          <w:rFonts w:ascii="Candara" w:hAnsi="Candara"/>
          <w:color w:val="000000"/>
          <w:szCs w:val="28"/>
        </w:rPr>
        <w:t>IKT īpatsvars kopējā tautsaimniecībā 2005.gadā bija 4,6%. 2007.gadā IKT īpatsvars samazinājās par 1 procentpunktu līdz 3,6%, bet līdz 2010.gadam atkal sasniedza 4,6% no kopējā apjoma tautsaimniecībā. Savukārt pēc 2010.gada IKT īpatsvars nedaudz samazinājās. Kopš 2013.gada tas pakāpeniski palielinās, 2016.gadā sasniedzot 4,9%.</w:t>
      </w:r>
    </w:p>
    <w:p w:rsidR="00806BCB" w:rsidRPr="0009310A" w:rsidP="00806BCB">
      <w:pPr>
        <w:spacing w:after="0" w:line="240" w:lineRule="auto"/>
        <w:jc w:val="both"/>
        <w:rPr>
          <w:rFonts w:ascii="Candara" w:hAnsi="Candara"/>
          <w:color w:val="000000"/>
          <w:szCs w:val="28"/>
        </w:rPr>
      </w:pPr>
      <w:r w:rsidRPr="00DF40AC">
        <w:rPr>
          <w:rFonts w:ascii="Candara" w:hAnsi="Candara"/>
          <w:b/>
          <w:color w:val="000000"/>
          <w:szCs w:val="28"/>
          <w:u w:val="single"/>
        </w:rPr>
        <w:t>Pievienotās vērtības un darba vietu skaita izmaiņas</w:t>
      </w:r>
      <w:r>
        <w:rPr>
          <w:rFonts w:ascii="Candara" w:hAnsi="Candara"/>
          <w:b/>
          <w:color w:val="000000"/>
          <w:szCs w:val="28"/>
          <w:u w:val="single"/>
        </w:rPr>
        <w:t>, 2005=100.</w:t>
      </w:r>
      <w:r w:rsidRPr="00F835E8">
        <w:rPr>
          <w:rFonts w:ascii="Candara" w:hAnsi="Candara"/>
          <w:color w:val="000000"/>
          <w:szCs w:val="28"/>
        </w:rPr>
        <w:t xml:space="preserve"> </w:t>
      </w:r>
      <w:r w:rsidRPr="00E615F1">
        <w:rPr>
          <w:rFonts w:ascii="Candara" w:hAnsi="Candara"/>
          <w:color w:val="000000"/>
          <w:szCs w:val="28"/>
        </w:rPr>
        <w:t>201</w:t>
      </w:r>
      <w:r>
        <w:rPr>
          <w:rFonts w:ascii="Candara" w:hAnsi="Candara"/>
          <w:color w:val="000000"/>
          <w:szCs w:val="28"/>
        </w:rPr>
        <w:t>6.</w:t>
      </w:r>
      <w:r w:rsidRPr="00E615F1">
        <w:rPr>
          <w:rFonts w:ascii="Candara" w:hAnsi="Candara"/>
          <w:color w:val="000000"/>
          <w:szCs w:val="28"/>
        </w:rPr>
        <w:t xml:space="preserve">gadā ražošanas apjomi </w:t>
      </w:r>
      <w:r>
        <w:rPr>
          <w:rFonts w:ascii="Candara" w:hAnsi="Candara"/>
          <w:color w:val="000000"/>
          <w:szCs w:val="28"/>
        </w:rPr>
        <w:t>IKT</w:t>
      </w:r>
      <w:r w:rsidRPr="00E615F1">
        <w:rPr>
          <w:rFonts w:ascii="Candara" w:hAnsi="Candara"/>
          <w:color w:val="000000"/>
          <w:szCs w:val="28"/>
        </w:rPr>
        <w:t xml:space="preserve"> palielinājās par </w:t>
      </w:r>
      <w:r>
        <w:rPr>
          <w:rFonts w:ascii="Candara" w:hAnsi="Candara"/>
          <w:color w:val="000000"/>
          <w:szCs w:val="28"/>
        </w:rPr>
        <w:t>24</w:t>
      </w:r>
      <w:r w:rsidRPr="00E615F1">
        <w:rPr>
          <w:rFonts w:ascii="Candara" w:hAnsi="Candara"/>
          <w:color w:val="000000"/>
          <w:szCs w:val="28"/>
        </w:rPr>
        <w:t>%. Kopš krīzes zemākā punkta 200</w:t>
      </w:r>
      <w:r>
        <w:rPr>
          <w:rFonts w:ascii="Candara" w:hAnsi="Candara"/>
          <w:color w:val="000000"/>
          <w:szCs w:val="28"/>
        </w:rPr>
        <w:t>9.</w:t>
      </w:r>
      <w:r w:rsidRPr="00E615F1">
        <w:rPr>
          <w:rFonts w:ascii="Candara" w:hAnsi="Candara"/>
          <w:color w:val="000000"/>
          <w:szCs w:val="28"/>
        </w:rPr>
        <w:t xml:space="preserve">gadā nozares izlaides apjomi </w:t>
      </w:r>
      <w:r>
        <w:rPr>
          <w:rFonts w:ascii="Candara" w:hAnsi="Candara"/>
          <w:color w:val="000000"/>
          <w:szCs w:val="28"/>
        </w:rPr>
        <w:t>bija</w:t>
      </w:r>
      <w:r w:rsidRPr="00E615F1">
        <w:rPr>
          <w:rFonts w:ascii="Candara" w:hAnsi="Candara"/>
          <w:color w:val="000000"/>
          <w:szCs w:val="28"/>
        </w:rPr>
        <w:t xml:space="preserve"> </w:t>
      </w:r>
      <w:r>
        <w:rPr>
          <w:rFonts w:ascii="Candara" w:hAnsi="Candara"/>
          <w:color w:val="000000"/>
          <w:szCs w:val="28"/>
        </w:rPr>
        <w:t xml:space="preserve">auguši par 22% un saglabājās nemainīgi, salīdzinot ar pirmskrīzes periodu. </w:t>
      </w:r>
      <w:r w:rsidRPr="00E615F1">
        <w:rPr>
          <w:rFonts w:ascii="Candara" w:hAnsi="Candara"/>
          <w:color w:val="000000"/>
          <w:szCs w:val="28"/>
        </w:rPr>
        <w:t xml:space="preserve">Salīdzinājumā ar ražošanas apjomu kāpumu darbavietu skaits nozarē aug krietni </w:t>
      </w:r>
      <w:r>
        <w:rPr>
          <w:rFonts w:ascii="Candara" w:hAnsi="Candara"/>
          <w:color w:val="000000"/>
          <w:szCs w:val="28"/>
        </w:rPr>
        <w:t>strauj</w:t>
      </w:r>
      <w:r w:rsidRPr="00E615F1">
        <w:rPr>
          <w:rFonts w:ascii="Candara" w:hAnsi="Candara"/>
          <w:color w:val="000000"/>
          <w:szCs w:val="28"/>
        </w:rPr>
        <w:t xml:space="preserve">āk, kas liecina par produktivitātes </w:t>
      </w:r>
      <w:r>
        <w:rPr>
          <w:rFonts w:ascii="Candara" w:hAnsi="Candara"/>
          <w:color w:val="000000"/>
          <w:szCs w:val="28"/>
        </w:rPr>
        <w:t>krit</w:t>
      </w:r>
      <w:r w:rsidRPr="00E615F1">
        <w:rPr>
          <w:rFonts w:ascii="Candara" w:hAnsi="Candara"/>
          <w:color w:val="000000"/>
          <w:szCs w:val="28"/>
        </w:rPr>
        <w:t>umu. 201</w:t>
      </w:r>
      <w:r>
        <w:rPr>
          <w:rFonts w:ascii="Candara" w:hAnsi="Candara"/>
          <w:color w:val="000000"/>
          <w:szCs w:val="28"/>
        </w:rPr>
        <w:t>6.</w:t>
      </w:r>
      <w:r w:rsidRPr="00E615F1">
        <w:rPr>
          <w:rFonts w:ascii="Candara" w:hAnsi="Candara"/>
          <w:color w:val="000000"/>
          <w:szCs w:val="28"/>
        </w:rPr>
        <w:t xml:space="preserve">gadā aizņemto darbavietu skaits palielinājās par </w:t>
      </w:r>
      <w:r>
        <w:rPr>
          <w:rFonts w:ascii="Candara" w:hAnsi="Candara"/>
          <w:color w:val="000000"/>
          <w:szCs w:val="28"/>
        </w:rPr>
        <w:t>10</w:t>
      </w:r>
      <w:r w:rsidRPr="00E615F1">
        <w:rPr>
          <w:rFonts w:ascii="Candara" w:hAnsi="Candara"/>
          <w:color w:val="000000"/>
          <w:szCs w:val="28"/>
        </w:rPr>
        <w:t>%</w:t>
      </w:r>
      <w:r>
        <w:rPr>
          <w:rFonts w:ascii="Candara" w:hAnsi="Candara"/>
          <w:color w:val="000000"/>
          <w:szCs w:val="28"/>
        </w:rPr>
        <w:t>. 2016.gadā, salīdzinot ar krīzes zemāko punktu 2010.gadā, darbavietu skaits bija palielinājies par 67% un par 36% pārsniedza pirmskrīzes līmeni.</w:t>
      </w:r>
    </w:p>
    <w:p w:rsidR="00806BCB" w:rsidP="00806BCB">
      <w:pPr>
        <w:spacing w:after="0" w:line="240" w:lineRule="auto"/>
        <w:jc w:val="both"/>
        <w:rPr>
          <w:rFonts w:ascii="Candara" w:hAnsi="Candara"/>
          <w:color w:val="000000"/>
          <w:szCs w:val="28"/>
        </w:rPr>
      </w:pPr>
      <w:r w:rsidRPr="00DF40AC">
        <w:rPr>
          <w:rFonts w:ascii="Candara" w:hAnsi="Candara"/>
          <w:b/>
          <w:color w:val="000000"/>
          <w:szCs w:val="28"/>
          <w:u w:val="single"/>
        </w:rPr>
        <w:t>Produkcijas eksports</w:t>
      </w:r>
      <w:r>
        <w:rPr>
          <w:rFonts w:ascii="Candara" w:hAnsi="Candara"/>
          <w:b/>
          <w:color w:val="000000"/>
          <w:szCs w:val="28"/>
          <w:u w:val="single"/>
        </w:rPr>
        <w:t>, milj. EUR.</w:t>
      </w:r>
      <w:r>
        <w:rPr>
          <w:rFonts w:ascii="Candara" w:hAnsi="Candara"/>
          <w:color w:val="000000"/>
          <w:szCs w:val="28"/>
        </w:rPr>
        <w:t xml:space="preserve"> </w:t>
      </w:r>
      <w:r w:rsidRPr="002B6A1A">
        <w:rPr>
          <w:rFonts w:ascii="Candara" w:hAnsi="Candara"/>
          <w:color w:val="000000"/>
          <w:szCs w:val="28"/>
        </w:rPr>
        <w:t>Kopš 200</w:t>
      </w:r>
      <w:r>
        <w:rPr>
          <w:rFonts w:ascii="Candara" w:hAnsi="Candara"/>
          <w:color w:val="000000"/>
          <w:szCs w:val="28"/>
        </w:rPr>
        <w:t>5</w:t>
      </w:r>
      <w:r w:rsidRPr="002B6A1A">
        <w:rPr>
          <w:rFonts w:ascii="Candara" w:hAnsi="Candara"/>
          <w:color w:val="000000"/>
          <w:szCs w:val="28"/>
        </w:rPr>
        <w:t>. gad</w:t>
      </w:r>
      <w:r>
        <w:rPr>
          <w:rFonts w:ascii="Candara" w:hAnsi="Candara"/>
          <w:color w:val="000000"/>
          <w:szCs w:val="28"/>
        </w:rPr>
        <w:t>a</w:t>
      </w:r>
      <w:r w:rsidRPr="002B6A1A">
        <w:rPr>
          <w:rFonts w:ascii="Candara" w:hAnsi="Candara"/>
          <w:color w:val="000000"/>
          <w:szCs w:val="28"/>
        </w:rPr>
        <w:t xml:space="preserve"> </w:t>
      </w:r>
      <w:r>
        <w:rPr>
          <w:rFonts w:ascii="Candara" w:hAnsi="Candara"/>
          <w:color w:val="000000"/>
          <w:szCs w:val="28"/>
        </w:rPr>
        <w:t>IKT eksportētās produkcijas</w:t>
      </w:r>
      <w:r w:rsidRPr="002B6A1A">
        <w:rPr>
          <w:rFonts w:ascii="Candara" w:hAnsi="Candara"/>
          <w:color w:val="000000"/>
          <w:szCs w:val="28"/>
        </w:rPr>
        <w:t xml:space="preserve"> apjomi ir </w:t>
      </w:r>
      <w:r>
        <w:rPr>
          <w:rFonts w:ascii="Candara" w:hAnsi="Candara"/>
          <w:color w:val="000000"/>
          <w:szCs w:val="28"/>
        </w:rPr>
        <w:t>seškārš</w:t>
      </w:r>
      <w:r w:rsidRPr="002B6A1A">
        <w:rPr>
          <w:rFonts w:ascii="Candara" w:hAnsi="Candara"/>
          <w:color w:val="000000"/>
          <w:szCs w:val="28"/>
        </w:rPr>
        <w:t>ojušies.</w:t>
      </w:r>
    </w:p>
    <w:p w:rsidR="00806BCB" w:rsidP="00806BCB">
      <w:pPr>
        <w:spacing w:after="0" w:line="240" w:lineRule="auto"/>
        <w:jc w:val="both"/>
        <w:rPr>
          <w:rFonts w:ascii="Candara" w:hAnsi="Candara"/>
          <w:b/>
          <w:color w:val="000000"/>
          <w:szCs w:val="28"/>
          <w:u w:val="single"/>
        </w:rPr>
      </w:pPr>
      <w:r w:rsidRPr="00DF40AC">
        <w:rPr>
          <w:rFonts w:ascii="Candara" w:hAnsi="Candara"/>
          <w:b/>
          <w:color w:val="000000"/>
          <w:szCs w:val="28"/>
          <w:u w:val="single"/>
        </w:rPr>
        <w:t xml:space="preserve">Eksports uz 1 strādājošo, </w:t>
      </w:r>
      <w:r>
        <w:rPr>
          <w:rFonts w:ascii="Candara" w:hAnsi="Candara"/>
          <w:b/>
          <w:color w:val="000000"/>
          <w:szCs w:val="28"/>
          <w:u w:val="single"/>
        </w:rPr>
        <w:t>tūkst. EUR.</w:t>
      </w:r>
      <w:r w:rsidRPr="000C0300">
        <w:rPr>
          <w:rFonts w:ascii="Candara" w:hAnsi="Candara"/>
          <w:color w:val="000000"/>
          <w:szCs w:val="28"/>
        </w:rPr>
        <w:t xml:space="preserve"> </w:t>
      </w:r>
      <w:r>
        <w:rPr>
          <w:rFonts w:ascii="Candara" w:hAnsi="Candara"/>
          <w:color w:val="000000"/>
          <w:szCs w:val="28"/>
        </w:rPr>
        <w:t>K</w:t>
      </w:r>
      <w:r w:rsidRPr="00F97BF6">
        <w:rPr>
          <w:rFonts w:ascii="Candara" w:hAnsi="Candara"/>
          <w:color w:val="000000"/>
          <w:szCs w:val="28"/>
        </w:rPr>
        <w:t>opš</w:t>
      </w:r>
      <w:r>
        <w:rPr>
          <w:rFonts w:ascii="Candara" w:hAnsi="Candara"/>
          <w:color w:val="000000"/>
          <w:szCs w:val="28"/>
        </w:rPr>
        <w:t xml:space="preserve"> 2005.gada eksporta apjoms uz vienu strādājošo ir pieaudzis vairākas reizes. Īpaši strauji tas ir palielinājies 2016.gadā.</w:t>
      </w:r>
    </w:p>
    <w:p w:rsidR="00806BCB" w:rsidRPr="00F97BF6" w:rsidP="00806BCB">
      <w:pPr>
        <w:spacing w:after="0" w:line="240" w:lineRule="auto"/>
        <w:jc w:val="both"/>
        <w:rPr>
          <w:rFonts w:ascii="Candara" w:hAnsi="Candara"/>
          <w:color w:val="000000"/>
          <w:szCs w:val="28"/>
        </w:rPr>
      </w:pPr>
      <w:r w:rsidRPr="00DF40AC">
        <w:rPr>
          <w:rFonts w:ascii="Candara" w:hAnsi="Candara"/>
          <w:b/>
          <w:color w:val="000000"/>
          <w:szCs w:val="28"/>
          <w:u w:val="single"/>
        </w:rPr>
        <w:t>Eksports uz 1 strādājošo ES 28 valstīs</w:t>
      </w:r>
      <w:r>
        <w:rPr>
          <w:rFonts w:ascii="Candara" w:hAnsi="Candara"/>
          <w:b/>
          <w:color w:val="000000"/>
          <w:szCs w:val="28"/>
          <w:u w:val="single"/>
        </w:rPr>
        <w:t>, tūkst. EUR.</w:t>
      </w:r>
      <w:r w:rsidRPr="00F97BF6">
        <w:rPr>
          <w:rFonts w:ascii="Candara" w:hAnsi="Candara"/>
          <w:color w:val="000000"/>
          <w:szCs w:val="28"/>
        </w:rPr>
        <w:t xml:space="preserve"> </w:t>
      </w:r>
      <w:r w:rsidRPr="000C0300">
        <w:rPr>
          <w:rFonts w:ascii="Candara" w:hAnsi="Candara"/>
          <w:color w:val="000000"/>
          <w:szCs w:val="28"/>
        </w:rPr>
        <w:t xml:space="preserve">Latvijā </w:t>
      </w:r>
      <w:r>
        <w:rPr>
          <w:rFonts w:ascii="Candara" w:hAnsi="Candara"/>
          <w:color w:val="000000"/>
          <w:szCs w:val="28"/>
        </w:rPr>
        <w:t>eksporta apjoms uz vienu strādājošo</w:t>
      </w:r>
      <w:r w:rsidRPr="000C0300">
        <w:rPr>
          <w:rFonts w:ascii="Candara" w:hAnsi="Candara"/>
          <w:color w:val="000000"/>
          <w:szCs w:val="28"/>
        </w:rPr>
        <w:t xml:space="preserve"> </w:t>
      </w:r>
      <w:r>
        <w:rPr>
          <w:rFonts w:ascii="Candara" w:hAnsi="Candara"/>
          <w:color w:val="000000"/>
          <w:szCs w:val="28"/>
        </w:rPr>
        <w:t>IKT nozarē</w:t>
      </w:r>
      <w:r w:rsidRPr="000C0300">
        <w:rPr>
          <w:rFonts w:ascii="Candara" w:hAnsi="Candara"/>
          <w:color w:val="000000"/>
          <w:szCs w:val="28"/>
        </w:rPr>
        <w:t xml:space="preserve"> bija augstāk</w:t>
      </w:r>
      <w:r>
        <w:rPr>
          <w:rFonts w:ascii="Candara" w:hAnsi="Candara"/>
          <w:color w:val="000000"/>
          <w:szCs w:val="28"/>
        </w:rPr>
        <w:t>s</w:t>
      </w:r>
      <w:r w:rsidRPr="000C0300">
        <w:rPr>
          <w:rFonts w:ascii="Candara" w:hAnsi="Candara"/>
          <w:color w:val="000000"/>
          <w:szCs w:val="28"/>
        </w:rPr>
        <w:t xml:space="preserve"> nekā Lietuvā</w:t>
      </w:r>
      <w:r>
        <w:rPr>
          <w:rFonts w:ascii="Candara" w:hAnsi="Candara"/>
          <w:color w:val="000000"/>
          <w:szCs w:val="28"/>
        </w:rPr>
        <w:t>, un nedaudz zemāks nekā</w:t>
      </w:r>
      <w:r w:rsidRPr="000C0300">
        <w:rPr>
          <w:rFonts w:ascii="Candara" w:hAnsi="Candara"/>
          <w:color w:val="000000"/>
          <w:szCs w:val="28"/>
        </w:rPr>
        <w:t xml:space="preserve"> Igaunijā. </w:t>
      </w:r>
    </w:p>
    <w:p w:rsidR="00806BCB" w:rsidP="00806BCB">
      <w:pPr>
        <w:spacing w:after="0" w:line="240" w:lineRule="auto"/>
        <w:jc w:val="both"/>
        <w:rPr>
          <w:rFonts w:ascii="Candara" w:hAnsi="Candara"/>
          <w:b/>
          <w:color w:val="000000"/>
          <w:szCs w:val="28"/>
          <w:u w:val="single"/>
        </w:rPr>
      </w:pPr>
      <w:r w:rsidRPr="00DF40AC">
        <w:rPr>
          <w:rFonts w:ascii="Candara" w:hAnsi="Candara"/>
          <w:b/>
          <w:color w:val="000000"/>
          <w:szCs w:val="28"/>
          <w:u w:val="single"/>
        </w:rPr>
        <w:t>Eksporta tirgi</w:t>
      </w:r>
      <w:r>
        <w:rPr>
          <w:rFonts w:ascii="Candara" w:hAnsi="Candara"/>
          <w:b/>
          <w:color w:val="000000"/>
          <w:szCs w:val="28"/>
          <w:u w:val="single"/>
        </w:rPr>
        <w:t>.</w:t>
      </w:r>
      <w:r w:rsidRPr="00F97BF6">
        <w:rPr>
          <w:rFonts w:ascii="Candara" w:hAnsi="Candara"/>
          <w:color w:val="000000"/>
          <w:szCs w:val="28"/>
        </w:rPr>
        <w:t xml:space="preserve"> Lielākie eksporta tirgi </w:t>
      </w:r>
      <w:r>
        <w:rPr>
          <w:rFonts w:ascii="Candara" w:hAnsi="Candara"/>
          <w:color w:val="000000"/>
          <w:szCs w:val="28"/>
        </w:rPr>
        <w:t>IKT</w:t>
      </w:r>
      <w:r w:rsidRPr="00F97BF6">
        <w:rPr>
          <w:rFonts w:ascii="Candara" w:hAnsi="Candara"/>
          <w:color w:val="000000"/>
          <w:szCs w:val="28"/>
        </w:rPr>
        <w:t xml:space="preserve"> nozarē ir </w:t>
      </w:r>
      <w:r>
        <w:rPr>
          <w:rFonts w:ascii="Candara" w:hAnsi="Candara"/>
          <w:color w:val="000000"/>
          <w:szCs w:val="28"/>
        </w:rPr>
        <w:t>Malta, Zviedrija, ASV, Kipra, Indija, Norvēģija, Itālija un Krievija.</w:t>
      </w:r>
    </w:p>
    <w:p w:rsidR="00806BCB" w:rsidP="00806BCB">
      <w:pPr>
        <w:spacing w:after="0" w:line="240" w:lineRule="auto"/>
        <w:jc w:val="both"/>
        <w:rPr>
          <w:rFonts w:ascii="Candara" w:hAnsi="Candara"/>
          <w:b/>
          <w:color w:val="000000"/>
          <w:szCs w:val="28"/>
          <w:u w:val="single"/>
        </w:rPr>
      </w:pPr>
      <w:r w:rsidRPr="00DF40AC">
        <w:rPr>
          <w:rFonts w:ascii="Candara" w:hAnsi="Candara"/>
          <w:b/>
          <w:color w:val="000000"/>
          <w:szCs w:val="28"/>
          <w:u w:val="single"/>
        </w:rPr>
        <w:t>Eksporta struktūra</w:t>
      </w:r>
      <w:r>
        <w:rPr>
          <w:rFonts w:ascii="Candara" w:hAnsi="Candara"/>
          <w:b/>
          <w:color w:val="000000"/>
          <w:szCs w:val="28"/>
          <w:u w:val="single"/>
        </w:rPr>
        <w:t>.</w:t>
      </w:r>
      <w:r w:rsidRPr="00F97BF6">
        <w:rPr>
          <w:rFonts w:ascii="Candara" w:hAnsi="Candara"/>
          <w:color w:val="000000"/>
          <w:szCs w:val="28"/>
        </w:rPr>
        <w:t xml:space="preserve"> </w:t>
      </w:r>
      <w:r>
        <w:rPr>
          <w:rFonts w:ascii="Candara" w:hAnsi="Candara"/>
          <w:color w:val="000000"/>
          <w:szCs w:val="28"/>
        </w:rPr>
        <w:t>Eksporta struktūra 2016.gadā Latvijā, samazinoties</w:t>
      </w:r>
      <w:r w:rsidRPr="00F97BF6">
        <w:rPr>
          <w:rFonts w:ascii="Candara" w:hAnsi="Candara"/>
          <w:color w:val="000000"/>
          <w:szCs w:val="28"/>
        </w:rPr>
        <w:t xml:space="preserve"> </w:t>
      </w:r>
      <w:r>
        <w:rPr>
          <w:rFonts w:ascii="Candara" w:hAnsi="Candara"/>
          <w:color w:val="000000"/>
          <w:szCs w:val="28"/>
        </w:rPr>
        <w:t>datorpakalpojumu un informācijas pakalpojumu</w:t>
      </w:r>
      <w:r w:rsidRPr="00F97BF6">
        <w:rPr>
          <w:rFonts w:ascii="Candara" w:hAnsi="Candara"/>
          <w:color w:val="000000"/>
          <w:szCs w:val="28"/>
        </w:rPr>
        <w:t xml:space="preserve"> īpatsvar</w:t>
      </w:r>
      <w:r>
        <w:rPr>
          <w:rFonts w:ascii="Candara" w:hAnsi="Candara"/>
          <w:color w:val="000000"/>
          <w:szCs w:val="28"/>
        </w:rPr>
        <w:t>am un pieaugot</w:t>
      </w:r>
      <w:r w:rsidRPr="00F97BF6">
        <w:rPr>
          <w:rFonts w:ascii="Candara" w:hAnsi="Candara"/>
          <w:color w:val="000000"/>
          <w:szCs w:val="28"/>
        </w:rPr>
        <w:t xml:space="preserve"> </w:t>
      </w:r>
      <w:r>
        <w:rPr>
          <w:rFonts w:ascii="Candara" w:hAnsi="Candara"/>
          <w:color w:val="000000"/>
          <w:szCs w:val="28"/>
        </w:rPr>
        <w:t>telesakaru pakalpojumu</w:t>
      </w:r>
      <w:r w:rsidRPr="00F97BF6">
        <w:rPr>
          <w:rFonts w:ascii="Candara" w:hAnsi="Candara"/>
          <w:color w:val="000000"/>
          <w:szCs w:val="28"/>
        </w:rPr>
        <w:t xml:space="preserve"> īpatsvar</w:t>
      </w:r>
      <w:r>
        <w:rPr>
          <w:rFonts w:ascii="Candara" w:hAnsi="Candara"/>
          <w:color w:val="000000"/>
          <w:szCs w:val="28"/>
        </w:rPr>
        <w:t>am, ir atgriezusies pie 2010.gada struktūras</w:t>
      </w:r>
      <w:r w:rsidRPr="00F97BF6">
        <w:rPr>
          <w:rFonts w:ascii="Candara" w:hAnsi="Candara"/>
          <w:color w:val="000000"/>
          <w:szCs w:val="28"/>
        </w:rPr>
        <w:t>.</w:t>
      </w:r>
    </w:p>
    <w:p w:rsidR="00806BCB" w:rsidRPr="007C7824" w:rsidP="00806BCB">
      <w:pPr>
        <w:spacing w:after="0" w:line="240" w:lineRule="auto"/>
        <w:jc w:val="both"/>
        <w:rPr>
          <w:rFonts w:ascii="Candara" w:hAnsi="Candara"/>
          <w:b/>
          <w:color w:val="000000"/>
          <w:szCs w:val="28"/>
          <w:u w:val="single"/>
        </w:rPr>
      </w:pPr>
      <w:r w:rsidRPr="00DF40AC">
        <w:rPr>
          <w:rFonts w:ascii="Candara" w:hAnsi="Candara"/>
          <w:b/>
          <w:color w:val="000000"/>
          <w:szCs w:val="28"/>
          <w:u w:val="single"/>
        </w:rPr>
        <w:t>Darbaspēka izmaksu dinamika</w:t>
      </w:r>
      <w:r>
        <w:rPr>
          <w:rFonts w:ascii="Candara" w:hAnsi="Candara"/>
          <w:b/>
          <w:color w:val="000000"/>
          <w:szCs w:val="28"/>
          <w:u w:val="single"/>
        </w:rPr>
        <w:t>, tūkst.</w:t>
      </w:r>
      <w:r>
        <w:rPr>
          <w:rFonts w:ascii="Candara" w:hAnsi="Candara"/>
          <w:color w:val="000000"/>
          <w:szCs w:val="28"/>
        </w:rPr>
        <w:t xml:space="preserve"> Darbaspēka izmaksas būtiski pieauga 2008.gadā, krīzes laikā nedaudz samazinājās.</w:t>
      </w:r>
      <w:r w:rsidRPr="007C7824">
        <w:rPr>
          <w:rFonts w:ascii="Candara" w:hAnsi="Candara"/>
          <w:color w:val="000000"/>
          <w:szCs w:val="28"/>
        </w:rPr>
        <w:t xml:space="preserve"> Atsākoties ekonomikas izaugsmei</w:t>
      </w:r>
      <w:r>
        <w:rPr>
          <w:rFonts w:ascii="Candara" w:hAnsi="Candara"/>
          <w:color w:val="000000"/>
          <w:szCs w:val="28"/>
        </w:rPr>
        <w:t>, kopš 2012.gada</w:t>
      </w:r>
      <w:r w:rsidRPr="007C7824">
        <w:rPr>
          <w:rFonts w:ascii="Candara" w:hAnsi="Candara"/>
          <w:color w:val="000000"/>
          <w:szCs w:val="28"/>
        </w:rPr>
        <w:t xml:space="preserve"> </w:t>
      </w:r>
      <w:r>
        <w:rPr>
          <w:rFonts w:ascii="Candara" w:hAnsi="Candara"/>
          <w:color w:val="000000"/>
          <w:szCs w:val="28"/>
        </w:rPr>
        <w:t xml:space="preserve">vērojams pakāpenisks </w:t>
      </w:r>
      <w:r w:rsidRPr="007C7824">
        <w:rPr>
          <w:rFonts w:ascii="Candara" w:hAnsi="Candara"/>
          <w:color w:val="000000"/>
          <w:szCs w:val="28"/>
        </w:rPr>
        <w:t>darba samaksas pieaugums</w:t>
      </w:r>
      <w:r>
        <w:rPr>
          <w:rFonts w:ascii="Candara" w:hAnsi="Candara"/>
          <w:color w:val="000000"/>
          <w:szCs w:val="28"/>
        </w:rPr>
        <w:t>. 2016.gadā izmaksas nedaudz samazinājās.</w:t>
      </w:r>
    </w:p>
    <w:p w:rsidR="00806BCB" w:rsidRPr="00D6729D" w:rsidP="00806BCB">
      <w:pPr>
        <w:spacing w:after="0" w:line="240" w:lineRule="auto"/>
        <w:jc w:val="both"/>
        <w:rPr>
          <w:rFonts w:ascii="Candara" w:hAnsi="Candara"/>
          <w:color w:val="000000"/>
          <w:szCs w:val="28"/>
        </w:rPr>
      </w:pPr>
      <w:r w:rsidRPr="00DF40AC">
        <w:rPr>
          <w:rFonts w:ascii="Candara" w:hAnsi="Candara"/>
          <w:b/>
          <w:color w:val="000000"/>
          <w:szCs w:val="28"/>
          <w:u w:val="single"/>
        </w:rPr>
        <w:t>Produktivitātes dinamika</w:t>
      </w:r>
      <w:r>
        <w:rPr>
          <w:rFonts w:ascii="Candara" w:hAnsi="Candara"/>
          <w:b/>
          <w:color w:val="000000"/>
          <w:szCs w:val="28"/>
          <w:u w:val="single"/>
        </w:rPr>
        <w:t>, tūkst.</w:t>
      </w:r>
      <w:r>
        <w:rPr>
          <w:rFonts w:ascii="Candara" w:hAnsi="Candara"/>
          <w:color w:val="000000"/>
          <w:szCs w:val="28"/>
        </w:rPr>
        <w:t xml:space="preserve"> Vienlaikus būtisks nodarbināto skaita pieaugums veicina strauju produktivitātes kritumu jau sākot no pirms krīzes perioda 2007.-2008.gadā. Pēckrīzes periodā, 2012.gadā straujāk pieaugot ražošanas apjomiem, produktivitāte nedaudz palielinājās. Tomēr kopš 2013.gada, turpinoties nodarbināto skaita kāpumam, </w:t>
      </w:r>
      <w:r w:rsidRPr="00D6729D">
        <w:rPr>
          <w:rFonts w:ascii="Candara" w:hAnsi="Candara"/>
          <w:color w:val="000000"/>
          <w:szCs w:val="28"/>
        </w:rPr>
        <w:t xml:space="preserve">produktivitāte </w:t>
      </w:r>
      <w:r>
        <w:rPr>
          <w:rFonts w:ascii="Candara" w:hAnsi="Candara"/>
          <w:color w:val="000000"/>
          <w:szCs w:val="28"/>
        </w:rPr>
        <w:t>pakāpeniski samazinās. Pēdējos divos gados produktivitāte praktiski saglabājās vienādā līmenī.</w:t>
      </w:r>
    </w:p>
    <w:p w:rsidR="00806BCB" w:rsidRPr="00FB0BD5" w:rsidP="00806BCB">
      <w:pPr>
        <w:spacing w:after="0" w:line="240" w:lineRule="auto"/>
        <w:jc w:val="both"/>
        <w:rPr>
          <w:rFonts w:ascii="Candara" w:hAnsi="Candara"/>
          <w:b/>
          <w:color w:val="000000"/>
          <w:szCs w:val="28"/>
          <w:u w:val="single"/>
        </w:rPr>
      </w:pPr>
      <w:r w:rsidRPr="00D62BB3">
        <w:rPr>
          <w:rFonts w:ascii="Candara" w:hAnsi="Candara"/>
          <w:b/>
          <w:color w:val="000000"/>
          <w:szCs w:val="28"/>
          <w:u w:val="single"/>
        </w:rPr>
        <w:t>Produktivitāte un darbaspēka izmaksas</w:t>
      </w:r>
      <w:r>
        <w:rPr>
          <w:rFonts w:ascii="Candara" w:hAnsi="Candara"/>
          <w:b/>
          <w:color w:val="000000"/>
          <w:szCs w:val="28"/>
          <w:u w:val="single"/>
        </w:rPr>
        <w:t>.</w:t>
      </w:r>
      <w:r w:rsidRPr="00D62BB3">
        <w:rPr>
          <w:rFonts w:ascii="Candara" w:hAnsi="Candara"/>
          <w:color w:val="000000"/>
          <w:szCs w:val="28"/>
        </w:rPr>
        <w:t xml:space="preserve"> IKT darbaspēka izmaksu pieaugums un produktivitātes kritums liecina par cenu konkurētspējas (izmaksu) pazemināšanos. Šī tendence ir vērojama kopš 2007.gada. ULC samazinājās tikai 2010. gadā, ko galvenokārt noteica būtisks darbaspēka izmaksu kritums. Kopš 201</w:t>
      </w:r>
      <w:r>
        <w:rPr>
          <w:rFonts w:ascii="Candara" w:hAnsi="Candara"/>
          <w:color w:val="000000"/>
          <w:szCs w:val="28"/>
        </w:rPr>
        <w:t>1</w:t>
      </w:r>
      <w:r w:rsidRPr="00D62BB3">
        <w:rPr>
          <w:rFonts w:ascii="Candara" w:hAnsi="Candara"/>
          <w:color w:val="000000"/>
          <w:szCs w:val="28"/>
        </w:rPr>
        <w:t xml:space="preserve">.gada gan nodarbināto skaits, gan darbaspēka izmaksas pieauga, kamēr produktivitāte samazinājās par 16%. </w:t>
      </w:r>
      <w:r w:rsidRPr="003E229A">
        <w:rPr>
          <w:rFonts w:ascii="Candara" w:hAnsi="Candara"/>
          <w:color w:val="000000"/>
          <w:szCs w:val="28"/>
        </w:rPr>
        <w:t>Šādu nozares attīstības modeli var raksturot kā ekstensīvu. Vienlaikus jāatzīmē, ka kopš 201</w:t>
      </w:r>
      <w:r>
        <w:rPr>
          <w:rFonts w:ascii="Candara" w:hAnsi="Candara"/>
          <w:color w:val="000000"/>
          <w:szCs w:val="28"/>
        </w:rPr>
        <w:t>0</w:t>
      </w:r>
      <w:r w:rsidRPr="003E229A">
        <w:rPr>
          <w:rFonts w:ascii="Candara" w:hAnsi="Candara"/>
          <w:color w:val="000000"/>
          <w:szCs w:val="28"/>
        </w:rPr>
        <w:t xml:space="preserve">.gada ULC IKT nozarē Latvijā ir pieaudzis </w:t>
      </w:r>
      <w:r>
        <w:rPr>
          <w:rFonts w:ascii="Candara" w:hAnsi="Candara"/>
          <w:color w:val="000000"/>
          <w:szCs w:val="28"/>
        </w:rPr>
        <w:t>par 69%, bet</w:t>
      </w:r>
      <w:r w:rsidRPr="003E229A">
        <w:rPr>
          <w:rFonts w:ascii="Candara" w:hAnsi="Candara"/>
          <w:color w:val="000000"/>
          <w:szCs w:val="28"/>
        </w:rPr>
        <w:t xml:space="preserve"> vidēji ES</w:t>
      </w:r>
      <w:r>
        <w:rPr>
          <w:rFonts w:ascii="Candara" w:hAnsi="Candara"/>
          <w:color w:val="000000"/>
          <w:szCs w:val="28"/>
        </w:rPr>
        <w:t xml:space="preserve"> – palicis nemainīgs</w:t>
      </w:r>
      <w:r w:rsidRPr="003E229A">
        <w:rPr>
          <w:rFonts w:ascii="Candara" w:hAnsi="Candara"/>
          <w:color w:val="000000"/>
          <w:szCs w:val="28"/>
        </w:rPr>
        <w:t xml:space="preserve">. </w:t>
      </w:r>
      <w:r>
        <w:rPr>
          <w:rFonts w:ascii="Candara" w:hAnsi="Candara"/>
          <w:color w:val="000000"/>
          <w:szCs w:val="28"/>
        </w:rPr>
        <w:t>ULC pieaugums lielā mērā skaidrojams ar IT speciālistu lielo pieprasījumu darba tirgū, kā liecina pašreizējais stāvoklis un darba tirgus analīze, tādēļ</w:t>
      </w:r>
      <w:r w:rsidRPr="005060CD">
        <w:rPr>
          <w:rFonts w:ascii="Candara" w:hAnsi="Candara"/>
          <w:color w:val="000000"/>
          <w:szCs w:val="28"/>
        </w:rPr>
        <w:t xml:space="preserve"> </w:t>
      </w:r>
      <w:r>
        <w:rPr>
          <w:rFonts w:ascii="Candara" w:hAnsi="Candara"/>
          <w:color w:val="000000"/>
          <w:szCs w:val="28"/>
        </w:rPr>
        <w:t>izmaksu konkurētspējas uzturēšana nav iespējama uz darbaspēka izmaksu samazināšanas rēķina. Tas turpināsies arī turpmāk un nerisinot produktivitātes palielināšanu</w:t>
      </w:r>
      <w:r w:rsidRPr="003E229A">
        <w:rPr>
          <w:rFonts w:ascii="Candara" w:hAnsi="Candara"/>
          <w:color w:val="000000"/>
          <w:szCs w:val="28"/>
        </w:rPr>
        <w:t xml:space="preserve">, būtiski pieaug risks samazināties izmaksu konkurētspējai. </w:t>
      </w:r>
      <w:r>
        <w:rPr>
          <w:rFonts w:ascii="Candara" w:hAnsi="Candara"/>
          <w:color w:val="000000"/>
          <w:szCs w:val="28"/>
        </w:rPr>
        <w:t>Jāatzīmē, ka produktivitāte, kas tiek aprēķināta kā pievienotā vērtība uz vienu nodarbināto, samazinājās arī dēļ peļņas līmeņa samazināšanās, ko daļēji varētu skaidrot ar jauno uzņēmumu ienākšana tirgū, kas pastiprina konkurenci.</w:t>
      </w:r>
    </w:p>
    <w:p w:rsidR="00806BCB" w:rsidRPr="00F835E8" w:rsidP="00806BCB">
      <w:pPr>
        <w:spacing w:after="0" w:line="240" w:lineRule="auto"/>
        <w:jc w:val="both"/>
        <w:rPr>
          <w:rFonts w:ascii="Candara" w:hAnsi="Candara"/>
          <w:color w:val="000000"/>
          <w:szCs w:val="28"/>
        </w:rPr>
      </w:pPr>
      <w:r w:rsidRPr="00DF40AC">
        <w:rPr>
          <w:rFonts w:ascii="Candara" w:hAnsi="Candara"/>
          <w:b/>
          <w:color w:val="000000"/>
          <w:szCs w:val="28"/>
          <w:u w:val="single"/>
        </w:rPr>
        <w:t>Darbaspēka izmaksas, ES-28=100</w:t>
      </w:r>
      <w:r>
        <w:rPr>
          <w:rFonts w:ascii="Candara" w:hAnsi="Candara"/>
          <w:b/>
          <w:color w:val="000000"/>
          <w:szCs w:val="28"/>
          <w:u w:val="single"/>
        </w:rPr>
        <w:t>.</w:t>
      </w:r>
      <w:r>
        <w:rPr>
          <w:rFonts w:ascii="Candara" w:hAnsi="Candara"/>
          <w:color w:val="000000"/>
          <w:szCs w:val="28"/>
        </w:rPr>
        <w:t xml:space="preserve"> </w:t>
      </w:r>
      <w:r w:rsidRPr="00756F4B">
        <w:rPr>
          <w:rFonts w:ascii="Candara" w:hAnsi="Candara"/>
          <w:color w:val="000000"/>
          <w:szCs w:val="28"/>
        </w:rPr>
        <w:t xml:space="preserve">Salīdzinot ar darbaspēka izmaksu vidējo līmeni ES, </w:t>
      </w:r>
      <w:r>
        <w:rPr>
          <w:rFonts w:ascii="Candara" w:hAnsi="Candara"/>
          <w:color w:val="000000"/>
          <w:szCs w:val="28"/>
        </w:rPr>
        <w:t xml:space="preserve">IKT </w:t>
      </w:r>
      <w:r w:rsidRPr="00756F4B">
        <w:rPr>
          <w:rFonts w:ascii="Candara" w:hAnsi="Candara"/>
          <w:color w:val="000000"/>
          <w:szCs w:val="28"/>
        </w:rPr>
        <w:t>tas</w:t>
      </w:r>
      <w:r>
        <w:rPr>
          <w:rFonts w:ascii="Candara" w:hAnsi="Candara"/>
          <w:color w:val="000000"/>
          <w:szCs w:val="28"/>
        </w:rPr>
        <w:t xml:space="preserve"> bija lielā</w:t>
      </w:r>
      <w:r w:rsidRPr="00756F4B">
        <w:rPr>
          <w:rFonts w:ascii="Candara" w:hAnsi="Candara"/>
          <w:color w:val="000000"/>
          <w:szCs w:val="28"/>
        </w:rPr>
        <w:t>ks nekā tautsaimniecībā kopumā</w:t>
      </w:r>
      <w:r>
        <w:rPr>
          <w:rFonts w:ascii="Candara" w:hAnsi="Candara"/>
          <w:color w:val="000000"/>
          <w:szCs w:val="28"/>
        </w:rPr>
        <w:t xml:space="preserve"> un</w:t>
      </w:r>
      <w:r w:rsidRPr="00756F4B">
        <w:rPr>
          <w:rFonts w:ascii="Candara" w:hAnsi="Candara"/>
          <w:color w:val="000000"/>
          <w:szCs w:val="28"/>
        </w:rPr>
        <w:t xml:space="preserve"> pēdējos gados tas </w:t>
      </w:r>
      <w:r>
        <w:rPr>
          <w:rFonts w:ascii="Candara" w:hAnsi="Candara"/>
          <w:color w:val="000000"/>
          <w:szCs w:val="28"/>
        </w:rPr>
        <w:t>vienmērīgi pieauga</w:t>
      </w:r>
      <w:r w:rsidRPr="00756F4B">
        <w:rPr>
          <w:rFonts w:ascii="Candara" w:hAnsi="Candara"/>
          <w:color w:val="000000"/>
          <w:szCs w:val="28"/>
        </w:rPr>
        <w:t>.</w:t>
      </w:r>
      <w:r>
        <w:rPr>
          <w:rFonts w:ascii="Candara" w:hAnsi="Candara"/>
          <w:color w:val="000000"/>
          <w:szCs w:val="28"/>
        </w:rPr>
        <w:t xml:space="preserve"> 2016.gadā tas ir zemāks kā tautsaimniecībā kopumā. </w:t>
      </w:r>
    </w:p>
    <w:p w:rsidR="00806BCB" w:rsidP="00806BCB">
      <w:pPr>
        <w:spacing w:after="0" w:line="240" w:lineRule="auto"/>
        <w:jc w:val="both"/>
        <w:rPr>
          <w:rFonts w:ascii="Candara" w:hAnsi="Candara"/>
          <w:color w:val="000000"/>
          <w:szCs w:val="28"/>
        </w:rPr>
      </w:pPr>
      <w:r w:rsidRPr="00DF40AC">
        <w:rPr>
          <w:rFonts w:ascii="Candara" w:hAnsi="Candara"/>
          <w:b/>
          <w:color w:val="000000"/>
          <w:szCs w:val="28"/>
          <w:u w:val="single"/>
        </w:rPr>
        <w:t>Produktivitāte, ES-28=100</w:t>
      </w:r>
      <w:r>
        <w:rPr>
          <w:rFonts w:ascii="Candara" w:hAnsi="Candara"/>
          <w:b/>
          <w:color w:val="000000"/>
          <w:szCs w:val="28"/>
          <w:u w:val="single"/>
        </w:rPr>
        <w:t>.</w:t>
      </w:r>
      <w:r>
        <w:rPr>
          <w:rFonts w:ascii="Candara" w:hAnsi="Candara"/>
          <w:color w:val="000000"/>
          <w:szCs w:val="28"/>
        </w:rPr>
        <w:t xml:space="preserve"> </w:t>
      </w:r>
      <w:r w:rsidRPr="00260386">
        <w:rPr>
          <w:rFonts w:ascii="Candara" w:hAnsi="Candara"/>
          <w:color w:val="000000"/>
          <w:szCs w:val="28"/>
        </w:rPr>
        <w:t xml:space="preserve">Salīdzinot ar vidējo līmeni ES, </w:t>
      </w:r>
      <w:r>
        <w:rPr>
          <w:rFonts w:ascii="Candara" w:hAnsi="Candara"/>
          <w:color w:val="000000"/>
          <w:szCs w:val="28"/>
        </w:rPr>
        <w:t>IKT</w:t>
      </w:r>
      <w:r w:rsidRPr="00260386">
        <w:rPr>
          <w:rFonts w:ascii="Candara" w:hAnsi="Candara"/>
          <w:color w:val="000000"/>
          <w:szCs w:val="28"/>
        </w:rPr>
        <w:t xml:space="preserve"> </w:t>
      </w:r>
      <w:r>
        <w:rPr>
          <w:rFonts w:ascii="Candara" w:hAnsi="Candara"/>
          <w:color w:val="000000"/>
          <w:szCs w:val="28"/>
        </w:rPr>
        <w:t>produktivitātes līmenis</w:t>
      </w:r>
      <w:r w:rsidRPr="00260386">
        <w:rPr>
          <w:rFonts w:ascii="Candara" w:hAnsi="Candara"/>
          <w:color w:val="000000"/>
          <w:szCs w:val="28"/>
        </w:rPr>
        <w:t xml:space="preserve"> </w:t>
      </w:r>
      <w:r>
        <w:rPr>
          <w:rFonts w:ascii="Candara" w:hAnsi="Candara"/>
          <w:color w:val="000000"/>
          <w:szCs w:val="28"/>
        </w:rPr>
        <w:t>līdz 2010.gadam bija</w:t>
      </w:r>
      <w:r w:rsidRPr="00260386">
        <w:rPr>
          <w:rFonts w:ascii="Candara" w:hAnsi="Candara"/>
          <w:color w:val="000000"/>
          <w:szCs w:val="28"/>
        </w:rPr>
        <w:t xml:space="preserve"> </w:t>
      </w:r>
      <w:r>
        <w:rPr>
          <w:rFonts w:ascii="Candara" w:hAnsi="Candara"/>
          <w:color w:val="000000"/>
          <w:szCs w:val="28"/>
        </w:rPr>
        <w:t>augstāks kā tautsaimniecībā kopumā.</w:t>
      </w:r>
      <w:r w:rsidRPr="00260386">
        <w:rPr>
          <w:rFonts w:ascii="Candara" w:hAnsi="Candara"/>
          <w:color w:val="000000"/>
          <w:szCs w:val="28"/>
        </w:rPr>
        <w:t xml:space="preserve"> </w:t>
      </w:r>
      <w:r>
        <w:rPr>
          <w:rFonts w:ascii="Candara" w:hAnsi="Candara"/>
          <w:color w:val="000000"/>
          <w:szCs w:val="28"/>
        </w:rPr>
        <w:t>Kopš 2011.gadā tas atpaliek no produktivitātes</w:t>
      </w:r>
      <w:r w:rsidRPr="0071749C">
        <w:rPr>
          <w:rFonts w:ascii="Candara" w:hAnsi="Candara"/>
          <w:color w:val="000000"/>
          <w:szCs w:val="28"/>
        </w:rPr>
        <w:t xml:space="preserve"> </w:t>
      </w:r>
      <w:r w:rsidRPr="00260386">
        <w:rPr>
          <w:rFonts w:ascii="Candara" w:hAnsi="Candara"/>
          <w:color w:val="000000"/>
          <w:szCs w:val="28"/>
        </w:rPr>
        <w:t>tautsaimniecībā kopumā.</w:t>
      </w:r>
      <w:r>
        <w:rPr>
          <w:rFonts w:ascii="Candara" w:hAnsi="Candara"/>
          <w:color w:val="000000"/>
          <w:szCs w:val="28"/>
        </w:rPr>
        <w:t xml:space="preserve"> Pēdējos gados atpalicības tendences pastiprinās.</w:t>
      </w:r>
    </w:p>
    <w:p w:rsidR="00806BCB" w:rsidP="00806BCB">
      <w:pPr>
        <w:spacing w:after="0" w:line="240" w:lineRule="auto"/>
        <w:jc w:val="both"/>
        <w:rPr>
          <w:rFonts w:ascii="Candara" w:hAnsi="Candara"/>
          <w:color w:val="000000"/>
          <w:szCs w:val="28"/>
        </w:rPr>
      </w:pPr>
      <w:r w:rsidRPr="00DF40AC">
        <w:rPr>
          <w:rFonts w:ascii="Candara" w:hAnsi="Candara"/>
          <w:b/>
          <w:color w:val="000000"/>
          <w:szCs w:val="28"/>
          <w:u w:val="single"/>
        </w:rPr>
        <w:t>Darbaspēka izmaksas</w:t>
      </w:r>
      <w:r>
        <w:rPr>
          <w:rFonts w:ascii="Candara" w:hAnsi="Candara"/>
          <w:b/>
          <w:color w:val="000000"/>
          <w:szCs w:val="28"/>
          <w:u w:val="single"/>
        </w:rPr>
        <w:t>, salīdzinot ar ES valstīm, 2016.gadā.</w:t>
      </w:r>
      <w:r>
        <w:rPr>
          <w:rFonts w:ascii="Candara" w:hAnsi="Candara"/>
          <w:color w:val="000000"/>
          <w:szCs w:val="28"/>
        </w:rPr>
        <w:t xml:space="preserve"> Latvijā 2016.gadā darbaspēka izmaksas IKT bija zemākas nekā Igaunijā un Lietuvā.</w:t>
      </w:r>
    </w:p>
    <w:p w:rsidR="00806BCB" w:rsidP="00806BCB">
      <w:pPr>
        <w:spacing w:after="0" w:line="240" w:lineRule="auto"/>
        <w:jc w:val="both"/>
        <w:rPr>
          <w:rFonts w:ascii="Candara" w:hAnsi="Candara"/>
          <w:color w:val="000000"/>
          <w:szCs w:val="28"/>
        </w:rPr>
      </w:pPr>
      <w:r w:rsidRPr="00DF40AC">
        <w:rPr>
          <w:rFonts w:ascii="Candara" w:hAnsi="Candara"/>
          <w:b/>
          <w:color w:val="000000"/>
          <w:szCs w:val="28"/>
          <w:u w:val="single"/>
        </w:rPr>
        <w:t>Produktivitāte</w:t>
      </w:r>
      <w:r>
        <w:rPr>
          <w:rFonts w:ascii="Candara" w:hAnsi="Candara"/>
          <w:b/>
          <w:color w:val="000000"/>
          <w:szCs w:val="28"/>
          <w:u w:val="single"/>
        </w:rPr>
        <w:t>,</w:t>
      </w:r>
      <w:r w:rsidRPr="0009319E">
        <w:rPr>
          <w:rFonts w:ascii="Candara" w:hAnsi="Candara"/>
          <w:b/>
          <w:color w:val="000000"/>
          <w:szCs w:val="28"/>
          <w:u w:val="single"/>
        </w:rPr>
        <w:t xml:space="preserve"> </w:t>
      </w:r>
      <w:r>
        <w:rPr>
          <w:rFonts w:ascii="Candara" w:hAnsi="Candara"/>
          <w:b/>
          <w:color w:val="000000"/>
          <w:szCs w:val="28"/>
          <w:u w:val="single"/>
        </w:rPr>
        <w:t>salīdzinot ar ES valstīm, 2016.gadā.</w:t>
      </w:r>
      <w:r>
        <w:rPr>
          <w:rFonts w:ascii="Candara" w:hAnsi="Candara"/>
          <w:color w:val="000000"/>
          <w:szCs w:val="28"/>
        </w:rPr>
        <w:t xml:space="preserve"> </w:t>
      </w:r>
      <w:r w:rsidRPr="0009319E">
        <w:rPr>
          <w:rFonts w:ascii="Candara" w:hAnsi="Candara"/>
          <w:color w:val="000000"/>
          <w:szCs w:val="28"/>
        </w:rPr>
        <w:t>Latvijā 201</w:t>
      </w:r>
      <w:r>
        <w:rPr>
          <w:rFonts w:ascii="Candara" w:hAnsi="Candara"/>
          <w:color w:val="000000"/>
          <w:szCs w:val="28"/>
        </w:rPr>
        <w:t>6</w:t>
      </w:r>
      <w:r w:rsidRPr="0009319E">
        <w:rPr>
          <w:rFonts w:ascii="Candara" w:hAnsi="Candara"/>
          <w:color w:val="000000"/>
          <w:szCs w:val="28"/>
        </w:rPr>
        <w:t xml:space="preserve">.gadā </w:t>
      </w:r>
      <w:r>
        <w:rPr>
          <w:rFonts w:ascii="Candara" w:hAnsi="Candara"/>
          <w:color w:val="000000"/>
          <w:szCs w:val="28"/>
        </w:rPr>
        <w:t>produktivitāte</w:t>
      </w:r>
      <w:r w:rsidRPr="0009319E">
        <w:rPr>
          <w:rFonts w:ascii="Candara" w:hAnsi="Candara"/>
          <w:color w:val="000000"/>
          <w:szCs w:val="28"/>
        </w:rPr>
        <w:t xml:space="preserve"> </w:t>
      </w:r>
      <w:r>
        <w:rPr>
          <w:rFonts w:ascii="Candara" w:hAnsi="Candara"/>
          <w:color w:val="000000"/>
          <w:szCs w:val="28"/>
        </w:rPr>
        <w:t>IKT</w:t>
      </w:r>
      <w:r w:rsidRPr="0009319E">
        <w:rPr>
          <w:rFonts w:ascii="Candara" w:hAnsi="Candara"/>
          <w:color w:val="000000"/>
          <w:szCs w:val="28"/>
        </w:rPr>
        <w:t xml:space="preserve"> bija </w:t>
      </w:r>
      <w:r>
        <w:rPr>
          <w:rFonts w:ascii="Candara" w:hAnsi="Candara"/>
          <w:color w:val="000000"/>
          <w:szCs w:val="28"/>
        </w:rPr>
        <w:t>viena no zemākajām starp ES valstīm, zemāka tā bija tikai Bulgārijā.</w:t>
      </w:r>
    </w:p>
    <w:p w:rsidR="00B2274B" w:rsidP="00806BCB">
      <w:pPr>
        <w:spacing w:after="0" w:line="240" w:lineRule="auto"/>
        <w:jc w:val="both"/>
        <w:rPr>
          <w:rFonts w:ascii="Candara" w:hAnsi="Candara"/>
          <w:color w:val="000000"/>
          <w:szCs w:val="28"/>
        </w:rPr>
      </w:pPr>
      <w:r w:rsidRPr="00DF40AC">
        <w:rPr>
          <w:rFonts w:ascii="Candara" w:hAnsi="Candara"/>
          <w:b/>
          <w:color w:val="000000"/>
          <w:szCs w:val="28"/>
          <w:u w:val="single"/>
        </w:rPr>
        <w:t>Produktivitāte un darbaspēka izmaksas ES-28 valstīs 2010.g</w:t>
      </w:r>
      <w:r>
        <w:rPr>
          <w:rFonts w:ascii="Candara" w:hAnsi="Candara"/>
          <w:b/>
          <w:color w:val="000000"/>
          <w:szCs w:val="28"/>
          <w:u w:val="single"/>
        </w:rPr>
        <w:t xml:space="preserve">adā un </w:t>
      </w:r>
      <w:r w:rsidRPr="00DF40AC">
        <w:rPr>
          <w:rFonts w:ascii="Candara" w:hAnsi="Candara"/>
          <w:b/>
          <w:color w:val="000000"/>
          <w:szCs w:val="28"/>
          <w:u w:val="single"/>
        </w:rPr>
        <w:t>201</w:t>
      </w:r>
      <w:r>
        <w:rPr>
          <w:rFonts w:ascii="Candara" w:hAnsi="Candara"/>
          <w:b/>
          <w:color w:val="000000"/>
          <w:szCs w:val="28"/>
          <w:u w:val="single"/>
        </w:rPr>
        <w:t>6</w:t>
      </w:r>
      <w:r w:rsidRPr="00DF40AC">
        <w:rPr>
          <w:rFonts w:ascii="Candara" w:hAnsi="Candara"/>
          <w:b/>
          <w:color w:val="000000"/>
          <w:szCs w:val="28"/>
          <w:u w:val="single"/>
        </w:rPr>
        <w:t>.g</w:t>
      </w:r>
      <w:r>
        <w:rPr>
          <w:rFonts w:ascii="Candara" w:hAnsi="Candara"/>
          <w:b/>
          <w:color w:val="000000"/>
          <w:szCs w:val="28"/>
          <w:u w:val="single"/>
        </w:rPr>
        <w:t>adā.</w:t>
      </w:r>
      <w:r>
        <w:rPr>
          <w:rFonts w:ascii="Candara" w:hAnsi="Candara"/>
          <w:color w:val="000000"/>
          <w:szCs w:val="28"/>
        </w:rPr>
        <w:t xml:space="preserve"> D</w:t>
      </w:r>
      <w:r w:rsidRPr="00306698">
        <w:rPr>
          <w:rFonts w:ascii="Candara" w:hAnsi="Candara"/>
          <w:color w:val="000000"/>
          <w:szCs w:val="28"/>
        </w:rPr>
        <w:t xml:space="preserve">arbaspēka izmaksas uz 1 produkcijas </w:t>
      </w:r>
      <w:r>
        <w:rPr>
          <w:rFonts w:ascii="Candara" w:hAnsi="Candara"/>
          <w:color w:val="000000"/>
          <w:szCs w:val="28"/>
        </w:rPr>
        <w:t>vienību (ULC) IKT nozarē Latvijā 2016.gadā bija viens no augstākajiem rādītājiem starp ES valstīm. 2010.gadā ULC Latvijā bija zemāks par ES vidējo līmeni. Darbaspēka izmaksu uz 1 produkcijas vienību straujo kāpumu Latvijā 2016.gadā, salīdzinot ar 2010.gadu, noteica nodarbināto skaita pieaugums par 67% un darbaspēka izmaksu pieaugums par 32%. Augstais ULC līmenis Latvijā IKT nozarē liecina par būtiskām problēmām konkurētspējas nodrošināšanā.</w:t>
      </w:r>
      <w:r>
        <w:rPr>
          <w:rFonts w:ascii="Candara" w:hAnsi="Candara"/>
          <w:color w:val="000000"/>
          <w:szCs w:val="28"/>
        </w:rPr>
        <w:br w:type="page"/>
      </w:r>
    </w:p>
    <w:p w:rsidR="00B2274B" w:rsidP="00B2274B">
      <w:pPr>
        <w:pStyle w:val="Heading1"/>
        <w:jc w:val="center"/>
        <w:rPr>
          <w:b/>
          <w:sz w:val="20"/>
        </w:rPr>
      </w:pPr>
      <w:bookmarkStart w:id="84" w:name="_Toc482792420"/>
      <w:bookmarkStart w:id="85" w:name="_Toc256000022"/>
      <w:bookmarkStart w:id="86" w:name="_Toc256000048"/>
      <w:r>
        <w:rPr>
          <w:b/>
          <w:sz w:val="20"/>
        </w:rPr>
        <w:t>J61 TELEKOMUNIKĀCIJAS</w:t>
      </w:r>
      <w:bookmarkEnd w:id="86"/>
      <w:bookmarkEnd w:id="85"/>
      <w:bookmarkEnd w:id="84"/>
    </w:p>
    <w:tbl>
      <w:tblPr>
        <w:tblW w:w="10525"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3581"/>
        <w:gridCol w:w="1768"/>
        <w:gridCol w:w="1825"/>
        <w:gridCol w:w="3371"/>
      </w:tblGrid>
      <w:tr w:rsidTr="00B2274B">
        <w:tblPrEx>
          <w:tblW w:w="10525"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Nozares īpatsvars tautsaimniecībā (faktiskajās cenās), %</w:t>
            </w:r>
          </w:p>
        </w:tc>
        <w:tc>
          <w:tcPr>
            <w:tcW w:w="3589"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Pievienotās vērtības un darba vietu skaita izmaiņas (2005=100)</w:t>
            </w:r>
          </w:p>
        </w:tc>
        <w:tc>
          <w:tcPr>
            <w:tcW w:w="3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Produkcijas eksports, milj. EUR*</w:t>
            </w:r>
          </w:p>
        </w:tc>
      </w:tr>
      <w:tr w:rsidTr="00B2274B">
        <w:tblPrEx>
          <w:tblW w:w="10525"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rPr>
                <w:rFonts w:ascii="Candara" w:hAnsi="Candara"/>
              </w:rPr>
            </w:pPr>
            <w:r>
              <w:rPr>
                <w:noProof/>
                <w:lang w:eastAsia="lv-LV"/>
              </w:rPr>
              <w:drawing>
                <wp:inline distT="0" distB="0" distL="0" distR="0">
                  <wp:extent cx="2136775" cy="1125220"/>
                  <wp:effectExtent l="0" t="0" r="0" b="0"/>
                  <wp:docPr id="634" name="Chart 6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0"/>
                    </a:graphicData>
                  </a:graphic>
                </wp:inline>
              </w:drawing>
            </w:r>
          </w:p>
        </w:tc>
        <w:tc>
          <w:tcPr>
            <w:tcW w:w="3589"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1943100" cy="1090295"/>
                  <wp:effectExtent l="0" t="0" r="0" b="0"/>
                  <wp:docPr id="633" name="Chart 6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1"/>
                    </a:graphicData>
                  </a:graphic>
                </wp:inline>
              </w:drawing>
            </w:r>
          </w:p>
        </w:tc>
        <w:tc>
          <w:tcPr>
            <w:tcW w:w="3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rPr>
                <w:rFonts w:ascii="Candara" w:hAnsi="Candara"/>
              </w:rPr>
            </w:pPr>
            <w:r>
              <w:rPr>
                <w:b/>
                <w:noProof/>
                <w:lang w:eastAsia="lv-LV"/>
              </w:rPr>
              <w:drawing>
                <wp:inline distT="0" distB="0" distL="0" distR="0">
                  <wp:extent cx="1978025" cy="975995"/>
                  <wp:effectExtent l="0" t="0" r="3175" b="0"/>
                  <wp:docPr id="632" name="Chart 6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2"/>
                    </a:graphicData>
                  </a:graphic>
                </wp:inline>
              </w:drawing>
            </w:r>
          </w:p>
          <w:p w:rsidR="00B2274B" w:rsidP="00762D1E">
            <w:pPr>
              <w:spacing w:after="0" w:line="240" w:lineRule="auto"/>
              <w:rPr>
                <w:rFonts w:ascii="Candara" w:hAnsi="Candara"/>
              </w:rPr>
            </w:pPr>
            <w:r>
              <w:rPr>
                <w:rFonts w:ascii="Candara" w:hAnsi="Candara"/>
                <w:sz w:val="14"/>
                <w:szCs w:val="14"/>
              </w:rPr>
              <w:t>* Latvijas Bankas dati</w:t>
            </w:r>
          </w:p>
        </w:tc>
      </w:tr>
      <w:tr w:rsidTr="00B2274B">
        <w:tblPrEx>
          <w:tblW w:w="10525"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Eksports uz 1 strādājošo, tūkst. EUR</w:t>
            </w:r>
          </w:p>
        </w:tc>
        <w:tc>
          <w:tcPr>
            <w:tcW w:w="6949"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Eksports uz 1 strādājošo ES-28 valstīs, tūkst. EUR</w:t>
            </w:r>
          </w:p>
        </w:tc>
      </w:tr>
      <w:tr w:rsidTr="00B2274B">
        <w:tblPrEx>
          <w:tblW w:w="10525"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36775" cy="1169670"/>
                  <wp:effectExtent l="0" t="0" r="0" b="0"/>
                  <wp:docPr id="631" name="Chart 6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3"/>
                    </a:graphicData>
                  </a:graphic>
                </wp:inline>
              </w:drawing>
            </w:r>
          </w:p>
        </w:tc>
        <w:tc>
          <w:tcPr>
            <w:tcW w:w="6949"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4114800" cy="1169670"/>
                  <wp:effectExtent l="0" t="0" r="0" b="0"/>
                  <wp:docPr id="630" name="Chart 6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4"/>
                    </a:graphicData>
                  </a:graphic>
                </wp:inline>
              </w:drawing>
            </w:r>
          </w:p>
        </w:tc>
      </w:tr>
      <w:tr w:rsidTr="00B2274B">
        <w:tblPrEx>
          <w:tblW w:w="10525" w:type="dxa"/>
          <w:jc w:val="center"/>
          <w:tblLook w:val="04A0"/>
        </w:tblPrEx>
        <w:trPr>
          <w:jc w:val="center"/>
        </w:trPr>
        <w:tc>
          <w:tcPr>
            <w:tcW w:w="10525"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Eksporta tirgi, 2016.g.*</w:t>
            </w:r>
          </w:p>
        </w:tc>
      </w:tr>
      <w:tr w:rsidTr="00B2274B">
        <w:tblPrEx>
          <w:tblW w:w="10525" w:type="dxa"/>
          <w:jc w:val="center"/>
          <w:tblLook w:val="04A0"/>
        </w:tblPrEx>
        <w:trPr>
          <w:jc w:val="center"/>
        </w:trPr>
        <w:tc>
          <w:tcPr>
            <w:tcW w:w="10525"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B2274B" w:rsidP="00762D1E">
            <w:pPr>
              <w:tabs>
                <w:tab w:val="left" w:pos="8080"/>
              </w:tabs>
              <w:spacing w:after="0" w:line="240" w:lineRule="auto"/>
              <w:ind w:right="-31"/>
              <w:jc w:val="center"/>
            </w:pPr>
            <w:r>
              <w:rPr>
                <w:noProof/>
                <w:lang w:eastAsia="lv-LV"/>
              </w:rPr>
              <w:drawing>
                <wp:inline distT="0" distB="0" distL="0" distR="0">
                  <wp:extent cx="3604895" cy="1371600"/>
                  <wp:effectExtent l="0" t="0" r="0" b="0"/>
                  <wp:docPr id="629" name="Chart 6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5"/>
                    </a:graphicData>
                  </a:graphic>
                </wp:inline>
              </w:drawing>
            </w:r>
          </w:p>
          <w:p w:rsidR="00B2274B" w:rsidP="00762D1E">
            <w:pPr>
              <w:tabs>
                <w:tab w:val="left" w:pos="8080"/>
              </w:tabs>
              <w:spacing w:after="0" w:line="240" w:lineRule="auto"/>
              <w:ind w:right="-31"/>
              <w:jc w:val="center"/>
            </w:pPr>
            <w:r>
              <w:rPr>
                <w:rFonts w:ascii="Candara" w:hAnsi="Candara"/>
                <w:sz w:val="14"/>
                <w:szCs w:val="14"/>
              </w:rPr>
              <w:t xml:space="preserve">* </w:t>
            </w:r>
            <w:r>
              <w:rPr>
                <w:rFonts w:ascii="Candara" w:hAnsi="Candara"/>
                <w:i/>
                <w:sz w:val="14"/>
                <w:szCs w:val="14"/>
              </w:rPr>
              <w:t>Eurostat</w:t>
            </w:r>
            <w:r>
              <w:rPr>
                <w:rFonts w:ascii="Candara" w:hAnsi="Candara"/>
                <w:sz w:val="14"/>
                <w:szCs w:val="14"/>
              </w:rPr>
              <w:t xml:space="preserve"> dati</w:t>
            </w:r>
          </w:p>
        </w:tc>
      </w:tr>
      <w:tr w:rsidTr="00B2274B">
        <w:tblPrEx>
          <w:tblW w:w="10525"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Darbaspēka izmaksu dinamika, tūkst. EUR</w:t>
            </w:r>
          </w:p>
        </w:tc>
        <w:tc>
          <w:tcPr>
            <w:tcW w:w="3589"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Produktivitātes dinamika, tūkst. EUR</w:t>
            </w:r>
          </w:p>
        </w:tc>
        <w:tc>
          <w:tcPr>
            <w:tcW w:w="3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 un darbaspēka izmaksas</w:t>
            </w:r>
          </w:p>
        </w:tc>
      </w:tr>
      <w:tr w:rsidTr="00B2274B">
        <w:tblPrEx>
          <w:tblW w:w="10525"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36775" cy="1055370"/>
                  <wp:effectExtent l="0" t="0" r="0" b="0"/>
                  <wp:docPr id="628" name="Chart 6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
                    </a:graphicData>
                  </a:graphic>
                </wp:inline>
              </w:drawing>
            </w:r>
          </w:p>
        </w:tc>
        <w:tc>
          <w:tcPr>
            <w:tcW w:w="3589"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36775" cy="1037590"/>
                  <wp:effectExtent l="0" t="0" r="0" b="0"/>
                  <wp:docPr id="627" name="Chart 6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7"/>
                    </a:graphicData>
                  </a:graphic>
                </wp:inline>
              </w:drawing>
            </w:r>
          </w:p>
        </w:tc>
        <w:tc>
          <w:tcPr>
            <w:tcW w:w="3360"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1846580" cy="2233295"/>
                  <wp:effectExtent l="0" t="0" r="0" b="0"/>
                  <wp:docPr id="626" name="Chart 6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8"/>
                    </a:graphicData>
                  </a:graphic>
                </wp:inline>
              </w:drawing>
            </w:r>
          </w:p>
        </w:tc>
      </w:tr>
      <w:tr w:rsidTr="00B2274B">
        <w:tblPrEx>
          <w:tblW w:w="10525"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Darbaspēka izmaksas, ES-28=100</w:t>
            </w:r>
          </w:p>
        </w:tc>
        <w:tc>
          <w:tcPr>
            <w:tcW w:w="3589"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 ES-28=100</w:t>
            </w:r>
          </w:p>
        </w:tc>
        <w:tc>
          <w:tcPr>
            <w:tcW w:w="0" w:type="auto"/>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B2274B">
            <w:pPr>
              <w:rPr>
                <w:rFonts w:ascii="Candara" w:hAnsi="Candara"/>
              </w:rPr>
            </w:pPr>
          </w:p>
        </w:tc>
      </w:tr>
      <w:tr w:rsidTr="00B2274B">
        <w:tblPrEx>
          <w:tblW w:w="10525"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27885" cy="1055370"/>
                  <wp:effectExtent l="0" t="0" r="5715" b="0"/>
                  <wp:docPr id="625" name="Chart 6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9"/>
                    </a:graphicData>
                  </a:graphic>
                </wp:inline>
              </w:drawing>
            </w:r>
          </w:p>
        </w:tc>
        <w:tc>
          <w:tcPr>
            <w:tcW w:w="3589"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36775" cy="1055370"/>
                  <wp:effectExtent l="0" t="0" r="0" b="0"/>
                  <wp:docPr id="624" name="Chart 6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0"/>
                    </a:graphicData>
                  </a:graphic>
                </wp:inline>
              </w:drawing>
            </w:r>
          </w:p>
        </w:tc>
        <w:tc>
          <w:tcPr>
            <w:tcW w:w="0" w:type="auto"/>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B2274B">
            <w:pPr>
              <w:rPr>
                <w:rFonts w:ascii="Candara" w:hAnsi="Candara"/>
              </w:rPr>
            </w:pPr>
          </w:p>
        </w:tc>
      </w:tr>
      <w:tr w:rsidTr="00B2274B">
        <w:tblPrEx>
          <w:tblW w:w="10525" w:type="dxa"/>
          <w:jc w:val="center"/>
          <w:tblLook w:val="04A0"/>
        </w:tblPrEx>
        <w:trPr>
          <w:jc w:val="center"/>
        </w:trPr>
        <w:tc>
          <w:tcPr>
            <w:tcW w:w="5344"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Darbaspēka izmaksas uz 1 nodarbināto 2015.g., tūkst. EUR</w:t>
            </w:r>
          </w:p>
        </w:tc>
        <w:tc>
          <w:tcPr>
            <w:tcW w:w="518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Produktivitāte (PV uz 1 nodarbināto) 2015.g., tūkst. EUR</w:t>
            </w:r>
          </w:p>
        </w:tc>
      </w:tr>
      <w:tr w:rsidTr="00B2274B">
        <w:tblPrEx>
          <w:tblW w:w="10525" w:type="dxa"/>
          <w:jc w:val="center"/>
          <w:tblLook w:val="04A0"/>
        </w:tblPrEx>
        <w:trPr>
          <w:jc w:val="center"/>
        </w:trPr>
        <w:tc>
          <w:tcPr>
            <w:tcW w:w="5344"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3156585" cy="1046480"/>
                  <wp:effectExtent l="0" t="0" r="5715" b="1270"/>
                  <wp:docPr id="623" name="Chart 6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1"/>
                    </a:graphicData>
                  </a:graphic>
                </wp:inline>
              </w:drawing>
            </w:r>
          </w:p>
        </w:tc>
        <w:tc>
          <w:tcPr>
            <w:tcW w:w="518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3156585" cy="1063625"/>
                  <wp:effectExtent l="0" t="0" r="5715" b="3175"/>
                  <wp:docPr id="622" name="Chart 6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2"/>
                    </a:graphicData>
                  </a:graphic>
                </wp:inline>
              </w:drawing>
            </w:r>
          </w:p>
        </w:tc>
      </w:tr>
      <w:tr w:rsidTr="00B2274B">
        <w:tblPrEx>
          <w:tblW w:w="10525" w:type="dxa"/>
          <w:jc w:val="center"/>
          <w:tblLook w:val="04A0"/>
        </w:tblPrEx>
        <w:trPr>
          <w:jc w:val="center"/>
        </w:trPr>
        <w:tc>
          <w:tcPr>
            <w:tcW w:w="5344"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 un darbaspēka izmaksas ES-28 valstīs 2010.g.</w:t>
            </w:r>
          </w:p>
        </w:tc>
        <w:tc>
          <w:tcPr>
            <w:tcW w:w="518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 un darbaspēka izmaksas ES-28 valstīs 2015.g.</w:t>
            </w:r>
          </w:p>
        </w:tc>
      </w:tr>
      <w:tr w:rsidTr="00B2274B">
        <w:tblPrEx>
          <w:tblW w:w="10525" w:type="dxa"/>
          <w:jc w:val="center"/>
          <w:tblLook w:val="04A0"/>
        </w:tblPrEx>
        <w:trPr>
          <w:jc w:val="center"/>
        </w:trPr>
        <w:tc>
          <w:tcPr>
            <w:tcW w:w="5344"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rPr>
                <w:rFonts w:ascii="Candara" w:hAnsi="Candara"/>
              </w:rPr>
            </w:pPr>
            <w:r>
              <w:rPr>
                <w:noProof/>
                <w:lang w:eastAsia="lv-LV"/>
              </w:rPr>
              <w:drawing>
                <wp:inline distT="0" distB="0" distL="0" distR="0">
                  <wp:extent cx="3059430" cy="1336675"/>
                  <wp:effectExtent l="0" t="0" r="0" b="0"/>
                  <wp:docPr id="621" name="Chart 6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3"/>
                    </a:graphicData>
                  </a:graphic>
                </wp:inline>
              </w:drawing>
            </w:r>
          </w:p>
        </w:tc>
        <w:tc>
          <w:tcPr>
            <w:tcW w:w="518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rPr>
                <w:rFonts w:ascii="Candara" w:hAnsi="Candara"/>
              </w:rPr>
            </w:pPr>
            <w:r>
              <w:rPr>
                <w:noProof/>
                <w:lang w:eastAsia="lv-LV"/>
              </w:rPr>
              <w:drawing>
                <wp:inline distT="0" distB="0" distL="0" distR="0">
                  <wp:extent cx="3059430" cy="1336675"/>
                  <wp:effectExtent l="0" t="0" r="0" b="0"/>
                  <wp:docPr id="620" name="Chart 6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4"/>
                    </a:graphicData>
                  </a:graphic>
                </wp:inline>
              </w:drawing>
            </w:r>
          </w:p>
        </w:tc>
      </w:tr>
    </w:tbl>
    <w:p w:rsidR="00B2274B" w:rsidP="00B2274B">
      <w:pPr>
        <w:spacing w:after="0" w:line="240" w:lineRule="auto"/>
        <w:jc w:val="both"/>
        <w:rPr>
          <w:rFonts w:ascii="Candara" w:hAnsi="Candara"/>
          <w:b/>
          <w:color w:val="000000"/>
          <w:szCs w:val="28"/>
          <w:u w:val="single"/>
        </w:rPr>
      </w:pPr>
    </w:p>
    <w:p w:rsidR="00806BCB" w:rsidP="00806BCB">
      <w:pPr>
        <w:spacing w:after="0" w:line="240" w:lineRule="auto"/>
        <w:jc w:val="both"/>
        <w:rPr>
          <w:rFonts w:ascii="Candara" w:hAnsi="Candara"/>
          <w:color w:val="000000"/>
          <w:szCs w:val="28"/>
        </w:rPr>
      </w:pPr>
      <w:r>
        <w:rPr>
          <w:rFonts w:ascii="Candara" w:hAnsi="Candara"/>
          <w:b/>
          <w:color w:val="000000"/>
          <w:szCs w:val="28"/>
          <w:u w:val="single"/>
        </w:rPr>
        <w:t xml:space="preserve">Nozares īpatsvars </w:t>
      </w:r>
      <w:r w:rsidRPr="00DF40AC">
        <w:rPr>
          <w:rFonts w:ascii="Candara" w:hAnsi="Candara"/>
          <w:b/>
          <w:color w:val="000000"/>
          <w:szCs w:val="28"/>
          <w:u w:val="single"/>
        </w:rPr>
        <w:t xml:space="preserve">tautsaimniecībā, </w:t>
      </w:r>
      <w:r>
        <w:rPr>
          <w:rFonts w:ascii="Candara" w:hAnsi="Candara"/>
          <w:b/>
          <w:color w:val="000000"/>
          <w:szCs w:val="28"/>
          <w:u w:val="single"/>
        </w:rPr>
        <w:t>procentos.</w:t>
      </w:r>
      <w:r w:rsidRPr="00F835E8">
        <w:rPr>
          <w:rFonts w:ascii="Candara" w:hAnsi="Candara"/>
          <w:color w:val="000000"/>
          <w:szCs w:val="28"/>
        </w:rPr>
        <w:t xml:space="preserve"> </w:t>
      </w:r>
      <w:r>
        <w:rPr>
          <w:rFonts w:ascii="Candara" w:hAnsi="Candara"/>
          <w:color w:val="000000"/>
          <w:szCs w:val="28"/>
        </w:rPr>
        <w:t>Telekomunikāciju nozares īpatsvars kopējā tautsaimniecībā sāka samazināties no 2001.gada. 2007.gadā nozares īpatsvars bija samazinājies par 2,3 procentpunktiem no 4,3% 2001.gadā līdz 2% 2007.gadā, bet līdz 2010.gadam bija vērojams kāpums, 2010.gadā sasniedzot 2,3% no kopējā apjoma tautsaimniecībā. Savukārt posmā starp 2010. un 2015.gadu telekomunikāciju īpatsvars samazinājās un 2014.gadā bija vien 1,5%.</w:t>
      </w:r>
    </w:p>
    <w:p w:rsidR="00806BCB" w:rsidP="00806BCB">
      <w:pPr>
        <w:spacing w:after="0" w:line="240" w:lineRule="auto"/>
        <w:jc w:val="both"/>
        <w:rPr>
          <w:rFonts w:ascii="Candara" w:hAnsi="Candara"/>
          <w:color w:val="000000"/>
          <w:szCs w:val="28"/>
        </w:rPr>
      </w:pPr>
      <w:r w:rsidRPr="00F72E60">
        <w:rPr>
          <w:rFonts w:ascii="Candara" w:hAnsi="Candara"/>
          <w:b/>
          <w:color w:val="000000"/>
          <w:szCs w:val="28"/>
          <w:u w:val="single"/>
        </w:rPr>
        <w:t>Pievienotās vērtības un darba vietu skaita izmaiņas, 2005=100</w:t>
      </w:r>
      <w:r>
        <w:rPr>
          <w:rFonts w:ascii="Candara" w:hAnsi="Candara"/>
          <w:b/>
          <w:color w:val="000000"/>
          <w:szCs w:val="28"/>
          <w:u w:val="single"/>
        </w:rPr>
        <w:t>.</w:t>
      </w:r>
      <w:r w:rsidRPr="00F72E60">
        <w:rPr>
          <w:rFonts w:ascii="Candara" w:hAnsi="Candara"/>
          <w:color w:val="000000"/>
          <w:szCs w:val="28"/>
        </w:rPr>
        <w:t xml:space="preserve"> </w:t>
      </w:r>
      <w:r>
        <w:rPr>
          <w:rFonts w:ascii="Candara" w:hAnsi="Candara"/>
          <w:color w:val="000000"/>
          <w:szCs w:val="28"/>
        </w:rPr>
        <w:t>Nozares ražošanas apjomi samazinās kopš 2011. gada. Neliels pieaugums bija tikai 2013.gadā. 2015.gadā samazināšanas tendences turpinājās.</w:t>
      </w:r>
      <w:r w:rsidRPr="00F72E60">
        <w:rPr>
          <w:rFonts w:ascii="Candara" w:hAnsi="Candara"/>
          <w:color w:val="000000"/>
          <w:szCs w:val="28"/>
        </w:rPr>
        <w:t xml:space="preserve"> Salīdzinot ar krīzes zemāko punktu 2009. gadā</w:t>
      </w:r>
      <w:r>
        <w:rPr>
          <w:rFonts w:ascii="Candara" w:hAnsi="Candara"/>
          <w:color w:val="000000"/>
          <w:szCs w:val="28"/>
        </w:rPr>
        <w:t>,</w:t>
      </w:r>
      <w:r w:rsidRPr="00F72E60">
        <w:rPr>
          <w:rFonts w:ascii="Candara" w:hAnsi="Candara"/>
          <w:color w:val="000000"/>
          <w:szCs w:val="28"/>
        </w:rPr>
        <w:t xml:space="preserve"> nozares izlaides apjomi 201</w:t>
      </w:r>
      <w:r>
        <w:rPr>
          <w:rFonts w:ascii="Candara" w:hAnsi="Candara"/>
          <w:color w:val="000000"/>
          <w:szCs w:val="28"/>
        </w:rPr>
        <w:t>5</w:t>
      </w:r>
      <w:r w:rsidRPr="00F72E60">
        <w:rPr>
          <w:rFonts w:ascii="Candara" w:hAnsi="Candara"/>
          <w:color w:val="000000"/>
          <w:szCs w:val="28"/>
        </w:rPr>
        <w:t xml:space="preserve">.gadā bija par </w:t>
      </w:r>
      <w:r>
        <w:rPr>
          <w:rFonts w:ascii="Candara" w:hAnsi="Candara"/>
          <w:color w:val="000000"/>
          <w:szCs w:val="28"/>
        </w:rPr>
        <w:t>3</w:t>
      </w:r>
      <w:r w:rsidRPr="00F72E60">
        <w:rPr>
          <w:rFonts w:ascii="Candara" w:hAnsi="Candara"/>
          <w:color w:val="000000"/>
          <w:szCs w:val="28"/>
        </w:rPr>
        <w:t>% zemāki un par 27% atpaliek no pirmskrīzes līmeņa.</w:t>
      </w:r>
    </w:p>
    <w:p w:rsidR="00806BCB" w:rsidP="00806BCB">
      <w:pPr>
        <w:spacing w:after="0" w:line="240" w:lineRule="auto"/>
        <w:jc w:val="both"/>
        <w:rPr>
          <w:rFonts w:ascii="Candara" w:hAnsi="Candara"/>
          <w:b/>
          <w:color w:val="000000"/>
          <w:szCs w:val="28"/>
          <w:u w:val="single"/>
        </w:rPr>
      </w:pPr>
      <w:r w:rsidRPr="00F72E60">
        <w:rPr>
          <w:rFonts w:ascii="Candara" w:hAnsi="Candara"/>
          <w:color w:val="000000"/>
          <w:szCs w:val="28"/>
        </w:rPr>
        <w:t xml:space="preserve">Arī darbavietu skaits nozarē pēdējos gados samazinās. </w:t>
      </w:r>
      <w:r>
        <w:rPr>
          <w:rFonts w:ascii="Candara" w:hAnsi="Candara"/>
          <w:color w:val="000000"/>
          <w:szCs w:val="28"/>
        </w:rPr>
        <w:t>2015.gadā tas mazliet pieauga par 2%. 2015</w:t>
      </w:r>
      <w:r w:rsidRPr="00F72E60">
        <w:rPr>
          <w:rFonts w:ascii="Candara" w:hAnsi="Candara"/>
          <w:color w:val="000000"/>
          <w:szCs w:val="28"/>
        </w:rPr>
        <w:t xml:space="preserve">.gadā, salīdzinot ar krīzes zemāko punktu 2009.gadā, darbavietu </w:t>
      </w:r>
      <w:r>
        <w:rPr>
          <w:rFonts w:ascii="Candara" w:hAnsi="Candara"/>
          <w:color w:val="000000"/>
          <w:szCs w:val="28"/>
        </w:rPr>
        <w:t>skaits bija samazinājies par 2</w:t>
      </w:r>
      <w:r w:rsidRPr="00F72E60">
        <w:rPr>
          <w:rFonts w:ascii="Candara" w:hAnsi="Candara"/>
          <w:color w:val="000000"/>
          <w:szCs w:val="28"/>
        </w:rPr>
        <w:t>%.</w:t>
      </w:r>
    </w:p>
    <w:p w:rsidR="00806BCB" w:rsidP="00806BCB">
      <w:pPr>
        <w:spacing w:after="0" w:line="240" w:lineRule="auto"/>
        <w:jc w:val="both"/>
        <w:rPr>
          <w:rFonts w:ascii="Candara" w:hAnsi="Candara"/>
          <w:color w:val="000000"/>
        </w:rPr>
      </w:pPr>
      <w:r w:rsidRPr="00E40A56">
        <w:rPr>
          <w:rFonts w:ascii="Candara" w:hAnsi="Candara"/>
          <w:b/>
          <w:color w:val="000000"/>
          <w:szCs w:val="28"/>
          <w:u w:val="single"/>
        </w:rPr>
        <w:t>Produkcijas eksports, milj. EUR</w:t>
      </w:r>
      <w:r>
        <w:rPr>
          <w:rFonts w:ascii="Candara" w:hAnsi="Candara"/>
          <w:b/>
          <w:color w:val="000000"/>
          <w:szCs w:val="28"/>
          <w:u w:val="single"/>
        </w:rPr>
        <w:t>.</w:t>
      </w:r>
      <w:r w:rsidRPr="00E40A56">
        <w:rPr>
          <w:rFonts w:ascii="Candara" w:hAnsi="Candara"/>
          <w:color w:val="000000"/>
          <w:szCs w:val="28"/>
        </w:rPr>
        <w:t xml:space="preserve"> </w:t>
      </w:r>
      <w:r w:rsidRPr="00E40A56">
        <w:rPr>
          <w:rFonts w:ascii="Candara" w:hAnsi="Candara"/>
          <w:color w:val="000000"/>
        </w:rPr>
        <w:t>Eksportētās produkcijas apjomi desmit gadu laikā</w:t>
      </w:r>
      <w:r>
        <w:rPr>
          <w:rFonts w:ascii="Candara" w:hAnsi="Candara"/>
          <w:color w:val="000000"/>
        </w:rPr>
        <w:t xml:space="preserve"> kopš 2005.gada</w:t>
      </w:r>
      <w:r w:rsidRPr="00E40A56">
        <w:rPr>
          <w:rFonts w:ascii="Candara" w:hAnsi="Candara"/>
          <w:color w:val="000000"/>
        </w:rPr>
        <w:t xml:space="preserve"> ir dubultojušies.</w:t>
      </w:r>
      <w:r>
        <w:rPr>
          <w:rFonts w:ascii="Candara" w:hAnsi="Candara"/>
          <w:color w:val="000000"/>
        </w:rPr>
        <w:t xml:space="preserve"> </w:t>
      </w:r>
    </w:p>
    <w:p w:rsidR="00806BCB" w:rsidRPr="00E40A56" w:rsidP="00806BCB">
      <w:pPr>
        <w:spacing w:after="0" w:line="240" w:lineRule="auto"/>
        <w:jc w:val="both"/>
        <w:rPr>
          <w:rFonts w:ascii="Candara" w:hAnsi="Candara"/>
          <w:color w:val="000000"/>
          <w:szCs w:val="28"/>
        </w:rPr>
      </w:pPr>
      <w:r w:rsidRPr="00E40A56">
        <w:rPr>
          <w:rFonts w:ascii="Candara" w:hAnsi="Candara"/>
          <w:b/>
          <w:color w:val="000000"/>
          <w:szCs w:val="28"/>
          <w:u w:val="single"/>
        </w:rPr>
        <w:t>Eksports uz 1 strādājošo, tūkst. EUR</w:t>
      </w:r>
      <w:r>
        <w:rPr>
          <w:rFonts w:ascii="Candara" w:hAnsi="Candara"/>
          <w:color w:val="000000"/>
          <w:szCs w:val="28"/>
        </w:rPr>
        <w:t>.</w:t>
      </w:r>
      <w:r w:rsidRPr="00E40A56">
        <w:rPr>
          <w:rFonts w:ascii="Candara" w:hAnsi="Candara"/>
          <w:color w:val="000000"/>
          <w:szCs w:val="28"/>
        </w:rPr>
        <w:t xml:space="preserve"> </w:t>
      </w:r>
      <w:r>
        <w:rPr>
          <w:rFonts w:ascii="Candara" w:hAnsi="Candara"/>
          <w:color w:val="000000"/>
          <w:szCs w:val="28"/>
        </w:rPr>
        <w:t>Pēc straujā pieauguma 2012.gadā e</w:t>
      </w:r>
      <w:r w:rsidRPr="00E40A56">
        <w:rPr>
          <w:rFonts w:ascii="Candara" w:hAnsi="Candara"/>
          <w:color w:val="000000"/>
        </w:rPr>
        <w:t xml:space="preserve">ksporta apjoms uz vienu strādājošo pēdējos trīs gados </w:t>
      </w:r>
      <w:r>
        <w:rPr>
          <w:rFonts w:ascii="Candara" w:hAnsi="Candara"/>
          <w:color w:val="000000"/>
        </w:rPr>
        <w:t>pakāpeniski palielinās lēnākos tempos</w:t>
      </w:r>
      <w:r w:rsidRPr="00E40A56">
        <w:rPr>
          <w:rFonts w:ascii="Candara" w:hAnsi="Candara"/>
          <w:color w:val="000000"/>
        </w:rPr>
        <w:t>.</w:t>
      </w:r>
    </w:p>
    <w:p w:rsidR="00806BCB" w:rsidRPr="00E40A56" w:rsidP="00806BCB">
      <w:pPr>
        <w:spacing w:after="0" w:line="240" w:lineRule="auto"/>
        <w:jc w:val="both"/>
        <w:rPr>
          <w:rFonts w:ascii="Candara" w:hAnsi="Candara"/>
          <w:color w:val="000000"/>
          <w:szCs w:val="28"/>
        </w:rPr>
      </w:pPr>
      <w:r w:rsidRPr="00E40A56">
        <w:rPr>
          <w:rFonts w:ascii="Candara" w:hAnsi="Candara"/>
          <w:b/>
          <w:color w:val="000000"/>
          <w:szCs w:val="28"/>
          <w:u w:val="single"/>
        </w:rPr>
        <w:t>Eksports uz 1 strādājošo ES 28 valstīs, tūkst. EUR</w:t>
      </w:r>
      <w:r>
        <w:rPr>
          <w:rFonts w:ascii="Candara" w:hAnsi="Candara"/>
          <w:color w:val="000000"/>
          <w:szCs w:val="28"/>
        </w:rPr>
        <w:t>.</w:t>
      </w:r>
      <w:r w:rsidRPr="00E40A56">
        <w:rPr>
          <w:rFonts w:ascii="Candara" w:hAnsi="Candara"/>
          <w:color w:val="000000"/>
          <w:szCs w:val="28"/>
        </w:rPr>
        <w:t xml:space="preserve"> </w:t>
      </w:r>
      <w:r w:rsidRPr="00E40A56">
        <w:rPr>
          <w:rFonts w:ascii="Candara" w:hAnsi="Candara"/>
          <w:color w:val="000000"/>
        </w:rPr>
        <w:t>Latvijā eksporta apjoms uz vienu strādājošo nozarē bija lielāks kā Lietuvā, bet zemāks nekā Igaunijā.</w:t>
      </w:r>
    </w:p>
    <w:p w:rsidR="00806BCB" w:rsidP="00806BCB">
      <w:pPr>
        <w:spacing w:after="0" w:line="240" w:lineRule="auto"/>
        <w:jc w:val="both"/>
        <w:rPr>
          <w:rFonts w:ascii="Candara" w:hAnsi="Candara"/>
          <w:color w:val="000000"/>
          <w:szCs w:val="28"/>
        </w:rPr>
      </w:pPr>
      <w:r w:rsidRPr="00E40A56">
        <w:rPr>
          <w:rFonts w:ascii="Candara" w:hAnsi="Candara"/>
          <w:b/>
          <w:color w:val="000000"/>
          <w:szCs w:val="28"/>
          <w:u w:val="single"/>
        </w:rPr>
        <w:t>Eksporta tirgi</w:t>
      </w:r>
      <w:r>
        <w:rPr>
          <w:rFonts w:ascii="Candara" w:hAnsi="Candara"/>
          <w:b/>
          <w:color w:val="000000"/>
          <w:szCs w:val="28"/>
          <w:u w:val="single"/>
        </w:rPr>
        <w:t>.</w:t>
      </w:r>
      <w:r w:rsidRPr="00E40A56">
        <w:rPr>
          <w:rFonts w:ascii="Candara" w:hAnsi="Candara"/>
          <w:color w:val="000000"/>
          <w:szCs w:val="28"/>
        </w:rPr>
        <w:t xml:space="preserve"> </w:t>
      </w:r>
      <w:r w:rsidRPr="00E40A56">
        <w:rPr>
          <w:rFonts w:ascii="Candara" w:hAnsi="Candara"/>
          <w:color w:val="000000"/>
        </w:rPr>
        <w:t>Lielākie eksporta tirgi nozarē ir Malta, Zviedrija, Krievija, Čehija, Norvēģija, Vācija, Apvienotā Karaliste, Šveice un ASV.</w:t>
      </w:r>
    </w:p>
    <w:p w:rsidR="00806BCB" w:rsidRPr="007C7824" w:rsidP="00806BCB">
      <w:pPr>
        <w:spacing w:after="0" w:line="240" w:lineRule="auto"/>
        <w:jc w:val="both"/>
        <w:rPr>
          <w:rFonts w:ascii="Candara" w:hAnsi="Candara"/>
          <w:b/>
          <w:color w:val="000000"/>
          <w:szCs w:val="28"/>
          <w:u w:val="single"/>
        </w:rPr>
      </w:pPr>
      <w:r w:rsidRPr="00DF40AC">
        <w:rPr>
          <w:rFonts w:ascii="Candara" w:hAnsi="Candara"/>
          <w:b/>
          <w:color w:val="000000"/>
          <w:szCs w:val="28"/>
          <w:u w:val="single"/>
        </w:rPr>
        <w:t>Darbaspēka izmaksu dinamika</w:t>
      </w:r>
      <w:r>
        <w:rPr>
          <w:rFonts w:ascii="Candara" w:hAnsi="Candara"/>
          <w:b/>
          <w:color w:val="000000"/>
          <w:szCs w:val="28"/>
          <w:u w:val="single"/>
        </w:rPr>
        <w:t>, tūkst.</w:t>
      </w:r>
      <w:r>
        <w:rPr>
          <w:rFonts w:ascii="Candara" w:hAnsi="Candara"/>
          <w:color w:val="000000"/>
          <w:szCs w:val="28"/>
        </w:rPr>
        <w:t xml:space="preserve"> Darbaspēka izmaksas būtiski pieauga 2008.gadā, krīzes laikā nedaudz samazinājās.</w:t>
      </w:r>
      <w:r w:rsidRPr="007C7824">
        <w:rPr>
          <w:rFonts w:ascii="Candara" w:hAnsi="Candara"/>
          <w:color w:val="000000"/>
          <w:szCs w:val="28"/>
        </w:rPr>
        <w:t xml:space="preserve"> Atsākoties ekonomikas izaugsmei</w:t>
      </w:r>
      <w:r>
        <w:rPr>
          <w:rFonts w:ascii="Candara" w:hAnsi="Candara"/>
          <w:color w:val="000000"/>
          <w:szCs w:val="28"/>
        </w:rPr>
        <w:t>, 2012.gada</w:t>
      </w:r>
      <w:r w:rsidRPr="007C7824">
        <w:rPr>
          <w:rFonts w:ascii="Candara" w:hAnsi="Candara"/>
          <w:color w:val="000000"/>
          <w:szCs w:val="28"/>
        </w:rPr>
        <w:t xml:space="preserve"> </w:t>
      </w:r>
      <w:r>
        <w:rPr>
          <w:rFonts w:ascii="Candara" w:hAnsi="Candara"/>
          <w:color w:val="000000"/>
          <w:szCs w:val="28"/>
        </w:rPr>
        <w:t xml:space="preserve">bija vērojams straujš </w:t>
      </w:r>
      <w:r w:rsidRPr="007C7824">
        <w:rPr>
          <w:rFonts w:ascii="Candara" w:hAnsi="Candara"/>
          <w:color w:val="000000"/>
          <w:szCs w:val="28"/>
        </w:rPr>
        <w:t>darba samaksas pieaugums</w:t>
      </w:r>
      <w:r>
        <w:rPr>
          <w:rFonts w:ascii="Candara" w:hAnsi="Candara"/>
          <w:color w:val="000000"/>
          <w:szCs w:val="28"/>
        </w:rPr>
        <w:t>. 2013.-2015.gadā izmaksas turpina pieaugt vienmērīgi.</w:t>
      </w:r>
    </w:p>
    <w:p w:rsidR="00806BCB" w:rsidP="00806BCB">
      <w:pPr>
        <w:spacing w:after="0" w:line="240" w:lineRule="auto"/>
        <w:jc w:val="both"/>
        <w:rPr>
          <w:rFonts w:ascii="Candara" w:hAnsi="Candara"/>
          <w:color w:val="000000"/>
          <w:szCs w:val="28"/>
        </w:rPr>
      </w:pPr>
      <w:r w:rsidRPr="00DF40AC">
        <w:rPr>
          <w:rFonts w:ascii="Candara" w:hAnsi="Candara"/>
          <w:b/>
          <w:color w:val="000000"/>
          <w:szCs w:val="28"/>
          <w:u w:val="single"/>
        </w:rPr>
        <w:t>Produktivitātes dinamika</w:t>
      </w:r>
      <w:r>
        <w:rPr>
          <w:rFonts w:ascii="Candara" w:hAnsi="Candara"/>
          <w:b/>
          <w:color w:val="000000"/>
          <w:szCs w:val="28"/>
          <w:u w:val="single"/>
        </w:rPr>
        <w:t>, tūkst.</w:t>
      </w:r>
      <w:r>
        <w:rPr>
          <w:rFonts w:ascii="Candara" w:hAnsi="Candara"/>
          <w:color w:val="000000"/>
          <w:szCs w:val="28"/>
        </w:rPr>
        <w:t xml:space="preserve"> Būtisks nodarbināto skaita pieaugums veicina strauju produktivitātes kritumu jau sākot no pirms krīzes perioda 2007.-2008.gadā. Pēc krīzes periodā, 2012.gadā straujāk pieaugot ražošanas apjomiem, produktivitāte palielinājās. 2013.-2015.gadā tā nedaudz noslīdējusi zem 2012.gada līmeņa.</w:t>
      </w:r>
    </w:p>
    <w:p w:rsidR="00806BCB" w:rsidRPr="00FB0BD5" w:rsidP="00806BCB">
      <w:pPr>
        <w:spacing w:after="0" w:line="240" w:lineRule="auto"/>
        <w:jc w:val="both"/>
        <w:rPr>
          <w:rFonts w:ascii="Candara" w:hAnsi="Candara"/>
          <w:b/>
          <w:color w:val="000000"/>
          <w:szCs w:val="28"/>
          <w:u w:val="single"/>
        </w:rPr>
      </w:pPr>
      <w:r w:rsidRPr="00D62BB3">
        <w:rPr>
          <w:rFonts w:ascii="Candara" w:hAnsi="Candara"/>
          <w:b/>
          <w:color w:val="000000"/>
          <w:szCs w:val="28"/>
          <w:u w:val="single"/>
        </w:rPr>
        <w:t>Produktivitāte un darbaspēka izmaksas</w:t>
      </w:r>
      <w:r>
        <w:rPr>
          <w:rFonts w:ascii="Candara" w:hAnsi="Candara"/>
          <w:b/>
          <w:color w:val="000000"/>
          <w:szCs w:val="28"/>
          <w:u w:val="single"/>
        </w:rPr>
        <w:t>.</w:t>
      </w:r>
      <w:r w:rsidRPr="009F39B5">
        <w:rPr>
          <w:rFonts w:ascii="Candara" w:hAnsi="Candara"/>
          <w:color w:val="000000"/>
          <w:szCs w:val="28"/>
        </w:rPr>
        <w:t xml:space="preserve"> </w:t>
      </w:r>
      <w:r>
        <w:rPr>
          <w:rFonts w:ascii="Candara" w:hAnsi="Candara"/>
          <w:color w:val="000000"/>
          <w:szCs w:val="28"/>
        </w:rPr>
        <w:t>Telekomunikāciju nozarē</w:t>
      </w:r>
      <w:r w:rsidRPr="00D62BB3">
        <w:rPr>
          <w:rFonts w:ascii="Candara" w:hAnsi="Candara"/>
          <w:color w:val="000000"/>
          <w:szCs w:val="28"/>
        </w:rPr>
        <w:t xml:space="preserve"> </w:t>
      </w:r>
      <w:r>
        <w:rPr>
          <w:rFonts w:ascii="Candara" w:hAnsi="Candara"/>
          <w:color w:val="000000"/>
          <w:szCs w:val="28"/>
        </w:rPr>
        <w:t>ULC</w:t>
      </w:r>
      <w:r w:rsidRPr="00D62BB3">
        <w:rPr>
          <w:rFonts w:ascii="Candara" w:hAnsi="Candara"/>
          <w:color w:val="000000"/>
          <w:szCs w:val="28"/>
        </w:rPr>
        <w:t xml:space="preserve"> pieaugums</w:t>
      </w:r>
      <w:r>
        <w:rPr>
          <w:rFonts w:ascii="Candara" w:hAnsi="Candara"/>
          <w:color w:val="000000"/>
          <w:szCs w:val="28"/>
        </w:rPr>
        <w:t xml:space="preserve"> </w:t>
      </w:r>
      <w:r w:rsidRPr="00D62BB3">
        <w:rPr>
          <w:rFonts w:ascii="Candara" w:hAnsi="Candara"/>
          <w:color w:val="000000"/>
          <w:szCs w:val="28"/>
        </w:rPr>
        <w:t>un  produktivitātes kritums liecina par cenu konkurētspējas (izmaksu) pazemināšanos. Šī tendence ir vērojama kopš 2007.gada. ULC samazinājās tikai 2010. gadā, ko galvenokārt noteica būtisks darbaspēka izmaksu kritums. Kopš 201</w:t>
      </w:r>
      <w:r>
        <w:rPr>
          <w:rFonts w:ascii="Candara" w:hAnsi="Candara"/>
          <w:color w:val="000000"/>
          <w:szCs w:val="28"/>
        </w:rPr>
        <w:t>0</w:t>
      </w:r>
      <w:r w:rsidRPr="00D62BB3">
        <w:rPr>
          <w:rFonts w:ascii="Candara" w:hAnsi="Candara"/>
          <w:color w:val="000000"/>
          <w:szCs w:val="28"/>
        </w:rPr>
        <w:t xml:space="preserve">.gada </w:t>
      </w:r>
      <w:r>
        <w:rPr>
          <w:rFonts w:ascii="Candara" w:hAnsi="Candara"/>
          <w:color w:val="000000"/>
          <w:szCs w:val="28"/>
        </w:rPr>
        <w:t>darbaspēka izmaksas</w:t>
      </w:r>
      <w:r w:rsidRPr="00D62BB3">
        <w:rPr>
          <w:rFonts w:ascii="Candara" w:hAnsi="Candara"/>
          <w:color w:val="000000"/>
          <w:szCs w:val="28"/>
        </w:rPr>
        <w:t xml:space="preserve"> pieauga</w:t>
      </w:r>
      <w:r>
        <w:rPr>
          <w:rFonts w:ascii="Candara" w:hAnsi="Candara"/>
          <w:color w:val="000000"/>
          <w:szCs w:val="28"/>
        </w:rPr>
        <w:t xml:space="preserve"> par 26%</w:t>
      </w:r>
      <w:r w:rsidRPr="00D62BB3">
        <w:rPr>
          <w:rFonts w:ascii="Candara" w:hAnsi="Candara"/>
          <w:color w:val="000000"/>
          <w:szCs w:val="28"/>
        </w:rPr>
        <w:t xml:space="preserve">, kamēr produktivitāte </w:t>
      </w:r>
      <w:r>
        <w:rPr>
          <w:rFonts w:ascii="Candara" w:hAnsi="Candara"/>
          <w:color w:val="000000"/>
          <w:szCs w:val="28"/>
        </w:rPr>
        <w:t xml:space="preserve">pieauga </w:t>
      </w:r>
      <w:r w:rsidRPr="00D62BB3">
        <w:rPr>
          <w:rFonts w:ascii="Candara" w:hAnsi="Candara"/>
          <w:color w:val="000000"/>
          <w:szCs w:val="28"/>
        </w:rPr>
        <w:t xml:space="preserve">par </w:t>
      </w:r>
      <w:r>
        <w:rPr>
          <w:rFonts w:ascii="Candara" w:hAnsi="Candara"/>
          <w:color w:val="000000"/>
          <w:szCs w:val="28"/>
        </w:rPr>
        <w:t>5</w:t>
      </w:r>
      <w:r w:rsidRPr="00D62BB3">
        <w:rPr>
          <w:rFonts w:ascii="Candara" w:hAnsi="Candara"/>
          <w:color w:val="000000"/>
          <w:szCs w:val="28"/>
        </w:rPr>
        <w:t xml:space="preserve">%. </w:t>
      </w:r>
      <w:r w:rsidRPr="003E229A">
        <w:rPr>
          <w:rFonts w:ascii="Candara" w:hAnsi="Candara"/>
          <w:color w:val="000000"/>
          <w:szCs w:val="28"/>
        </w:rPr>
        <w:t>Šādu nozares attīstības modeli var raksturot kā ekstensīvu</w:t>
      </w:r>
      <w:r w:rsidRPr="00775D26">
        <w:rPr>
          <w:rFonts w:ascii="Candara" w:hAnsi="Candara"/>
          <w:color w:val="000000"/>
          <w:szCs w:val="28"/>
        </w:rPr>
        <w:t>. Vienlaikus jāatzīmē, ka kopš 2010.gada ULC telekomunikāciju n</w:t>
      </w:r>
      <w:r>
        <w:rPr>
          <w:rFonts w:ascii="Candara" w:hAnsi="Candara"/>
          <w:color w:val="000000"/>
          <w:szCs w:val="28"/>
        </w:rPr>
        <w:t>ozarē Latvijā ir pieaudzis par 20</w:t>
      </w:r>
      <w:r w:rsidRPr="00775D26">
        <w:rPr>
          <w:rFonts w:ascii="Candara" w:hAnsi="Candara"/>
          <w:color w:val="000000"/>
          <w:szCs w:val="28"/>
        </w:rPr>
        <w:t xml:space="preserve">%, bet vidēji ES samazinājies par </w:t>
      </w:r>
      <w:r>
        <w:rPr>
          <w:rFonts w:ascii="Candara" w:hAnsi="Candara"/>
          <w:color w:val="000000"/>
          <w:szCs w:val="28"/>
        </w:rPr>
        <w:t>5</w:t>
      </w:r>
      <w:r w:rsidRPr="00775D26">
        <w:rPr>
          <w:rFonts w:ascii="Candara" w:hAnsi="Candara"/>
          <w:color w:val="000000"/>
          <w:szCs w:val="28"/>
        </w:rPr>
        <w:t xml:space="preserve">%. </w:t>
      </w:r>
      <w:r w:rsidRPr="00F72E60">
        <w:rPr>
          <w:rFonts w:ascii="Candara" w:hAnsi="Candara"/>
          <w:color w:val="000000"/>
          <w:szCs w:val="28"/>
        </w:rPr>
        <w:t xml:space="preserve">ULC pieaugums lielā mērā skaidrojams ar speciālistu lielo pieprasījumu darba tirgū, kā liecina pašreizējais stāvoklis un darba tirgus analīze, tādēļ izmaksu konkurētspējas uzturēšana nav iespējama uz darbaspēka izmaksu samazināšanas rēķina. Tas turpināsies arī turpmāk un nerisinot produktivitātes palielināšanu, būtiski pieaug risks samazināties izmaksu konkurētspējai. Jāatzīmē, ka produktivitāte, kas tiek aprēķināta kā pievienotā vērtība uz vienu nodarbināto </w:t>
      </w:r>
      <w:r>
        <w:rPr>
          <w:rFonts w:ascii="Candara" w:hAnsi="Candara"/>
          <w:color w:val="000000"/>
          <w:szCs w:val="28"/>
        </w:rPr>
        <w:t>pēdējos gados nepieaug</w:t>
      </w:r>
      <w:r w:rsidRPr="00F72E60">
        <w:rPr>
          <w:rFonts w:ascii="Candara" w:hAnsi="Candara"/>
          <w:color w:val="000000"/>
          <w:szCs w:val="28"/>
        </w:rPr>
        <w:t xml:space="preserve"> arī dēļ peļņas līmeņa samazināšanās, ko daļēji varētu skaidrot ar jauno uzņēmumu ienākšan</w:t>
      </w:r>
      <w:r>
        <w:rPr>
          <w:rFonts w:ascii="Candara" w:hAnsi="Candara"/>
          <w:color w:val="000000"/>
          <w:szCs w:val="28"/>
        </w:rPr>
        <w:t>u</w:t>
      </w:r>
      <w:r w:rsidRPr="00F72E60">
        <w:rPr>
          <w:rFonts w:ascii="Candara" w:hAnsi="Candara"/>
          <w:color w:val="000000"/>
          <w:szCs w:val="28"/>
        </w:rPr>
        <w:t xml:space="preserve"> tirgū, kas pastiprina konkurenci.</w:t>
      </w:r>
    </w:p>
    <w:p w:rsidR="00806BCB" w:rsidRPr="00F835E8" w:rsidP="00806BCB">
      <w:pPr>
        <w:spacing w:after="0" w:line="240" w:lineRule="auto"/>
        <w:jc w:val="both"/>
        <w:rPr>
          <w:rFonts w:ascii="Candara" w:hAnsi="Candara"/>
          <w:color w:val="000000"/>
          <w:szCs w:val="28"/>
        </w:rPr>
      </w:pPr>
      <w:r w:rsidRPr="00DF40AC">
        <w:rPr>
          <w:rFonts w:ascii="Candara" w:hAnsi="Candara"/>
          <w:b/>
          <w:color w:val="000000"/>
          <w:szCs w:val="28"/>
          <w:u w:val="single"/>
        </w:rPr>
        <w:t>Darbaspēka izmaksas, ES-28=100</w:t>
      </w:r>
      <w:r>
        <w:rPr>
          <w:rFonts w:ascii="Candara" w:hAnsi="Candara"/>
          <w:b/>
          <w:color w:val="000000"/>
          <w:szCs w:val="28"/>
          <w:u w:val="single"/>
        </w:rPr>
        <w:t>.</w:t>
      </w:r>
      <w:r>
        <w:rPr>
          <w:rFonts w:ascii="Candara" w:hAnsi="Candara"/>
          <w:color w:val="000000"/>
          <w:szCs w:val="28"/>
        </w:rPr>
        <w:t xml:space="preserve"> </w:t>
      </w:r>
      <w:r w:rsidRPr="00756F4B">
        <w:rPr>
          <w:rFonts w:ascii="Candara" w:hAnsi="Candara"/>
          <w:color w:val="000000"/>
          <w:szCs w:val="28"/>
        </w:rPr>
        <w:t xml:space="preserve">Salīdzinot ar darbaspēka izmaksu vidējo līmeni ES, </w:t>
      </w:r>
      <w:r>
        <w:rPr>
          <w:rFonts w:ascii="Candara" w:hAnsi="Candara"/>
          <w:color w:val="000000"/>
          <w:szCs w:val="28"/>
        </w:rPr>
        <w:t xml:space="preserve">telekomunikāciju nozarē </w:t>
      </w:r>
      <w:r w:rsidRPr="00756F4B">
        <w:rPr>
          <w:rFonts w:ascii="Candara" w:hAnsi="Candara"/>
          <w:color w:val="000000"/>
          <w:szCs w:val="28"/>
        </w:rPr>
        <w:t>tas</w:t>
      </w:r>
      <w:r>
        <w:rPr>
          <w:rFonts w:ascii="Candara" w:hAnsi="Candara"/>
          <w:color w:val="000000"/>
          <w:szCs w:val="28"/>
        </w:rPr>
        <w:t xml:space="preserve"> bija lielā</w:t>
      </w:r>
      <w:r w:rsidRPr="00756F4B">
        <w:rPr>
          <w:rFonts w:ascii="Candara" w:hAnsi="Candara"/>
          <w:color w:val="000000"/>
          <w:szCs w:val="28"/>
        </w:rPr>
        <w:t>ks nekā tautsaimniecībā kopumā</w:t>
      </w:r>
      <w:r>
        <w:rPr>
          <w:rFonts w:ascii="Candara" w:hAnsi="Candara"/>
          <w:color w:val="000000"/>
          <w:szCs w:val="28"/>
        </w:rPr>
        <w:t xml:space="preserve"> un</w:t>
      </w:r>
      <w:r w:rsidRPr="00756F4B">
        <w:rPr>
          <w:rFonts w:ascii="Candara" w:hAnsi="Candara"/>
          <w:color w:val="000000"/>
          <w:szCs w:val="28"/>
        </w:rPr>
        <w:t xml:space="preserve"> pēdējos gados tas </w:t>
      </w:r>
      <w:r>
        <w:rPr>
          <w:rFonts w:ascii="Candara" w:hAnsi="Candara"/>
          <w:color w:val="000000"/>
          <w:szCs w:val="28"/>
        </w:rPr>
        <w:t>vienmērīgi pieauga</w:t>
      </w:r>
      <w:r w:rsidRPr="00756F4B">
        <w:rPr>
          <w:rFonts w:ascii="Candara" w:hAnsi="Candara"/>
          <w:color w:val="000000"/>
          <w:szCs w:val="28"/>
        </w:rPr>
        <w:t>.</w:t>
      </w:r>
      <w:r>
        <w:rPr>
          <w:rFonts w:ascii="Candara" w:hAnsi="Candara"/>
          <w:color w:val="000000"/>
          <w:szCs w:val="28"/>
        </w:rPr>
        <w:t xml:space="preserve"> 2015.gadā tas samazinājās un ir lielāks kā tautsaimniecībā kopumā.</w:t>
      </w:r>
    </w:p>
    <w:p w:rsidR="00806BCB" w:rsidP="00806BCB">
      <w:pPr>
        <w:spacing w:after="0" w:line="240" w:lineRule="auto"/>
        <w:jc w:val="both"/>
        <w:rPr>
          <w:rFonts w:ascii="Candara" w:hAnsi="Candara"/>
          <w:color w:val="000000"/>
          <w:szCs w:val="28"/>
        </w:rPr>
      </w:pPr>
      <w:r w:rsidRPr="00DF40AC">
        <w:rPr>
          <w:rFonts w:ascii="Candara" w:hAnsi="Candara"/>
          <w:b/>
          <w:color w:val="000000"/>
          <w:szCs w:val="28"/>
          <w:u w:val="single"/>
        </w:rPr>
        <w:t>Produktivitāte, ES-28=100</w:t>
      </w:r>
      <w:r>
        <w:rPr>
          <w:rFonts w:ascii="Candara" w:hAnsi="Candara"/>
          <w:b/>
          <w:color w:val="000000"/>
          <w:szCs w:val="28"/>
          <w:u w:val="single"/>
        </w:rPr>
        <w:t>.</w:t>
      </w:r>
      <w:r>
        <w:rPr>
          <w:rFonts w:ascii="Candara" w:hAnsi="Candara"/>
          <w:color w:val="000000"/>
          <w:szCs w:val="28"/>
        </w:rPr>
        <w:t xml:space="preserve"> </w:t>
      </w:r>
      <w:r w:rsidRPr="00260386">
        <w:rPr>
          <w:rFonts w:ascii="Candara" w:hAnsi="Candara"/>
          <w:color w:val="000000"/>
          <w:szCs w:val="28"/>
        </w:rPr>
        <w:t xml:space="preserve">Salīdzinot ar vidējo līmeni ES, </w:t>
      </w:r>
      <w:r>
        <w:rPr>
          <w:rFonts w:ascii="Candara" w:hAnsi="Candara"/>
          <w:color w:val="000000"/>
          <w:szCs w:val="28"/>
        </w:rPr>
        <w:t>telekomunikāciju nozarē</w:t>
      </w:r>
      <w:r w:rsidRPr="00260386">
        <w:rPr>
          <w:rFonts w:ascii="Candara" w:hAnsi="Candara"/>
          <w:color w:val="000000"/>
          <w:szCs w:val="28"/>
        </w:rPr>
        <w:t xml:space="preserve"> </w:t>
      </w:r>
      <w:r>
        <w:rPr>
          <w:rFonts w:ascii="Candara" w:hAnsi="Candara"/>
          <w:color w:val="000000"/>
          <w:szCs w:val="28"/>
        </w:rPr>
        <w:t>produktivitātes līmenis</w:t>
      </w:r>
      <w:r w:rsidRPr="00260386">
        <w:rPr>
          <w:rFonts w:ascii="Candara" w:hAnsi="Candara"/>
          <w:color w:val="000000"/>
          <w:szCs w:val="28"/>
        </w:rPr>
        <w:t xml:space="preserve"> </w:t>
      </w:r>
      <w:r>
        <w:rPr>
          <w:rFonts w:ascii="Candara" w:hAnsi="Candara"/>
          <w:color w:val="000000"/>
          <w:szCs w:val="28"/>
        </w:rPr>
        <w:t>līdz 2009.gadam bija</w:t>
      </w:r>
      <w:r w:rsidRPr="00260386">
        <w:rPr>
          <w:rFonts w:ascii="Candara" w:hAnsi="Candara"/>
          <w:color w:val="000000"/>
          <w:szCs w:val="28"/>
        </w:rPr>
        <w:t xml:space="preserve"> </w:t>
      </w:r>
      <w:r>
        <w:rPr>
          <w:rFonts w:ascii="Candara" w:hAnsi="Candara"/>
          <w:color w:val="000000"/>
          <w:szCs w:val="28"/>
        </w:rPr>
        <w:t>augstāks kā tautsaimniecībā kopumā.</w:t>
      </w:r>
      <w:r w:rsidRPr="00260386">
        <w:rPr>
          <w:rFonts w:ascii="Candara" w:hAnsi="Candara"/>
          <w:color w:val="000000"/>
          <w:szCs w:val="28"/>
        </w:rPr>
        <w:t xml:space="preserve"> </w:t>
      </w:r>
      <w:r>
        <w:rPr>
          <w:rFonts w:ascii="Candara" w:hAnsi="Candara"/>
          <w:color w:val="000000"/>
          <w:szCs w:val="28"/>
        </w:rPr>
        <w:t>Kopš 2010.gadā tas atpaliek no produktivitātes</w:t>
      </w:r>
      <w:r w:rsidRPr="0071749C">
        <w:rPr>
          <w:rFonts w:ascii="Candara" w:hAnsi="Candara"/>
          <w:color w:val="000000"/>
          <w:szCs w:val="28"/>
        </w:rPr>
        <w:t xml:space="preserve"> </w:t>
      </w:r>
      <w:r w:rsidRPr="00260386">
        <w:rPr>
          <w:rFonts w:ascii="Candara" w:hAnsi="Candara"/>
          <w:color w:val="000000"/>
          <w:szCs w:val="28"/>
        </w:rPr>
        <w:t>tautsaimniecībā kopumā.</w:t>
      </w:r>
      <w:r>
        <w:rPr>
          <w:rFonts w:ascii="Candara" w:hAnsi="Candara"/>
          <w:color w:val="000000"/>
          <w:szCs w:val="28"/>
        </w:rPr>
        <w:t xml:space="preserve"> Pēdējos gados atpalicības tendences pastiprinās.</w:t>
      </w:r>
    </w:p>
    <w:p w:rsidR="00806BCB" w:rsidP="00806BCB">
      <w:pPr>
        <w:spacing w:after="0" w:line="240" w:lineRule="auto"/>
        <w:jc w:val="both"/>
        <w:rPr>
          <w:rFonts w:ascii="Candara" w:hAnsi="Candara"/>
          <w:color w:val="000000"/>
          <w:szCs w:val="28"/>
        </w:rPr>
      </w:pPr>
      <w:r w:rsidRPr="00DF40AC">
        <w:rPr>
          <w:rFonts w:ascii="Candara" w:hAnsi="Candara"/>
          <w:b/>
          <w:color w:val="000000"/>
          <w:szCs w:val="28"/>
          <w:u w:val="single"/>
        </w:rPr>
        <w:t>Darbaspēka izmaksas</w:t>
      </w:r>
      <w:r>
        <w:rPr>
          <w:rFonts w:ascii="Candara" w:hAnsi="Candara"/>
          <w:b/>
          <w:color w:val="000000"/>
          <w:szCs w:val="28"/>
          <w:u w:val="single"/>
        </w:rPr>
        <w:t>, salīdzinot ar ES valstīm, 2015.gadā.</w:t>
      </w:r>
      <w:r>
        <w:rPr>
          <w:rFonts w:ascii="Candara" w:hAnsi="Candara"/>
          <w:color w:val="000000"/>
          <w:szCs w:val="28"/>
        </w:rPr>
        <w:t xml:space="preserve"> Latvijā 2015.gadā darbaspēka izmaksas telekomunikāciju nozarē bija augstākas nekā Igaunijā, bet zemākas nekā Lietuvā. Kopumā starp ES valstīm Latvija bija 20.vietā.</w:t>
      </w:r>
    </w:p>
    <w:p w:rsidR="00806BCB" w:rsidP="00806BCB">
      <w:pPr>
        <w:spacing w:after="0" w:line="240" w:lineRule="auto"/>
        <w:jc w:val="both"/>
        <w:rPr>
          <w:rFonts w:ascii="Candara" w:hAnsi="Candara"/>
          <w:color w:val="000000"/>
          <w:szCs w:val="28"/>
        </w:rPr>
      </w:pPr>
      <w:r w:rsidRPr="00DF40AC">
        <w:rPr>
          <w:rFonts w:ascii="Candara" w:hAnsi="Candara"/>
          <w:b/>
          <w:color w:val="000000"/>
          <w:szCs w:val="28"/>
          <w:u w:val="single"/>
        </w:rPr>
        <w:t>Produktivitāte</w:t>
      </w:r>
      <w:r>
        <w:rPr>
          <w:rFonts w:ascii="Candara" w:hAnsi="Candara"/>
          <w:b/>
          <w:color w:val="000000"/>
          <w:szCs w:val="28"/>
          <w:u w:val="single"/>
        </w:rPr>
        <w:t>,</w:t>
      </w:r>
      <w:r w:rsidRPr="0009319E">
        <w:rPr>
          <w:rFonts w:ascii="Candara" w:hAnsi="Candara"/>
          <w:b/>
          <w:color w:val="000000"/>
          <w:szCs w:val="28"/>
          <w:u w:val="single"/>
        </w:rPr>
        <w:t xml:space="preserve"> </w:t>
      </w:r>
      <w:r>
        <w:rPr>
          <w:rFonts w:ascii="Candara" w:hAnsi="Candara"/>
          <w:b/>
          <w:color w:val="000000"/>
          <w:szCs w:val="28"/>
          <w:u w:val="single"/>
        </w:rPr>
        <w:t>salīdzinot ar ES valstīm, 2015.gadā.</w:t>
      </w:r>
      <w:r>
        <w:rPr>
          <w:rFonts w:ascii="Candara" w:hAnsi="Candara"/>
          <w:color w:val="000000"/>
          <w:szCs w:val="28"/>
        </w:rPr>
        <w:t xml:space="preserve"> </w:t>
      </w:r>
      <w:r w:rsidRPr="0009319E">
        <w:rPr>
          <w:rFonts w:ascii="Candara" w:hAnsi="Candara"/>
          <w:color w:val="000000"/>
          <w:szCs w:val="28"/>
        </w:rPr>
        <w:t>Latvijā 201</w:t>
      </w:r>
      <w:r>
        <w:rPr>
          <w:rFonts w:ascii="Candara" w:hAnsi="Candara"/>
          <w:color w:val="000000"/>
          <w:szCs w:val="28"/>
        </w:rPr>
        <w:t>5</w:t>
      </w:r>
      <w:r w:rsidRPr="0009319E">
        <w:rPr>
          <w:rFonts w:ascii="Candara" w:hAnsi="Candara"/>
          <w:color w:val="000000"/>
          <w:szCs w:val="28"/>
        </w:rPr>
        <w:t xml:space="preserve">.gadā </w:t>
      </w:r>
      <w:r>
        <w:rPr>
          <w:rFonts w:ascii="Candara" w:hAnsi="Candara"/>
          <w:color w:val="000000"/>
          <w:szCs w:val="28"/>
        </w:rPr>
        <w:t>produktivitāte</w:t>
      </w:r>
      <w:r w:rsidRPr="0009319E">
        <w:rPr>
          <w:rFonts w:ascii="Candara" w:hAnsi="Candara"/>
          <w:color w:val="000000"/>
          <w:szCs w:val="28"/>
        </w:rPr>
        <w:t xml:space="preserve"> </w:t>
      </w:r>
      <w:r>
        <w:rPr>
          <w:rFonts w:ascii="Candara" w:hAnsi="Candara"/>
          <w:color w:val="000000"/>
          <w:szCs w:val="28"/>
        </w:rPr>
        <w:t>telekomunikāciju nozarē</w:t>
      </w:r>
      <w:r w:rsidRPr="0009319E">
        <w:rPr>
          <w:rFonts w:ascii="Candara" w:hAnsi="Candara"/>
          <w:color w:val="000000"/>
          <w:szCs w:val="28"/>
        </w:rPr>
        <w:t xml:space="preserve"> bija </w:t>
      </w:r>
      <w:r>
        <w:rPr>
          <w:rFonts w:ascii="Candara" w:hAnsi="Candara"/>
          <w:color w:val="000000"/>
          <w:szCs w:val="28"/>
        </w:rPr>
        <w:t>viena no zemākajām starp ES valstīm, zemāka tā bija tikai Rumānijā un Bulgārijā.</w:t>
      </w:r>
    </w:p>
    <w:p w:rsidR="00B2274B" w:rsidP="00806BCB">
      <w:pPr>
        <w:spacing w:after="0" w:line="240" w:lineRule="auto"/>
        <w:jc w:val="both"/>
        <w:rPr>
          <w:rFonts w:ascii="Candara" w:hAnsi="Candara"/>
          <w:color w:val="000000"/>
          <w:szCs w:val="28"/>
        </w:rPr>
      </w:pPr>
      <w:r w:rsidRPr="00DF40AC">
        <w:rPr>
          <w:rFonts w:ascii="Candara" w:hAnsi="Candara"/>
          <w:b/>
          <w:color w:val="000000"/>
          <w:szCs w:val="28"/>
          <w:u w:val="single"/>
        </w:rPr>
        <w:t>Produktivitāte un darbaspēka izmaksas ES-28 valstīs 2010.g</w:t>
      </w:r>
      <w:r>
        <w:rPr>
          <w:rFonts w:ascii="Candara" w:hAnsi="Candara"/>
          <w:b/>
          <w:color w:val="000000"/>
          <w:szCs w:val="28"/>
          <w:u w:val="single"/>
        </w:rPr>
        <w:t xml:space="preserve">adā un </w:t>
      </w:r>
      <w:r w:rsidRPr="00DF40AC">
        <w:rPr>
          <w:rFonts w:ascii="Candara" w:hAnsi="Candara"/>
          <w:b/>
          <w:color w:val="000000"/>
          <w:szCs w:val="28"/>
          <w:u w:val="single"/>
        </w:rPr>
        <w:t>201</w:t>
      </w:r>
      <w:r>
        <w:rPr>
          <w:rFonts w:ascii="Candara" w:hAnsi="Candara"/>
          <w:b/>
          <w:color w:val="000000"/>
          <w:szCs w:val="28"/>
          <w:u w:val="single"/>
        </w:rPr>
        <w:t>4</w:t>
      </w:r>
      <w:r w:rsidRPr="00DF40AC">
        <w:rPr>
          <w:rFonts w:ascii="Candara" w:hAnsi="Candara"/>
          <w:b/>
          <w:color w:val="000000"/>
          <w:szCs w:val="28"/>
          <w:u w:val="single"/>
        </w:rPr>
        <w:t>.g</w:t>
      </w:r>
      <w:r>
        <w:rPr>
          <w:rFonts w:ascii="Candara" w:hAnsi="Candara"/>
          <w:b/>
          <w:color w:val="000000"/>
          <w:szCs w:val="28"/>
          <w:u w:val="single"/>
        </w:rPr>
        <w:t>adā.</w:t>
      </w:r>
      <w:r>
        <w:rPr>
          <w:rFonts w:ascii="Candara" w:hAnsi="Candara"/>
          <w:color w:val="000000"/>
          <w:szCs w:val="28"/>
        </w:rPr>
        <w:t xml:space="preserve"> D</w:t>
      </w:r>
      <w:r w:rsidRPr="00306698">
        <w:rPr>
          <w:rFonts w:ascii="Candara" w:hAnsi="Candara"/>
          <w:color w:val="000000"/>
          <w:szCs w:val="28"/>
        </w:rPr>
        <w:t xml:space="preserve">arbaspēka izmaksas uz 1 produkcijas </w:t>
      </w:r>
      <w:r>
        <w:rPr>
          <w:rFonts w:ascii="Candara" w:hAnsi="Candara"/>
          <w:color w:val="000000"/>
          <w:szCs w:val="28"/>
        </w:rPr>
        <w:t>vienību (ULC) telekomunikāciju nozarē Latvijā 2015.gadā bija viens no augstākajiem rādītājiem starp ES valstīm, augstākā līmenī tas bija 5 dalībvalstīs. Savukārt produktivitāte bija viena no zemākajām ES. 2010.gadā ULC Latvijā bija tādā pašā līmenī kā vidēji ES. Darbaspēka izmaksu uz 1 produkcijas vienību kāpumu telekomunikāciju nozarē 2015.gadā, salīdzinot ar 2010.gadu, noteica darbaspēka izmaksu pieaugums par 26%. Salīdzinoši augstais ULC līmenis Latvijā telekomunikāciju nozarē liecina par būtiskām problēmām konkurētspējas nodrošināšanā.</w:t>
      </w:r>
      <w:r>
        <w:rPr>
          <w:rFonts w:ascii="Candara" w:hAnsi="Candara"/>
          <w:color w:val="000000"/>
          <w:szCs w:val="28"/>
        </w:rPr>
        <w:br w:type="page"/>
      </w:r>
    </w:p>
    <w:p w:rsidR="00B2274B" w:rsidP="00B2274B">
      <w:pPr>
        <w:pStyle w:val="Heading1"/>
        <w:jc w:val="center"/>
        <w:rPr>
          <w:b/>
          <w:sz w:val="20"/>
        </w:rPr>
      </w:pPr>
      <w:bookmarkStart w:id="87" w:name="_Toc482792421"/>
      <w:bookmarkStart w:id="88" w:name="_Toc256000023"/>
      <w:bookmarkStart w:id="89" w:name="_Toc256000049"/>
      <w:r>
        <w:rPr>
          <w:b/>
          <w:sz w:val="20"/>
        </w:rPr>
        <w:t>J62-63 DATORPROGRAMMĒŠANA, KONSULTĒŠANA, INFORMĀCIJAS PAKALPOJUMI</w:t>
      </w:r>
      <w:bookmarkEnd w:id="89"/>
      <w:bookmarkEnd w:id="88"/>
      <w:bookmarkEnd w:id="87"/>
    </w:p>
    <w:tbl>
      <w:tblPr>
        <w:tblW w:w="10525"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3581"/>
        <w:gridCol w:w="1768"/>
        <w:gridCol w:w="1825"/>
        <w:gridCol w:w="3371"/>
      </w:tblGrid>
      <w:tr w:rsidTr="00B2274B">
        <w:tblPrEx>
          <w:tblW w:w="10525"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Nozares īpatsvars tautsaimniecībā (faktiskajās cenās), %</w:t>
            </w:r>
          </w:p>
        </w:tc>
        <w:tc>
          <w:tcPr>
            <w:tcW w:w="3589"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Pievienotās vērtības un darba vietu skaita izmaiņas (2005=100)</w:t>
            </w:r>
          </w:p>
        </w:tc>
        <w:tc>
          <w:tcPr>
            <w:tcW w:w="3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Produkcijas eksports, milj. EUR*</w:t>
            </w:r>
          </w:p>
        </w:tc>
      </w:tr>
      <w:tr w:rsidTr="00B2274B">
        <w:tblPrEx>
          <w:tblW w:w="10525"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rPr>
                <w:rFonts w:ascii="Candara" w:hAnsi="Candara"/>
              </w:rPr>
            </w:pPr>
            <w:r>
              <w:rPr>
                <w:noProof/>
                <w:lang w:eastAsia="lv-LV"/>
              </w:rPr>
              <w:drawing>
                <wp:inline distT="0" distB="0" distL="0" distR="0">
                  <wp:extent cx="2136775" cy="1046480"/>
                  <wp:effectExtent l="0" t="0" r="0" b="1270"/>
                  <wp:docPr id="619" name="Chart 6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5"/>
                    </a:graphicData>
                  </a:graphic>
                </wp:inline>
              </w:drawing>
            </w:r>
          </w:p>
        </w:tc>
        <w:tc>
          <w:tcPr>
            <w:tcW w:w="3589"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1943100" cy="1055370"/>
                  <wp:effectExtent l="0" t="0" r="0" b="0"/>
                  <wp:docPr id="618" name="Chart 6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6"/>
                    </a:graphicData>
                  </a:graphic>
                </wp:inline>
              </w:drawing>
            </w:r>
          </w:p>
        </w:tc>
        <w:tc>
          <w:tcPr>
            <w:tcW w:w="3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rPr>
                <w:rFonts w:ascii="Candara" w:hAnsi="Candara"/>
              </w:rPr>
            </w:pPr>
            <w:r>
              <w:rPr>
                <w:b/>
                <w:noProof/>
                <w:lang w:eastAsia="lv-LV"/>
              </w:rPr>
              <w:drawing>
                <wp:inline distT="0" distB="0" distL="0" distR="0">
                  <wp:extent cx="1978025" cy="975995"/>
                  <wp:effectExtent l="0" t="0" r="3175" b="0"/>
                  <wp:docPr id="617" name="Chart 6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7"/>
                    </a:graphicData>
                  </a:graphic>
                </wp:inline>
              </w:drawing>
            </w:r>
          </w:p>
          <w:p w:rsidR="00B2274B" w:rsidP="00762D1E">
            <w:pPr>
              <w:spacing w:after="0" w:line="240" w:lineRule="auto"/>
              <w:rPr>
                <w:rFonts w:ascii="Candara" w:hAnsi="Candara"/>
              </w:rPr>
            </w:pPr>
            <w:r>
              <w:rPr>
                <w:rFonts w:ascii="Candara" w:hAnsi="Candara"/>
                <w:sz w:val="14"/>
                <w:szCs w:val="14"/>
              </w:rPr>
              <w:t>* Latvijas Bankas dati</w:t>
            </w:r>
          </w:p>
        </w:tc>
      </w:tr>
      <w:tr w:rsidTr="00B2274B">
        <w:tblPrEx>
          <w:tblW w:w="10525"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Eksports uz 1 strādājošo, tūkst. EUR</w:t>
            </w:r>
          </w:p>
        </w:tc>
        <w:tc>
          <w:tcPr>
            <w:tcW w:w="6949"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Eksports uz 1 strādājošo ES 28 valstīs, 2015.g., tūkst. EUR</w:t>
            </w:r>
          </w:p>
        </w:tc>
      </w:tr>
      <w:tr w:rsidTr="00B2274B">
        <w:tblPrEx>
          <w:tblW w:w="10525"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36775" cy="1169670"/>
                  <wp:effectExtent l="0" t="0" r="0" b="0"/>
                  <wp:docPr id="616" name="Chart 6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8"/>
                    </a:graphicData>
                  </a:graphic>
                </wp:inline>
              </w:drawing>
            </w:r>
          </w:p>
        </w:tc>
        <w:tc>
          <w:tcPr>
            <w:tcW w:w="6949"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4114800" cy="1169670"/>
                  <wp:effectExtent l="0" t="0" r="0" b="0"/>
                  <wp:docPr id="615" name="Chart 6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9"/>
                    </a:graphicData>
                  </a:graphic>
                </wp:inline>
              </w:drawing>
            </w:r>
          </w:p>
        </w:tc>
      </w:tr>
      <w:tr w:rsidTr="00B2274B">
        <w:tblPrEx>
          <w:tblW w:w="10525" w:type="dxa"/>
          <w:jc w:val="center"/>
          <w:tblLook w:val="04A0"/>
        </w:tblPrEx>
        <w:trPr>
          <w:jc w:val="center"/>
        </w:trPr>
        <w:tc>
          <w:tcPr>
            <w:tcW w:w="10525"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Eksporta tirgi, 2015.g.*</w:t>
            </w:r>
          </w:p>
        </w:tc>
      </w:tr>
      <w:tr w:rsidTr="00B2274B">
        <w:tblPrEx>
          <w:tblW w:w="10525" w:type="dxa"/>
          <w:jc w:val="center"/>
          <w:tblLook w:val="04A0"/>
        </w:tblPrEx>
        <w:trPr>
          <w:jc w:val="center"/>
        </w:trPr>
        <w:tc>
          <w:tcPr>
            <w:tcW w:w="10525"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tabs>
                <w:tab w:val="left" w:pos="8080"/>
              </w:tabs>
              <w:spacing w:after="0" w:line="240" w:lineRule="auto"/>
              <w:ind w:right="-31"/>
              <w:jc w:val="center"/>
            </w:pPr>
            <w:r>
              <w:rPr>
                <w:noProof/>
                <w:lang w:eastAsia="lv-LV"/>
              </w:rPr>
              <w:drawing>
                <wp:inline distT="0" distB="0" distL="0" distR="0">
                  <wp:extent cx="3815715" cy="1371600"/>
                  <wp:effectExtent l="0" t="0" r="0" b="0"/>
                  <wp:docPr id="614" name="Chart 6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0"/>
                    </a:graphicData>
                  </a:graphic>
                </wp:inline>
              </w:drawing>
            </w:r>
          </w:p>
          <w:p w:rsidR="00B2274B" w:rsidP="00762D1E">
            <w:pPr>
              <w:tabs>
                <w:tab w:val="left" w:pos="8080"/>
              </w:tabs>
              <w:spacing w:after="0" w:line="240" w:lineRule="auto"/>
              <w:ind w:right="-31"/>
              <w:jc w:val="center"/>
            </w:pPr>
            <w:r>
              <w:rPr>
                <w:rFonts w:ascii="Candara" w:hAnsi="Candara"/>
                <w:sz w:val="14"/>
                <w:szCs w:val="14"/>
              </w:rPr>
              <w:t>* Latvijas Bankas dati</w:t>
            </w:r>
          </w:p>
        </w:tc>
      </w:tr>
      <w:tr w:rsidTr="00B2274B">
        <w:tblPrEx>
          <w:tblW w:w="10525"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Darbaspēka izmaksu dinamika, tūkst. EUR</w:t>
            </w:r>
          </w:p>
        </w:tc>
        <w:tc>
          <w:tcPr>
            <w:tcW w:w="3589"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Produktivitātes dinamika, tūkst. EUR</w:t>
            </w:r>
          </w:p>
        </w:tc>
        <w:tc>
          <w:tcPr>
            <w:tcW w:w="3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 un darbaspēka izmaksas</w:t>
            </w:r>
          </w:p>
        </w:tc>
      </w:tr>
      <w:tr w:rsidTr="00B2274B">
        <w:tblPrEx>
          <w:tblW w:w="10525"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36775" cy="1046480"/>
                  <wp:effectExtent l="0" t="0" r="0" b="1270"/>
                  <wp:docPr id="613" name="Chart 6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1"/>
                    </a:graphicData>
                  </a:graphic>
                </wp:inline>
              </w:drawing>
            </w:r>
          </w:p>
        </w:tc>
        <w:tc>
          <w:tcPr>
            <w:tcW w:w="3589"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36775" cy="1055370"/>
                  <wp:effectExtent l="0" t="0" r="0" b="0"/>
                  <wp:docPr id="612" name="Chart 6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2"/>
                    </a:graphicData>
                  </a:graphic>
                </wp:inline>
              </w:drawing>
            </w:r>
          </w:p>
        </w:tc>
        <w:tc>
          <w:tcPr>
            <w:tcW w:w="3360"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1846580" cy="2233295"/>
                  <wp:effectExtent l="0" t="0" r="0" b="0"/>
                  <wp:docPr id="611" name="Chart 6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3"/>
                    </a:graphicData>
                  </a:graphic>
                </wp:inline>
              </w:drawing>
            </w:r>
          </w:p>
        </w:tc>
      </w:tr>
      <w:tr w:rsidTr="00B2274B">
        <w:tblPrEx>
          <w:tblW w:w="10525"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Darbaspēka izmaksas, ES-28=100</w:t>
            </w:r>
          </w:p>
        </w:tc>
        <w:tc>
          <w:tcPr>
            <w:tcW w:w="3589"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 ES-28=100</w:t>
            </w:r>
          </w:p>
        </w:tc>
        <w:tc>
          <w:tcPr>
            <w:tcW w:w="0" w:type="auto"/>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B2274B">
            <w:pPr>
              <w:rPr>
                <w:rFonts w:ascii="Candara" w:hAnsi="Candara"/>
              </w:rPr>
            </w:pPr>
          </w:p>
        </w:tc>
      </w:tr>
      <w:tr w:rsidTr="00B2274B">
        <w:tblPrEx>
          <w:tblW w:w="10525"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27885" cy="1055370"/>
                  <wp:effectExtent l="0" t="0" r="5715" b="0"/>
                  <wp:docPr id="610" name="Chart 6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4"/>
                    </a:graphicData>
                  </a:graphic>
                </wp:inline>
              </w:drawing>
            </w:r>
          </w:p>
        </w:tc>
        <w:tc>
          <w:tcPr>
            <w:tcW w:w="3589"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36775" cy="1055370"/>
                  <wp:effectExtent l="0" t="0" r="0" b="0"/>
                  <wp:docPr id="609" name="Chart 6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5"/>
                    </a:graphicData>
                  </a:graphic>
                </wp:inline>
              </w:drawing>
            </w:r>
          </w:p>
        </w:tc>
        <w:tc>
          <w:tcPr>
            <w:tcW w:w="0" w:type="auto"/>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B2274B">
            <w:pPr>
              <w:rPr>
                <w:rFonts w:ascii="Candara" w:hAnsi="Candara"/>
              </w:rPr>
            </w:pPr>
          </w:p>
        </w:tc>
      </w:tr>
      <w:tr w:rsidTr="00B2274B">
        <w:tblPrEx>
          <w:tblW w:w="10525" w:type="dxa"/>
          <w:jc w:val="center"/>
          <w:tblLook w:val="04A0"/>
        </w:tblPrEx>
        <w:trPr>
          <w:jc w:val="center"/>
        </w:trPr>
        <w:tc>
          <w:tcPr>
            <w:tcW w:w="5344"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Darbaspēka izmaksas uz 1 nodarbināto 2015.g., tūkst. EUR</w:t>
            </w:r>
          </w:p>
        </w:tc>
        <w:tc>
          <w:tcPr>
            <w:tcW w:w="518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Produktivitāte  (PV uz 1 nodarbināto) 2015.g., tūkst. EUR</w:t>
            </w:r>
          </w:p>
        </w:tc>
      </w:tr>
      <w:tr w:rsidTr="00B2274B">
        <w:tblPrEx>
          <w:tblW w:w="10525" w:type="dxa"/>
          <w:jc w:val="center"/>
          <w:tblLook w:val="04A0"/>
        </w:tblPrEx>
        <w:trPr>
          <w:jc w:val="center"/>
        </w:trPr>
        <w:tc>
          <w:tcPr>
            <w:tcW w:w="5344"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3156585" cy="1072515"/>
                  <wp:effectExtent l="0" t="0" r="5715" b="0"/>
                  <wp:docPr id="608" name="Chart 6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6"/>
                    </a:graphicData>
                  </a:graphic>
                </wp:inline>
              </w:drawing>
            </w:r>
          </w:p>
        </w:tc>
        <w:tc>
          <w:tcPr>
            <w:tcW w:w="518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3156585" cy="1063625"/>
                  <wp:effectExtent l="0" t="0" r="5715" b="3175"/>
                  <wp:docPr id="607" name="Chart 6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7"/>
                    </a:graphicData>
                  </a:graphic>
                </wp:inline>
              </w:drawing>
            </w:r>
          </w:p>
        </w:tc>
      </w:tr>
      <w:tr w:rsidTr="00B2274B">
        <w:tblPrEx>
          <w:tblW w:w="10525" w:type="dxa"/>
          <w:jc w:val="center"/>
          <w:tblLook w:val="04A0"/>
        </w:tblPrEx>
        <w:trPr>
          <w:jc w:val="center"/>
        </w:trPr>
        <w:tc>
          <w:tcPr>
            <w:tcW w:w="5344"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 un darbaspēka izmaksas ES-28 valstīs 2010.g.</w:t>
            </w:r>
          </w:p>
        </w:tc>
        <w:tc>
          <w:tcPr>
            <w:tcW w:w="518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 un darbaspēka izmaksas ES-28 valstīs 2015.g.</w:t>
            </w:r>
          </w:p>
        </w:tc>
      </w:tr>
      <w:tr w:rsidTr="00B2274B">
        <w:tblPrEx>
          <w:tblW w:w="10525" w:type="dxa"/>
          <w:jc w:val="center"/>
          <w:tblLook w:val="04A0"/>
        </w:tblPrEx>
        <w:trPr>
          <w:jc w:val="center"/>
        </w:trPr>
        <w:tc>
          <w:tcPr>
            <w:tcW w:w="5344"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rPr>
                <w:rFonts w:ascii="Candara" w:hAnsi="Candara"/>
              </w:rPr>
            </w:pPr>
            <w:r>
              <w:rPr>
                <w:noProof/>
                <w:lang w:eastAsia="lv-LV"/>
              </w:rPr>
              <w:drawing>
                <wp:inline distT="0" distB="0" distL="0" distR="0">
                  <wp:extent cx="3059430" cy="1336675"/>
                  <wp:effectExtent l="0" t="0" r="0" b="0"/>
                  <wp:docPr id="606" name="Chart 6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8"/>
                    </a:graphicData>
                  </a:graphic>
                </wp:inline>
              </w:drawing>
            </w:r>
          </w:p>
        </w:tc>
        <w:tc>
          <w:tcPr>
            <w:tcW w:w="518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rPr>
                <w:rFonts w:ascii="Candara" w:hAnsi="Candara"/>
              </w:rPr>
            </w:pPr>
            <w:r>
              <w:rPr>
                <w:noProof/>
                <w:lang w:eastAsia="lv-LV"/>
              </w:rPr>
              <w:drawing>
                <wp:inline distT="0" distB="0" distL="0" distR="0">
                  <wp:extent cx="3059430" cy="1336675"/>
                  <wp:effectExtent l="0" t="0" r="0" b="0"/>
                  <wp:docPr id="583" name="Chart 5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9"/>
                    </a:graphicData>
                  </a:graphic>
                </wp:inline>
              </w:drawing>
            </w:r>
          </w:p>
        </w:tc>
      </w:tr>
    </w:tbl>
    <w:p w:rsidR="00B2274B" w:rsidP="00B2274B">
      <w:pPr>
        <w:spacing w:after="0" w:line="240" w:lineRule="auto"/>
        <w:jc w:val="both"/>
        <w:rPr>
          <w:rFonts w:ascii="Candara" w:hAnsi="Candara"/>
          <w:b/>
          <w:color w:val="000000"/>
          <w:szCs w:val="28"/>
          <w:u w:val="single"/>
        </w:rPr>
      </w:pPr>
    </w:p>
    <w:p w:rsidR="00FA34FF" w:rsidP="00FA34FF">
      <w:pPr>
        <w:spacing w:after="0" w:line="240" w:lineRule="auto"/>
        <w:jc w:val="both"/>
        <w:rPr>
          <w:rFonts w:ascii="Candara" w:hAnsi="Candara"/>
          <w:color w:val="000000"/>
          <w:szCs w:val="28"/>
        </w:rPr>
      </w:pPr>
      <w:bookmarkEnd w:id="81"/>
      <w:r>
        <w:rPr>
          <w:rFonts w:ascii="Candara" w:hAnsi="Candara"/>
          <w:b/>
          <w:color w:val="000000"/>
          <w:szCs w:val="28"/>
          <w:u w:val="single"/>
        </w:rPr>
        <w:t xml:space="preserve">Nozares īpatsvars </w:t>
      </w:r>
      <w:r w:rsidRPr="00DF40AC">
        <w:rPr>
          <w:rFonts w:ascii="Candara" w:hAnsi="Candara"/>
          <w:b/>
          <w:color w:val="000000"/>
          <w:szCs w:val="28"/>
          <w:u w:val="single"/>
        </w:rPr>
        <w:t xml:space="preserve">tautsaimniecībā, </w:t>
      </w:r>
      <w:r>
        <w:rPr>
          <w:rFonts w:ascii="Candara" w:hAnsi="Candara"/>
          <w:b/>
          <w:color w:val="000000"/>
          <w:szCs w:val="28"/>
          <w:u w:val="single"/>
        </w:rPr>
        <w:t>procentos.</w:t>
      </w:r>
      <w:r w:rsidRPr="00F835E8">
        <w:rPr>
          <w:rFonts w:ascii="Candara" w:hAnsi="Candara"/>
          <w:color w:val="000000"/>
          <w:szCs w:val="28"/>
        </w:rPr>
        <w:t xml:space="preserve"> </w:t>
      </w:r>
      <w:r w:rsidRPr="00C40785">
        <w:rPr>
          <w:rFonts w:ascii="Candara" w:hAnsi="Candara"/>
          <w:color w:val="000000"/>
          <w:szCs w:val="28"/>
        </w:rPr>
        <w:t>Datorprogrammēšana</w:t>
      </w:r>
      <w:r>
        <w:rPr>
          <w:rFonts w:ascii="Candara" w:hAnsi="Candara"/>
          <w:color w:val="000000"/>
          <w:szCs w:val="28"/>
        </w:rPr>
        <w:t>s</w:t>
      </w:r>
      <w:r w:rsidRPr="00C40785">
        <w:rPr>
          <w:rFonts w:ascii="Candara" w:hAnsi="Candara"/>
          <w:color w:val="000000"/>
          <w:szCs w:val="28"/>
        </w:rPr>
        <w:t>, konsultēšana</w:t>
      </w:r>
      <w:r>
        <w:rPr>
          <w:rFonts w:ascii="Candara" w:hAnsi="Candara"/>
          <w:color w:val="000000"/>
          <w:szCs w:val="28"/>
        </w:rPr>
        <w:t>s un</w:t>
      </w:r>
      <w:r w:rsidRPr="00C40785">
        <w:rPr>
          <w:rFonts w:ascii="Candara" w:hAnsi="Candara"/>
          <w:color w:val="000000"/>
          <w:szCs w:val="28"/>
        </w:rPr>
        <w:t xml:space="preserve"> informācijas pakalpojum</w:t>
      </w:r>
      <w:r>
        <w:rPr>
          <w:rFonts w:ascii="Candara" w:hAnsi="Candara"/>
          <w:color w:val="000000"/>
          <w:szCs w:val="28"/>
        </w:rPr>
        <w:t>u īpatsvars kopējā tautsaimniecībā 2005.gadā bija 0,8%. Kopš 2007.gadā nozares īpatsvars pakāpeniski pieauga no 0,9% 2007.gadā līdz 2,5% 2015.gadā.</w:t>
      </w:r>
    </w:p>
    <w:p w:rsidR="00FA34FF" w:rsidP="00FA34FF">
      <w:pPr>
        <w:spacing w:after="0" w:line="240" w:lineRule="auto"/>
        <w:jc w:val="both"/>
        <w:rPr>
          <w:rFonts w:ascii="Candara" w:hAnsi="Candara"/>
          <w:color w:val="000000"/>
          <w:szCs w:val="28"/>
        </w:rPr>
      </w:pPr>
      <w:r w:rsidRPr="00DF40AC">
        <w:rPr>
          <w:rFonts w:ascii="Candara" w:hAnsi="Candara"/>
          <w:b/>
          <w:color w:val="000000"/>
          <w:szCs w:val="28"/>
          <w:u w:val="single"/>
        </w:rPr>
        <w:t>Pievienotās vērtības un darba vietu skaita izmaiņas</w:t>
      </w:r>
      <w:r>
        <w:rPr>
          <w:rFonts w:ascii="Candara" w:hAnsi="Candara"/>
          <w:b/>
          <w:color w:val="000000"/>
          <w:szCs w:val="28"/>
          <w:u w:val="single"/>
        </w:rPr>
        <w:t>, 2005=100.</w:t>
      </w:r>
      <w:r w:rsidRPr="00F835E8">
        <w:rPr>
          <w:rFonts w:ascii="Candara" w:hAnsi="Candara"/>
          <w:color w:val="000000"/>
          <w:szCs w:val="28"/>
        </w:rPr>
        <w:t xml:space="preserve"> </w:t>
      </w:r>
      <w:r>
        <w:rPr>
          <w:rFonts w:ascii="Candara" w:hAnsi="Candara"/>
          <w:color w:val="000000"/>
          <w:szCs w:val="28"/>
        </w:rPr>
        <w:t xml:space="preserve">Pēckrīzes periodā nozares ražošanas apjomi vienmērīgi palielinās. </w:t>
      </w:r>
      <w:r w:rsidRPr="00E615F1">
        <w:rPr>
          <w:rFonts w:ascii="Candara" w:hAnsi="Candara"/>
          <w:color w:val="000000"/>
          <w:szCs w:val="28"/>
        </w:rPr>
        <w:t>201</w:t>
      </w:r>
      <w:r>
        <w:rPr>
          <w:rFonts w:ascii="Candara" w:hAnsi="Candara"/>
          <w:color w:val="000000"/>
          <w:szCs w:val="28"/>
        </w:rPr>
        <w:t>5.</w:t>
      </w:r>
      <w:r w:rsidRPr="00E615F1">
        <w:rPr>
          <w:rFonts w:ascii="Candara" w:hAnsi="Candara"/>
          <w:color w:val="000000"/>
          <w:szCs w:val="28"/>
        </w:rPr>
        <w:t xml:space="preserve">gadā ražošanas apjomi </w:t>
      </w:r>
      <w:r>
        <w:rPr>
          <w:rFonts w:ascii="Candara" w:hAnsi="Candara"/>
          <w:color w:val="000000"/>
          <w:szCs w:val="28"/>
        </w:rPr>
        <w:t>nozarē</w:t>
      </w:r>
      <w:r w:rsidRPr="00E615F1">
        <w:rPr>
          <w:rFonts w:ascii="Candara" w:hAnsi="Candara"/>
          <w:color w:val="000000"/>
          <w:szCs w:val="28"/>
        </w:rPr>
        <w:t xml:space="preserve"> </w:t>
      </w:r>
      <w:r>
        <w:rPr>
          <w:rFonts w:ascii="Candara" w:hAnsi="Candara"/>
          <w:color w:val="000000"/>
          <w:szCs w:val="28"/>
        </w:rPr>
        <w:t>palieli</w:t>
      </w:r>
      <w:r w:rsidRPr="00E615F1">
        <w:rPr>
          <w:rFonts w:ascii="Candara" w:hAnsi="Candara"/>
          <w:color w:val="000000"/>
          <w:szCs w:val="28"/>
        </w:rPr>
        <w:t xml:space="preserve">nājās par </w:t>
      </w:r>
      <w:r>
        <w:rPr>
          <w:rFonts w:ascii="Candara" w:hAnsi="Candara"/>
          <w:color w:val="000000"/>
          <w:szCs w:val="28"/>
        </w:rPr>
        <w:t>6</w:t>
      </w:r>
      <w:r w:rsidRPr="00E615F1">
        <w:rPr>
          <w:rFonts w:ascii="Candara" w:hAnsi="Candara"/>
          <w:color w:val="000000"/>
          <w:szCs w:val="28"/>
        </w:rPr>
        <w:t>%</w:t>
      </w:r>
      <w:r>
        <w:rPr>
          <w:rFonts w:ascii="Candara" w:hAnsi="Candara"/>
          <w:color w:val="000000"/>
          <w:szCs w:val="28"/>
        </w:rPr>
        <w:t>, salīdzinot ar 2014.gadu</w:t>
      </w:r>
      <w:r w:rsidRPr="00E615F1">
        <w:rPr>
          <w:rFonts w:ascii="Candara" w:hAnsi="Candara"/>
          <w:color w:val="000000"/>
          <w:szCs w:val="28"/>
        </w:rPr>
        <w:t xml:space="preserve">. </w:t>
      </w:r>
      <w:r>
        <w:rPr>
          <w:rFonts w:ascii="Candara" w:hAnsi="Candara"/>
          <w:color w:val="000000"/>
          <w:szCs w:val="28"/>
        </w:rPr>
        <w:t>Savukārt, salīdzinot ar</w:t>
      </w:r>
      <w:r w:rsidRPr="00E615F1">
        <w:rPr>
          <w:rFonts w:ascii="Candara" w:hAnsi="Candara"/>
          <w:color w:val="000000"/>
          <w:szCs w:val="28"/>
        </w:rPr>
        <w:t xml:space="preserve"> krīzes zemāk</w:t>
      </w:r>
      <w:r>
        <w:rPr>
          <w:rFonts w:ascii="Candara" w:hAnsi="Candara"/>
          <w:color w:val="000000"/>
          <w:szCs w:val="28"/>
        </w:rPr>
        <w:t>o</w:t>
      </w:r>
      <w:r w:rsidRPr="00E615F1">
        <w:rPr>
          <w:rFonts w:ascii="Candara" w:hAnsi="Candara"/>
          <w:color w:val="000000"/>
          <w:szCs w:val="28"/>
        </w:rPr>
        <w:t xml:space="preserve"> punkt</w:t>
      </w:r>
      <w:r>
        <w:rPr>
          <w:rFonts w:ascii="Candara" w:hAnsi="Candara"/>
          <w:color w:val="000000"/>
          <w:szCs w:val="28"/>
        </w:rPr>
        <w:t>u</w:t>
      </w:r>
      <w:r w:rsidRPr="00E615F1">
        <w:rPr>
          <w:rFonts w:ascii="Candara" w:hAnsi="Candara"/>
          <w:color w:val="000000"/>
          <w:szCs w:val="28"/>
        </w:rPr>
        <w:t xml:space="preserve"> 20</w:t>
      </w:r>
      <w:r>
        <w:rPr>
          <w:rFonts w:ascii="Candara" w:hAnsi="Candara"/>
          <w:color w:val="000000"/>
          <w:szCs w:val="28"/>
        </w:rPr>
        <w:t>10</w:t>
      </w:r>
      <w:r w:rsidRPr="00E615F1">
        <w:rPr>
          <w:rFonts w:ascii="Candara" w:hAnsi="Candara"/>
          <w:color w:val="000000"/>
          <w:szCs w:val="28"/>
        </w:rPr>
        <w:t xml:space="preserve">. </w:t>
      </w:r>
      <w:r>
        <w:rPr>
          <w:rFonts w:ascii="Candara" w:hAnsi="Candara"/>
          <w:color w:val="000000"/>
          <w:szCs w:val="28"/>
        </w:rPr>
        <w:t>g</w:t>
      </w:r>
      <w:r w:rsidRPr="00E615F1">
        <w:rPr>
          <w:rFonts w:ascii="Candara" w:hAnsi="Candara"/>
          <w:color w:val="000000"/>
          <w:szCs w:val="28"/>
        </w:rPr>
        <w:t>adā</w:t>
      </w:r>
      <w:r>
        <w:rPr>
          <w:rFonts w:ascii="Candara" w:hAnsi="Candara"/>
          <w:color w:val="000000"/>
          <w:szCs w:val="28"/>
        </w:rPr>
        <w:t>,</w:t>
      </w:r>
      <w:r w:rsidRPr="00E615F1">
        <w:rPr>
          <w:rFonts w:ascii="Candara" w:hAnsi="Candara"/>
          <w:color w:val="000000"/>
          <w:szCs w:val="28"/>
        </w:rPr>
        <w:t xml:space="preserve"> </w:t>
      </w:r>
      <w:r>
        <w:rPr>
          <w:rFonts w:ascii="Candara" w:hAnsi="Candara"/>
          <w:color w:val="000000"/>
          <w:szCs w:val="28"/>
        </w:rPr>
        <w:t xml:space="preserve">2015.gadā </w:t>
      </w:r>
      <w:r w:rsidRPr="00E615F1">
        <w:rPr>
          <w:rFonts w:ascii="Candara" w:hAnsi="Candara"/>
          <w:color w:val="000000"/>
          <w:szCs w:val="28"/>
        </w:rPr>
        <w:t xml:space="preserve">nozares izlaides apjomi </w:t>
      </w:r>
      <w:r>
        <w:rPr>
          <w:rFonts w:ascii="Candara" w:hAnsi="Candara"/>
          <w:color w:val="000000"/>
          <w:szCs w:val="28"/>
        </w:rPr>
        <w:t>bija</w:t>
      </w:r>
      <w:r w:rsidRPr="00E615F1">
        <w:rPr>
          <w:rFonts w:ascii="Candara" w:hAnsi="Candara"/>
          <w:color w:val="000000"/>
          <w:szCs w:val="28"/>
        </w:rPr>
        <w:t xml:space="preserve"> </w:t>
      </w:r>
      <w:r>
        <w:rPr>
          <w:rFonts w:ascii="Candara" w:hAnsi="Candara"/>
          <w:color w:val="000000"/>
          <w:szCs w:val="28"/>
        </w:rPr>
        <w:t>auguši par 62% un par 25% pārsniedza pirmskrīzes līmeni.</w:t>
      </w:r>
    </w:p>
    <w:p w:rsidR="00FA34FF" w:rsidP="00FA34FF">
      <w:pPr>
        <w:spacing w:after="0" w:line="240" w:lineRule="auto"/>
        <w:jc w:val="both"/>
        <w:rPr>
          <w:rFonts w:ascii="Candara" w:hAnsi="Candara"/>
          <w:b/>
          <w:color w:val="000000"/>
          <w:szCs w:val="28"/>
          <w:u w:val="single"/>
        </w:rPr>
      </w:pPr>
      <w:r w:rsidRPr="00E615F1">
        <w:rPr>
          <w:rFonts w:ascii="Candara" w:hAnsi="Candara"/>
          <w:color w:val="000000"/>
          <w:szCs w:val="28"/>
        </w:rPr>
        <w:t xml:space="preserve">Salīdzinājumā ar ražošanas apjomu kāpumu darbavietu skaits nozarē aug krietni </w:t>
      </w:r>
      <w:r>
        <w:rPr>
          <w:rFonts w:ascii="Candara" w:hAnsi="Candara"/>
          <w:color w:val="000000"/>
          <w:szCs w:val="28"/>
        </w:rPr>
        <w:t>strauj</w:t>
      </w:r>
      <w:r w:rsidRPr="00E615F1">
        <w:rPr>
          <w:rFonts w:ascii="Candara" w:hAnsi="Candara"/>
          <w:color w:val="000000"/>
          <w:szCs w:val="28"/>
        </w:rPr>
        <w:t xml:space="preserve">āk, kas liecina par produktivitātes </w:t>
      </w:r>
      <w:r>
        <w:rPr>
          <w:rFonts w:ascii="Candara" w:hAnsi="Candara"/>
          <w:color w:val="000000"/>
          <w:szCs w:val="28"/>
        </w:rPr>
        <w:t>krit</w:t>
      </w:r>
      <w:r w:rsidRPr="00E615F1">
        <w:rPr>
          <w:rFonts w:ascii="Candara" w:hAnsi="Candara"/>
          <w:color w:val="000000"/>
          <w:szCs w:val="28"/>
        </w:rPr>
        <w:t>umu. 201</w:t>
      </w:r>
      <w:r>
        <w:rPr>
          <w:rFonts w:ascii="Candara" w:hAnsi="Candara"/>
          <w:color w:val="000000"/>
          <w:szCs w:val="28"/>
        </w:rPr>
        <w:t>5</w:t>
      </w:r>
      <w:r w:rsidRPr="00E615F1">
        <w:rPr>
          <w:rFonts w:ascii="Candara" w:hAnsi="Candara"/>
          <w:color w:val="000000"/>
          <w:szCs w:val="28"/>
        </w:rPr>
        <w:t xml:space="preserve">. gadā aizņemto darbavietu skaits palielinājās par </w:t>
      </w:r>
      <w:r>
        <w:rPr>
          <w:rFonts w:ascii="Candara" w:hAnsi="Candara"/>
          <w:color w:val="000000"/>
          <w:szCs w:val="28"/>
        </w:rPr>
        <w:t>11</w:t>
      </w:r>
      <w:r w:rsidRPr="00E615F1">
        <w:rPr>
          <w:rFonts w:ascii="Candara" w:hAnsi="Candara"/>
          <w:color w:val="000000"/>
          <w:szCs w:val="28"/>
        </w:rPr>
        <w:t>%</w:t>
      </w:r>
      <w:r>
        <w:rPr>
          <w:rFonts w:ascii="Candara" w:hAnsi="Candara"/>
          <w:color w:val="000000"/>
          <w:szCs w:val="28"/>
        </w:rPr>
        <w:t>. 2015.gadā, salīdzinot ar krīzes zemāko punktu 2010.gadā, darbavietu skaits bija palielinājies par 139%.</w:t>
      </w:r>
    </w:p>
    <w:p w:rsidR="00FA34FF" w:rsidP="00FA34FF">
      <w:pPr>
        <w:spacing w:after="0" w:line="240" w:lineRule="auto"/>
        <w:jc w:val="both"/>
        <w:rPr>
          <w:rFonts w:ascii="Candara" w:hAnsi="Candara"/>
          <w:color w:val="000000"/>
        </w:rPr>
      </w:pPr>
      <w:r w:rsidRPr="00DF40AC">
        <w:rPr>
          <w:rFonts w:ascii="Candara" w:hAnsi="Candara"/>
          <w:b/>
          <w:color w:val="000000"/>
          <w:szCs w:val="28"/>
          <w:u w:val="single"/>
        </w:rPr>
        <w:t>Produkcijas eksports</w:t>
      </w:r>
      <w:r>
        <w:rPr>
          <w:rFonts w:ascii="Candara" w:hAnsi="Candara"/>
          <w:b/>
          <w:color w:val="000000"/>
          <w:szCs w:val="28"/>
          <w:u w:val="single"/>
        </w:rPr>
        <w:t>, milj. EUR.</w:t>
      </w:r>
      <w:r>
        <w:rPr>
          <w:rFonts w:ascii="Candara" w:hAnsi="Candara"/>
          <w:color w:val="000000"/>
          <w:szCs w:val="28"/>
        </w:rPr>
        <w:t xml:space="preserve"> </w:t>
      </w:r>
      <w:r>
        <w:rPr>
          <w:rFonts w:ascii="Candara" w:hAnsi="Candara"/>
          <w:color w:val="000000"/>
        </w:rPr>
        <w:t>Eksportētās produkcijas apjomi 2016.gadā ir septiņas reizes lielāki nekā 2005.gadā.</w:t>
      </w:r>
    </w:p>
    <w:p w:rsidR="00FA34FF" w:rsidRPr="003114DC" w:rsidP="00FA34FF">
      <w:pPr>
        <w:spacing w:after="0" w:line="240" w:lineRule="auto"/>
        <w:jc w:val="both"/>
        <w:rPr>
          <w:rFonts w:ascii="Candara" w:hAnsi="Candara"/>
          <w:color w:val="000000"/>
          <w:spacing w:val="-4"/>
          <w:szCs w:val="28"/>
        </w:rPr>
      </w:pPr>
      <w:r w:rsidRPr="003114DC">
        <w:rPr>
          <w:rFonts w:ascii="Candara" w:hAnsi="Candara"/>
          <w:b/>
          <w:color w:val="000000"/>
          <w:spacing w:val="-4"/>
          <w:szCs w:val="28"/>
          <w:u w:val="single"/>
        </w:rPr>
        <w:t>Eksports uz 1 strādājošo, tūkst. EUR</w:t>
      </w:r>
      <w:r>
        <w:rPr>
          <w:rFonts w:ascii="Candara" w:hAnsi="Candara"/>
          <w:b/>
          <w:color w:val="000000"/>
          <w:spacing w:val="-4"/>
          <w:szCs w:val="28"/>
          <w:u w:val="single"/>
        </w:rPr>
        <w:t>.</w:t>
      </w:r>
      <w:r w:rsidRPr="003114DC">
        <w:rPr>
          <w:rFonts w:ascii="Candara" w:hAnsi="Candara"/>
          <w:color w:val="000000"/>
          <w:spacing w:val="-4"/>
          <w:szCs w:val="28"/>
        </w:rPr>
        <w:t xml:space="preserve"> </w:t>
      </w:r>
      <w:r w:rsidRPr="003114DC">
        <w:rPr>
          <w:rFonts w:ascii="Candara" w:hAnsi="Candara"/>
          <w:color w:val="000000"/>
          <w:spacing w:val="-4"/>
        </w:rPr>
        <w:t>Eksporta apjom</w:t>
      </w:r>
      <w:r>
        <w:rPr>
          <w:rFonts w:ascii="Candara" w:hAnsi="Candara"/>
          <w:color w:val="000000"/>
          <w:spacing w:val="-4"/>
        </w:rPr>
        <w:t>a</w:t>
      </w:r>
      <w:r w:rsidRPr="003114DC">
        <w:rPr>
          <w:rFonts w:ascii="Candara" w:hAnsi="Candara"/>
          <w:color w:val="000000"/>
          <w:spacing w:val="-4"/>
        </w:rPr>
        <w:t xml:space="preserve"> uz vienu strādājošo </w:t>
      </w:r>
      <w:r>
        <w:rPr>
          <w:rFonts w:ascii="Candara" w:hAnsi="Candara"/>
          <w:color w:val="000000"/>
          <w:spacing w:val="-4"/>
        </w:rPr>
        <w:t>pakāpeniska pieauguma tendence vērojama kopš 2008</w:t>
      </w:r>
      <w:r w:rsidRPr="003114DC">
        <w:rPr>
          <w:rFonts w:ascii="Candara" w:hAnsi="Candara"/>
          <w:color w:val="000000"/>
          <w:spacing w:val="-4"/>
        </w:rPr>
        <w:t>.gad</w:t>
      </w:r>
      <w:r>
        <w:rPr>
          <w:rFonts w:ascii="Candara" w:hAnsi="Candara"/>
          <w:color w:val="000000"/>
          <w:spacing w:val="-4"/>
        </w:rPr>
        <w:t>a, izņemot 2014.gadu, kas tas samazinājās</w:t>
      </w:r>
      <w:r w:rsidRPr="003114DC">
        <w:rPr>
          <w:rFonts w:ascii="Candara" w:hAnsi="Candara"/>
          <w:color w:val="000000"/>
          <w:spacing w:val="-4"/>
        </w:rPr>
        <w:t>.</w:t>
      </w:r>
      <w:r>
        <w:rPr>
          <w:rFonts w:ascii="Candara" w:hAnsi="Candara"/>
          <w:color w:val="000000"/>
          <w:spacing w:val="-4"/>
        </w:rPr>
        <w:t xml:space="preserve"> 2016.gadā pieaugums ir straujāks.</w:t>
      </w:r>
    </w:p>
    <w:p w:rsidR="00FA34FF" w:rsidRPr="00E620EF" w:rsidP="00FA34FF">
      <w:pPr>
        <w:spacing w:after="0" w:line="240" w:lineRule="auto"/>
        <w:jc w:val="both"/>
        <w:rPr>
          <w:rFonts w:ascii="Candara" w:hAnsi="Candara"/>
          <w:color w:val="000000"/>
          <w:szCs w:val="28"/>
        </w:rPr>
      </w:pPr>
      <w:r w:rsidRPr="00DF40AC">
        <w:rPr>
          <w:rFonts w:ascii="Candara" w:hAnsi="Candara"/>
          <w:b/>
          <w:color w:val="000000"/>
          <w:szCs w:val="28"/>
          <w:u w:val="single"/>
        </w:rPr>
        <w:t>Eksports uz 1 strādājošo ES 28 valstīs</w:t>
      </w:r>
      <w:r>
        <w:rPr>
          <w:rFonts w:ascii="Candara" w:hAnsi="Candara"/>
          <w:b/>
          <w:color w:val="000000"/>
          <w:szCs w:val="28"/>
          <w:u w:val="single"/>
        </w:rPr>
        <w:t>, tūkst. EUR</w:t>
      </w:r>
      <w:r>
        <w:rPr>
          <w:rFonts w:ascii="Candara" w:hAnsi="Candara"/>
          <w:color w:val="000000"/>
          <w:szCs w:val="28"/>
        </w:rPr>
        <w:t xml:space="preserve">. </w:t>
      </w:r>
      <w:r>
        <w:rPr>
          <w:rFonts w:ascii="Candara" w:hAnsi="Candara"/>
          <w:color w:val="000000"/>
        </w:rPr>
        <w:t>Latvijā eksporta apjoms uz vienu strādājošo nozarē bija augstāks nekā Lietuvā, bet zemāks nekā Igaunijā.</w:t>
      </w:r>
    </w:p>
    <w:p w:rsidR="00FA34FF" w:rsidRPr="00E620EF" w:rsidP="00FA34FF">
      <w:pPr>
        <w:spacing w:after="0" w:line="240" w:lineRule="auto"/>
        <w:jc w:val="both"/>
        <w:rPr>
          <w:rFonts w:ascii="Candara" w:hAnsi="Candara"/>
          <w:color w:val="000000"/>
          <w:szCs w:val="28"/>
        </w:rPr>
      </w:pPr>
      <w:r w:rsidRPr="00DF40AC">
        <w:rPr>
          <w:rFonts w:ascii="Candara" w:hAnsi="Candara"/>
          <w:b/>
          <w:color w:val="000000"/>
          <w:szCs w:val="28"/>
          <w:u w:val="single"/>
        </w:rPr>
        <w:t>Eksporta tirgi</w:t>
      </w:r>
      <w:r>
        <w:rPr>
          <w:rFonts w:ascii="Candara" w:hAnsi="Candara"/>
          <w:b/>
          <w:color w:val="000000"/>
          <w:szCs w:val="28"/>
          <w:u w:val="single"/>
        </w:rPr>
        <w:t>.</w:t>
      </w:r>
      <w:r w:rsidRPr="00F97BF6">
        <w:rPr>
          <w:rFonts w:ascii="Candara" w:hAnsi="Candara"/>
          <w:color w:val="000000"/>
          <w:szCs w:val="28"/>
        </w:rPr>
        <w:t xml:space="preserve"> </w:t>
      </w:r>
      <w:r>
        <w:rPr>
          <w:rFonts w:ascii="Candara" w:hAnsi="Candara"/>
          <w:color w:val="000000"/>
        </w:rPr>
        <w:t>Lielākie eksporta tirgi nozarē ir ASV, Zviedrija, Kipra, Somija, Apvienotā Karaliste, Krievija, Dānija, Nīderlande, Vācija, Itālija un Norvēģija.</w:t>
      </w:r>
    </w:p>
    <w:p w:rsidR="00FA34FF" w:rsidRPr="007C7824" w:rsidP="00FA34FF">
      <w:pPr>
        <w:spacing w:after="0" w:line="240" w:lineRule="auto"/>
        <w:jc w:val="both"/>
        <w:rPr>
          <w:rFonts w:ascii="Candara" w:hAnsi="Candara"/>
          <w:b/>
          <w:color w:val="000000"/>
          <w:szCs w:val="28"/>
          <w:u w:val="single"/>
        </w:rPr>
      </w:pPr>
      <w:r w:rsidRPr="00DF40AC">
        <w:rPr>
          <w:rFonts w:ascii="Candara" w:hAnsi="Candara"/>
          <w:b/>
          <w:color w:val="000000"/>
          <w:szCs w:val="28"/>
          <w:u w:val="single"/>
        </w:rPr>
        <w:t>Darbaspēka izmaksu dinamika</w:t>
      </w:r>
      <w:r>
        <w:rPr>
          <w:rFonts w:ascii="Candara" w:hAnsi="Candara"/>
          <w:b/>
          <w:color w:val="000000"/>
          <w:szCs w:val="28"/>
          <w:u w:val="single"/>
        </w:rPr>
        <w:t>, tūkst.</w:t>
      </w:r>
      <w:r>
        <w:rPr>
          <w:rFonts w:ascii="Candara" w:hAnsi="Candara"/>
          <w:color w:val="000000"/>
          <w:szCs w:val="28"/>
        </w:rPr>
        <w:t xml:space="preserve"> Darbaspēka izmaksas būtiski pieauga 2008.gadā, krīzes laikā nedaudz samazinājās.</w:t>
      </w:r>
      <w:r w:rsidRPr="007C7824">
        <w:rPr>
          <w:rFonts w:ascii="Candara" w:hAnsi="Candara"/>
          <w:color w:val="000000"/>
          <w:szCs w:val="28"/>
        </w:rPr>
        <w:t xml:space="preserve"> Atsākoties ekonomikas izaugsmei</w:t>
      </w:r>
      <w:r>
        <w:rPr>
          <w:rFonts w:ascii="Candara" w:hAnsi="Candara"/>
          <w:color w:val="000000"/>
          <w:szCs w:val="28"/>
        </w:rPr>
        <w:t>, kopš 2012.gada</w:t>
      </w:r>
      <w:r w:rsidRPr="007C7824">
        <w:rPr>
          <w:rFonts w:ascii="Candara" w:hAnsi="Candara"/>
          <w:color w:val="000000"/>
          <w:szCs w:val="28"/>
        </w:rPr>
        <w:t xml:space="preserve"> </w:t>
      </w:r>
      <w:r>
        <w:rPr>
          <w:rFonts w:ascii="Candara" w:hAnsi="Candara"/>
          <w:color w:val="000000"/>
          <w:szCs w:val="28"/>
        </w:rPr>
        <w:t xml:space="preserve">vērojams pakāpenisks </w:t>
      </w:r>
      <w:r w:rsidRPr="007C7824">
        <w:rPr>
          <w:rFonts w:ascii="Candara" w:hAnsi="Candara"/>
          <w:color w:val="000000"/>
          <w:szCs w:val="28"/>
        </w:rPr>
        <w:t>darba samaksas pieaugums</w:t>
      </w:r>
      <w:r>
        <w:rPr>
          <w:rFonts w:ascii="Candara" w:hAnsi="Candara"/>
          <w:color w:val="000000"/>
          <w:szCs w:val="28"/>
        </w:rPr>
        <w:t>.</w:t>
      </w:r>
    </w:p>
    <w:p w:rsidR="00FA34FF" w:rsidRPr="003114DC" w:rsidP="00FA34FF">
      <w:pPr>
        <w:spacing w:after="0" w:line="240" w:lineRule="auto"/>
        <w:jc w:val="both"/>
        <w:rPr>
          <w:rFonts w:ascii="Candara" w:hAnsi="Candara"/>
          <w:color w:val="000000"/>
          <w:spacing w:val="-4"/>
          <w:szCs w:val="28"/>
        </w:rPr>
      </w:pPr>
      <w:r w:rsidRPr="003114DC">
        <w:rPr>
          <w:rFonts w:ascii="Candara" w:hAnsi="Candara"/>
          <w:b/>
          <w:color w:val="000000"/>
          <w:spacing w:val="-4"/>
          <w:szCs w:val="28"/>
          <w:u w:val="single"/>
        </w:rPr>
        <w:t>Produktivitātes dinamika, tūkst.</w:t>
      </w:r>
      <w:r w:rsidRPr="003114DC">
        <w:rPr>
          <w:rFonts w:ascii="Candara" w:hAnsi="Candara"/>
          <w:color w:val="000000"/>
          <w:spacing w:val="-4"/>
          <w:szCs w:val="28"/>
        </w:rPr>
        <w:t xml:space="preserve"> Vienlaikus būtisks nodarbināto skaita pieaugums veicināja strauju produktivitātes kritumu jau pirms krīzes periodā. 2008.gadā produktivitāte palielinājās saistībā ar strauju ražošanas apjomu kāpumu un mērenāku nodarbināto skaita pieaugumu. Krīzes laikā produktivitāte samazinājās, ko lielā mērā ietekmēja straujš ražošanas apjomu kritums, vienlaikus darbaspēka izmaksas samazinājās minimāli. 2012.-2013.gadā straujāk pieaugot ražošanas apjomiem, produktivitāte nedaudz pieauga. Tomēr 2014</w:t>
      </w:r>
      <w:r>
        <w:rPr>
          <w:rFonts w:ascii="Candara" w:hAnsi="Candara"/>
          <w:color w:val="000000"/>
          <w:spacing w:val="-4"/>
          <w:szCs w:val="28"/>
        </w:rPr>
        <w:t>.-2015</w:t>
      </w:r>
      <w:r w:rsidRPr="003114DC">
        <w:rPr>
          <w:rFonts w:ascii="Candara" w:hAnsi="Candara"/>
          <w:color w:val="000000"/>
          <w:spacing w:val="-4"/>
          <w:szCs w:val="28"/>
        </w:rPr>
        <w:t>.gadā, turpinoties darbaspēka izmaksu un nodarbināto kāpumam, vērojams produktivitātes kritums.</w:t>
      </w:r>
    </w:p>
    <w:p w:rsidR="00FA34FF" w:rsidRPr="00FB0BD5" w:rsidP="00FA34FF">
      <w:pPr>
        <w:spacing w:after="0" w:line="240" w:lineRule="auto"/>
        <w:jc w:val="both"/>
        <w:rPr>
          <w:rFonts w:ascii="Candara" w:hAnsi="Candara"/>
          <w:b/>
          <w:color w:val="000000"/>
          <w:szCs w:val="28"/>
          <w:u w:val="single"/>
        </w:rPr>
      </w:pPr>
      <w:r w:rsidRPr="0092293D">
        <w:rPr>
          <w:rFonts w:ascii="Candara" w:hAnsi="Candara"/>
          <w:b/>
          <w:color w:val="000000"/>
          <w:szCs w:val="28"/>
          <w:u w:val="single"/>
        </w:rPr>
        <w:t>Produktivitāte un darbaspēka izmaksas</w:t>
      </w:r>
      <w:r>
        <w:rPr>
          <w:rFonts w:ascii="Candara" w:hAnsi="Candara"/>
          <w:b/>
          <w:color w:val="000000"/>
          <w:szCs w:val="28"/>
          <w:u w:val="single"/>
        </w:rPr>
        <w:t>.</w:t>
      </w:r>
      <w:r w:rsidRPr="0092293D">
        <w:rPr>
          <w:rFonts w:ascii="Candara" w:hAnsi="Candara"/>
          <w:color w:val="000000"/>
          <w:szCs w:val="28"/>
        </w:rPr>
        <w:t xml:space="preserve"> 201</w:t>
      </w:r>
      <w:r>
        <w:rPr>
          <w:rFonts w:ascii="Candara" w:hAnsi="Candara"/>
          <w:color w:val="000000"/>
          <w:szCs w:val="28"/>
        </w:rPr>
        <w:t>5</w:t>
      </w:r>
      <w:r w:rsidRPr="0092293D">
        <w:rPr>
          <w:rFonts w:ascii="Candara" w:hAnsi="Candara"/>
          <w:color w:val="000000"/>
          <w:szCs w:val="28"/>
        </w:rPr>
        <w:t xml:space="preserve">.gadā darbaspēka izmaksu pieaugums un produktivitātes kritums liecina par cenu konkurētspējas (izmaksu) pazemināšanos. Šī tendence ir vērojama kopš 2005.gada, ULC pakāpeniski pieauga visus gadus, bet produktivitāte pieauga tikai 2008.gadā un 2012.gadā, ko galvenokārt noteica ražošanas apjomu kāpums. Šādu nozares attīstības modeli var raksturot kā ekstensīvu. Vienlaikus jāatzīmē, ka kopš 2010.gada ULC nozarē Latvijā ir pieaudzis </w:t>
      </w:r>
      <w:r>
        <w:rPr>
          <w:rFonts w:ascii="Candara" w:hAnsi="Candara"/>
          <w:color w:val="000000"/>
          <w:szCs w:val="28"/>
        </w:rPr>
        <w:t xml:space="preserve">par 72%. </w:t>
      </w:r>
      <w:r w:rsidRPr="0092293D">
        <w:rPr>
          <w:rFonts w:ascii="Candara" w:hAnsi="Candara"/>
          <w:color w:val="000000"/>
          <w:szCs w:val="28"/>
        </w:rPr>
        <w:t>ULC pieaugums lielā mērā skaidrojams ar IT speciālistu lielo pieprasījumu darba tirgū, kā liecina pašreizējais stāvoklis un darba tirgus analīze, tādēļ izmaksu konkurētspējas uzturēšana nav iespējama uz darbaspēka izmaksu samazināšanas rēķina. Tas turpināsies arī turpmāk un nerisinot produktivitātes palielināšanu, būtiski pieaug risks samazināties izmaksu konkurētspējai. Jāatzīmē, ka produktivitāte, kas tiek aprēķināta kā pievienotā vērtība uz vienu nodarbināto samazinājās arī dēļ peļņas līmeņa samazināšanās, ko daļēji varētu skaidrot ar jauno uzņēmumu ienākšan</w:t>
      </w:r>
      <w:r>
        <w:rPr>
          <w:rFonts w:ascii="Candara" w:hAnsi="Candara"/>
          <w:color w:val="000000"/>
          <w:szCs w:val="28"/>
        </w:rPr>
        <w:t>u</w:t>
      </w:r>
      <w:r w:rsidRPr="0092293D">
        <w:rPr>
          <w:rFonts w:ascii="Candara" w:hAnsi="Candara"/>
          <w:color w:val="000000"/>
          <w:szCs w:val="28"/>
        </w:rPr>
        <w:t xml:space="preserve"> tirgū, kas pastiprina konkurenci.</w:t>
      </w:r>
    </w:p>
    <w:p w:rsidR="00FA34FF" w:rsidRPr="00F835E8" w:rsidP="00FA34FF">
      <w:pPr>
        <w:spacing w:after="0" w:line="240" w:lineRule="auto"/>
        <w:jc w:val="both"/>
        <w:rPr>
          <w:rFonts w:ascii="Candara" w:hAnsi="Candara"/>
          <w:color w:val="000000"/>
          <w:szCs w:val="28"/>
        </w:rPr>
      </w:pPr>
      <w:r w:rsidRPr="00DF40AC">
        <w:rPr>
          <w:rFonts w:ascii="Candara" w:hAnsi="Candara"/>
          <w:b/>
          <w:color w:val="000000"/>
          <w:szCs w:val="28"/>
          <w:u w:val="single"/>
        </w:rPr>
        <w:t>Darbaspēka izmaksas, ES-28=100</w:t>
      </w:r>
      <w:r>
        <w:rPr>
          <w:rFonts w:ascii="Candara" w:hAnsi="Candara"/>
          <w:b/>
          <w:color w:val="000000"/>
          <w:szCs w:val="28"/>
          <w:u w:val="single"/>
        </w:rPr>
        <w:t>.</w:t>
      </w:r>
      <w:r>
        <w:rPr>
          <w:rFonts w:ascii="Candara" w:hAnsi="Candara"/>
          <w:color w:val="000000"/>
          <w:szCs w:val="28"/>
        </w:rPr>
        <w:t xml:space="preserve"> </w:t>
      </w:r>
      <w:r w:rsidRPr="00756F4B">
        <w:rPr>
          <w:rFonts w:ascii="Candara" w:hAnsi="Candara"/>
          <w:color w:val="000000"/>
          <w:szCs w:val="28"/>
        </w:rPr>
        <w:t xml:space="preserve">Salīdzinot ar darbaspēka izmaksu vidējo līmeni ES, </w:t>
      </w:r>
      <w:r w:rsidRPr="001F2928">
        <w:rPr>
          <w:rFonts w:ascii="Candara" w:hAnsi="Candara"/>
          <w:color w:val="000000"/>
          <w:szCs w:val="28"/>
        </w:rPr>
        <w:t>datorprogrammēšanas, konsultēšanas un informācijas pakalpojumu nozarē</w:t>
      </w:r>
      <w:r>
        <w:rPr>
          <w:rFonts w:ascii="Candara" w:hAnsi="Candara"/>
          <w:color w:val="000000"/>
          <w:szCs w:val="28"/>
        </w:rPr>
        <w:t xml:space="preserve"> </w:t>
      </w:r>
      <w:r w:rsidRPr="00756F4B">
        <w:rPr>
          <w:rFonts w:ascii="Candara" w:hAnsi="Candara"/>
          <w:color w:val="000000"/>
          <w:szCs w:val="28"/>
        </w:rPr>
        <w:t>tas</w:t>
      </w:r>
      <w:r>
        <w:rPr>
          <w:rFonts w:ascii="Candara" w:hAnsi="Candara"/>
          <w:color w:val="000000"/>
          <w:szCs w:val="28"/>
        </w:rPr>
        <w:t xml:space="preserve"> bija lielā</w:t>
      </w:r>
      <w:r w:rsidRPr="00756F4B">
        <w:rPr>
          <w:rFonts w:ascii="Candara" w:hAnsi="Candara"/>
          <w:color w:val="000000"/>
          <w:szCs w:val="28"/>
        </w:rPr>
        <w:t>ks nekā tautsaimniecībā kopumā</w:t>
      </w:r>
      <w:r>
        <w:rPr>
          <w:rFonts w:ascii="Candara" w:hAnsi="Candara"/>
          <w:color w:val="000000"/>
          <w:szCs w:val="28"/>
        </w:rPr>
        <w:t xml:space="preserve"> un</w:t>
      </w:r>
      <w:r w:rsidRPr="00756F4B">
        <w:rPr>
          <w:rFonts w:ascii="Candara" w:hAnsi="Candara"/>
          <w:color w:val="000000"/>
          <w:szCs w:val="28"/>
        </w:rPr>
        <w:t xml:space="preserve"> pēdējos gados tas </w:t>
      </w:r>
      <w:r>
        <w:rPr>
          <w:rFonts w:ascii="Candara" w:hAnsi="Candara"/>
          <w:color w:val="000000"/>
          <w:szCs w:val="28"/>
        </w:rPr>
        <w:t>vienmērīgi pieauga</w:t>
      </w:r>
      <w:r w:rsidRPr="00756F4B">
        <w:rPr>
          <w:rFonts w:ascii="Candara" w:hAnsi="Candara"/>
          <w:color w:val="000000"/>
          <w:szCs w:val="28"/>
        </w:rPr>
        <w:t>.</w:t>
      </w:r>
      <w:r>
        <w:rPr>
          <w:rFonts w:ascii="Candara" w:hAnsi="Candara"/>
          <w:color w:val="000000"/>
          <w:szCs w:val="28"/>
        </w:rPr>
        <w:t xml:space="preserve"> </w:t>
      </w:r>
    </w:p>
    <w:p w:rsidR="00FA34FF" w:rsidP="00FA34FF">
      <w:pPr>
        <w:spacing w:after="0" w:line="240" w:lineRule="auto"/>
        <w:jc w:val="both"/>
        <w:rPr>
          <w:rFonts w:ascii="Candara" w:hAnsi="Candara"/>
          <w:color w:val="000000"/>
          <w:szCs w:val="28"/>
        </w:rPr>
      </w:pPr>
      <w:r w:rsidRPr="00DF40AC">
        <w:rPr>
          <w:rFonts w:ascii="Candara" w:hAnsi="Candara"/>
          <w:b/>
          <w:color w:val="000000"/>
          <w:szCs w:val="28"/>
          <w:u w:val="single"/>
        </w:rPr>
        <w:t>Produktivitāte, ES-28=100</w:t>
      </w:r>
      <w:r>
        <w:rPr>
          <w:rFonts w:ascii="Candara" w:hAnsi="Candara"/>
          <w:b/>
          <w:color w:val="000000"/>
          <w:szCs w:val="28"/>
          <w:u w:val="single"/>
        </w:rPr>
        <w:t>.</w:t>
      </w:r>
      <w:r>
        <w:rPr>
          <w:rFonts w:ascii="Candara" w:hAnsi="Candara"/>
          <w:color w:val="000000"/>
          <w:szCs w:val="28"/>
        </w:rPr>
        <w:t xml:space="preserve"> </w:t>
      </w:r>
      <w:r w:rsidRPr="00260386">
        <w:rPr>
          <w:rFonts w:ascii="Candara" w:hAnsi="Candara"/>
          <w:color w:val="000000"/>
          <w:szCs w:val="28"/>
        </w:rPr>
        <w:t xml:space="preserve">Salīdzinot ar vidējo līmeni ES, </w:t>
      </w:r>
      <w:r w:rsidRPr="001F2928">
        <w:rPr>
          <w:rFonts w:ascii="Candara" w:hAnsi="Candara"/>
          <w:color w:val="000000"/>
          <w:szCs w:val="28"/>
        </w:rPr>
        <w:t xml:space="preserve">datorprogrammēšanas, konsultēšanas un informācijas pakalpojumu </w:t>
      </w:r>
      <w:r>
        <w:rPr>
          <w:rFonts w:ascii="Candara" w:hAnsi="Candara"/>
          <w:color w:val="000000"/>
          <w:szCs w:val="28"/>
        </w:rPr>
        <w:t>nozarē</w:t>
      </w:r>
      <w:r w:rsidRPr="00260386">
        <w:rPr>
          <w:rFonts w:ascii="Candara" w:hAnsi="Candara"/>
          <w:color w:val="000000"/>
          <w:szCs w:val="28"/>
        </w:rPr>
        <w:t xml:space="preserve"> </w:t>
      </w:r>
      <w:r>
        <w:rPr>
          <w:rFonts w:ascii="Candara" w:hAnsi="Candara"/>
          <w:color w:val="000000"/>
          <w:szCs w:val="28"/>
        </w:rPr>
        <w:t>produktivitātes līmenis</w:t>
      </w:r>
      <w:r w:rsidRPr="00260386">
        <w:rPr>
          <w:rFonts w:ascii="Candara" w:hAnsi="Candara"/>
          <w:color w:val="000000"/>
          <w:szCs w:val="28"/>
        </w:rPr>
        <w:t xml:space="preserve"> </w:t>
      </w:r>
      <w:r>
        <w:rPr>
          <w:rFonts w:ascii="Candara" w:hAnsi="Candara"/>
          <w:color w:val="000000"/>
          <w:szCs w:val="28"/>
        </w:rPr>
        <w:t>2009.-2010.gadā bija</w:t>
      </w:r>
      <w:r w:rsidRPr="00260386">
        <w:rPr>
          <w:rFonts w:ascii="Candara" w:hAnsi="Candara"/>
          <w:color w:val="000000"/>
          <w:szCs w:val="28"/>
        </w:rPr>
        <w:t xml:space="preserve"> </w:t>
      </w:r>
      <w:r>
        <w:rPr>
          <w:rFonts w:ascii="Candara" w:hAnsi="Candara"/>
          <w:color w:val="000000"/>
          <w:szCs w:val="28"/>
        </w:rPr>
        <w:t>augstāks kā tautsaimniecībā kopumā.</w:t>
      </w:r>
      <w:r w:rsidRPr="00260386">
        <w:rPr>
          <w:rFonts w:ascii="Candara" w:hAnsi="Candara"/>
          <w:color w:val="000000"/>
          <w:szCs w:val="28"/>
        </w:rPr>
        <w:t xml:space="preserve"> </w:t>
      </w:r>
      <w:r>
        <w:rPr>
          <w:rFonts w:ascii="Candara" w:hAnsi="Candara"/>
          <w:color w:val="000000"/>
          <w:szCs w:val="28"/>
        </w:rPr>
        <w:t>Kopš 2013.gada tas atpaliek no produktivitātes</w:t>
      </w:r>
      <w:r w:rsidRPr="0071749C">
        <w:rPr>
          <w:rFonts w:ascii="Candara" w:hAnsi="Candara"/>
          <w:color w:val="000000"/>
          <w:szCs w:val="28"/>
        </w:rPr>
        <w:t xml:space="preserve"> </w:t>
      </w:r>
      <w:r w:rsidRPr="00260386">
        <w:rPr>
          <w:rFonts w:ascii="Candara" w:hAnsi="Candara"/>
          <w:color w:val="000000"/>
          <w:szCs w:val="28"/>
        </w:rPr>
        <w:t>tautsaimniecībā kopumā.</w:t>
      </w:r>
      <w:r>
        <w:rPr>
          <w:rFonts w:ascii="Candara" w:hAnsi="Candara"/>
          <w:color w:val="000000"/>
          <w:szCs w:val="28"/>
        </w:rPr>
        <w:t xml:space="preserve"> Pēdējos gados atpalicības tendences pastiprinās.</w:t>
      </w:r>
    </w:p>
    <w:p w:rsidR="00FA34FF" w:rsidP="00FA34FF">
      <w:pPr>
        <w:spacing w:after="0" w:line="240" w:lineRule="auto"/>
        <w:jc w:val="both"/>
        <w:rPr>
          <w:rFonts w:ascii="Candara" w:hAnsi="Candara"/>
          <w:color w:val="000000"/>
          <w:szCs w:val="28"/>
        </w:rPr>
      </w:pPr>
      <w:r w:rsidRPr="00DF40AC">
        <w:rPr>
          <w:rFonts w:ascii="Candara" w:hAnsi="Candara"/>
          <w:b/>
          <w:color w:val="000000"/>
          <w:szCs w:val="28"/>
          <w:u w:val="single"/>
        </w:rPr>
        <w:t>Darbaspēka izmaksas</w:t>
      </w:r>
      <w:r>
        <w:rPr>
          <w:rFonts w:ascii="Candara" w:hAnsi="Candara"/>
          <w:b/>
          <w:color w:val="000000"/>
          <w:szCs w:val="28"/>
          <w:u w:val="single"/>
        </w:rPr>
        <w:t>, salīdzinot ar ES valstīm, 2015.gadā.</w:t>
      </w:r>
      <w:r>
        <w:rPr>
          <w:rFonts w:ascii="Candara" w:hAnsi="Candara"/>
          <w:color w:val="000000"/>
          <w:szCs w:val="28"/>
        </w:rPr>
        <w:t xml:space="preserve"> Latvijā 2015.gadā darbaspēka izmaksas </w:t>
      </w:r>
      <w:r w:rsidRPr="001F2928">
        <w:rPr>
          <w:rFonts w:ascii="Candara" w:hAnsi="Candara"/>
          <w:color w:val="000000"/>
          <w:szCs w:val="28"/>
        </w:rPr>
        <w:t>datorprogrammēšanas, konsultēšanas un informācijas pakalpojumu nozarē</w:t>
      </w:r>
      <w:r>
        <w:rPr>
          <w:rFonts w:ascii="Candara" w:hAnsi="Candara"/>
          <w:color w:val="000000"/>
          <w:szCs w:val="28"/>
        </w:rPr>
        <w:t xml:space="preserve"> </w:t>
      </w:r>
      <w:r w:rsidRPr="000B655A">
        <w:rPr>
          <w:rFonts w:ascii="Candara" w:hAnsi="Candara"/>
          <w:color w:val="000000"/>
          <w:szCs w:val="28"/>
        </w:rPr>
        <w:t>bija zemāka</w:t>
      </w:r>
      <w:r>
        <w:rPr>
          <w:rFonts w:ascii="Candara" w:hAnsi="Candara"/>
          <w:color w:val="000000"/>
          <w:szCs w:val="28"/>
        </w:rPr>
        <w:t>s</w:t>
      </w:r>
      <w:r w:rsidRPr="000B655A">
        <w:rPr>
          <w:rFonts w:ascii="Candara" w:hAnsi="Candara"/>
          <w:color w:val="000000"/>
          <w:szCs w:val="28"/>
        </w:rPr>
        <w:t xml:space="preserve"> </w:t>
      </w:r>
      <w:r>
        <w:rPr>
          <w:rFonts w:ascii="Candara" w:hAnsi="Candara"/>
          <w:color w:val="000000"/>
          <w:szCs w:val="28"/>
        </w:rPr>
        <w:t>nekā Lietuvā, bet nedaudz augstākas nekā Igaun</w:t>
      </w:r>
      <w:r w:rsidRPr="000B655A">
        <w:rPr>
          <w:rFonts w:ascii="Candara" w:hAnsi="Candara"/>
          <w:color w:val="000000"/>
          <w:szCs w:val="28"/>
        </w:rPr>
        <w:t>ijā</w:t>
      </w:r>
      <w:r>
        <w:rPr>
          <w:rFonts w:ascii="Candara" w:hAnsi="Candara"/>
          <w:color w:val="000000"/>
          <w:szCs w:val="28"/>
        </w:rPr>
        <w:t>.</w:t>
      </w:r>
    </w:p>
    <w:p w:rsidR="00FA34FF" w:rsidP="00FA34FF">
      <w:pPr>
        <w:spacing w:after="0" w:line="240" w:lineRule="auto"/>
        <w:jc w:val="both"/>
        <w:rPr>
          <w:rFonts w:ascii="Candara" w:hAnsi="Candara"/>
          <w:color w:val="000000"/>
          <w:szCs w:val="28"/>
        </w:rPr>
      </w:pPr>
      <w:r w:rsidRPr="00DF40AC">
        <w:rPr>
          <w:rFonts w:ascii="Candara" w:hAnsi="Candara"/>
          <w:b/>
          <w:color w:val="000000"/>
          <w:szCs w:val="28"/>
          <w:u w:val="single"/>
        </w:rPr>
        <w:t>Produktivitāte</w:t>
      </w:r>
      <w:r>
        <w:rPr>
          <w:rFonts w:ascii="Candara" w:hAnsi="Candara"/>
          <w:b/>
          <w:color w:val="000000"/>
          <w:szCs w:val="28"/>
          <w:u w:val="single"/>
        </w:rPr>
        <w:t>,</w:t>
      </w:r>
      <w:r w:rsidRPr="0009319E">
        <w:rPr>
          <w:rFonts w:ascii="Candara" w:hAnsi="Candara"/>
          <w:b/>
          <w:color w:val="000000"/>
          <w:szCs w:val="28"/>
          <w:u w:val="single"/>
        </w:rPr>
        <w:t xml:space="preserve"> </w:t>
      </w:r>
      <w:r>
        <w:rPr>
          <w:rFonts w:ascii="Candara" w:hAnsi="Candara"/>
          <w:b/>
          <w:color w:val="000000"/>
          <w:szCs w:val="28"/>
          <w:u w:val="single"/>
        </w:rPr>
        <w:t>salīdzinot ar ES valstīm, 2015.gadā.</w:t>
      </w:r>
      <w:r>
        <w:rPr>
          <w:rFonts w:ascii="Candara" w:hAnsi="Candara"/>
          <w:color w:val="000000"/>
          <w:szCs w:val="28"/>
        </w:rPr>
        <w:t xml:space="preserve"> </w:t>
      </w:r>
      <w:r w:rsidRPr="0009319E">
        <w:rPr>
          <w:rFonts w:ascii="Candara" w:hAnsi="Candara"/>
          <w:color w:val="000000"/>
          <w:szCs w:val="28"/>
        </w:rPr>
        <w:t>Latvijā 201</w:t>
      </w:r>
      <w:r>
        <w:rPr>
          <w:rFonts w:ascii="Candara" w:hAnsi="Candara"/>
          <w:color w:val="000000"/>
          <w:szCs w:val="28"/>
        </w:rPr>
        <w:t>5</w:t>
      </w:r>
      <w:r w:rsidRPr="0009319E">
        <w:rPr>
          <w:rFonts w:ascii="Candara" w:hAnsi="Candara"/>
          <w:color w:val="000000"/>
          <w:szCs w:val="28"/>
        </w:rPr>
        <w:t xml:space="preserve">.gadā </w:t>
      </w:r>
      <w:r>
        <w:rPr>
          <w:rFonts w:ascii="Candara" w:hAnsi="Candara"/>
          <w:color w:val="000000"/>
          <w:szCs w:val="28"/>
        </w:rPr>
        <w:t>produktivitāte</w:t>
      </w:r>
      <w:r w:rsidRPr="0009319E">
        <w:rPr>
          <w:rFonts w:ascii="Candara" w:hAnsi="Candara"/>
          <w:color w:val="000000"/>
          <w:szCs w:val="28"/>
        </w:rPr>
        <w:t xml:space="preserve"> bija </w:t>
      </w:r>
      <w:r>
        <w:rPr>
          <w:rFonts w:ascii="Candara" w:hAnsi="Candara"/>
          <w:color w:val="000000"/>
          <w:szCs w:val="28"/>
        </w:rPr>
        <w:t>viena no zemākajām starp ES valstīm, zemāka tā bija tikai Bulgārijā.</w:t>
      </w:r>
    </w:p>
    <w:p w:rsidR="00FA34FF" w:rsidRPr="00FA34FF" w:rsidP="00FA34FF">
      <w:pPr>
        <w:spacing w:after="0" w:line="240" w:lineRule="auto"/>
        <w:jc w:val="both"/>
        <w:rPr>
          <w:rFonts w:ascii="Candara" w:hAnsi="Candara"/>
          <w:color w:val="000000"/>
          <w:spacing w:val="-2"/>
          <w:szCs w:val="28"/>
        </w:rPr>
      </w:pPr>
      <w:r w:rsidRPr="00FA34FF">
        <w:rPr>
          <w:rFonts w:ascii="Candara" w:hAnsi="Candara"/>
          <w:b/>
          <w:color w:val="000000"/>
          <w:spacing w:val="-2"/>
          <w:szCs w:val="28"/>
          <w:u w:val="single"/>
        </w:rPr>
        <w:t>Produktivitāte un darbaspēka izmaksas ES-28 valstīs 2010.gadā un 2015.gadā.</w:t>
      </w:r>
      <w:r w:rsidRPr="00FA34FF">
        <w:rPr>
          <w:rFonts w:ascii="Candara" w:hAnsi="Candara"/>
          <w:color w:val="000000"/>
          <w:spacing w:val="-2"/>
          <w:szCs w:val="28"/>
        </w:rPr>
        <w:t xml:space="preserve"> Darbaspēka izmaksas uz 1 produkcijas vienību (ULC) datorprogrammēšanas, konsultēšanas un informācijas pakalpojumu nozarē Latvijā 2015.gadā ir viens no augstākajiem rādītājiem starp ES valstīm. Jāatzīmē, ka 2010.gadā ULC Latvijā bija zemāks par ES vidējo līmeni. Darbaspēka izmaksu uz 1 produkcijas vienību straujo kāpumu Latvijā 2015.gadā, salīdzinot ar 2010.gadu, noteica nodarbināto skaita dubultošanās un darbaspēka izmaksu pieaugums par 27%. Augstais ULC līmenis Latvijā nozarē liecina par būtiskām problēmām konkurētspējas nodrošināšanā.</w:t>
      </w:r>
    </w:p>
    <w:p w:rsidR="00B2274B" w:rsidP="00B2274B">
      <w:pPr>
        <w:pStyle w:val="Heading1"/>
        <w:jc w:val="center"/>
        <w:rPr>
          <w:b/>
          <w:sz w:val="22"/>
          <w:szCs w:val="22"/>
        </w:rPr>
      </w:pPr>
      <w:bookmarkStart w:id="90" w:name="_Toc482792422"/>
      <w:bookmarkStart w:id="91" w:name="_Hlk504761428"/>
      <w:bookmarkStart w:id="92" w:name="_Toc256000024"/>
      <w:bookmarkStart w:id="93" w:name="_Toc256000050"/>
      <w:r>
        <w:rPr>
          <w:b/>
          <w:sz w:val="22"/>
          <w:szCs w:val="22"/>
        </w:rPr>
        <w:t>K-N, R-S  PĀRĒJIE KOMERCPAKALPOJUMI</w:t>
      </w:r>
      <w:bookmarkEnd w:id="93"/>
      <w:bookmarkEnd w:id="92"/>
      <w:bookmarkEnd w:id="90"/>
    </w:p>
    <w:tbl>
      <w:tblPr>
        <w:tblW w:w="10760"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3581"/>
        <w:gridCol w:w="1763"/>
        <w:gridCol w:w="1969"/>
        <w:gridCol w:w="3467"/>
      </w:tblGrid>
      <w:tr w:rsidTr="00B2274B">
        <w:tblPrEx>
          <w:tblW w:w="10760"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Nozares īpatsvars tautsaimniecībā (faktiskajās cenās), %</w:t>
            </w:r>
          </w:p>
        </w:tc>
        <w:tc>
          <w:tcPr>
            <w:tcW w:w="3699"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Pievienotās vērtības un darba vietu skaita izmaiņas (2005=100)</w:t>
            </w:r>
          </w:p>
        </w:tc>
        <w:tc>
          <w:tcPr>
            <w:tcW w:w="34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B2274B">
            <w:pPr>
              <w:jc w:val="center"/>
              <w:rPr>
                <w:rFonts w:ascii="Candara" w:hAnsi="Candara"/>
                <w:sz w:val="18"/>
                <w:szCs w:val="20"/>
              </w:rPr>
            </w:pPr>
          </w:p>
        </w:tc>
      </w:tr>
      <w:tr w:rsidTr="00B2274B">
        <w:tblPrEx>
          <w:tblW w:w="10760"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rPr>
                <w:rFonts w:ascii="Candara" w:hAnsi="Candara"/>
              </w:rPr>
            </w:pPr>
            <w:r>
              <w:rPr>
                <w:noProof/>
                <w:lang w:eastAsia="lv-LV"/>
              </w:rPr>
              <w:drawing>
                <wp:inline distT="0" distB="0" distL="0" distR="0">
                  <wp:extent cx="2136775" cy="1046480"/>
                  <wp:effectExtent l="0" t="0" r="0" b="0"/>
                  <wp:docPr id="582" name="Chart 5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0"/>
                    </a:graphicData>
                  </a:graphic>
                </wp:inline>
              </w:drawing>
            </w:r>
          </w:p>
        </w:tc>
        <w:tc>
          <w:tcPr>
            <w:tcW w:w="3699"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1943100" cy="1028700"/>
                  <wp:effectExtent l="0" t="0" r="0" b="0"/>
                  <wp:docPr id="581" name="Chart 5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1"/>
                    </a:graphicData>
                  </a:graphic>
                </wp:inline>
              </w:drawing>
            </w:r>
          </w:p>
        </w:tc>
        <w:tc>
          <w:tcPr>
            <w:tcW w:w="34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B2274B">
            <w:pPr>
              <w:rPr>
                <w:rFonts w:ascii="Candara" w:hAnsi="Candara"/>
              </w:rPr>
            </w:pPr>
          </w:p>
        </w:tc>
      </w:tr>
      <w:tr w:rsidTr="00B2274B">
        <w:tblPrEx>
          <w:tblW w:w="10760"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Darbaspēka izmaksu dinamika, tūkst. EUR</w:t>
            </w:r>
          </w:p>
        </w:tc>
        <w:tc>
          <w:tcPr>
            <w:tcW w:w="3699"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Produktivitātes dinamika, tūkst. EUR</w:t>
            </w:r>
          </w:p>
        </w:tc>
        <w:tc>
          <w:tcPr>
            <w:tcW w:w="34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 un darbaspēka izmaksas</w:t>
            </w:r>
          </w:p>
        </w:tc>
      </w:tr>
      <w:tr w:rsidTr="00B2274B">
        <w:tblPrEx>
          <w:tblW w:w="10760"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36775" cy="1169670"/>
                  <wp:effectExtent l="0" t="0" r="0" b="0"/>
                  <wp:docPr id="580" name="Chart 5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2"/>
                    </a:graphicData>
                  </a:graphic>
                </wp:inline>
              </w:drawing>
            </w:r>
          </w:p>
        </w:tc>
        <w:tc>
          <w:tcPr>
            <w:tcW w:w="3699"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36775" cy="1169670"/>
                  <wp:effectExtent l="0" t="0" r="0" b="0"/>
                  <wp:docPr id="579" name="Chart 5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3"/>
                    </a:graphicData>
                  </a:graphic>
                </wp:inline>
              </w:drawing>
            </w:r>
          </w:p>
        </w:tc>
        <w:tc>
          <w:tcPr>
            <w:tcW w:w="3485"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1846580" cy="2233295"/>
                  <wp:effectExtent l="0" t="0" r="0" b="0"/>
                  <wp:docPr id="578" name="Chart 5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4"/>
                    </a:graphicData>
                  </a:graphic>
                </wp:inline>
              </w:drawing>
            </w:r>
          </w:p>
        </w:tc>
      </w:tr>
      <w:tr w:rsidTr="00B2274B">
        <w:tblPrEx>
          <w:tblW w:w="10760"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Darbaspēka izmaksas, ES-28=100</w:t>
            </w:r>
          </w:p>
        </w:tc>
        <w:tc>
          <w:tcPr>
            <w:tcW w:w="3699"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 ES-28=100</w:t>
            </w:r>
          </w:p>
        </w:tc>
        <w:tc>
          <w:tcPr>
            <w:tcW w:w="0" w:type="auto"/>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B2274B">
            <w:pPr>
              <w:rPr>
                <w:rFonts w:ascii="Candara" w:hAnsi="Candara"/>
              </w:rPr>
            </w:pPr>
          </w:p>
        </w:tc>
      </w:tr>
      <w:tr w:rsidTr="00B2274B">
        <w:tblPrEx>
          <w:tblW w:w="10760" w:type="dxa"/>
          <w:jc w:val="center"/>
          <w:tblLook w:val="04A0"/>
        </w:tblPrEx>
        <w:trPr>
          <w:jc w:val="center"/>
        </w:trPr>
        <w:tc>
          <w:tcPr>
            <w:tcW w:w="3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27885" cy="1055370"/>
                  <wp:effectExtent l="0" t="0" r="5715" b="0"/>
                  <wp:docPr id="577" name="Chart 5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5"/>
                    </a:graphicData>
                  </a:graphic>
                </wp:inline>
              </w:drawing>
            </w:r>
          </w:p>
        </w:tc>
        <w:tc>
          <w:tcPr>
            <w:tcW w:w="3699"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2136775" cy="1043425"/>
                  <wp:effectExtent l="0" t="0" r="0" b="4445"/>
                  <wp:docPr id="576" name="Chart 5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6"/>
                    </a:graphicData>
                  </a:graphic>
                </wp:inline>
              </w:drawing>
            </w:r>
          </w:p>
        </w:tc>
        <w:tc>
          <w:tcPr>
            <w:tcW w:w="0" w:type="auto"/>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B2274B">
            <w:pPr>
              <w:rPr>
                <w:rFonts w:ascii="Candara" w:hAnsi="Candara"/>
              </w:rPr>
            </w:pPr>
          </w:p>
        </w:tc>
      </w:tr>
      <w:tr w:rsidTr="00B2274B">
        <w:tblPrEx>
          <w:tblW w:w="10760" w:type="dxa"/>
          <w:jc w:val="center"/>
          <w:tblLook w:val="04A0"/>
        </w:tblPrEx>
        <w:trPr>
          <w:jc w:val="center"/>
        </w:trPr>
        <w:tc>
          <w:tcPr>
            <w:tcW w:w="5339"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Darbaspēka izmaksas uz 1 nodarbināto 2016.g., tūkst. EUR</w:t>
            </w:r>
          </w:p>
        </w:tc>
        <w:tc>
          <w:tcPr>
            <w:tcW w:w="542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szCs w:val="20"/>
              </w:rPr>
            </w:pPr>
            <w:r>
              <w:rPr>
                <w:rFonts w:ascii="Candara" w:hAnsi="Candara"/>
                <w:sz w:val="18"/>
                <w:szCs w:val="20"/>
              </w:rPr>
              <w:t>Produktivitāte (PV uz 1 nodarbināto) 2016.g., tūkst. EUR</w:t>
            </w:r>
          </w:p>
        </w:tc>
      </w:tr>
      <w:tr w:rsidTr="00B2274B">
        <w:tblPrEx>
          <w:tblW w:w="10760" w:type="dxa"/>
          <w:jc w:val="center"/>
          <w:tblLook w:val="04A0"/>
        </w:tblPrEx>
        <w:trPr>
          <w:jc w:val="center"/>
        </w:trPr>
        <w:tc>
          <w:tcPr>
            <w:tcW w:w="5339"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3156585" cy="1169670"/>
                  <wp:effectExtent l="0" t="0" r="5715" b="0"/>
                  <wp:docPr id="575" name="Chart 5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7"/>
                    </a:graphicData>
                  </a:graphic>
                </wp:inline>
              </w:drawing>
            </w:r>
          </w:p>
        </w:tc>
        <w:tc>
          <w:tcPr>
            <w:tcW w:w="542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jc w:val="center"/>
              <w:rPr>
                <w:rFonts w:ascii="Candara" w:hAnsi="Candara"/>
              </w:rPr>
            </w:pPr>
            <w:r>
              <w:rPr>
                <w:noProof/>
                <w:lang w:eastAsia="lv-LV"/>
              </w:rPr>
              <w:drawing>
                <wp:inline distT="0" distB="0" distL="0" distR="0">
                  <wp:extent cx="3305810" cy="1169670"/>
                  <wp:effectExtent l="0" t="0" r="8890" b="0"/>
                  <wp:docPr id="574" name="Chart 5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8"/>
                    </a:graphicData>
                  </a:graphic>
                </wp:inline>
              </w:drawing>
            </w:r>
          </w:p>
        </w:tc>
      </w:tr>
      <w:tr w:rsidTr="00B2274B">
        <w:tblPrEx>
          <w:tblW w:w="10760" w:type="dxa"/>
          <w:jc w:val="center"/>
          <w:tblLook w:val="04A0"/>
        </w:tblPrEx>
        <w:trPr>
          <w:jc w:val="center"/>
        </w:trPr>
        <w:tc>
          <w:tcPr>
            <w:tcW w:w="5339"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 un darbaspēka izmaksas ES-28 valstīs 2010.g.</w:t>
            </w:r>
          </w:p>
        </w:tc>
        <w:tc>
          <w:tcPr>
            <w:tcW w:w="542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B2274B" w:rsidP="00762D1E">
            <w:pPr>
              <w:spacing w:after="0" w:line="240" w:lineRule="auto"/>
              <w:jc w:val="center"/>
              <w:rPr>
                <w:rFonts w:ascii="Candara" w:hAnsi="Candara"/>
                <w:sz w:val="18"/>
              </w:rPr>
            </w:pPr>
            <w:r>
              <w:rPr>
                <w:rFonts w:ascii="Candara" w:hAnsi="Candara"/>
                <w:sz w:val="18"/>
                <w:szCs w:val="20"/>
              </w:rPr>
              <w:t>Produktivitāte un darbaspēka izmaksas ES-28 valstīs 2016.g.</w:t>
            </w:r>
          </w:p>
        </w:tc>
      </w:tr>
      <w:tr w:rsidTr="00B2274B">
        <w:tblPrEx>
          <w:tblW w:w="10760" w:type="dxa"/>
          <w:jc w:val="center"/>
          <w:tblLook w:val="04A0"/>
        </w:tblPrEx>
        <w:trPr>
          <w:jc w:val="center"/>
        </w:trPr>
        <w:tc>
          <w:tcPr>
            <w:tcW w:w="5339"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rPr>
                <w:rFonts w:ascii="Candara" w:hAnsi="Candara"/>
              </w:rPr>
            </w:pPr>
            <w:r>
              <w:rPr>
                <w:noProof/>
                <w:lang w:eastAsia="lv-LV"/>
              </w:rPr>
              <w:drawing>
                <wp:inline distT="0" distB="0" distL="0" distR="0">
                  <wp:extent cx="3059430" cy="1512570"/>
                  <wp:effectExtent l="0" t="0" r="0" b="0"/>
                  <wp:docPr id="573" name="Chart 5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9"/>
                    </a:graphicData>
                  </a:graphic>
                </wp:inline>
              </w:drawing>
            </w:r>
          </w:p>
        </w:tc>
        <w:tc>
          <w:tcPr>
            <w:tcW w:w="542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B2274B" w:rsidP="00762D1E">
            <w:pPr>
              <w:spacing w:after="0" w:line="240" w:lineRule="auto"/>
              <w:rPr>
                <w:rFonts w:ascii="Candara" w:hAnsi="Candara"/>
              </w:rPr>
            </w:pPr>
            <w:r>
              <w:rPr>
                <w:noProof/>
                <w:lang w:eastAsia="lv-LV"/>
              </w:rPr>
              <w:drawing>
                <wp:inline distT="0" distB="0" distL="0" distR="0">
                  <wp:extent cx="3059430" cy="1520825"/>
                  <wp:effectExtent l="0" t="0" r="0" b="3175"/>
                  <wp:docPr id="572" name="Chart 5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0"/>
                    </a:graphicData>
                  </a:graphic>
                </wp:inline>
              </w:drawing>
            </w:r>
          </w:p>
        </w:tc>
      </w:tr>
    </w:tbl>
    <w:p w:rsidR="00B2274B" w:rsidP="00B2274B">
      <w:pPr>
        <w:spacing w:after="0" w:line="240" w:lineRule="auto"/>
        <w:rPr>
          <w:rFonts w:ascii="Candara" w:hAnsi="Candara"/>
          <w:b/>
          <w:color w:val="000000"/>
          <w:szCs w:val="28"/>
        </w:rPr>
      </w:pPr>
    </w:p>
    <w:p w:rsidR="00B2274B" w:rsidP="00762D1E">
      <w:pPr>
        <w:spacing w:after="0" w:line="240" w:lineRule="auto"/>
        <w:rPr>
          <w:rFonts w:ascii="Candara" w:hAnsi="Candara"/>
          <w:b/>
          <w:color w:val="000000"/>
          <w:szCs w:val="28"/>
          <w:u w:val="single"/>
        </w:rPr>
      </w:pPr>
      <w:r>
        <w:rPr>
          <w:rFonts w:ascii="Candara" w:hAnsi="Candara"/>
          <w:b/>
          <w:color w:val="000000"/>
          <w:szCs w:val="28"/>
          <w:u w:val="single"/>
        </w:rPr>
        <w:br w:type="page"/>
      </w:r>
    </w:p>
    <w:p w:rsidR="00B2274B" w:rsidP="00B2274B">
      <w:pPr>
        <w:spacing w:after="0" w:line="240" w:lineRule="auto"/>
        <w:jc w:val="both"/>
        <w:rPr>
          <w:rFonts w:ascii="Candara" w:hAnsi="Candara"/>
          <w:b/>
          <w:color w:val="000000"/>
          <w:szCs w:val="28"/>
          <w:u w:val="single"/>
        </w:rPr>
      </w:pPr>
    </w:p>
    <w:p w:rsidR="003271B1" w:rsidRPr="004A392C" w:rsidP="003271B1">
      <w:pPr>
        <w:spacing w:after="0" w:line="240" w:lineRule="auto"/>
        <w:jc w:val="both"/>
        <w:rPr>
          <w:rFonts w:ascii="Candara" w:hAnsi="Candara"/>
          <w:color w:val="000000"/>
          <w:szCs w:val="28"/>
        </w:rPr>
      </w:pPr>
      <w:bookmarkEnd w:id="91"/>
      <w:r w:rsidRPr="004A392C">
        <w:rPr>
          <w:rFonts w:ascii="Candara" w:hAnsi="Candara"/>
          <w:b/>
          <w:color w:val="000000"/>
          <w:szCs w:val="28"/>
          <w:u w:val="single"/>
        </w:rPr>
        <w:t>Nozares īpatsvars tautsaimniecībā, procentos.</w:t>
      </w:r>
      <w:r w:rsidRPr="004A392C">
        <w:rPr>
          <w:rFonts w:ascii="Candara" w:hAnsi="Candara"/>
          <w:color w:val="000000"/>
          <w:szCs w:val="28"/>
        </w:rPr>
        <w:t xml:space="preserve"> Pārējo komercpakalpojumu nozaru īpatsvars kopējā tautsaimniecībā 2005.gadā bija 22,8%. 2007.gadā nozaru īpatsvars pieauga līdz 26,6%, bet līdz 2010.gadam samazinājās līdz 23,7% no kopējā apjoma tautsaimniecībā. Savukārt posmā starp 2010. un 2015.gadu nozaru īpatsvars pakāpeniski pieauga, 2016.gadā sasniedzot 28%.</w:t>
      </w:r>
    </w:p>
    <w:p w:rsidR="003271B1" w:rsidRPr="004A392C" w:rsidP="003271B1">
      <w:pPr>
        <w:spacing w:after="0" w:line="240" w:lineRule="auto"/>
        <w:jc w:val="both"/>
        <w:rPr>
          <w:rFonts w:ascii="Candara" w:hAnsi="Candara"/>
          <w:color w:val="000000"/>
          <w:szCs w:val="28"/>
        </w:rPr>
      </w:pPr>
      <w:r w:rsidRPr="004A392C">
        <w:rPr>
          <w:rFonts w:ascii="Candara" w:hAnsi="Candara"/>
          <w:b/>
          <w:color w:val="000000"/>
          <w:szCs w:val="28"/>
          <w:u w:val="single"/>
        </w:rPr>
        <w:t>Pievienotās vērtības un darba vietu skaita izmaiņas, 2005=100.</w:t>
      </w:r>
      <w:r w:rsidRPr="004A392C">
        <w:rPr>
          <w:rFonts w:ascii="Candara" w:hAnsi="Candara"/>
          <w:color w:val="000000"/>
          <w:szCs w:val="28"/>
        </w:rPr>
        <w:t xml:space="preserve"> Kopš 2011.gada nozaru izlaides apjomi pieaug katru gadu, izņemot 2014.gadu, kad izlaides apjomi praktiski saglabājās nemainīgi. 2016.gadā ražošanas apjomi nozarēs palielinājās par 1,9%. Kopš krīzes zemākā punkta 2010. gadā nozares izlaides apjomi ir auguši par 20% un par 7% pārsniedz pirmskrīzes perioda līmeni.</w:t>
      </w:r>
    </w:p>
    <w:p w:rsidR="003271B1" w:rsidRPr="004A392C" w:rsidP="003271B1">
      <w:pPr>
        <w:spacing w:after="0" w:line="240" w:lineRule="auto"/>
        <w:jc w:val="both"/>
        <w:rPr>
          <w:rFonts w:ascii="Candara" w:hAnsi="Candara"/>
          <w:b/>
          <w:color w:val="000000"/>
          <w:szCs w:val="28"/>
          <w:u w:val="single"/>
        </w:rPr>
      </w:pPr>
      <w:r w:rsidRPr="004A392C">
        <w:rPr>
          <w:rFonts w:ascii="Candara" w:hAnsi="Candara"/>
          <w:color w:val="000000"/>
          <w:szCs w:val="28"/>
        </w:rPr>
        <w:t>Salīdzinājumā ar ražošanas apjomu kāpumu darbavietu skaits nozarē aug krietni straujāk. Darbavietu skaits kopš 2011.gada pieaug katru gadu. 2016. gadā aizņemto darbavietu skaits palielinājās par 2,3%. 2016.gadā, salīdzinot ar krīzes zemāko punktu 2010.gadā, darbavietu skaits bija palielinājies par 26%,</w:t>
      </w:r>
      <w:r w:rsidRPr="004A392C">
        <w:t xml:space="preserve"> </w:t>
      </w:r>
      <w:r w:rsidRPr="004A392C">
        <w:rPr>
          <w:rFonts w:ascii="Candara" w:hAnsi="Candara"/>
          <w:color w:val="000000"/>
          <w:szCs w:val="28"/>
        </w:rPr>
        <w:t>bet par 6% atpaliek no pirmskrīzes līmeņa.</w:t>
      </w:r>
    </w:p>
    <w:p w:rsidR="003271B1" w:rsidRPr="007C7824" w:rsidP="003271B1">
      <w:pPr>
        <w:spacing w:after="0" w:line="240" w:lineRule="auto"/>
        <w:jc w:val="both"/>
        <w:rPr>
          <w:rFonts w:ascii="Candara" w:hAnsi="Candara"/>
          <w:b/>
          <w:color w:val="000000"/>
          <w:szCs w:val="28"/>
          <w:u w:val="single"/>
        </w:rPr>
      </w:pPr>
      <w:r w:rsidRPr="004A392C">
        <w:rPr>
          <w:rFonts w:ascii="Candara" w:hAnsi="Candara"/>
          <w:b/>
          <w:color w:val="000000"/>
          <w:szCs w:val="28"/>
          <w:u w:val="single"/>
        </w:rPr>
        <w:t>Darbaspēka izmaksu dinamika, tūkst.</w:t>
      </w:r>
      <w:r w:rsidRPr="004A392C">
        <w:rPr>
          <w:rFonts w:ascii="Candara" w:hAnsi="Candara"/>
          <w:color w:val="000000"/>
          <w:szCs w:val="28"/>
        </w:rPr>
        <w:t xml:space="preserve"> Darbaspēka izmaksas būtiski pieauga 2008.gadā, krīzes laikā nedaudz samazinājās. Atsākoties ekonomikas izaugsmei, kopš 2011.gada vērojams pakāpenisks darba samaksas pieaugums, pārsniedzot pirmskrīzes perioda līmeni.</w:t>
      </w:r>
    </w:p>
    <w:p w:rsidR="003271B1" w:rsidP="003271B1">
      <w:pPr>
        <w:spacing w:after="0" w:line="240" w:lineRule="auto"/>
        <w:jc w:val="both"/>
        <w:rPr>
          <w:rFonts w:ascii="Candara" w:hAnsi="Candara"/>
          <w:color w:val="000000"/>
          <w:szCs w:val="28"/>
        </w:rPr>
      </w:pPr>
      <w:r w:rsidRPr="00DF40AC">
        <w:rPr>
          <w:rFonts w:ascii="Candara" w:hAnsi="Candara"/>
          <w:b/>
          <w:color w:val="000000"/>
          <w:szCs w:val="28"/>
          <w:u w:val="single"/>
        </w:rPr>
        <w:t>Produktivitātes dinamika</w:t>
      </w:r>
      <w:r>
        <w:rPr>
          <w:rFonts w:ascii="Candara" w:hAnsi="Candara"/>
          <w:b/>
          <w:color w:val="000000"/>
          <w:szCs w:val="28"/>
          <w:u w:val="single"/>
        </w:rPr>
        <w:t>, tūkst.</w:t>
      </w:r>
      <w:r>
        <w:rPr>
          <w:rFonts w:ascii="Candara" w:hAnsi="Candara"/>
          <w:color w:val="000000"/>
          <w:szCs w:val="28"/>
        </w:rPr>
        <w:t xml:space="preserve"> </w:t>
      </w:r>
      <w:r w:rsidRPr="00430DCC">
        <w:rPr>
          <w:rFonts w:ascii="Candara" w:hAnsi="Candara"/>
          <w:color w:val="000000"/>
          <w:szCs w:val="28"/>
        </w:rPr>
        <w:t xml:space="preserve">Izlaides apjomu </w:t>
      </w:r>
      <w:r>
        <w:rPr>
          <w:rFonts w:ascii="Candara" w:hAnsi="Candara"/>
          <w:color w:val="000000"/>
          <w:szCs w:val="28"/>
        </w:rPr>
        <w:t>lēn</w:t>
      </w:r>
      <w:r w:rsidRPr="00430DCC">
        <w:rPr>
          <w:rFonts w:ascii="Candara" w:hAnsi="Candara"/>
          <w:color w:val="000000"/>
          <w:szCs w:val="28"/>
        </w:rPr>
        <w:t>āks samazinājums nekā nodarbināto skaita kritums krīzes laikā 2009.gadā veicināja produktivitātes k</w:t>
      </w:r>
      <w:r>
        <w:rPr>
          <w:rFonts w:ascii="Candara" w:hAnsi="Candara"/>
          <w:color w:val="000000"/>
          <w:szCs w:val="28"/>
        </w:rPr>
        <w:t>āp</w:t>
      </w:r>
      <w:r w:rsidRPr="00430DCC">
        <w:rPr>
          <w:rFonts w:ascii="Candara" w:hAnsi="Candara"/>
          <w:color w:val="000000"/>
          <w:szCs w:val="28"/>
        </w:rPr>
        <w:t>umu.</w:t>
      </w:r>
      <w:r>
        <w:rPr>
          <w:rFonts w:ascii="Candara" w:hAnsi="Candara"/>
          <w:color w:val="000000"/>
          <w:szCs w:val="28"/>
        </w:rPr>
        <w:t xml:space="preserve"> 2012.-2013.gadā straujāk pieaugot nodarbināto skaitam, produktivitāte samazinājās. Kopš 2014.gada, ražošanas apjomu un nodarbināto skaitam pieaugot vienmērīgi, produktivitātes līmenis ir nostabilizējies.</w:t>
      </w:r>
    </w:p>
    <w:p w:rsidR="003271B1" w:rsidRPr="00FB0BD5" w:rsidP="003271B1">
      <w:pPr>
        <w:spacing w:after="0" w:line="240" w:lineRule="auto"/>
        <w:jc w:val="both"/>
        <w:rPr>
          <w:rFonts w:ascii="Candara" w:hAnsi="Candara"/>
          <w:b/>
          <w:color w:val="000000"/>
          <w:szCs w:val="28"/>
          <w:u w:val="single"/>
        </w:rPr>
      </w:pPr>
      <w:r w:rsidRPr="00D62BB3">
        <w:rPr>
          <w:rFonts w:ascii="Candara" w:hAnsi="Candara"/>
          <w:b/>
          <w:color w:val="000000"/>
          <w:szCs w:val="28"/>
          <w:u w:val="single"/>
        </w:rPr>
        <w:t>Produktivitāte un darbaspēka izmaksas</w:t>
      </w:r>
      <w:r>
        <w:rPr>
          <w:rFonts w:ascii="Candara" w:hAnsi="Candara"/>
          <w:b/>
          <w:color w:val="000000"/>
          <w:szCs w:val="28"/>
          <w:u w:val="single"/>
        </w:rPr>
        <w:t>.</w:t>
      </w:r>
      <w:r w:rsidRPr="00D62BB3">
        <w:rPr>
          <w:rFonts w:ascii="Candara" w:hAnsi="Candara"/>
          <w:color w:val="000000"/>
          <w:szCs w:val="28"/>
        </w:rPr>
        <w:t xml:space="preserve"> </w:t>
      </w:r>
      <w:r w:rsidRPr="006402D4">
        <w:rPr>
          <w:rFonts w:ascii="Candara" w:hAnsi="Candara"/>
          <w:color w:val="000000"/>
          <w:szCs w:val="28"/>
        </w:rPr>
        <w:t>Pēdējos gados nozarē darbaspēka izmaksas pieaug straujāk nekā produktivitāte, kas liecina par cenu konkurēts</w:t>
      </w:r>
      <w:r>
        <w:rPr>
          <w:rFonts w:ascii="Candara" w:hAnsi="Candara"/>
          <w:color w:val="000000"/>
          <w:szCs w:val="28"/>
        </w:rPr>
        <w:t xml:space="preserve">pējas (izmaksu) pazemināšanos. </w:t>
      </w:r>
      <w:r w:rsidRPr="006402D4">
        <w:rPr>
          <w:rFonts w:ascii="Candara" w:hAnsi="Candara"/>
          <w:color w:val="000000"/>
          <w:szCs w:val="28"/>
        </w:rPr>
        <w:t xml:space="preserve">Šīs tendences ir līdzīgas pirms krīzes periodā vērojamām. Ekonomikas lejupslīdes jeb krīzes periodā ULC samazinājās, ko noteica būtisks nodarbināto skaita samazinājums, darbaspēka izmaksām samazinoties straujāk. Kopš 2012.gada darbaspēka izmaksas pieaug straujāk nekā produktivitāte. </w:t>
      </w:r>
    </w:p>
    <w:p w:rsidR="003271B1" w:rsidRPr="00F835E8" w:rsidP="003271B1">
      <w:pPr>
        <w:spacing w:after="0" w:line="240" w:lineRule="auto"/>
        <w:jc w:val="both"/>
        <w:rPr>
          <w:rFonts w:ascii="Candara" w:hAnsi="Candara"/>
          <w:color w:val="000000"/>
          <w:szCs w:val="28"/>
        </w:rPr>
      </w:pPr>
      <w:r w:rsidRPr="00DF40AC">
        <w:rPr>
          <w:rFonts w:ascii="Candara" w:hAnsi="Candara"/>
          <w:b/>
          <w:color w:val="000000"/>
          <w:szCs w:val="28"/>
          <w:u w:val="single"/>
        </w:rPr>
        <w:t>Darbaspēka izmaksas, ES-28=100</w:t>
      </w:r>
      <w:r>
        <w:rPr>
          <w:rFonts w:ascii="Candara" w:hAnsi="Candara"/>
          <w:b/>
          <w:color w:val="000000"/>
          <w:szCs w:val="28"/>
          <w:u w:val="single"/>
        </w:rPr>
        <w:t>.</w:t>
      </w:r>
      <w:r>
        <w:rPr>
          <w:rFonts w:ascii="Candara" w:hAnsi="Candara"/>
          <w:color w:val="000000"/>
          <w:szCs w:val="28"/>
        </w:rPr>
        <w:t xml:space="preserve"> </w:t>
      </w:r>
      <w:r w:rsidRPr="00756F4B">
        <w:rPr>
          <w:rFonts w:ascii="Candara" w:hAnsi="Candara"/>
          <w:color w:val="000000"/>
          <w:szCs w:val="28"/>
        </w:rPr>
        <w:t xml:space="preserve">Salīdzinot ar darbaspēka izmaksu vidējo līmeni ES, </w:t>
      </w:r>
      <w:r>
        <w:rPr>
          <w:rFonts w:ascii="Candara" w:hAnsi="Candara"/>
          <w:color w:val="000000"/>
          <w:szCs w:val="28"/>
        </w:rPr>
        <w:t>p</w:t>
      </w:r>
      <w:r w:rsidRPr="003F2EA2">
        <w:rPr>
          <w:rFonts w:ascii="Candara" w:hAnsi="Candara"/>
          <w:color w:val="000000"/>
          <w:szCs w:val="28"/>
        </w:rPr>
        <w:t>ārējo komercpakalpojumu nozar</w:t>
      </w:r>
      <w:r>
        <w:rPr>
          <w:rFonts w:ascii="Candara" w:hAnsi="Candara"/>
          <w:color w:val="000000"/>
          <w:szCs w:val="28"/>
        </w:rPr>
        <w:t xml:space="preserve">ēs </w:t>
      </w:r>
      <w:r w:rsidRPr="00756F4B">
        <w:rPr>
          <w:rFonts w:ascii="Candara" w:hAnsi="Candara"/>
          <w:color w:val="000000"/>
          <w:szCs w:val="28"/>
        </w:rPr>
        <w:t>tas</w:t>
      </w:r>
      <w:r>
        <w:rPr>
          <w:rFonts w:ascii="Candara" w:hAnsi="Candara"/>
          <w:color w:val="000000"/>
          <w:szCs w:val="28"/>
        </w:rPr>
        <w:t xml:space="preserve"> bija lielā</w:t>
      </w:r>
      <w:r w:rsidRPr="00756F4B">
        <w:rPr>
          <w:rFonts w:ascii="Candara" w:hAnsi="Candara"/>
          <w:color w:val="000000"/>
          <w:szCs w:val="28"/>
        </w:rPr>
        <w:t>ks nekā tautsaimniecībā kopumā</w:t>
      </w:r>
      <w:r>
        <w:rPr>
          <w:rFonts w:ascii="Candara" w:hAnsi="Candara"/>
          <w:color w:val="000000"/>
          <w:szCs w:val="28"/>
        </w:rPr>
        <w:t xml:space="preserve"> un</w:t>
      </w:r>
      <w:r w:rsidRPr="00756F4B">
        <w:rPr>
          <w:rFonts w:ascii="Candara" w:hAnsi="Candara"/>
          <w:color w:val="000000"/>
          <w:szCs w:val="28"/>
        </w:rPr>
        <w:t xml:space="preserve"> pēdējos gados tas </w:t>
      </w:r>
      <w:r>
        <w:rPr>
          <w:rFonts w:ascii="Candara" w:hAnsi="Candara"/>
          <w:color w:val="000000"/>
          <w:szCs w:val="28"/>
        </w:rPr>
        <w:t>vienmērīgi pieauga</w:t>
      </w:r>
      <w:r w:rsidRPr="00756F4B">
        <w:rPr>
          <w:rFonts w:ascii="Candara" w:hAnsi="Candara"/>
          <w:color w:val="000000"/>
          <w:szCs w:val="28"/>
        </w:rPr>
        <w:t>.</w:t>
      </w:r>
      <w:r>
        <w:rPr>
          <w:rFonts w:ascii="Candara" w:hAnsi="Candara"/>
          <w:color w:val="000000"/>
          <w:szCs w:val="28"/>
        </w:rPr>
        <w:t>.</w:t>
      </w:r>
    </w:p>
    <w:p w:rsidR="003271B1" w:rsidP="003271B1">
      <w:pPr>
        <w:spacing w:after="0" w:line="240" w:lineRule="auto"/>
        <w:jc w:val="both"/>
        <w:rPr>
          <w:rFonts w:ascii="Candara" w:hAnsi="Candara"/>
          <w:color w:val="000000"/>
          <w:szCs w:val="28"/>
        </w:rPr>
      </w:pPr>
      <w:r w:rsidRPr="00DF40AC">
        <w:rPr>
          <w:rFonts w:ascii="Candara" w:hAnsi="Candara"/>
          <w:b/>
          <w:color w:val="000000"/>
          <w:szCs w:val="28"/>
          <w:u w:val="single"/>
        </w:rPr>
        <w:t>Produktivitāte, ES-28=100</w:t>
      </w:r>
      <w:r>
        <w:rPr>
          <w:rFonts w:ascii="Candara" w:hAnsi="Candara"/>
          <w:b/>
          <w:color w:val="000000"/>
          <w:szCs w:val="28"/>
          <w:u w:val="single"/>
        </w:rPr>
        <w:t>.</w:t>
      </w:r>
      <w:r>
        <w:rPr>
          <w:rFonts w:ascii="Candara" w:hAnsi="Candara"/>
          <w:color w:val="000000"/>
          <w:szCs w:val="28"/>
        </w:rPr>
        <w:t xml:space="preserve"> </w:t>
      </w:r>
      <w:r w:rsidRPr="00260386">
        <w:rPr>
          <w:rFonts w:ascii="Candara" w:hAnsi="Candara"/>
          <w:color w:val="000000"/>
          <w:szCs w:val="28"/>
        </w:rPr>
        <w:t xml:space="preserve">Salīdzinot ar vidējo līmeni ES, </w:t>
      </w:r>
      <w:r>
        <w:rPr>
          <w:rFonts w:ascii="Candara" w:hAnsi="Candara"/>
          <w:color w:val="000000"/>
          <w:szCs w:val="28"/>
        </w:rPr>
        <w:t>p</w:t>
      </w:r>
      <w:r w:rsidRPr="003F2EA2">
        <w:rPr>
          <w:rFonts w:ascii="Candara" w:hAnsi="Candara"/>
          <w:color w:val="000000"/>
          <w:szCs w:val="28"/>
        </w:rPr>
        <w:t>ārējo komercpakalpojumu nozar</w:t>
      </w:r>
      <w:r>
        <w:rPr>
          <w:rFonts w:ascii="Candara" w:hAnsi="Candara"/>
          <w:color w:val="000000"/>
          <w:szCs w:val="28"/>
        </w:rPr>
        <w:t>ēs</w:t>
      </w:r>
      <w:r w:rsidRPr="00260386">
        <w:rPr>
          <w:rFonts w:ascii="Candara" w:hAnsi="Candara"/>
          <w:color w:val="000000"/>
          <w:szCs w:val="28"/>
        </w:rPr>
        <w:t xml:space="preserve"> </w:t>
      </w:r>
      <w:r>
        <w:rPr>
          <w:rFonts w:ascii="Candara" w:hAnsi="Candara"/>
          <w:color w:val="000000"/>
          <w:szCs w:val="28"/>
        </w:rPr>
        <w:t>produktivitātes līmenis</w:t>
      </w:r>
      <w:r w:rsidRPr="00260386">
        <w:rPr>
          <w:rFonts w:ascii="Candara" w:hAnsi="Candara"/>
          <w:color w:val="000000"/>
          <w:szCs w:val="28"/>
        </w:rPr>
        <w:t xml:space="preserve"> </w:t>
      </w:r>
      <w:r>
        <w:rPr>
          <w:rFonts w:ascii="Candara" w:hAnsi="Candara"/>
          <w:color w:val="000000"/>
          <w:szCs w:val="28"/>
        </w:rPr>
        <w:t>ir</w:t>
      </w:r>
      <w:r w:rsidRPr="00260386">
        <w:rPr>
          <w:rFonts w:ascii="Candara" w:hAnsi="Candara"/>
          <w:color w:val="000000"/>
          <w:szCs w:val="28"/>
        </w:rPr>
        <w:t xml:space="preserve"> </w:t>
      </w:r>
      <w:r>
        <w:rPr>
          <w:rFonts w:ascii="Candara" w:hAnsi="Candara"/>
          <w:color w:val="000000"/>
          <w:szCs w:val="28"/>
        </w:rPr>
        <w:t>augstāks kā tautsaimniecībā kopumā.</w:t>
      </w:r>
      <w:r w:rsidRPr="00260386">
        <w:rPr>
          <w:rFonts w:ascii="Candara" w:hAnsi="Candara"/>
          <w:color w:val="000000"/>
          <w:szCs w:val="28"/>
        </w:rPr>
        <w:t xml:space="preserve"> </w:t>
      </w:r>
    </w:p>
    <w:p w:rsidR="003271B1" w:rsidP="003271B1">
      <w:pPr>
        <w:spacing w:after="0" w:line="240" w:lineRule="auto"/>
        <w:jc w:val="both"/>
        <w:rPr>
          <w:rFonts w:ascii="Candara" w:hAnsi="Candara"/>
          <w:color w:val="000000"/>
          <w:szCs w:val="28"/>
        </w:rPr>
      </w:pPr>
      <w:r w:rsidRPr="00DF40AC">
        <w:rPr>
          <w:rFonts w:ascii="Candara" w:hAnsi="Candara"/>
          <w:b/>
          <w:color w:val="000000"/>
          <w:szCs w:val="28"/>
          <w:u w:val="single"/>
        </w:rPr>
        <w:t>Darbaspēka izmaksas</w:t>
      </w:r>
      <w:r>
        <w:rPr>
          <w:rFonts w:ascii="Candara" w:hAnsi="Candara"/>
          <w:b/>
          <w:color w:val="000000"/>
          <w:szCs w:val="28"/>
          <w:u w:val="single"/>
        </w:rPr>
        <w:t>, salīdzinot ar ES valstīm, 2016.gadā.</w:t>
      </w:r>
      <w:r>
        <w:rPr>
          <w:rFonts w:ascii="Candara" w:hAnsi="Candara"/>
          <w:color w:val="000000"/>
          <w:szCs w:val="28"/>
        </w:rPr>
        <w:t xml:space="preserve"> Latvijā 2016.gadā darbaspēka izmaksas bija augstākas nekā Lietuvā, bet zemākas nekā</w:t>
      </w:r>
      <w:r w:rsidRPr="00404835">
        <w:rPr>
          <w:rFonts w:ascii="Candara" w:hAnsi="Candara"/>
          <w:color w:val="000000"/>
          <w:szCs w:val="28"/>
        </w:rPr>
        <w:t xml:space="preserve"> </w:t>
      </w:r>
      <w:r>
        <w:rPr>
          <w:rFonts w:ascii="Candara" w:hAnsi="Candara"/>
          <w:color w:val="000000"/>
          <w:szCs w:val="28"/>
        </w:rPr>
        <w:t>Igaunijā. Kopumā starp ES valstīm Latvija bija 21.vietā.</w:t>
      </w:r>
    </w:p>
    <w:p w:rsidR="003271B1" w:rsidP="003271B1">
      <w:pPr>
        <w:spacing w:after="0" w:line="240" w:lineRule="auto"/>
        <w:jc w:val="both"/>
        <w:rPr>
          <w:rFonts w:ascii="Candara" w:hAnsi="Candara"/>
          <w:color w:val="000000"/>
          <w:szCs w:val="28"/>
        </w:rPr>
      </w:pPr>
      <w:r w:rsidRPr="00DF40AC">
        <w:rPr>
          <w:rFonts w:ascii="Candara" w:hAnsi="Candara"/>
          <w:b/>
          <w:color w:val="000000"/>
          <w:szCs w:val="28"/>
          <w:u w:val="single"/>
        </w:rPr>
        <w:t>Produktivitāte</w:t>
      </w:r>
      <w:r>
        <w:rPr>
          <w:rFonts w:ascii="Candara" w:hAnsi="Candara"/>
          <w:b/>
          <w:color w:val="000000"/>
          <w:szCs w:val="28"/>
          <w:u w:val="single"/>
        </w:rPr>
        <w:t>,</w:t>
      </w:r>
      <w:r w:rsidRPr="0009319E">
        <w:rPr>
          <w:rFonts w:ascii="Candara" w:hAnsi="Candara"/>
          <w:b/>
          <w:color w:val="000000"/>
          <w:szCs w:val="28"/>
          <w:u w:val="single"/>
        </w:rPr>
        <w:t xml:space="preserve"> </w:t>
      </w:r>
      <w:r>
        <w:rPr>
          <w:rFonts w:ascii="Candara" w:hAnsi="Candara"/>
          <w:b/>
          <w:color w:val="000000"/>
          <w:szCs w:val="28"/>
          <w:u w:val="single"/>
        </w:rPr>
        <w:t>salīdzinot ar ES valstīm, 2016.gadā.</w:t>
      </w:r>
      <w:r>
        <w:rPr>
          <w:rFonts w:ascii="Candara" w:hAnsi="Candara"/>
          <w:color w:val="000000"/>
          <w:szCs w:val="28"/>
        </w:rPr>
        <w:t xml:space="preserve"> </w:t>
      </w:r>
      <w:r w:rsidRPr="0009319E">
        <w:rPr>
          <w:rFonts w:ascii="Candara" w:hAnsi="Candara"/>
          <w:color w:val="000000"/>
          <w:szCs w:val="28"/>
        </w:rPr>
        <w:t>Latvijā 201</w:t>
      </w:r>
      <w:r>
        <w:rPr>
          <w:rFonts w:ascii="Candara" w:hAnsi="Candara"/>
          <w:color w:val="000000"/>
          <w:szCs w:val="28"/>
        </w:rPr>
        <w:t>6</w:t>
      </w:r>
      <w:r w:rsidRPr="0009319E">
        <w:rPr>
          <w:rFonts w:ascii="Candara" w:hAnsi="Candara"/>
          <w:color w:val="000000"/>
          <w:szCs w:val="28"/>
        </w:rPr>
        <w:t xml:space="preserve">.gadā </w:t>
      </w:r>
      <w:r>
        <w:rPr>
          <w:rFonts w:ascii="Candara" w:hAnsi="Candara"/>
          <w:color w:val="000000"/>
          <w:szCs w:val="28"/>
        </w:rPr>
        <w:t>produktivitāte</w:t>
      </w:r>
      <w:r w:rsidRPr="0009319E">
        <w:rPr>
          <w:rFonts w:ascii="Candara" w:hAnsi="Candara"/>
          <w:color w:val="000000"/>
          <w:szCs w:val="28"/>
        </w:rPr>
        <w:t xml:space="preserve"> bija </w:t>
      </w:r>
      <w:r>
        <w:rPr>
          <w:rFonts w:ascii="Candara" w:hAnsi="Candara"/>
          <w:color w:val="000000"/>
          <w:szCs w:val="28"/>
        </w:rPr>
        <w:t>viena no zemākajām starp ES valstīm, zemāka tā bija tikai Lietuvā un Bulgārijā.</w:t>
      </w:r>
    </w:p>
    <w:p w:rsidR="003271B1" w:rsidP="003271B1">
      <w:pPr>
        <w:spacing w:after="0" w:line="240" w:lineRule="auto"/>
        <w:jc w:val="both"/>
        <w:rPr>
          <w:rFonts w:ascii="Candara" w:hAnsi="Candara"/>
          <w:color w:val="000000"/>
          <w:szCs w:val="28"/>
        </w:rPr>
      </w:pPr>
      <w:r w:rsidRPr="00DF40AC">
        <w:rPr>
          <w:rFonts w:ascii="Candara" w:hAnsi="Candara"/>
          <w:b/>
          <w:color w:val="000000"/>
          <w:szCs w:val="28"/>
          <w:u w:val="single"/>
        </w:rPr>
        <w:t>Produktivitāte un darbaspēka izmaksas ES-28 valstīs 2010.g</w:t>
      </w:r>
      <w:r>
        <w:rPr>
          <w:rFonts w:ascii="Candara" w:hAnsi="Candara"/>
          <w:b/>
          <w:color w:val="000000"/>
          <w:szCs w:val="28"/>
          <w:u w:val="single"/>
        </w:rPr>
        <w:t xml:space="preserve">adā un </w:t>
      </w:r>
      <w:r w:rsidRPr="00DF40AC">
        <w:rPr>
          <w:rFonts w:ascii="Candara" w:hAnsi="Candara"/>
          <w:b/>
          <w:color w:val="000000"/>
          <w:szCs w:val="28"/>
          <w:u w:val="single"/>
        </w:rPr>
        <w:t>201</w:t>
      </w:r>
      <w:r>
        <w:rPr>
          <w:rFonts w:ascii="Candara" w:hAnsi="Candara"/>
          <w:b/>
          <w:color w:val="000000"/>
          <w:szCs w:val="28"/>
          <w:u w:val="single"/>
        </w:rPr>
        <w:t>6</w:t>
      </w:r>
      <w:r w:rsidRPr="00DF40AC">
        <w:rPr>
          <w:rFonts w:ascii="Candara" w:hAnsi="Candara"/>
          <w:b/>
          <w:color w:val="000000"/>
          <w:szCs w:val="28"/>
          <w:u w:val="single"/>
        </w:rPr>
        <w:t>.g</w:t>
      </w:r>
      <w:r>
        <w:rPr>
          <w:rFonts w:ascii="Candara" w:hAnsi="Candara"/>
          <w:b/>
          <w:color w:val="000000"/>
          <w:szCs w:val="28"/>
          <w:u w:val="single"/>
        </w:rPr>
        <w:t>adā.</w:t>
      </w:r>
      <w:r>
        <w:rPr>
          <w:rFonts w:ascii="Candara" w:hAnsi="Candara"/>
          <w:color w:val="000000"/>
          <w:szCs w:val="28"/>
        </w:rPr>
        <w:t xml:space="preserve"> D</w:t>
      </w:r>
      <w:r w:rsidRPr="00306698">
        <w:rPr>
          <w:rFonts w:ascii="Candara" w:hAnsi="Candara"/>
          <w:color w:val="000000"/>
          <w:szCs w:val="28"/>
        </w:rPr>
        <w:t xml:space="preserve">arbaspēka izmaksas uz 1 produkcijas </w:t>
      </w:r>
      <w:r>
        <w:rPr>
          <w:rFonts w:ascii="Candara" w:hAnsi="Candara"/>
          <w:color w:val="000000"/>
          <w:szCs w:val="28"/>
        </w:rPr>
        <w:t>vienību (ULC) p</w:t>
      </w:r>
      <w:r w:rsidRPr="003F2EA2">
        <w:rPr>
          <w:rFonts w:ascii="Candara" w:hAnsi="Candara"/>
          <w:color w:val="000000"/>
          <w:szCs w:val="28"/>
        </w:rPr>
        <w:t xml:space="preserve">ārējo komercpakalpojumu </w:t>
      </w:r>
      <w:r>
        <w:rPr>
          <w:rFonts w:ascii="Candara" w:hAnsi="Candara"/>
          <w:color w:val="000000"/>
          <w:szCs w:val="28"/>
        </w:rPr>
        <w:t>nozarēs Latvijā 2016.gadā ir viens no augstākajiem rādītājiem starp ES valstīm, augstākā līmenī tas bija vēl tikai Nīderlandē. 2010.gadā ULC Latvijā bija zemāks par ES vidējo līmeni. Darbaspēka izmaksu uz 1 produkcijas vienību straujo kāpumu Latvijā 2016.gadā, salīdzinot ar 2010.gadu, noteica darbaspēka izmaksu pieaugums par 41% un produktivitātes kritums par 4%, kam pamatā bija nodarbināto skaita pieaugums par 26%. Augstais ULC līmenis Latvijā šajās nozarēs liecina par būtiskām problēmām konkurētspējas nodrošināšanā.</w:t>
      </w:r>
    </w:p>
    <w:p w:rsidR="00B2274B" w:rsidP="00762D1E">
      <w:pPr>
        <w:spacing w:after="0" w:line="240" w:lineRule="auto"/>
        <w:rPr>
          <w:rFonts w:ascii="Candara" w:hAnsi="Candara"/>
          <w:color w:val="000000"/>
          <w:szCs w:val="28"/>
        </w:rPr>
      </w:pPr>
      <w:r>
        <w:rPr>
          <w:rFonts w:ascii="Candara" w:hAnsi="Candara"/>
          <w:color w:val="000000"/>
          <w:szCs w:val="28"/>
        </w:rPr>
        <w:br w:type="page"/>
      </w:r>
    </w:p>
    <w:p w:rsidR="00B2274B" w:rsidP="00B2274B">
      <w:pPr>
        <w:pStyle w:val="Heading1"/>
        <w:jc w:val="center"/>
        <w:rPr>
          <w:b/>
          <w:sz w:val="22"/>
          <w:szCs w:val="22"/>
        </w:rPr>
      </w:pPr>
      <w:bookmarkStart w:id="94" w:name="_Toc482792423"/>
      <w:bookmarkStart w:id="95" w:name="_Toc256000025"/>
      <w:bookmarkStart w:id="96" w:name="_Toc256000051"/>
      <w:r>
        <w:rPr>
          <w:b/>
          <w:sz w:val="22"/>
          <w:szCs w:val="22"/>
        </w:rPr>
        <w:t>KOPSAVILKUMS</w:t>
      </w:r>
      <w:bookmarkEnd w:id="96"/>
      <w:bookmarkEnd w:id="95"/>
      <w:bookmarkEnd w:id="94"/>
    </w:p>
    <w:p w:rsidR="00B2274B" w:rsidP="00B2274B">
      <w:pPr>
        <w:spacing w:after="0" w:line="240" w:lineRule="auto"/>
        <w:ind w:right="-427" w:hanging="567"/>
        <w:jc w:val="center"/>
        <w:rPr>
          <w:rFonts w:ascii="Calibri Light" w:hAnsi="Calibri Light"/>
          <w:sz w:val="20"/>
          <w:szCs w:val="20"/>
        </w:rPr>
      </w:pPr>
      <w:r>
        <w:rPr>
          <w:rFonts w:ascii="Calibri Light" w:hAnsi="Calibri Light"/>
          <w:sz w:val="20"/>
          <w:szCs w:val="20"/>
        </w:rPr>
        <w:t>x ass – produktivitāte (pievienotā vērtība uz vienu strādājošo, EUR), y ass – ULC (darbaspēka izmaksas uz 1 produkcijas vienību, EUR)</w:t>
      </w:r>
    </w:p>
    <w:tbl>
      <w:tblPr>
        <w:tblStyle w:val="TableGrid1"/>
        <w:tblW w:w="0" w:type="auto"/>
        <w:jc w:val="center"/>
        <w:tblLook w:val="04A0"/>
      </w:tblPr>
      <w:tblGrid>
        <w:gridCol w:w="2573"/>
        <w:gridCol w:w="2550"/>
        <w:gridCol w:w="2418"/>
        <w:gridCol w:w="2370"/>
      </w:tblGrid>
      <w:tr w:rsidTr="00B2274B">
        <w:tblPrEx>
          <w:tblW w:w="0" w:type="auto"/>
          <w:jc w:val="center"/>
          <w:tblLook w:val="04A0"/>
        </w:tblPrEx>
        <w:trPr>
          <w:jc w:val="center"/>
        </w:trPr>
        <w:tc>
          <w:tcPr>
            <w:tcW w:w="2518" w:type="dxa"/>
            <w:tcBorders>
              <w:top w:val="single" w:sz="4" w:space="0" w:color="auto"/>
              <w:left w:val="single" w:sz="4" w:space="0" w:color="auto"/>
              <w:bottom w:val="nil"/>
              <w:right w:val="single" w:sz="4" w:space="0" w:color="auto"/>
            </w:tcBorders>
            <w:vAlign w:val="center"/>
            <w:hideMark/>
          </w:tcPr>
          <w:p w:rsidR="00B2274B">
            <w:pPr>
              <w:ind w:left="-170" w:right="-113"/>
              <w:jc w:val="center"/>
              <w:rPr>
                <w:rFonts w:ascii="Calibri Light" w:hAnsi="Calibri Light"/>
                <w:sz w:val="20"/>
                <w:szCs w:val="20"/>
              </w:rPr>
            </w:pPr>
            <w:r>
              <w:rPr>
                <w:rFonts w:ascii="Calibri Light" w:hAnsi="Calibri Light"/>
                <w:b/>
                <w:sz w:val="20"/>
                <w:szCs w:val="20"/>
              </w:rPr>
              <w:t>A</w:t>
            </w:r>
            <w:r>
              <w:rPr>
                <w:rFonts w:ascii="Calibri Light" w:hAnsi="Calibri Light"/>
                <w:sz w:val="20"/>
                <w:szCs w:val="20"/>
              </w:rPr>
              <w:t xml:space="preserve"> Lauksaimniecība, mežsaimn.</w:t>
            </w:r>
          </w:p>
        </w:tc>
        <w:tc>
          <w:tcPr>
            <w:tcW w:w="2494" w:type="dxa"/>
            <w:tcBorders>
              <w:top w:val="single" w:sz="4" w:space="0" w:color="auto"/>
              <w:left w:val="single" w:sz="4" w:space="0" w:color="auto"/>
              <w:bottom w:val="nil"/>
              <w:right w:val="single" w:sz="4" w:space="0" w:color="auto"/>
            </w:tcBorders>
            <w:vAlign w:val="center"/>
            <w:hideMark/>
          </w:tcPr>
          <w:p w:rsidR="00B2274B">
            <w:pPr>
              <w:ind w:left="-170" w:right="-113"/>
              <w:jc w:val="center"/>
              <w:rPr>
                <w:rFonts w:ascii="Calibri Light" w:hAnsi="Calibri Light"/>
                <w:sz w:val="20"/>
                <w:szCs w:val="20"/>
              </w:rPr>
            </w:pPr>
            <w:r>
              <w:rPr>
                <w:rFonts w:ascii="Calibri Light" w:hAnsi="Calibri Light"/>
                <w:b/>
                <w:sz w:val="20"/>
                <w:szCs w:val="20"/>
              </w:rPr>
              <w:t>B</w:t>
            </w:r>
            <w:r>
              <w:rPr>
                <w:rFonts w:ascii="Calibri Light" w:hAnsi="Calibri Light"/>
                <w:sz w:val="20"/>
                <w:szCs w:val="20"/>
              </w:rPr>
              <w:t xml:space="preserve"> Ieguves rūpniecība</w:t>
            </w:r>
          </w:p>
        </w:tc>
        <w:tc>
          <w:tcPr>
            <w:tcW w:w="2367" w:type="dxa"/>
            <w:tcBorders>
              <w:top w:val="single" w:sz="4" w:space="0" w:color="auto"/>
              <w:left w:val="single" w:sz="4" w:space="0" w:color="auto"/>
              <w:bottom w:val="nil"/>
              <w:right w:val="single" w:sz="4" w:space="0" w:color="auto"/>
            </w:tcBorders>
            <w:vAlign w:val="center"/>
            <w:hideMark/>
          </w:tcPr>
          <w:p w:rsidR="00B2274B">
            <w:pPr>
              <w:ind w:left="-170" w:right="-113"/>
              <w:jc w:val="center"/>
              <w:rPr>
                <w:rFonts w:ascii="Calibri Light" w:hAnsi="Calibri Light"/>
                <w:sz w:val="20"/>
                <w:szCs w:val="20"/>
              </w:rPr>
            </w:pPr>
            <w:r>
              <w:rPr>
                <w:rFonts w:ascii="Calibri Light" w:hAnsi="Calibri Light"/>
                <w:b/>
                <w:sz w:val="20"/>
                <w:szCs w:val="20"/>
              </w:rPr>
              <w:t xml:space="preserve">C </w:t>
            </w:r>
            <w:r>
              <w:rPr>
                <w:rFonts w:ascii="Calibri Light" w:hAnsi="Calibri Light"/>
                <w:sz w:val="20"/>
                <w:szCs w:val="20"/>
              </w:rPr>
              <w:t>Apstrādes rūpniecība</w:t>
            </w:r>
          </w:p>
        </w:tc>
        <w:tc>
          <w:tcPr>
            <w:tcW w:w="2532" w:type="dxa"/>
            <w:tcBorders>
              <w:top w:val="single" w:sz="4" w:space="0" w:color="auto"/>
              <w:left w:val="single" w:sz="4" w:space="0" w:color="auto"/>
              <w:bottom w:val="nil"/>
              <w:right w:val="single" w:sz="4" w:space="0" w:color="auto"/>
            </w:tcBorders>
            <w:vAlign w:val="center"/>
            <w:hideMark/>
          </w:tcPr>
          <w:p w:rsidR="00B2274B">
            <w:pPr>
              <w:ind w:left="-170" w:right="-113"/>
              <w:jc w:val="center"/>
              <w:rPr>
                <w:rFonts w:ascii="Calibri Light" w:hAnsi="Calibri Light"/>
                <w:spacing w:val="-4"/>
                <w:sz w:val="20"/>
                <w:szCs w:val="20"/>
              </w:rPr>
            </w:pPr>
            <w:r>
              <w:rPr>
                <w:rFonts w:ascii="Calibri Light" w:hAnsi="Calibri Light"/>
                <w:b/>
                <w:spacing w:val="-4"/>
                <w:sz w:val="20"/>
                <w:szCs w:val="20"/>
              </w:rPr>
              <w:t>C10-12</w:t>
            </w:r>
            <w:r>
              <w:rPr>
                <w:rFonts w:ascii="Calibri Light" w:hAnsi="Calibri Light"/>
                <w:spacing w:val="-4"/>
                <w:sz w:val="20"/>
                <w:szCs w:val="20"/>
              </w:rPr>
              <w:t xml:space="preserve"> Pārtika, dzērieni, tabaka</w:t>
            </w:r>
          </w:p>
        </w:tc>
      </w:tr>
      <w:tr w:rsidTr="00B2274B">
        <w:tblPrEx>
          <w:tblW w:w="0" w:type="auto"/>
          <w:jc w:val="center"/>
          <w:tblLook w:val="04A0"/>
        </w:tblPrEx>
        <w:trPr>
          <w:jc w:val="center"/>
        </w:trPr>
        <w:tc>
          <w:tcPr>
            <w:tcW w:w="2518" w:type="dxa"/>
            <w:tcBorders>
              <w:top w:val="nil"/>
              <w:left w:val="single" w:sz="4" w:space="0" w:color="auto"/>
              <w:bottom w:val="single" w:sz="4" w:space="0" w:color="auto"/>
              <w:right w:val="single" w:sz="4" w:space="0" w:color="auto"/>
            </w:tcBorders>
            <w:hideMark/>
          </w:tcPr>
          <w:p w:rsidR="00B2274B">
            <w:pPr>
              <w:ind w:left="-170" w:right="-113"/>
              <w:jc w:val="center"/>
              <w:rPr>
                <w:rFonts w:ascii="Calibri Light" w:hAnsi="Calibri Light"/>
                <w:sz w:val="20"/>
                <w:szCs w:val="20"/>
              </w:rPr>
            </w:pPr>
            <w:r>
              <w:rPr>
                <w:noProof/>
                <w:lang w:eastAsia="lv-LV"/>
              </w:rPr>
              <w:drawing>
                <wp:inline distT="0" distB="0" distL="0" distR="0">
                  <wp:extent cx="1696720" cy="1371600"/>
                  <wp:effectExtent l="0" t="0" r="0" b="0"/>
                  <wp:docPr id="571" name="Chart 5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1"/>
                    </a:graphicData>
                  </a:graphic>
                </wp:inline>
              </w:drawing>
            </w:r>
          </w:p>
        </w:tc>
        <w:tc>
          <w:tcPr>
            <w:tcW w:w="2494" w:type="dxa"/>
            <w:tcBorders>
              <w:top w:val="nil"/>
              <w:left w:val="single" w:sz="4" w:space="0" w:color="auto"/>
              <w:bottom w:val="single" w:sz="4" w:space="0" w:color="auto"/>
              <w:right w:val="single" w:sz="4" w:space="0" w:color="auto"/>
            </w:tcBorders>
            <w:hideMark/>
          </w:tcPr>
          <w:p w:rsidR="00B2274B">
            <w:pPr>
              <w:ind w:left="-170" w:right="-113"/>
              <w:jc w:val="center"/>
              <w:rPr>
                <w:rFonts w:ascii="Calibri Light" w:hAnsi="Calibri Light"/>
                <w:sz w:val="20"/>
                <w:szCs w:val="20"/>
              </w:rPr>
            </w:pPr>
            <w:r>
              <w:rPr>
                <w:noProof/>
                <w:lang w:eastAsia="lv-LV"/>
              </w:rPr>
              <w:drawing>
                <wp:inline distT="0" distB="0" distL="0" distR="0">
                  <wp:extent cx="1679575" cy="1371600"/>
                  <wp:effectExtent l="0" t="0" r="0" b="0"/>
                  <wp:docPr id="570" name="Chart 5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2"/>
                    </a:graphicData>
                  </a:graphic>
                </wp:inline>
              </w:drawing>
            </w:r>
          </w:p>
        </w:tc>
        <w:tc>
          <w:tcPr>
            <w:tcW w:w="2367" w:type="dxa"/>
            <w:tcBorders>
              <w:top w:val="nil"/>
              <w:left w:val="single" w:sz="4" w:space="0" w:color="auto"/>
              <w:bottom w:val="single" w:sz="4" w:space="0" w:color="auto"/>
              <w:right w:val="single" w:sz="4" w:space="0" w:color="auto"/>
            </w:tcBorders>
            <w:hideMark/>
          </w:tcPr>
          <w:p w:rsidR="00B2274B">
            <w:pPr>
              <w:ind w:left="-170" w:right="-113"/>
              <w:jc w:val="center"/>
              <w:rPr>
                <w:rFonts w:ascii="Calibri Light" w:hAnsi="Calibri Light"/>
                <w:sz w:val="20"/>
                <w:szCs w:val="20"/>
              </w:rPr>
            </w:pPr>
            <w:r>
              <w:rPr>
                <w:noProof/>
                <w:lang w:eastAsia="lv-LV"/>
              </w:rPr>
              <w:drawing>
                <wp:inline distT="0" distB="0" distL="0" distR="0">
                  <wp:extent cx="1584685" cy="1371600"/>
                  <wp:effectExtent l="0" t="0" r="0" b="0"/>
                  <wp:docPr id="569" name="Chart 5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3"/>
                    </a:graphicData>
                  </a:graphic>
                </wp:inline>
              </w:drawing>
            </w:r>
          </w:p>
        </w:tc>
        <w:tc>
          <w:tcPr>
            <w:tcW w:w="2532" w:type="dxa"/>
            <w:tcBorders>
              <w:top w:val="nil"/>
              <w:left w:val="single" w:sz="4" w:space="0" w:color="auto"/>
              <w:bottom w:val="single" w:sz="4" w:space="0" w:color="auto"/>
              <w:right w:val="single" w:sz="4" w:space="0" w:color="auto"/>
            </w:tcBorders>
            <w:hideMark/>
          </w:tcPr>
          <w:p w:rsidR="00B2274B">
            <w:pPr>
              <w:ind w:left="-170" w:right="-113"/>
              <w:jc w:val="center"/>
              <w:rPr>
                <w:rFonts w:ascii="Calibri Light" w:hAnsi="Calibri Light"/>
                <w:sz w:val="20"/>
                <w:szCs w:val="20"/>
              </w:rPr>
            </w:pPr>
            <w:r>
              <w:rPr>
                <w:noProof/>
                <w:lang w:eastAsia="lv-LV"/>
              </w:rPr>
              <w:drawing>
                <wp:inline distT="0" distB="0" distL="0" distR="0">
                  <wp:extent cx="1661795" cy="1371600"/>
                  <wp:effectExtent l="0" t="0" r="0" b="0"/>
                  <wp:docPr id="568" name="Chart 5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4"/>
                    </a:graphicData>
                  </a:graphic>
                </wp:inline>
              </w:drawing>
            </w:r>
          </w:p>
        </w:tc>
      </w:tr>
      <w:tr w:rsidTr="00B2274B">
        <w:tblPrEx>
          <w:tblW w:w="0" w:type="auto"/>
          <w:jc w:val="center"/>
          <w:tblLook w:val="04A0"/>
        </w:tblPrEx>
        <w:trPr>
          <w:jc w:val="center"/>
        </w:trPr>
        <w:tc>
          <w:tcPr>
            <w:tcW w:w="2518" w:type="dxa"/>
            <w:tcBorders>
              <w:top w:val="single" w:sz="4" w:space="0" w:color="auto"/>
              <w:left w:val="single" w:sz="4" w:space="0" w:color="auto"/>
              <w:bottom w:val="nil"/>
              <w:right w:val="single" w:sz="4" w:space="0" w:color="auto"/>
            </w:tcBorders>
            <w:hideMark/>
          </w:tcPr>
          <w:p w:rsidR="00B2274B">
            <w:pPr>
              <w:ind w:left="-170" w:right="-113"/>
              <w:jc w:val="center"/>
              <w:rPr>
                <w:rFonts w:ascii="Calibri Light" w:hAnsi="Calibri Light"/>
                <w:sz w:val="20"/>
                <w:szCs w:val="20"/>
              </w:rPr>
            </w:pPr>
            <w:r>
              <w:rPr>
                <w:rFonts w:ascii="Calibri Light" w:hAnsi="Calibri Light"/>
                <w:b/>
                <w:sz w:val="20"/>
                <w:szCs w:val="20"/>
              </w:rPr>
              <w:t>C13-15</w:t>
            </w:r>
            <w:r>
              <w:rPr>
                <w:rFonts w:ascii="Calibri Light" w:hAnsi="Calibri Light"/>
                <w:sz w:val="20"/>
                <w:szCs w:val="20"/>
              </w:rPr>
              <w:t xml:space="preserve"> Vieglā rūpniecība</w:t>
            </w:r>
          </w:p>
        </w:tc>
        <w:tc>
          <w:tcPr>
            <w:tcW w:w="2494" w:type="dxa"/>
            <w:tcBorders>
              <w:top w:val="single" w:sz="4" w:space="0" w:color="auto"/>
              <w:left w:val="single" w:sz="4" w:space="0" w:color="auto"/>
              <w:bottom w:val="nil"/>
              <w:right w:val="single" w:sz="4" w:space="0" w:color="auto"/>
            </w:tcBorders>
            <w:hideMark/>
          </w:tcPr>
          <w:p w:rsidR="00B2274B">
            <w:pPr>
              <w:ind w:left="-170" w:right="-113"/>
              <w:jc w:val="center"/>
              <w:rPr>
                <w:rFonts w:ascii="Calibri Light" w:hAnsi="Calibri Light"/>
                <w:sz w:val="20"/>
                <w:szCs w:val="20"/>
              </w:rPr>
            </w:pPr>
            <w:r>
              <w:rPr>
                <w:rFonts w:ascii="Calibri Light" w:hAnsi="Calibri Light"/>
                <w:b/>
                <w:sz w:val="20"/>
                <w:szCs w:val="20"/>
              </w:rPr>
              <w:t>C16</w:t>
            </w:r>
            <w:r>
              <w:rPr>
                <w:rFonts w:ascii="Calibri Light" w:hAnsi="Calibri Light"/>
                <w:sz w:val="20"/>
                <w:szCs w:val="20"/>
              </w:rPr>
              <w:t xml:space="preserve"> Kokapstrāde</w:t>
            </w:r>
          </w:p>
        </w:tc>
        <w:tc>
          <w:tcPr>
            <w:tcW w:w="2367" w:type="dxa"/>
            <w:tcBorders>
              <w:top w:val="single" w:sz="4" w:space="0" w:color="auto"/>
              <w:left w:val="single" w:sz="4" w:space="0" w:color="auto"/>
              <w:bottom w:val="nil"/>
              <w:right w:val="single" w:sz="4" w:space="0" w:color="auto"/>
            </w:tcBorders>
            <w:hideMark/>
          </w:tcPr>
          <w:p w:rsidR="00B2274B">
            <w:pPr>
              <w:ind w:left="-170" w:right="-113"/>
              <w:jc w:val="center"/>
              <w:rPr>
                <w:rFonts w:ascii="Calibri Light" w:hAnsi="Calibri Light"/>
                <w:sz w:val="20"/>
                <w:szCs w:val="20"/>
              </w:rPr>
            </w:pPr>
            <w:r>
              <w:rPr>
                <w:rFonts w:ascii="Calibri Light" w:hAnsi="Calibri Light"/>
                <w:b/>
                <w:sz w:val="20"/>
                <w:szCs w:val="20"/>
              </w:rPr>
              <w:t>C17-18</w:t>
            </w:r>
            <w:r>
              <w:rPr>
                <w:rFonts w:ascii="Calibri Light" w:hAnsi="Calibri Light"/>
                <w:sz w:val="20"/>
                <w:szCs w:val="20"/>
              </w:rPr>
              <w:t xml:space="preserve"> Papīra ražošana</w:t>
            </w:r>
          </w:p>
        </w:tc>
        <w:tc>
          <w:tcPr>
            <w:tcW w:w="2532" w:type="dxa"/>
            <w:tcBorders>
              <w:top w:val="single" w:sz="4" w:space="0" w:color="auto"/>
              <w:left w:val="single" w:sz="4" w:space="0" w:color="auto"/>
              <w:bottom w:val="nil"/>
              <w:right w:val="single" w:sz="4" w:space="0" w:color="auto"/>
            </w:tcBorders>
            <w:hideMark/>
          </w:tcPr>
          <w:p w:rsidR="00B2274B">
            <w:pPr>
              <w:ind w:left="-170" w:right="-113"/>
              <w:jc w:val="center"/>
              <w:rPr>
                <w:rFonts w:ascii="Calibri Light" w:hAnsi="Calibri Light"/>
                <w:sz w:val="20"/>
                <w:szCs w:val="20"/>
              </w:rPr>
            </w:pPr>
            <w:r>
              <w:rPr>
                <w:rFonts w:ascii="Calibri Light" w:hAnsi="Calibri Light"/>
                <w:b/>
                <w:sz w:val="20"/>
                <w:szCs w:val="20"/>
              </w:rPr>
              <w:t>C19-22</w:t>
            </w:r>
            <w:r>
              <w:rPr>
                <w:rFonts w:ascii="Calibri Light" w:hAnsi="Calibri Light"/>
                <w:sz w:val="20"/>
                <w:szCs w:val="20"/>
              </w:rPr>
              <w:t xml:space="preserve"> Ķīmiskā rūpniecība</w:t>
            </w:r>
          </w:p>
        </w:tc>
      </w:tr>
      <w:tr w:rsidTr="00B2274B">
        <w:tblPrEx>
          <w:tblW w:w="0" w:type="auto"/>
          <w:jc w:val="center"/>
          <w:tblLook w:val="04A0"/>
        </w:tblPrEx>
        <w:trPr>
          <w:trHeight w:val="2226"/>
          <w:jc w:val="center"/>
        </w:trPr>
        <w:tc>
          <w:tcPr>
            <w:tcW w:w="2518" w:type="dxa"/>
            <w:tcBorders>
              <w:top w:val="nil"/>
              <w:left w:val="single" w:sz="4" w:space="0" w:color="auto"/>
              <w:bottom w:val="single" w:sz="4" w:space="0" w:color="auto"/>
              <w:right w:val="single" w:sz="4" w:space="0" w:color="auto"/>
            </w:tcBorders>
            <w:hideMark/>
          </w:tcPr>
          <w:p w:rsidR="00B2274B">
            <w:pPr>
              <w:ind w:left="-170" w:right="-113"/>
              <w:jc w:val="center"/>
              <w:rPr>
                <w:rFonts w:ascii="Calibri Light" w:hAnsi="Calibri Light"/>
                <w:sz w:val="20"/>
                <w:szCs w:val="20"/>
              </w:rPr>
            </w:pPr>
            <w:r>
              <w:rPr>
                <w:noProof/>
                <w:lang w:eastAsia="lv-LV"/>
              </w:rPr>
              <w:drawing>
                <wp:inline distT="0" distB="0" distL="0" distR="0">
                  <wp:extent cx="1644015" cy="1371600"/>
                  <wp:effectExtent l="0" t="0" r="0" b="0"/>
                  <wp:docPr id="567" name="Chart 5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5"/>
                    </a:graphicData>
                  </a:graphic>
                </wp:inline>
              </w:drawing>
            </w:r>
          </w:p>
        </w:tc>
        <w:tc>
          <w:tcPr>
            <w:tcW w:w="2494" w:type="dxa"/>
            <w:tcBorders>
              <w:top w:val="nil"/>
              <w:left w:val="single" w:sz="4" w:space="0" w:color="auto"/>
              <w:bottom w:val="single" w:sz="4" w:space="0" w:color="auto"/>
              <w:right w:val="single" w:sz="4" w:space="0" w:color="auto"/>
            </w:tcBorders>
            <w:hideMark/>
          </w:tcPr>
          <w:p w:rsidR="00B2274B">
            <w:pPr>
              <w:ind w:left="-170" w:right="-113"/>
              <w:jc w:val="center"/>
              <w:rPr>
                <w:rFonts w:ascii="Calibri Light" w:hAnsi="Calibri Light"/>
                <w:sz w:val="20"/>
                <w:szCs w:val="20"/>
              </w:rPr>
            </w:pPr>
            <w:r>
              <w:rPr>
                <w:noProof/>
                <w:lang w:eastAsia="lv-LV"/>
              </w:rPr>
              <w:drawing>
                <wp:inline distT="0" distB="0" distL="0" distR="0">
                  <wp:extent cx="1563997" cy="1371600"/>
                  <wp:effectExtent l="0" t="0" r="0" b="0"/>
                  <wp:docPr id="333" name="Chart 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6"/>
                    </a:graphicData>
                  </a:graphic>
                </wp:inline>
              </w:drawing>
            </w:r>
          </w:p>
        </w:tc>
        <w:tc>
          <w:tcPr>
            <w:tcW w:w="2367" w:type="dxa"/>
            <w:tcBorders>
              <w:top w:val="nil"/>
              <w:left w:val="single" w:sz="4" w:space="0" w:color="auto"/>
              <w:bottom w:val="single" w:sz="4" w:space="0" w:color="auto"/>
              <w:right w:val="single" w:sz="4" w:space="0" w:color="auto"/>
            </w:tcBorders>
            <w:hideMark/>
          </w:tcPr>
          <w:p w:rsidR="00B2274B">
            <w:pPr>
              <w:ind w:left="-170" w:right="-113"/>
              <w:jc w:val="center"/>
              <w:rPr>
                <w:rFonts w:ascii="Calibri Light" w:hAnsi="Calibri Light"/>
                <w:sz w:val="20"/>
                <w:szCs w:val="20"/>
              </w:rPr>
            </w:pPr>
            <w:r>
              <w:rPr>
                <w:noProof/>
                <w:lang w:eastAsia="lv-LV"/>
              </w:rPr>
              <w:drawing>
                <wp:inline distT="0" distB="0" distL="0" distR="0">
                  <wp:extent cx="1526759" cy="1371600"/>
                  <wp:effectExtent l="0" t="0" r="0" b="0"/>
                  <wp:docPr id="332" name="Chart 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7"/>
                    </a:graphicData>
                  </a:graphic>
                </wp:inline>
              </w:drawing>
            </w:r>
          </w:p>
        </w:tc>
        <w:tc>
          <w:tcPr>
            <w:tcW w:w="2532" w:type="dxa"/>
            <w:tcBorders>
              <w:top w:val="nil"/>
              <w:left w:val="single" w:sz="4" w:space="0" w:color="auto"/>
              <w:bottom w:val="single" w:sz="4" w:space="0" w:color="auto"/>
              <w:right w:val="single" w:sz="4" w:space="0" w:color="auto"/>
            </w:tcBorders>
            <w:hideMark/>
          </w:tcPr>
          <w:p w:rsidR="00B2274B">
            <w:pPr>
              <w:ind w:left="-170" w:right="-113"/>
              <w:jc w:val="center"/>
              <w:rPr>
                <w:rFonts w:ascii="Calibri Light" w:hAnsi="Calibri Light"/>
                <w:sz w:val="20"/>
                <w:szCs w:val="20"/>
              </w:rPr>
            </w:pPr>
            <w:r>
              <w:rPr>
                <w:noProof/>
                <w:lang w:eastAsia="lv-LV"/>
              </w:rPr>
              <w:drawing>
                <wp:inline distT="0" distB="0" distL="0" distR="0">
                  <wp:extent cx="1635125" cy="1371600"/>
                  <wp:effectExtent l="0" t="0" r="0" b="0"/>
                  <wp:docPr id="331" name="Chart 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8"/>
                    </a:graphicData>
                  </a:graphic>
                </wp:inline>
              </w:drawing>
            </w:r>
          </w:p>
        </w:tc>
      </w:tr>
      <w:tr w:rsidTr="00B2274B">
        <w:tblPrEx>
          <w:tblW w:w="0" w:type="auto"/>
          <w:jc w:val="center"/>
          <w:tblLook w:val="04A0"/>
        </w:tblPrEx>
        <w:trPr>
          <w:jc w:val="center"/>
        </w:trPr>
        <w:tc>
          <w:tcPr>
            <w:tcW w:w="2518" w:type="dxa"/>
            <w:tcBorders>
              <w:top w:val="single" w:sz="4" w:space="0" w:color="auto"/>
              <w:left w:val="single" w:sz="4" w:space="0" w:color="auto"/>
              <w:bottom w:val="nil"/>
              <w:right w:val="single" w:sz="4" w:space="0" w:color="auto"/>
            </w:tcBorders>
            <w:hideMark/>
          </w:tcPr>
          <w:p w:rsidR="00B2274B">
            <w:pPr>
              <w:ind w:left="-170" w:right="-113"/>
              <w:jc w:val="center"/>
              <w:rPr>
                <w:rFonts w:ascii="Calibri Light" w:hAnsi="Calibri Light"/>
                <w:sz w:val="20"/>
                <w:szCs w:val="20"/>
              </w:rPr>
            </w:pPr>
            <w:r>
              <w:rPr>
                <w:rFonts w:ascii="Calibri Light" w:hAnsi="Calibri Light"/>
                <w:b/>
                <w:sz w:val="20"/>
                <w:szCs w:val="20"/>
              </w:rPr>
              <w:t>C23</w:t>
            </w:r>
            <w:r>
              <w:rPr>
                <w:rFonts w:ascii="Calibri Light" w:hAnsi="Calibri Light"/>
                <w:sz w:val="20"/>
                <w:szCs w:val="20"/>
              </w:rPr>
              <w:t xml:space="preserve"> Nemetāliskie minerāli</w:t>
            </w:r>
          </w:p>
        </w:tc>
        <w:tc>
          <w:tcPr>
            <w:tcW w:w="2494" w:type="dxa"/>
            <w:tcBorders>
              <w:top w:val="single" w:sz="4" w:space="0" w:color="auto"/>
              <w:left w:val="single" w:sz="4" w:space="0" w:color="auto"/>
              <w:bottom w:val="nil"/>
              <w:right w:val="single" w:sz="4" w:space="0" w:color="auto"/>
            </w:tcBorders>
            <w:hideMark/>
          </w:tcPr>
          <w:p w:rsidR="00B2274B">
            <w:pPr>
              <w:ind w:left="-170" w:right="-113"/>
              <w:jc w:val="center"/>
              <w:rPr>
                <w:rFonts w:ascii="Calibri Light" w:hAnsi="Calibri Light"/>
                <w:sz w:val="20"/>
                <w:szCs w:val="20"/>
              </w:rPr>
            </w:pPr>
            <w:r>
              <w:rPr>
                <w:rFonts w:ascii="Calibri Light" w:hAnsi="Calibri Light"/>
                <w:b/>
                <w:sz w:val="20"/>
                <w:szCs w:val="20"/>
              </w:rPr>
              <w:t>C24-25</w:t>
            </w:r>
            <w:r>
              <w:rPr>
                <w:rFonts w:ascii="Calibri Light" w:hAnsi="Calibri Light"/>
                <w:sz w:val="20"/>
                <w:szCs w:val="20"/>
              </w:rPr>
              <w:t xml:space="preserve"> Metālu ražošana</w:t>
            </w:r>
          </w:p>
        </w:tc>
        <w:tc>
          <w:tcPr>
            <w:tcW w:w="2367" w:type="dxa"/>
            <w:tcBorders>
              <w:top w:val="single" w:sz="4" w:space="0" w:color="auto"/>
              <w:left w:val="single" w:sz="4" w:space="0" w:color="auto"/>
              <w:bottom w:val="nil"/>
              <w:right w:val="single" w:sz="4" w:space="0" w:color="auto"/>
            </w:tcBorders>
            <w:hideMark/>
          </w:tcPr>
          <w:p w:rsidR="00B2274B">
            <w:pPr>
              <w:ind w:left="-170" w:right="-113"/>
              <w:jc w:val="center"/>
              <w:rPr>
                <w:rFonts w:ascii="Calibri Light" w:hAnsi="Calibri Light"/>
                <w:sz w:val="20"/>
                <w:szCs w:val="20"/>
              </w:rPr>
            </w:pPr>
            <w:r>
              <w:rPr>
                <w:rFonts w:ascii="Calibri Light" w:hAnsi="Calibri Light"/>
                <w:b/>
                <w:sz w:val="20"/>
                <w:szCs w:val="20"/>
              </w:rPr>
              <w:t>C26-27</w:t>
            </w:r>
            <w:r>
              <w:rPr>
                <w:rFonts w:ascii="Calibri Light" w:hAnsi="Calibri Light"/>
                <w:sz w:val="20"/>
                <w:szCs w:val="20"/>
              </w:rPr>
              <w:t xml:space="preserve"> Elektriskās iekārtas, </w:t>
            </w:r>
          </w:p>
        </w:tc>
        <w:tc>
          <w:tcPr>
            <w:tcW w:w="2532" w:type="dxa"/>
            <w:tcBorders>
              <w:top w:val="single" w:sz="4" w:space="0" w:color="auto"/>
              <w:left w:val="single" w:sz="4" w:space="0" w:color="auto"/>
              <w:bottom w:val="nil"/>
              <w:right w:val="single" w:sz="4" w:space="0" w:color="auto"/>
            </w:tcBorders>
            <w:hideMark/>
          </w:tcPr>
          <w:p w:rsidR="00B2274B">
            <w:pPr>
              <w:ind w:left="-170" w:right="-113"/>
              <w:jc w:val="center"/>
              <w:rPr>
                <w:rFonts w:ascii="Calibri Light" w:hAnsi="Calibri Light"/>
                <w:sz w:val="20"/>
                <w:szCs w:val="20"/>
              </w:rPr>
            </w:pPr>
            <w:r>
              <w:rPr>
                <w:rFonts w:ascii="Calibri Light" w:hAnsi="Calibri Light"/>
                <w:b/>
                <w:sz w:val="20"/>
                <w:szCs w:val="20"/>
              </w:rPr>
              <w:t>C28</w:t>
            </w:r>
            <w:r>
              <w:rPr>
                <w:rFonts w:ascii="Calibri Light" w:hAnsi="Calibri Light"/>
                <w:sz w:val="20"/>
                <w:szCs w:val="20"/>
              </w:rPr>
              <w:t xml:space="preserve"> Mašīnu, iekārtu ražošana</w:t>
            </w:r>
          </w:p>
        </w:tc>
      </w:tr>
      <w:tr w:rsidTr="00B2274B">
        <w:tblPrEx>
          <w:tblW w:w="0" w:type="auto"/>
          <w:jc w:val="center"/>
          <w:tblLook w:val="04A0"/>
        </w:tblPrEx>
        <w:trPr>
          <w:trHeight w:val="2196"/>
          <w:jc w:val="center"/>
        </w:trPr>
        <w:tc>
          <w:tcPr>
            <w:tcW w:w="2518" w:type="dxa"/>
            <w:tcBorders>
              <w:top w:val="nil"/>
              <w:left w:val="single" w:sz="4" w:space="0" w:color="auto"/>
              <w:bottom w:val="single" w:sz="4" w:space="0" w:color="auto"/>
              <w:right w:val="single" w:sz="4" w:space="0" w:color="auto"/>
            </w:tcBorders>
            <w:hideMark/>
          </w:tcPr>
          <w:p w:rsidR="00B2274B">
            <w:pPr>
              <w:ind w:left="-170" w:right="-113"/>
              <w:jc w:val="center"/>
              <w:rPr>
                <w:rFonts w:ascii="Calibri Light" w:hAnsi="Calibri Light"/>
                <w:sz w:val="20"/>
                <w:szCs w:val="20"/>
              </w:rPr>
            </w:pPr>
            <w:r>
              <w:rPr>
                <w:noProof/>
                <w:lang w:eastAsia="lv-LV"/>
              </w:rPr>
              <w:drawing>
                <wp:inline distT="0" distB="0" distL="0" distR="0">
                  <wp:extent cx="1679575" cy="1371600"/>
                  <wp:effectExtent l="0" t="0" r="0" b="0"/>
                  <wp:docPr id="316" name="Chart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9"/>
                    </a:graphicData>
                  </a:graphic>
                </wp:inline>
              </w:drawing>
            </w:r>
          </w:p>
        </w:tc>
        <w:tc>
          <w:tcPr>
            <w:tcW w:w="2494" w:type="dxa"/>
            <w:tcBorders>
              <w:top w:val="nil"/>
              <w:left w:val="single" w:sz="4" w:space="0" w:color="auto"/>
              <w:bottom w:val="single" w:sz="4" w:space="0" w:color="auto"/>
              <w:right w:val="single" w:sz="4" w:space="0" w:color="auto"/>
            </w:tcBorders>
            <w:hideMark/>
          </w:tcPr>
          <w:p w:rsidR="00B2274B">
            <w:pPr>
              <w:ind w:left="-170" w:right="-113"/>
              <w:jc w:val="center"/>
              <w:rPr>
                <w:rFonts w:ascii="Calibri Light" w:hAnsi="Calibri Light"/>
                <w:sz w:val="20"/>
                <w:szCs w:val="20"/>
              </w:rPr>
            </w:pPr>
            <w:r>
              <w:rPr>
                <w:noProof/>
                <w:lang w:eastAsia="lv-LV"/>
              </w:rPr>
              <w:drawing>
                <wp:inline distT="0" distB="0" distL="0" distR="0">
                  <wp:extent cx="1609090" cy="1371600"/>
                  <wp:effectExtent l="0" t="0" r="0" b="0"/>
                  <wp:docPr id="315" name="Chart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0"/>
                    </a:graphicData>
                  </a:graphic>
                </wp:inline>
              </w:drawing>
            </w:r>
          </w:p>
        </w:tc>
        <w:tc>
          <w:tcPr>
            <w:tcW w:w="2367" w:type="dxa"/>
            <w:tcBorders>
              <w:top w:val="nil"/>
              <w:left w:val="single" w:sz="4" w:space="0" w:color="auto"/>
              <w:bottom w:val="single" w:sz="4" w:space="0" w:color="auto"/>
              <w:right w:val="single" w:sz="4" w:space="0" w:color="auto"/>
            </w:tcBorders>
            <w:hideMark/>
          </w:tcPr>
          <w:p w:rsidR="00B2274B">
            <w:pPr>
              <w:ind w:left="-170" w:right="-113"/>
              <w:jc w:val="center"/>
              <w:rPr>
                <w:rFonts w:ascii="Calibri Light" w:hAnsi="Calibri Light"/>
                <w:sz w:val="20"/>
                <w:szCs w:val="20"/>
              </w:rPr>
            </w:pPr>
            <w:r>
              <w:rPr>
                <w:noProof/>
                <w:lang w:eastAsia="lv-LV"/>
              </w:rPr>
              <w:drawing>
                <wp:inline distT="0" distB="0" distL="0" distR="0">
                  <wp:extent cx="1661795" cy="1371600"/>
                  <wp:effectExtent l="0" t="0" r="0" b="0"/>
                  <wp:docPr id="314" name="Chart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1"/>
                    </a:graphicData>
                  </a:graphic>
                </wp:inline>
              </w:drawing>
            </w:r>
          </w:p>
        </w:tc>
        <w:tc>
          <w:tcPr>
            <w:tcW w:w="2532" w:type="dxa"/>
            <w:tcBorders>
              <w:top w:val="nil"/>
              <w:left w:val="single" w:sz="4" w:space="0" w:color="auto"/>
              <w:bottom w:val="single" w:sz="4" w:space="0" w:color="auto"/>
              <w:right w:val="single" w:sz="4" w:space="0" w:color="auto"/>
            </w:tcBorders>
            <w:hideMark/>
          </w:tcPr>
          <w:p w:rsidR="00B2274B">
            <w:pPr>
              <w:ind w:left="-170" w:right="-113"/>
              <w:jc w:val="center"/>
              <w:rPr>
                <w:rFonts w:ascii="Calibri Light" w:hAnsi="Calibri Light"/>
                <w:sz w:val="20"/>
                <w:szCs w:val="20"/>
              </w:rPr>
            </w:pPr>
            <w:r>
              <w:rPr>
                <w:noProof/>
                <w:lang w:eastAsia="lv-LV"/>
              </w:rPr>
              <w:drawing>
                <wp:inline distT="0" distB="0" distL="0" distR="0">
                  <wp:extent cx="1687830" cy="1371600"/>
                  <wp:effectExtent l="0" t="0" r="0" b="0"/>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2"/>
                    </a:graphicData>
                  </a:graphic>
                </wp:inline>
              </w:drawing>
            </w:r>
          </w:p>
        </w:tc>
      </w:tr>
      <w:tr w:rsidTr="00B2274B">
        <w:tblPrEx>
          <w:tblW w:w="0" w:type="auto"/>
          <w:jc w:val="center"/>
          <w:tblLook w:val="04A0"/>
        </w:tblPrEx>
        <w:trPr>
          <w:jc w:val="center"/>
        </w:trPr>
        <w:tc>
          <w:tcPr>
            <w:tcW w:w="2518" w:type="dxa"/>
            <w:tcBorders>
              <w:top w:val="single" w:sz="4" w:space="0" w:color="auto"/>
              <w:left w:val="single" w:sz="4" w:space="0" w:color="auto"/>
              <w:bottom w:val="nil"/>
              <w:right w:val="single" w:sz="4" w:space="0" w:color="auto"/>
            </w:tcBorders>
            <w:hideMark/>
          </w:tcPr>
          <w:p w:rsidR="00B2274B">
            <w:pPr>
              <w:ind w:left="-170" w:right="-113"/>
              <w:jc w:val="center"/>
              <w:rPr>
                <w:rFonts w:ascii="Calibri Light" w:hAnsi="Calibri Light"/>
                <w:sz w:val="20"/>
                <w:szCs w:val="20"/>
              </w:rPr>
            </w:pPr>
            <w:r>
              <w:rPr>
                <w:rFonts w:ascii="Calibri Light" w:hAnsi="Calibri Light"/>
                <w:b/>
                <w:sz w:val="20"/>
                <w:szCs w:val="20"/>
              </w:rPr>
              <w:t>C29-30</w:t>
            </w:r>
            <w:r>
              <w:rPr>
                <w:rFonts w:ascii="Calibri Light" w:hAnsi="Calibri Light"/>
                <w:sz w:val="20"/>
                <w:szCs w:val="20"/>
              </w:rPr>
              <w:t xml:space="preserve"> Transportlīdzekļi</w:t>
            </w:r>
          </w:p>
        </w:tc>
        <w:tc>
          <w:tcPr>
            <w:tcW w:w="2494" w:type="dxa"/>
            <w:tcBorders>
              <w:top w:val="single" w:sz="4" w:space="0" w:color="auto"/>
              <w:left w:val="single" w:sz="4" w:space="0" w:color="auto"/>
              <w:bottom w:val="nil"/>
              <w:right w:val="single" w:sz="4" w:space="0" w:color="auto"/>
            </w:tcBorders>
            <w:hideMark/>
          </w:tcPr>
          <w:p w:rsidR="00B2274B">
            <w:pPr>
              <w:ind w:left="-170" w:right="-113"/>
              <w:jc w:val="center"/>
              <w:rPr>
                <w:rFonts w:ascii="Calibri Light" w:hAnsi="Calibri Light"/>
                <w:sz w:val="20"/>
                <w:szCs w:val="20"/>
              </w:rPr>
            </w:pPr>
            <w:r>
              <w:rPr>
                <w:rFonts w:ascii="Calibri Light" w:hAnsi="Calibri Light"/>
                <w:b/>
                <w:sz w:val="20"/>
                <w:szCs w:val="20"/>
              </w:rPr>
              <w:t>C31-33</w:t>
            </w:r>
            <w:r>
              <w:rPr>
                <w:rFonts w:ascii="Calibri Light" w:hAnsi="Calibri Light"/>
                <w:sz w:val="20"/>
                <w:szCs w:val="20"/>
              </w:rPr>
              <w:t xml:space="preserve"> Pārējās nozares</w:t>
            </w:r>
          </w:p>
        </w:tc>
        <w:tc>
          <w:tcPr>
            <w:tcW w:w="2367" w:type="dxa"/>
            <w:tcBorders>
              <w:top w:val="single" w:sz="4" w:space="0" w:color="auto"/>
              <w:left w:val="single" w:sz="4" w:space="0" w:color="auto"/>
              <w:bottom w:val="nil"/>
              <w:right w:val="single" w:sz="4" w:space="0" w:color="auto"/>
            </w:tcBorders>
            <w:hideMark/>
          </w:tcPr>
          <w:p w:rsidR="00B2274B">
            <w:pPr>
              <w:ind w:left="-170" w:right="-113"/>
              <w:jc w:val="center"/>
              <w:rPr>
                <w:rFonts w:ascii="Calibri Light" w:hAnsi="Calibri Light"/>
                <w:spacing w:val="-4"/>
                <w:sz w:val="20"/>
                <w:szCs w:val="20"/>
              </w:rPr>
            </w:pPr>
            <w:r>
              <w:rPr>
                <w:rFonts w:ascii="Calibri Light" w:hAnsi="Calibri Light"/>
                <w:b/>
                <w:spacing w:val="-4"/>
                <w:sz w:val="20"/>
                <w:szCs w:val="20"/>
              </w:rPr>
              <w:t>D</w:t>
            </w:r>
            <w:r>
              <w:rPr>
                <w:rFonts w:ascii="Calibri Light" w:hAnsi="Calibri Light"/>
                <w:spacing w:val="-4"/>
                <w:sz w:val="20"/>
                <w:szCs w:val="20"/>
              </w:rPr>
              <w:t xml:space="preserve"> Elektroen., gāze, siltumapg.</w:t>
            </w:r>
          </w:p>
        </w:tc>
        <w:tc>
          <w:tcPr>
            <w:tcW w:w="2532" w:type="dxa"/>
            <w:tcBorders>
              <w:top w:val="single" w:sz="4" w:space="0" w:color="auto"/>
              <w:left w:val="single" w:sz="4" w:space="0" w:color="auto"/>
              <w:bottom w:val="nil"/>
              <w:right w:val="single" w:sz="4" w:space="0" w:color="auto"/>
            </w:tcBorders>
            <w:hideMark/>
          </w:tcPr>
          <w:p w:rsidR="00B2274B">
            <w:pPr>
              <w:ind w:left="-170" w:right="-113"/>
              <w:jc w:val="center"/>
              <w:rPr>
                <w:rFonts w:ascii="Calibri Light" w:hAnsi="Calibri Light"/>
                <w:spacing w:val="-4"/>
                <w:sz w:val="20"/>
                <w:szCs w:val="20"/>
              </w:rPr>
            </w:pPr>
            <w:r>
              <w:rPr>
                <w:rFonts w:ascii="Calibri Light" w:hAnsi="Calibri Light"/>
                <w:b/>
                <w:spacing w:val="-4"/>
                <w:sz w:val="20"/>
                <w:szCs w:val="20"/>
              </w:rPr>
              <w:t>E</w:t>
            </w:r>
            <w:r>
              <w:rPr>
                <w:rFonts w:ascii="Calibri Light" w:hAnsi="Calibri Light"/>
                <w:spacing w:val="-4"/>
                <w:sz w:val="20"/>
                <w:szCs w:val="20"/>
              </w:rPr>
              <w:t xml:space="preserve"> Ūdens, notekūdeņi, atkritumi</w:t>
            </w:r>
          </w:p>
        </w:tc>
      </w:tr>
      <w:tr w:rsidTr="00B2274B">
        <w:tblPrEx>
          <w:tblW w:w="0" w:type="auto"/>
          <w:jc w:val="center"/>
          <w:tblLook w:val="04A0"/>
        </w:tblPrEx>
        <w:trPr>
          <w:jc w:val="center"/>
        </w:trPr>
        <w:tc>
          <w:tcPr>
            <w:tcW w:w="2518" w:type="dxa"/>
            <w:tcBorders>
              <w:top w:val="nil"/>
              <w:left w:val="single" w:sz="4" w:space="0" w:color="auto"/>
              <w:bottom w:val="single" w:sz="4" w:space="0" w:color="auto"/>
              <w:right w:val="single" w:sz="4" w:space="0" w:color="auto"/>
            </w:tcBorders>
            <w:hideMark/>
          </w:tcPr>
          <w:p w:rsidR="00B2274B">
            <w:pPr>
              <w:ind w:left="-170" w:right="-113"/>
              <w:jc w:val="center"/>
              <w:rPr>
                <w:rFonts w:ascii="Calibri Light" w:hAnsi="Calibri Light"/>
                <w:sz w:val="20"/>
                <w:szCs w:val="20"/>
              </w:rPr>
            </w:pPr>
            <w:r>
              <w:rPr>
                <w:noProof/>
                <w:lang w:eastAsia="lv-LV"/>
              </w:rPr>
              <w:drawing>
                <wp:inline distT="0" distB="0" distL="0" distR="0">
                  <wp:extent cx="1565275" cy="1371600"/>
                  <wp:effectExtent l="0" t="0" r="0" b="0"/>
                  <wp:docPr id="298" name="Chart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3"/>
                    </a:graphicData>
                  </a:graphic>
                </wp:inline>
              </w:drawing>
            </w:r>
          </w:p>
        </w:tc>
        <w:tc>
          <w:tcPr>
            <w:tcW w:w="2494" w:type="dxa"/>
            <w:tcBorders>
              <w:top w:val="nil"/>
              <w:left w:val="single" w:sz="4" w:space="0" w:color="auto"/>
              <w:bottom w:val="single" w:sz="4" w:space="0" w:color="auto"/>
              <w:right w:val="single" w:sz="4" w:space="0" w:color="auto"/>
            </w:tcBorders>
            <w:hideMark/>
          </w:tcPr>
          <w:p w:rsidR="00B2274B">
            <w:pPr>
              <w:ind w:left="-170" w:right="-113"/>
              <w:jc w:val="center"/>
              <w:rPr>
                <w:rFonts w:ascii="Calibri Light" w:hAnsi="Calibri Light"/>
                <w:sz w:val="20"/>
                <w:szCs w:val="20"/>
              </w:rPr>
            </w:pPr>
            <w:r>
              <w:rPr>
                <w:noProof/>
                <w:lang w:eastAsia="lv-LV"/>
              </w:rPr>
              <w:drawing>
                <wp:inline distT="0" distB="0" distL="0" distR="0">
                  <wp:extent cx="1687830" cy="1371600"/>
                  <wp:effectExtent l="0" t="0" r="0" b="0"/>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4"/>
                    </a:graphicData>
                  </a:graphic>
                </wp:inline>
              </w:drawing>
            </w:r>
          </w:p>
        </w:tc>
        <w:tc>
          <w:tcPr>
            <w:tcW w:w="2367" w:type="dxa"/>
            <w:tcBorders>
              <w:top w:val="nil"/>
              <w:left w:val="single" w:sz="4" w:space="0" w:color="auto"/>
              <w:bottom w:val="single" w:sz="4" w:space="0" w:color="auto"/>
              <w:right w:val="single" w:sz="4" w:space="0" w:color="auto"/>
            </w:tcBorders>
            <w:hideMark/>
          </w:tcPr>
          <w:p w:rsidR="00B2274B">
            <w:pPr>
              <w:ind w:left="-170" w:right="-113"/>
              <w:jc w:val="center"/>
              <w:rPr>
                <w:rFonts w:ascii="Calibri Light" w:hAnsi="Calibri Light"/>
                <w:sz w:val="20"/>
                <w:szCs w:val="20"/>
              </w:rPr>
            </w:pPr>
            <w:r>
              <w:rPr>
                <w:noProof/>
                <w:lang w:eastAsia="lv-LV"/>
              </w:rPr>
              <w:drawing>
                <wp:inline distT="0" distB="0" distL="0" distR="0">
                  <wp:extent cx="1565275" cy="1371600"/>
                  <wp:effectExtent l="0" t="0" r="0" b="0"/>
                  <wp:docPr id="279" name="Chart 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5"/>
                    </a:graphicData>
                  </a:graphic>
                </wp:inline>
              </w:drawing>
            </w:r>
          </w:p>
        </w:tc>
        <w:tc>
          <w:tcPr>
            <w:tcW w:w="2532" w:type="dxa"/>
            <w:tcBorders>
              <w:top w:val="nil"/>
              <w:left w:val="single" w:sz="4" w:space="0" w:color="auto"/>
              <w:bottom w:val="single" w:sz="4" w:space="0" w:color="auto"/>
              <w:right w:val="single" w:sz="4" w:space="0" w:color="auto"/>
            </w:tcBorders>
            <w:hideMark/>
          </w:tcPr>
          <w:p w:rsidR="00B2274B">
            <w:pPr>
              <w:ind w:left="-170" w:right="-113"/>
              <w:jc w:val="center"/>
              <w:rPr>
                <w:rFonts w:ascii="Calibri Light" w:hAnsi="Calibri Light"/>
                <w:sz w:val="20"/>
                <w:szCs w:val="20"/>
              </w:rPr>
            </w:pPr>
            <w:r>
              <w:rPr>
                <w:noProof/>
                <w:lang w:eastAsia="lv-LV"/>
              </w:rPr>
              <w:drawing>
                <wp:inline distT="0" distB="0" distL="0" distR="0">
                  <wp:extent cx="1609510" cy="1371600"/>
                  <wp:effectExtent l="0" t="0" r="0" b="0"/>
                  <wp:docPr id="278" name="Chart 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6"/>
                    </a:graphicData>
                  </a:graphic>
                </wp:inline>
              </w:drawing>
            </w:r>
          </w:p>
        </w:tc>
      </w:tr>
      <w:tr w:rsidTr="00B2274B">
        <w:tblPrEx>
          <w:tblW w:w="0" w:type="auto"/>
          <w:jc w:val="center"/>
          <w:tblLook w:val="04A0"/>
        </w:tblPrEx>
        <w:trPr>
          <w:jc w:val="center"/>
        </w:trPr>
        <w:tc>
          <w:tcPr>
            <w:tcW w:w="2518" w:type="dxa"/>
            <w:tcBorders>
              <w:top w:val="single" w:sz="4" w:space="0" w:color="auto"/>
              <w:left w:val="single" w:sz="4" w:space="0" w:color="auto"/>
              <w:bottom w:val="nil"/>
              <w:right w:val="single" w:sz="4" w:space="0" w:color="auto"/>
            </w:tcBorders>
            <w:hideMark/>
          </w:tcPr>
          <w:p w:rsidR="00B2274B">
            <w:pPr>
              <w:ind w:left="-170" w:right="-113"/>
              <w:jc w:val="center"/>
              <w:rPr>
                <w:rFonts w:ascii="Calibri Light" w:hAnsi="Calibri Light"/>
                <w:sz w:val="20"/>
                <w:szCs w:val="20"/>
              </w:rPr>
            </w:pPr>
            <w:r>
              <w:rPr>
                <w:rFonts w:ascii="Calibri Light" w:hAnsi="Calibri Light"/>
                <w:b/>
                <w:sz w:val="20"/>
                <w:szCs w:val="20"/>
              </w:rPr>
              <w:t>F</w:t>
            </w:r>
            <w:r>
              <w:rPr>
                <w:rFonts w:ascii="Calibri Light" w:hAnsi="Calibri Light"/>
                <w:sz w:val="20"/>
                <w:szCs w:val="20"/>
              </w:rPr>
              <w:t xml:space="preserve"> Būvniecība</w:t>
            </w:r>
          </w:p>
        </w:tc>
        <w:tc>
          <w:tcPr>
            <w:tcW w:w="2494" w:type="dxa"/>
            <w:tcBorders>
              <w:top w:val="single" w:sz="4" w:space="0" w:color="auto"/>
              <w:left w:val="single" w:sz="4" w:space="0" w:color="auto"/>
              <w:bottom w:val="nil"/>
              <w:right w:val="single" w:sz="4" w:space="0" w:color="auto"/>
            </w:tcBorders>
            <w:hideMark/>
          </w:tcPr>
          <w:p w:rsidR="00B2274B">
            <w:pPr>
              <w:ind w:left="-170" w:right="-113"/>
              <w:jc w:val="center"/>
              <w:rPr>
                <w:rFonts w:ascii="Calibri Light" w:hAnsi="Calibri Light"/>
                <w:sz w:val="20"/>
                <w:szCs w:val="20"/>
              </w:rPr>
            </w:pPr>
            <w:r>
              <w:rPr>
                <w:rFonts w:ascii="Calibri Light" w:hAnsi="Calibri Light"/>
                <w:b/>
                <w:sz w:val="20"/>
                <w:szCs w:val="20"/>
              </w:rPr>
              <w:t>G</w:t>
            </w:r>
            <w:r>
              <w:rPr>
                <w:rFonts w:ascii="Calibri Light" w:hAnsi="Calibri Light"/>
                <w:sz w:val="20"/>
                <w:szCs w:val="20"/>
              </w:rPr>
              <w:t xml:space="preserve"> Tirdzniecība</w:t>
            </w:r>
          </w:p>
        </w:tc>
        <w:tc>
          <w:tcPr>
            <w:tcW w:w="2367" w:type="dxa"/>
            <w:tcBorders>
              <w:top w:val="single" w:sz="4" w:space="0" w:color="auto"/>
              <w:left w:val="single" w:sz="4" w:space="0" w:color="auto"/>
              <w:bottom w:val="nil"/>
              <w:right w:val="single" w:sz="4" w:space="0" w:color="auto"/>
            </w:tcBorders>
            <w:hideMark/>
          </w:tcPr>
          <w:p w:rsidR="00B2274B">
            <w:pPr>
              <w:ind w:left="-170" w:right="-113"/>
              <w:jc w:val="center"/>
              <w:rPr>
                <w:rFonts w:ascii="Calibri Light" w:hAnsi="Calibri Light"/>
                <w:sz w:val="20"/>
                <w:szCs w:val="20"/>
              </w:rPr>
            </w:pPr>
            <w:r>
              <w:rPr>
                <w:rFonts w:ascii="Calibri Light" w:hAnsi="Calibri Light"/>
                <w:b/>
                <w:sz w:val="20"/>
                <w:szCs w:val="20"/>
              </w:rPr>
              <w:t>H</w:t>
            </w:r>
            <w:r>
              <w:rPr>
                <w:rFonts w:ascii="Calibri Light" w:hAnsi="Calibri Light"/>
                <w:sz w:val="20"/>
                <w:szCs w:val="20"/>
              </w:rPr>
              <w:t xml:space="preserve"> Transports, uzglabāšana</w:t>
            </w:r>
          </w:p>
        </w:tc>
        <w:tc>
          <w:tcPr>
            <w:tcW w:w="2532" w:type="dxa"/>
            <w:tcBorders>
              <w:top w:val="single" w:sz="4" w:space="0" w:color="auto"/>
              <w:left w:val="single" w:sz="4" w:space="0" w:color="auto"/>
              <w:bottom w:val="nil"/>
              <w:right w:val="single" w:sz="4" w:space="0" w:color="auto"/>
            </w:tcBorders>
            <w:hideMark/>
          </w:tcPr>
          <w:p w:rsidR="00B2274B">
            <w:pPr>
              <w:ind w:left="-170" w:right="-113"/>
              <w:jc w:val="center"/>
              <w:rPr>
                <w:rFonts w:ascii="Calibri Light" w:hAnsi="Calibri Light"/>
                <w:sz w:val="20"/>
                <w:szCs w:val="20"/>
              </w:rPr>
            </w:pPr>
            <w:r>
              <w:rPr>
                <w:rFonts w:ascii="Calibri Light" w:hAnsi="Calibri Light"/>
                <w:b/>
                <w:sz w:val="20"/>
                <w:szCs w:val="20"/>
              </w:rPr>
              <w:t>I</w:t>
            </w:r>
            <w:r>
              <w:rPr>
                <w:rFonts w:ascii="Calibri Light" w:hAnsi="Calibri Light"/>
                <w:sz w:val="20"/>
                <w:szCs w:val="20"/>
              </w:rPr>
              <w:t xml:space="preserve"> Izmitināšana, ēdināšana</w:t>
            </w:r>
          </w:p>
        </w:tc>
      </w:tr>
      <w:tr w:rsidTr="00B2274B">
        <w:tblPrEx>
          <w:tblW w:w="0" w:type="auto"/>
          <w:jc w:val="center"/>
          <w:tblLook w:val="04A0"/>
        </w:tblPrEx>
        <w:trPr>
          <w:trHeight w:val="2227"/>
          <w:jc w:val="center"/>
        </w:trPr>
        <w:tc>
          <w:tcPr>
            <w:tcW w:w="2518" w:type="dxa"/>
            <w:tcBorders>
              <w:top w:val="nil"/>
              <w:left w:val="single" w:sz="4" w:space="0" w:color="auto"/>
              <w:bottom w:val="single" w:sz="4" w:space="0" w:color="auto"/>
              <w:right w:val="single" w:sz="4" w:space="0" w:color="auto"/>
            </w:tcBorders>
            <w:hideMark/>
          </w:tcPr>
          <w:p w:rsidR="00B2274B">
            <w:pPr>
              <w:ind w:left="-170" w:right="-113"/>
              <w:jc w:val="center"/>
              <w:rPr>
                <w:rFonts w:ascii="Calibri Light" w:hAnsi="Calibri Light"/>
                <w:sz w:val="20"/>
                <w:szCs w:val="20"/>
              </w:rPr>
            </w:pPr>
            <w:r>
              <w:rPr>
                <w:noProof/>
                <w:lang w:eastAsia="lv-LV"/>
              </w:rPr>
              <w:drawing>
                <wp:inline distT="0" distB="0" distL="0" distR="0">
                  <wp:extent cx="1644015" cy="1371600"/>
                  <wp:effectExtent l="0" t="0" r="0" b="0"/>
                  <wp:docPr id="277" name="Chart 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7"/>
                    </a:graphicData>
                  </a:graphic>
                </wp:inline>
              </w:drawing>
            </w:r>
          </w:p>
        </w:tc>
        <w:tc>
          <w:tcPr>
            <w:tcW w:w="2494" w:type="dxa"/>
            <w:tcBorders>
              <w:top w:val="nil"/>
              <w:left w:val="single" w:sz="4" w:space="0" w:color="auto"/>
              <w:bottom w:val="single" w:sz="4" w:space="0" w:color="auto"/>
              <w:right w:val="single" w:sz="4" w:space="0" w:color="auto"/>
            </w:tcBorders>
            <w:hideMark/>
          </w:tcPr>
          <w:p w:rsidR="00B2274B">
            <w:pPr>
              <w:ind w:left="-170" w:right="-113"/>
              <w:jc w:val="center"/>
              <w:rPr>
                <w:rFonts w:ascii="Calibri Light" w:hAnsi="Calibri Light"/>
                <w:sz w:val="20"/>
                <w:szCs w:val="20"/>
              </w:rPr>
            </w:pPr>
            <w:r>
              <w:rPr>
                <w:noProof/>
                <w:lang w:eastAsia="lv-LV"/>
              </w:rPr>
              <w:drawing>
                <wp:inline distT="0" distB="0" distL="0" distR="0">
                  <wp:extent cx="1617980" cy="1371600"/>
                  <wp:effectExtent l="0" t="0" r="0" b="0"/>
                  <wp:docPr id="261" name="Chart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8"/>
                    </a:graphicData>
                  </a:graphic>
                </wp:inline>
              </w:drawing>
            </w:r>
          </w:p>
        </w:tc>
        <w:tc>
          <w:tcPr>
            <w:tcW w:w="2367" w:type="dxa"/>
            <w:tcBorders>
              <w:top w:val="nil"/>
              <w:left w:val="single" w:sz="4" w:space="0" w:color="auto"/>
              <w:bottom w:val="single" w:sz="4" w:space="0" w:color="auto"/>
              <w:right w:val="single" w:sz="4" w:space="0" w:color="auto"/>
            </w:tcBorders>
            <w:hideMark/>
          </w:tcPr>
          <w:p w:rsidR="00B2274B">
            <w:pPr>
              <w:ind w:left="-170" w:right="-113"/>
              <w:jc w:val="center"/>
              <w:rPr>
                <w:rFonts w:ascii="Calibri Light" w:hAnsi="Calibri Light"/>
                <w:sz w:val="20"/>
                <w:szCs w:val="20"/>
              </w:rPr>
            </w:pPr>
            <w:r>
              <w:rPr>
                <w:noProof/>
                <w:lang w:eastAsia="lv-LV"/>
              </w:rPr>
              <w:drawing>
                <wp:inline distT="0" distB="0" distL="0" distR="0">
                  <wp:extent cx="1679575" cy="1371600"/>
                  <wp:effectExtent l="0" t="0" r="0" b="0"/>
                  <wp:docPr id="260" name="Chart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9"/>
                    </a:graphicData>
                  </a:graphic>
                </wp:inline>
              </w:drawing>
            </w:r>
          </w:p>
        </w:tc>
        <w:tc>
          <w:tcPr>
            <w:tcW w:w="2532" w:type="dxa"/>
            <w:tcBorders>
              <w:top w:val="nil"/>
              <w:left w:val="single" w:sz="4" w:space="0" w:color="auto"/>
              <w:bottom w:val="single" w:sz="4" w:space="0" w:color="auto"/>
              <w:right w:val="single" w:sz="4" w:space="0" w:color="auto"/>
            </w:tcBorders>
            <w:hideMark/>
          </w:tcPr>
          <w:p w:rsidR="00B2274B">
            <w:pPr>
              <w:ind w:left="-170" w:right="-113"/>
              <w:jc w:val="center"/>
              <w:rPr>
                <w:rFonts w:ascii="Calibri Light" w:hAnsi="Calibri Light"/>
                <w:sz w:val="20"/>
                <w:szCs w:val="20"/>
              </w:rPr>
            </w:pPr>
            <w:r>
              <w:rPr>
                <w:noProof/>
                <w:lang w:eastAsia="lv-LV"/>
              </w:rPr>
              <w:drawing>
                <wp:inline distT="0" distB="0" distL="0" distR="0">
                  <wp:extent cx="1600200" cy="1371600"/>
                  <wp:effectExtent l="0" t="0" r="0" b="0"/>
                  <wp:docPr id="259" name="Chart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0"/>
                    </a:graphicData>
                  </a:graphic>
                </wp:inline>
              </w:drawing>
            </w:r>
          </w:p>
        </w:tc>
      </w:tr>
      <w:tr w:rsidTr="00B2274B">
        <w:tblPrEx>
          <w:tblW w:w="0" w:type="auto"/>
          <w:jc w:val="center"/>
          <w:tblLook w:val="04A0"/>
        </w:tblPrEx>
        <w:trPr>
          <w:trHeight w:val="295"/>
          <w:jc w:val="center"/>
        </w:trPr>
        <w:tc>
          <w:tcPr>
            <w:tcW w:w="2518" w:type="dxa"/>
            <w:tcBorders>
              <w:top w:val="single" w:sz="4" w:space="0" w:color="auto"/>
              <w:left w:val="single" w:sz="4" w:space="0" w:color="auto"/>
              <w:bottom w:val="nil"/>
              <w:right w:val="single" w:sz="4" w:space="0" w:color="auto"/>
            </w:tcBorders>
            <w:hideMark/>
          </w:tcPr>
          <w:p w:rsidR="00B2274B">
            <w:pPr>
              <w:ind w:left="-170" w:right="-113"/>
              <w:jc w:val="center"/>
              <w:rPr>
                <w:rFonts w:ascii="Calibri Light" w:hAnsi="Calibri Light"/>
                <w:sz w:val="20"/>
                <w:szCs w:val="20"/>
              </w:rPr>
            </w:pPr>
            <w:r>
              <w:rPr>
                <w:rFonts w:ascii="Calibri Light" w:hAnsi="Calibri Light"/>
                <w:b/>
                <w:sz w:val="20"/>
                <w:szCs w:val="20"/>
              </w:rPr>
              <w:t>J</w:t>
            </w:r>
            <w:r>
              <w:rPr>
                <w:rFonts w:ascii="Calibri Light" w:hAnsi="Calibri Light"/>
                <w:sz w:val="20"/>
                <w:szCs w:val="20"/>
              </w:rPr>
              <w:t xml:space="preserve"> IKT pakalpojumi</w:t>
            </w:r>
          </w:p>
        </w:tc>
        <w:tc>
          <w:tcPr>
            <w:tcW w:w="2494" w:type="dxa"/>
            <w:tcBorders>
              <w:top w:val="single" w:sz="4" w:space="0" w:color="auto"/>
              <w:left w:val="single" w:sz="4" w:space="0" w:color="auto"/>
              <w:bottom w:val="nil"/>
              <w:right w:val="single" w:sz="4" w:space="0" w:color="auto"/>
            </w:tcBorders>
            <w:hideMark/>
          </w:tcPr>
          <w:p w:rsidR="00B2274B">
            <w:pPr>
              <w:ind w:left="-170" w:right="-113"/>
              <w:jc w:val="center"/>
              <w:rPr>
                <w:rFonts w:ascii="Calibri Light" w:hAnsi="Calibri Light"/>
                <w:sz w:val="20"/>
                <w:szCs w:val="20"/>
              </w:rPr>
            </w:pPr>
            <w:r>
              <w:rPr>
                <w:rFonts w:ascii="Calibri Light" w:hAnsi="Calibri Light"/>
                <w:b/>
                <w:sz w:val="20"/>
                <w:szCs w:val="20"/>
              </w:rPr>
              <w:t>J61</w:t>
            </w:r>
            <w:r>
              <w:rPr>
                <w:rFonts w:ascii="Calibri Light" w:hAnsi="Calibri Light"/>
                <w:sz w:val="20"/>
                <w:szCs w:val="20"/>
              </w:rPr>
              <w:t xml:space="preserve"> Telekomunikācijas</w:t>
            </w:r>
          </w:p>
        </w:tc>
        <w:tc>
          <w:tcPr>
            <w:tcW w:w="2367" w:type="dxa"/>
            <w:tcBorders>
              <w:top w:val="single" w:sz="4" w:space="0" w:color="auto"/>
              <w:left w:val="single" w:sz="4" w:space="0" w:color="auto"/>
              <w:bottom w:val="nil"/>
              <w:right w:val="single" w:sz="4" w:space="0" w:color="auto"/>
            </w:tcBorders>
            <w:hideMark/>
          </w:tcPr>
          <w:p w:rsidR="00B2274B">
            <w:pPr>
              <w:ind w:left="-170" w:right="-113"/>
              <w:jc w:val="center"/>
              <w:rPr>
                <w:rFonts w:ascii="Calibri Light" w:hAnsi="Calibri Light"/>
                <w:sz w:val="20"/>
                <w:szCs w:val="20"/>
              </w:rPr>
            </w:pPr>
            <w:r>
              <w:rPr>
                <w:rFonts w:ascii="Calibri Light" w:hAnsi="Calibri Light"/>
                <w:b/>
                <w:sz w:val="20"/>
                <w:szCs w:val="20"/>
              </w:rPr>
              <w:t>J62-63</w:t>
            </w:r>
            <w:r>
              <w:rPr>
                <w:rFonts w:ascii="Calibri Light" w:hAnsi="Calibri Light"/>
                <w:sz w:val="20"/>
                <w:szCs w:val="20"/>
              </w:rPr>
              <w:t xml:space="preserve"> Datorprogr., konsult.</w:t>
            </w:r>
          </w:p>
        </w:tc>
        <w:tc>
          <w:tcPr>
            <w:tcW w:w="2532" w:type="dxa"/>
            <w:tcBorders>
              <w:top w:val="single" w:sz="4" w:space="0" w:color="auto"/>
              <w:left w:val="single" w:sz="4" w:space="0" w:color="auto"/>
              <w:bottom w:val="nil"/>
              <w:right w:val="single" w:sz="4" w:space="0" w:color="auto"/>
            </w:tcBorders>
            <w:hideMark/>
          </w:tcPr>
          <w:p w:rsidR="00B2274B">
            <w:pPr>
              <w:ind w:left="-170" w:right="-113"/>
              <w:jc w:val="center"/>
              <w:rPr>
                <w:rFonts w:ascii="Calibri Light" w:hAnsi="Calibri Light"/>
                <w:sz w:val="20"/>
                <w:szCs w:val="20"/>
              </w:rPr>
            </w:pPr>
            <w:r>
              <w:rPr>
                <w:rFonts w:ascii="Calibri Light" w:hAnsi="Calibri Light"/>
                <w:b/>
                <w:sz w:val="20"/>
                <w:szCs w:val="20"/>
              </w:rPr>
              <w:t>K-N, R-S</w:t>
            </w:r>
            <w:r>
              <w:rPr>
                <w:rFonts w:ascii="Calibri Light" w:hAnsi="Calibri Light"/>
                <w:sz w:val="20"/>
                <w:szCs w:val="20"/>
              </w:rPr>
              <w:t xml:space="preserve"> Komercpakalp.</w:t>
            </w:r>
          </w:p>
        </w:tc>
      </w:tr>
      <w:tr w:rsidTr="00B2274B">
        <w:tblPrEx>
          <w:tblW w:w="0" w:type="auto"/>
          <w:jc w:val="center"/>
          <w:tblLook w:val="04A0"/>
        </w:tblPrEx>
        <w:trPr>
          <w:jc w:val="center"/>
        </w:trPr>
        <w:tc>
          <w:tcPr>
            <w:tcW w:w="2518" w:type="dxa"/>
            <w:tcBorders>
              <w:top w:val="nil"/>
              <w:left w:val="single" w:sz="4" w:space="0" w:color="auto"/>
              <w:bottom w:val="single" w:sz="4" w:space="0" w:color="auto"/>
              <w:right w:val="single" w:sz="4" w:space="0" w:color="auto"/>
            </w:tcBorders>
            <w:hideMark/>
          </w:tcPr>
          <w:p w:rsidR="00B2274B">
            <w:pPr>
              <w:ind w:left="-170" w:right="-113"/>
              <w:jc w:val="center"/>
              <w:rPr>
                <w:rFonts w:ascii="Calibri Light" w:hAnsi="Calibri Light"/>
                <w:sz w:val="20"/>
                <w:szCs w:val="20"/>
              </w:rPr>
            </w:pPr>
            <w:r>
              <w:rPr>
                <w:noProof/>
                <w:lang w:eastAsia="lv-LV"/>
              </w:rPr>
              <w:drawing>
                <wp:inline distT="0" distB="0" distL="0" distR="0">
                  <wp:extent cx="1837690" cy="1371600"/>
                  <wp:effectExtent l="0" t="0" r="0" b="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1"/>
                    </a:graphicData>
                  </a:graphic>
                </wp:inline>
              </w:drawing>
            </w:r>
          </w:p>
        </w:tc>
        <w:tc>
          <w:tcPr>
            <w:tcW w:w="2494" w:type="dxa"/>
            <w:tcBorders>
              <w:top w:val="nil"/>
              <w:left w:val="single" w:sz="4" w:space="0" w:color="auto"/>
              <w:bottom w:val="single" w:sz="4" w:space="0" w:color="auto"/>
              <w:right w:val="single" w:sz="4" w:space="0" w:color="auto"/>
            </w:tcBorders>
            <w:hideMark/>
          </w:tcPr>
          <w:p w:rsidR="00B2274B">
            <w:pPr>
              <w:ind w:left="-170" w:right="-113"/>
              <w:jc w:val="center"/>
              <w:rPr>
                <w:rFonts w:ascii="Calibri Light" w:hAnsi="Calibri Light"/>
                <w:sz w:val="20"/>
                <w:szCs w:val="20"/>
              </w:rPr>
            </w:pPr>
            <w:r>
              <w:rPr>
                <w:noProof/>
                <w:lang w:eastAsia="lv-LV"/>
              </w:rPr>
              <w:drawing>
                <wp:inline distT="0" distB="0" distL="0" distR="0">
                  <wp:extent cx="1819910" cy="1371600"/>
                  <wp:effectExtent l="0" t="0" r="0" b="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2"/>
                    </a:graphicData>
                  </a:graphic>
                </wp:inline>
              </w:drawing>
            </w:r>
          </w:p>
        </w:tc>
        <w:tc>
          <w:tcPr>
            <w:tcW w:w="2367" w:type="dxa"/>
            <w:tcBorders>
              <w:top w:val="nil"/>
              <w:left w:val="single" w:sz="4" w:space="0" w:color="auto"/>
              <w:bottom w:val="single" w:sz="4" w:space="0" w:color="auto"/>
              <w:right w:val="single" w:sz="4" w:space="0" w:color="auto"/>
            </w:tcBorders>
            <w:hideMark/>
          </w:tcPr>
          <w:p w:rsidR="00B2274B">
            <w:pPr>
              <w:ind w:left="-170" w:right="-113"/>
              <w:jc w:val="center"/>
              <w:rPr>
                <w:rFonts w:ascii="Calibri Light" w:hAnsi="Calibri Light"/>
                <w:sz w:val="20"/>
                <w:szCs w:val="20"/>
              </w:rPr>
            </w:pPr>
            <w:r>
              <w:rPr>
                <w:noProof/>
                <w:lang w:eastAsia="lv-LV"/>
              </w:rPr>
              <w:drawing>
                <wp:inline distT="0" distB="0" distL="0" distR="0">
                  <wp:extent cx="1723390" cy="1371600"/>
                  <wp:effectExtent l="0" t="0" r="0" b="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3"/>
                    </a:graphicData>
                  </a:graphic>
                </wp:inline>
              </w:drawing>
            </w:r>
          </w:p>
        </w:tc>
        <w:tc>
          <w:tcPr>
            <w:tcW w:w="2532" w:type="dxa"/>
            <w:tcBorders>
              <w:top w:val="nil"/>
              <w:left w:val="single" w:sz="4" w:space="0" w:color="auto"/>
              <w:bottom w:val="single" w:sz="4" w:space="0" w:color="auto"/>
              <w:right w:val="single" w:sz="4" w:space="0" w:color="auto"/>
            </w:tcBorders>
            <w:hideMark/>
          </w:tcPr>
          <w:p w:rsidR="00B2274B">
            <w:pPr>
              <w:ind w:left="-170" w:right="-113"/>
              <w:jc w:val="right"/>
              <w:rPr>
                <w:rFonts w:ascii="Calibri Light" w:hAnsi="Calibri Light"/>
                <w:sz w:val="20"/>
                <w:szCs w:val="20"/>
              </w:rPr>
            </w:pPr>
            <w:r>
              <w:rPr>
                <w:noProof/>
                <w:lang w:eastAsia="lv-LV"/>
              </w:rPr>
              <w:drawing>
                <wp:inline distT="0" distB="0" distL="0" distR="0">
                  <wp:extent cx="1617980" cy="1371600"/>
                  <wp:effectExtent l="0" t="0" r="0" b="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4"/>
                    </a:graphicData>
                  </a:graphic>
                </wp:inline>
              </w:drawing>
            </w:r>
          </w:p>
        </w:tc>
      </w:tr>
    </w:tbl>
    <w:p w:rsidR="00B2274B" w:rsidP="00B2274B">
      <w:pPr>
        <w:spacing w:after="0" w:line="240" w:lineRule="auto"/>
        <w:jc w:val="both"/>
        <w:rPr>
          <w:rFonts w:ascii="Candara" w:hAnsi="Candara"/>
          <w:color w:val="000000"/>
          <w:sz w:val="2"/>
          <w:szCs w:val="2"/>
        </w:rPr>
      </w:pPr>
    </w:p>
    <w:p w:rsidR="00B2274B" w:rsidP="00B2274B">
      <w:pPr>
        <w:spacing w:after="0" w:line="240" w:lineRule="auto"/>
        <w:jc w:val="both"/>
        <w:rPr>
          <w:rFonts w:ascii="Candara" w:hAnsi="Candara"/>
          <w:color w:val="000000"/>
          <w:sz w:val="2"/>
          <w:szCs w:val="2"/>
        </w:rPr>
      </w:pPr>
    </w:p>
    <w:p w:rsidR="006B3D89" w:rsidP="006B3D89">
      <w:pPr>
        <w:spacing w:after="0" w:line="240" w:lineRule="auto"/>
        <w:jc w:val="both"/>
        <w:rPr>
          <w:rFonts w:ascii="Candara" w:hAnsi="Candara"/>
          <w:color w:val="000000"/>
          <w:sz w:val="2"/>
          <w:szCs w:val="2"/>
        </w:rPr>
      </w:pPr>
    </w:p>
    <w:p w:rsidR="003114DC" w:rsidRPr="003114DC" w:rsidP="006B3D89">
      <w:pPr>
        <w:spacing w:after="0" w:line="240" w:lineRule="auto"/>
        <w:jc w:val="both"/>
        <w:rPr>
          <w:rFonts w:ascii="Candara" w:hAnsi="Candara"/>
          <w:color w:val="000000"/>
          <w:sz w:val="2"/>
          <w:szCs w:val="2"/>
        </w:rPr>
      </w:pPr>
    </w:p>
    <w:sectPr w:rsidSect="00AF0EB0">
      <w:headerReference w:type="default" r:id="rId415"/>
      <w:footerReference w:type="default" r:id="rId416"/>
      <w:pgSz w:w="11906" w:h="16838" w:code="9"/>
      <w:pgMar w:top="425" w:right="851" w:bottom="249" w:left="1134" w:header="0" w:footer="28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Candara">
    <w:panose1 w:val="020E0502030303020204"/>
    <w:charset w:val="BA"/>
    <w:family w:val="swiss"/>
    <w:pitch w:val="variable"/>
    <w:sig w:usb0="A00002EF" w:usb1="4000A44B" w:usb2="00000000" w:usb3="00000000" w:csb0="0000019F" w:csb1="00000000"/>
  </w:font>
  <w:font w:name="Arial Narrow">
    <w:panose1 w:val="020B0606020202030204"/>
    <w:charset w:val="BA"/>
    <w:family w:val="swiss"/>
    <w:pitch w:val="variable"/>
    <w:sig w:usb0="00000287" w:usb1="00000800" w:usb2="00000000" w:usb3="00000000" w:csb0="0000009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664772479"/>
      <w:docPartObj>
        <w:docPartGallery w:val="Page Numbers (Bottom of Page)"/>
        <w:docPartUnique/>
      </w:docPartObj>
    </w:sdtPr>
    <w:sdtEndPr>
      <w:rPr>
        <w:rFonts w:ascii="Candara" w:hAnsi="Candara"/>
        <w:noProof/>
        <w:sz w:val="18"/>
        <w:szCs w:val="18"/>
      </w:rPr>
    </w:sdtEndPr>
    <w:sdtContent>
      <w:p w:rsidR="00762D1E" w:rsidRPr="00D9066E" w:rsidP="00D457CD">
        <w:pPr>
          <w:pStyle w:val="Footer"/>
          <w:jc w:val="both"/>
          <w:rPr>
            <w:rFonts w:ascii="Candara" w:hAnsi="Candara"/>
            <w:sz w:val="18"/>
            <w:szCs w:val="18"/>
          </w:rPr>
        </w:pPr>
        <w:r w:rsidRPr="00D9066E">
          <w:rPr>
            <w:rFonts w:ascii="Candara" w:hAnsi="Candara"/>
            <w:sz w:val="18"/>
            <w:szCs w:val="18"/>
          </w:rPr>
          <w:t>IZMunEMZino_</w:t>
        </w:r>
        <w:r>
          <w:rPr>
            <w:rFonts w:ascii="Candara" w:hAnsi="Candara"/>
            <w:sz w:val="18"/>
            <w:szCs w:val="18"/>
          </w:rPr>
          <w:t>1912</w:t>
        </w:r>
        <w:r w:rsidRPr="00D9066E">
          <w:rPr>
            <w:rFonts w:ascii="Candara" w:hAnsi="Candara"/>
            <w:sz w:val="18"/>
            <w:szCs w:val="18"/>
          </w:rPr>
          <w:t>2017_RIS3progress_PielikumsNr1; Informatīvā ziņojuma “Viedās specializācijas stratēģijas monitorings” Pielikums Nr.1 “Nozaru makro analīze”</w:t>
        </w:r>
      </w:p>
      <w:p w:rsidR="00762D1E" w:rsidRPr="00D9066E">
        <w:pPr>
          <w:pStyle w:val="Footer"/>
          <w:jc w:val="center"/>
          <w:rPr>
            <w:rFonts w:ascii="Candara" w:hAnsi="Candara"/>
            <w:sz w:val="18"/>
            <w:szCs w:val="18"/>
          </w:rPr>
        </w:pPr>
        <w:r w:rsidRPr="00D9066E">
          <w:rPr>
            <w:rFonts w:ascii="Candara" w:hAnsi="Candara"/>
            <w:sz w:val="18"/>
            <w:szCs w:val="18"/>
          </w:rPr>
          <w:fldChar w:fldCharType="begin"/>
        </w:r>
        <w:r w:rsidRPr="00D9066E">
          <w:rPr>
            <w:rFonts w:ascii="Candara" w:hAnsi="Candara"/>
            <w:sz w:val="18"/>
            <w:szCs w:val="18"/>
          </w:rPr>
          <w:instrText xml:space="preserve"> PAGE   \* MERGEFORMAT </w:instrText>
        </w:r>
        <w:r w:rsidRPr="00D9066E">
          <w:rPr>
            <w:rFonts w:ascii="Candara" w:hAnsi="Candara"/>
            <w:sz w:val="18"/>
            <w:szCs w:val="18"/>
          </w:rPr>
          <w:fldChar w:fldCharType="separate"/>
        </w:r>
        <w:r w:rsidR="00710734">
          <w:rPr>
            <w:rFonts w:ascii="Candara" w:hAnsi="Candara"/>
            <w:noProof/>
            <w:sz w:val="18"/>
            <w:szCs w:val="18"/>
          </w:rPr>
          <w:t>52</w:t>
        </w:r>
        <w:r w:rsidRPr="00D9066E">
          <w:rPr>
            <w:rFonts w:ascii="Candara" w:hAnsi="Candara"/>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636673" w:rsidP="008E4CFF">
      <w:pPr>
        <w:spacing w:after="0" w:line="240" w:lineRule="auto"/>
      </w:pPr>
      <w:r>
        <w:separator/>
      </w:r>
    </w:p>
  </w:footnote>
  <w:footnote w:type="continuationSeparator" w:id="1">
    <w:p w:rsidR="00636673" w:rsidP="008E4CFF">
      <w:pPr>
        <w:spacing w:after="0" w:line="240" w:lineRule="auto"/>
      </w:pPr>
      <w:r>
        <w:continuationSeparator/>
      </w:r>
    </w:p>
  </w:footnote>
  <w:footnote w:id="2">
    <w:p w:rsidR="00762D1E" w:rsidRPr="002E613E" w:rsidP="002E613E">
      <w:pPr>
        <w:pStyle w:val="FootnoteText"/>
        <w:ind w:left="142" w:hanging="142"/>
        <w:jc w:val="both"/>
      </w:pPr>
      <w:r>
        <w:rPr>
          <w:rStyle w:val="FootnoteReference"/>
        </w:rPr>
        <w:footnoteRef/>
      </w:r>
      <w:r>
        <w:tab/>
      </w:r>
      <w:r w:rsidRPr="002E613E">
        <w:t xml:space="preserve">Datu avots attēliem par Latviju ir Centrālā Statistikas pārvalde (CSP), datu avots attēliem </w:t>
      </w:r>
      <w:r w:rsidRPr="00961590">
        <w:t xml:space="preserve">par ES-28 valstīm </w:t>
      </w:r>
      <w:r w:rsidRPr="00E75013">
        <w:t xml:space="preserve">ir </w:t>
      </w:r>
      <w:r w:rsidRPr="002E613E">
        <w:rPr>
          <w:i/>
        </w:rPr>
        <w:t>Eurostat</w:t>
      </w:r>
      <w:r>
        <w:rPr>
          <w:i/>
        </w:rPr>
        <w:t xml:space="preserve">, </w:t>
      </w:r>
      <w:r w:rsidRPr="009F39B5">
        <w:t xml:space="preserve">datu avots attēliem par eksporta apjomiem un eksporta </w:t>
      </w:r>
      <w:r w:rsidRPr="008E4A1F">
        <w:t>tirgiem paka</w:t>
      </w:r>
      <w:r w:rsidRPr="009F39B5">
        <w:t>lpojumu nozarēm ir Latvijas Banka (norādīts atsev</w:t>
      </w:r>
      <w:r w:rsidRPr="008E4A1F">
        <w:t>i</w:t>
      </w:r>
      <w:r w:rsidRPr="009F39B5">
        <w:t>šķi)</w:t>
      </w:r>
      <w:r w:rsidRPr="008E4A1F">
        <w:t>.</w:t>
      </w:r>
      <w:r w:rsidRPr="002E613E">
        <w:t xml:space="preserve"> Izmantotie valstu saīsinājumi: </w:t>
      </w:r>
      <w:r w:rsidRPr="002E613E">
        <w:rPr>
          <w:color w:val="000000"/>
        </w:rPr>
        <w:t xml:space="preserve">AT – Austrija; BE – Beļģija; BG – Bulgārija; CZ – Čehija; CY – Kipra; DE – Vācija; </w:t>
      </w:r>
      <w:r>
        <w:rPr>
          <w:color w:val="000000"/>
        </w:rPr>
        <w:br/>
      </w:r>
      <w:r w:rsidRPr="002E613E">
        <w:rPr>
          <w:color w:val="000000"/>
        </w:rPr>
        <w:t>DK – Dānija; EE – Igaunija; EL – Grieķija; EU</w:t>
      </w:r>
      <w:r>
        <w:rPr>
          <w:color w:val="000000"/>
        </w:rPr>
        <w:t>-28</w:t>
      </w:r>
      <w:r w:rsidRPr="002E613E">
        <w:rPr>
          <w:color w:val="000000"/>
        </w:rPr>
        <w:t xml:space="preserve"> – Eiropas Savienība; FI – Somija; FR – Francija; HR – Horvātija; HU – Ungārija; IE – Īrija</w:t>
      </w:r>
      <w:r w:rsidRPr="002E613E">
        <w:rPr>
          <w:color w:val="000000"/>
          <w:spacing w:val="-2"/>
        </w:rPr>
        <w:t xml:space="preserve">; </w:t>
      </w:r>
      <w:r w:rsidRPr="002E613E">
        <w:rPr>
          <w:color w:val="000000"/>
        </w:rPr>
        <w:t>IT – Itālija</w:t>
      </w:r>
      <w:r w:rsidRPr="002E613E">
        <w:rPr>
          <w:color w:val="000000"/>
          <w:spacing w:val="-2"/>
        </w:rPr>
        <w:t xml:space="preserve">; </w:t>
      </w:r>
      <w:r w:rsidRPr="002E613E">
        <w:rPr>
          <w:color w:val="000000"/>
        </w:rPr>
        <w:t>LT – Lietuva</w:t>
      </w:r>
      <w:r w:rsidRPr="002E613E">
        <w:rPr>
          <w:color w:val="000000"/>
          <w:spacing w:val="-2"/>
        </w:rPr>
        <w:t xml:space="preserve">; </w:t>
      </w:r>
      <w:r w:rsidRPr="002E613E">
        <w:rPr>
          <w:color w:val="000000"/>
        </w:rPr>
        <w:t>LU – Luksemburga</w:t>
      </w:r>
      <w:r w:rsidRPr="002E613E">
        <w:rPr>
          <w:color w:val="000000"/>
          <w:spacing w:val="-2"/>
        </w:rPr>
        <w:t xml:space="preserve">; </w:t>
      </w:r>
      <w:r w:rsidRPr="002E613E">
        <w:rPr>
          <w:color w:val="000000"/>
        </w:rPr>
        <w:t>LV – Latvija</w:t>
      </w:r>
      <w:r w:rsidRPr="002E613E">
        <w:rPr>
          <w:color w:val="000000"/>
          <w:spacing w:val="-2"/>
        </w:rPr>
        <w:t xml:space="preserve">; </w:t>
      </w:r>
      <w:r w:rsidRPr="002E613E">
        <w:rPr>
          <w:color w:val="000000"/>
        </w:rPr>
        <w:t>MT – Malta</w:t>
      </w:r>
      <w:r w:rsidRPr="002E613E">
        <w:rPr>
          <w:color w:val="000000"/>
          <w:spacing w:val="-2"/>
        </w:rPr>
        <w:t xml:space="preserve">; </w:t>
      </w:r>
      <w:r w:rsidRPr="002E613E">
        <w:rPr>
          <w:color w:val="000000"/>
        </w:rPr>
        <w:t>NL – Nīderlande</w:t>
      </w:r>
      <w:r w:rsidRPr="002E613E">
        <w:rPr>
          <w:color w:val="000000"/>
          <w:spacing w:val="-2"/>
        </w:rPr>
        <w:t xml:space="preserve">; </w:t>
      </w:r>
      <w:r w:rsidRPr="002E613E">
        <w:rPr>
          <w:color w:val="000000"/>
        </w:rPr>
        <w:t>PL – Polija</w:t>
      </w:r>
      <w:r w:rsidRPr="002E613E">
        <w:rPr>
          <w:color w:val="000000"/>
          <w:spacing w:val="-2"/>
        </w:rPr>
        <w:t xml:space="preserve">; </w:t>
      </w:r>
      <w:r w:rsidRPr="002E613E">
        <w:rPr>
          <w:color w:val="000000"/>
        </w:rPr>
        <w:t>PT – Portugāle</w:t>
      </w:r>
      <w:r w:rsidRPr="002E613E">
        <w:rPr>
          <w:color w:val="000000"/>
          <w:spacing w:val="-2"/>
        </w:rPr>
        <w:t xml:space="preserve">; </w:t>
      </w:r>
      <w:r w:rsidRPr="002E613E">
        <w:rPr>
          <w:color w:val="000000"/>
        </w:rPr>
        <w:t>RO – Rumānija</w:t>
      </w:r>
      <w:r w:rsidRPr="002E613E">
        <w:rPr>
          <w:color w:val="000000"/>
          <w:spacing w:val="-2"/>
        </w:rPr>
        <w:t xml:space="preserve">; </w:t>
      </w:r>
      <w:r w:rsidRPr="002E613E">
        <w:rPr>
          <w:color w:val="000000"/>
        </w:rPr>
        <w:t>SE – Zviedrija</w:t>
      </w:r>
      <w:r w:rsidRPr="002E613E">
        <w:rPr>
          <w:color w:val="000000"/>
          <w:spacing w:val="-2"/>
        </w:rPr>
        <w:t xml:space="preserve">; </w:t>
      </w:r>
      <w:r w:rsidRPr="002E613E">
        <w:rPr>
          <w:color w:val="000000"/>
        </w:rPr>
        <w:t>SI – Slovēnija</w:t>
      </w:r>
      <w:r w:rsidRPr="002E613E">
        <w:rPr>
          <w:color w:val="000000"/>
          <w:spacing w:val="-2"/>
        </w:rPr>
        <w:t xml:space="preserve">; </w:t>
      </w:r>
      <w:r w:rsidRPr="002E613E">
        <w:rPr>
          <w:color w:val="000000"/>
        </w:rPr>
        <w:t>SK – Slovākija</w:t>
      </w:r>
      <w:r w:rsidRPr="002E613E">
        <w:rPr>
          <w:color w:val="000000"/>
          <w:spacing w:val="-2"/>
        </w:rPr>
        <w:t xml:space="preserve">; </w:t>
      </w:r>
      <w:r>
        <w:rPr>
          <w:color w:val="000000"/>
        </w:rPr>
        <w:t>ES</w:t>
      </w:r>
      <w:r w:rsidRPr="002E613E">
        <w:rPr>
          <w:color w:val="000000"/>
        </w:rPr>
        <w:t xml:space="preserve"> – Spānija; UK – Lielbritānija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62D1E" w:rsidP="00AF0EB0">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GrammaticalErrors/>
  <w:zoom w:percent="100"/>
  <w:defaultTabStop w:val="720"/>
  <w:drawingGridHorizontalSpacing w:val="11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21D"/>
    <w:rsid w:val="00004A01"/>
    <w:rsid w:val="00014F49"/>
    <w:rsid w:val="000202C9"/>
    <w:rsid w:val="00024BC6"/>
    <w:rsid w:val="00025D05"/>
    <w:rsid w:val="00036DCA"/>
    <w:rsid w:val="00041105"/>
    <w:rsid w:val="00050077"/>
    <w:rsid w:val="00051EAF"/>
    <w:rsid w:val="00067AB3"/>
    <w:rsid w:val="00071D93"/>
    <w:rsid w:val="0007222C"/>
    <w:rsid w:val="0007396B"/>
    <w:rsid w:val="00073CDE"/>
    <w:rsid w:val="000767E0"/>
    <w:rsid w:val="00082B09"/>
    <w:rsid w:val="000849BE"/>
    <w:rsid w:val="0008637A"/>
    <w:rsid w:val="00087870"/>
    <w:rsid w:val="00087DA4"/>
    <w:rsid w:val="00091211"/>
    <w:rsid w:val="00092A50"/>
    <w:rsid w:val="0009310A"/>
    <w:rsid w:val="0009319E"/>
    <w:rsid w:val="0009538C"/>
    <w:rsid w:val="00095529"/>
    <w:rsid w:val="0009724E"/>
    <w:rsid w:val="0009741E"/>
    <w:rsid w:val="000A683A"/>
    <w:rsid w:val="000A7DD0"/>
    <w:rsid w:val="000B56F2"/>
    <w:rsid w:val="000B612C"/>
    <w:rsid w:val="000B655A"/>
    <w:rsid w:val="000B7729"/>
    <w:rsid w:val="000B7910"/>
    <w:rsid w:val="000C0300"/>
    <w:rsid w:val="000C242A"/>
    <w:rsid w:val="000D5335"/>
    <w:rsid w:val="000D5362"/>
    <w:rsid w:val="000D5EFD"/>
    <w:rsid w:val="000D5F48"/>
    <w:rsid w:val="000E0FB7"/>
    <w:rsid w:val="000E4F99"/>
    <w:rsid w:val="000F155D"/>
    <w:rsid w:val="000F2821"/>
    <w:rsid w:val="000F54FE"/>
    <w:rsid w:val="000F79A3"/>
    <w:rsid w:val="00106824"/>
    <w:rsid w:val="00111F5D"/>
    <w:rsid w:val="001123B8"/>
    <w:rsid w:val="00113D48"/>
    <w:rsid w:val="001207F9"/>
    <w:rsid w:val="00124FCE"/>
    <w:rsid w:val="00127CBE"/>
    <w:rsid w:val="001315ED"/>
    <w:rsid w:val="00132BA9"/>
    <w:rsid w:val="00135B74"/>
    <w:rsid w:val="00135E20"/>
    <w:rsid w:val="00141A0C"/>
    <w:rsid w:val="00141A71"/>
    <w:rsid w:val="00142E09"/>
    <w:rsid w:val="0015262A"/>
    <w:rsid w:val="0015313C"/>
    <w:rsid w:val="00160860"/>
    <w:rsid w:val="00164E49"/>
    <w:rsid w:val="001705E5"/>
    <w:rsid w:val="00171AEA"/>
    <w:rsid w:val="00173A69"/>
    <w:rsid w:val="001827DB"/>
    <w:rsid w:val="001843C3"/>
    <w:rsid w:val="001870CB"/>
    <w:rsid w:val="0018765D"/>
    <w:rsid w:val="00187BA0"/>
    <w:rsid w:val="00191926"/>
    <w:rsid w:val="0019253F"/>
    <w:rsid w:val="00196D80"/>
    <w:rsid w:val="00197E44"/>
    <w:rsid w:val="001A4284"/>
    <w:rsid w:val="001B6DDC"/>
    <w:rsid w:val="001B6EC5"/>
    <w:rsid w:val="001C0C60"/>
    <w:rsid w:val="001C0C82"/>
    <w:rsid w:val="001C2934"/>
    <w:rsid w:val="001D5A54"/>
    <w:rsid w:val="001D6879"/>
    <w:rsid w:val="001D7403"/>
    <w:rsid w:val="001D7FD8"/>
    <w:rsid w:val="001E321A"/>
    <w:rsid w:val="001F0912"/>
    <w:rsid w:val="001F0D32"/>
    <w:rsid w:val="001F21AC"/>
    <w:rsid w:val="001F2928"/>
    <w:rsid w:val="001F43A6"/>
    <w:rsid w:val="001F468E"/>
    <w:rsid w:val="00203569"/>
    <w:rsid w:val="00206DA7"/>
    <w:rsid w:val="0021616C"/>
    <w:rsid w:val="00221C72"/>
    <w:rsid w:val="00225920"/>
    <w:rsid w:val="00245C5E"/>
    <w:rsid w:val="00247754"/>
    <w:rsid w:val="00253942"/>
    <w:rsid w:val="00255849"/>
    <w:rsid w:val="00255BA9"/>
    <w:rsid w:val="00260386"/>
    <w:rsid w:val="00262B90"/>
    <w:rsid w:val="00271EAF"/>
    <w:rsid w:val="00276047"/>
    <w:rsid w:val="0027786D"/>
    <w:rsid w:val="0028415E"/>
    <w:rsid w:val="00286B13"/>
    <w:rsid w:val="00290725"/>
    <w:rsid w:val="0029140C"/>
    <w:rsid w:val="002A4B4D"/>
    <w:rsid w:val="002B0414"/>
    <w:rsid w:val="002B2B69"/>
    <w:rsid w:val="002B45C7"/>
    <w:rsid w:val="002B56F0"/>
    <w:rsid w:val="002B6A1A"/>
    <w:rsid w:val="002B71CE"/>
    <w:rsid w:val="002C44F5"/>
    <w:rsid w:val="002D30F3"/>
    <w:rsid w:val="002D3683"/>
    <w:rsid w:val="002D4AB1"/>
    <w:rsid w:val="002E29F3"/>
    <w:rsid w:val="002E613E"/>
    <w:rsid w:val="002E762B"/>
    <w:rsid w:val="002E77BD"/>
    <w:rsid w:val="002F1DF5"/>
    <w:rsid w:val="002F6BE5"/>
    <w:rsid w:val="002F7863"/>
    <w:rsid w:val="002F7ADA"/>
    <w:rsid w:val="00303274"/>
    <w:rsid w:val="00305F05"/>
    <w:rsid w:val="00306698"/>
    <w:rsid w:val="00307A7B"/>
    <w:rsid w:val="003114DC"/>
    <w:rsid w:val="00311D7D"/>
    <w:rsid w:val="00324054"/>
    <w:rsid w:val="003271B1"/>
    <w:rsid w:val="00331AED"/>
    <w:rsid w:val="00335CEF"/>
    <w:rsid w:val="00336EAE"/>
    <w:rsid w:val="003375CC"/>
    <w:rsid w:val="00352408"/>
    <w:rsid w:val="00352C75"/>
    <w:rsid w:val="00360B87"/>
    <w:rsid w:val="003628A3"/>
    <w:rsid w:val="00363C8E"/>
    <w:rsid w:val="003648A3"/>
    <w:rsid w:val="0037073A"/>
    <w:rsid w:val="00373AC6"/>
    <w:rsid w:val="003777A6"/>
    <w:rsid w:val="00382570"/>
    <w:rsid w:val="003834FC"/>
    <w:rsid w:val="00385C6C"/>
    <w:rsid w:val="0039658D"/>
    <w:rsid w:val="003A2C2A"/>
    <w:rsid w:val="003B0F04"/>
    <w:rsid w:val="003B1124"/>
    <w:rsid w:val="003C22F6"/>
    <w:rsid w:val="003C7F36"/>
    <w:rsid w:val="003D3AF7"/>
    <w:rsid w:val="003D4403"/>
    <w:rsid w:val="003D72CA"/>
    <w:rsid w:val="003E229A"/>
    <w:rsid w:val="003E4069"/>
    <w:rsid w:val="003E5238"/>
    <w:rsid w:val="003F135F"/>
    <w:rsid w:val="003F2CD6"/>
    <w:rsid w:val="003F2EA2"/>
    <w:rsid w:val="003F3385"/>
    <w:rsid w:val="003F358B"/>
    <w:rsid w:val="003F67D9"/>
    <w:rsid w:val="0040094F"/>
    <w:rsid w:val="00404835"/>
    <w:rsid w:val="00412A33"/>
    <w:rsid w:val="00417C94"/>
    <w:rsid w:val="0042706E"/>
    <w:rsid w:val="00430219"/>
    <w:rsid w:val="00430DCC"/>
    <w:rsid w:val="004333DB"/>
    <w:rsid w:val="004433EC"/>
    <w:rsid w:val="0045304F"/>
    <w:rsid w:val="0046074B"/>
    <w:rsid w:val="00465906"/>
    <w:rsid w:val="00467A26"/>
    <w:rsid w:val="00471524"/>
    <w:rsid w:val="00472112"/>
    <w:rsid w:val="0047290D"/>
    <w:rsid w:val="004740D8"/>
    <w:rsid w:val="00477673"/>
    <w:rsid w:val="00482626"/>
    <w:rsid w:val="00483382"/>
    <w:rsid w:val="004849FF"/>
    <w:rsid w:val="00490E21"/>
    <w:rsid w:val="004A24DB"/>
    <w:rsid w:val="004A392C"/>
    <w:rsid w:val="004A682C"/>
    <w:rsid w:val="004A7D51"/>
    <w:rsid w:val="004A7E1D"/>
    <w:rsid w:val="004B4019"/>
    <w:rsid w:val="004B5C57"/>
    <w:rsid w:val="004B6582"/>
    <w:rsid w:val="004C02B3"/>
    <w:rsid w:val="004C082B"/>
    <w:rsid w:val="004C2A38"/>
    <w:rsid w:val="004D5C52"/>
    <w:rsid w:val="004E3419"/>
    <w:rsid w:val="004E3ADD"/>
    <w:rsid w:val="004F47DA"/>
    <w:rsid w:val="004F6AD2"/>
    <w:rsid w:val="00501A4F"/>
    <w:rsid w:val="005060CD"/>
    <w:rsid w:val="005216F7"/>
    <w:rsid w:val="00522BAE"/>
    <w:rsid w:val="00525C93"/>
    <w:rsid w:val="00531E40"/>
    <w:rsid w:val="0053309E"/>
    <w:rsid w:val="0053430D"/>
    <w:rsid w:val="00536C84"/>
    <w:rsid w:val="00541378"/>
    <w:rsid w:val="00542FD3"/>
    <w:rsid w:val="0054780A"/>
    <w:rsid w:val="00547DC5"/>
    <w:rsid w:val="00547FF6"/>
    <w:rsid w:val="00550BF4"/>
    <w:rsid w:val="005531E2"/>
    <w:rsid w:val="0056633C"/>
    <w:rsid w:val="005669CD"/>
    <w:rsid w:val="00566DF0"/>
    <w:rsid w:val="00570656"/>
    <w:rsid w:val="00571B2A"/>
    <w:rsid w:val="0058011F"/>
    <w:rsid w:val="00582455"/>
    <w:rsid w:val="00586757"/>
    <w:rsid w:val="00586BA0"/>
    <w:rsid w:val="00586D2D"/>
    <w:rsid w:val="005871C2"/>
    <w:rsid w:val="005936BC"/>
    <w:rsid w:val="00593E7B"/>
    <w:rsid w:val="00594101"/>
    <w:rsid w:val="005A79AB"/>
    <w:rsid w:val="005B16C4"/>
    <w:rsid w:val="005B2C29"/>
    <w:rsid w:val="005B5205"/>
    <w:rsid w:val="005C0343"/>
    <w:rsid w:val="005C1E6F"/>
    <w:rsid w:val="005C1E7B"/>
    <w:rsid w:val="005C2791"/>
    <w:rsid w:val="005D3318"/>
    <w:rsid w:val="005E0323"/>
    <w:rsid w:val="005E58BA"/>
    <w:rsid w:val="005E5FC1"/>
    <w:rsid w:val="005F02CE"/>
    <w:rsid w:val="005F2A0C"/>
    <w:rsid w:val="0060462E"/>
    <w:rsid w:val="0062155D"/>
    <w:rsid w:val="00621E86"/>
    <w:rsid w:val="00630C27"/>
    <w:rsid w:val="00636673"/>
    <w:rsid w:val="00637541"/>
    <w:rsid w:val="006402D4"/>
    <w:rsid w:val="00652BAC"/>
    <w:rsid w:val="00660E35"/>
    <w:rsid w:val="006621B7"/>
    <w:rsid w:val="006628C3"/>
    <w:rsid w:val="006630FD"/>
    <w:rsid w:val="00663890"/>
    <w:rsid w:val="0066794A"/>
    <w:rsid w:val="0067667F"/>
    <w:rsid w:val="006812C6"/>
    <w:rsid w:val="006813B9"/>
    <w:rsid w:val="006879BC"/>
    <w:rsid w:val="00687DD5"/>
    <w:rsid w:val="006952FF"/>
    <w:rsid w:val="006A1C94"/>
    <w:rsid w:val="006A29E9"/>
    <w:rsid w:val="006A5E75"/>
    <w:rsid w:val="006B1053"/>
    <w:rsid w:val="006B3D89"/>
    <w:rsid w:val="006B482F"/>
    <w:rsid w:val="006B4AD1"/>
    <w:rsid w:val="006B7C3D"/>
    <w:rsid w:val="006C06F1"/>
    <w:rsid w:val="006C47FF"/>
    <w:rsid w:val="006C7448"/>
    <w:rsid w:val="006D0997"/>
    <w:rsid w:val="006D5738"/>
    <w:rsid w:val="006D65A4"/>
    <w:rsid w:val="006E4938"/>
    <w:rsid w:val="006E4F23"/>
    <w:rsid w:val="006F1802"/>
    <w:rsid w:val="006F3728"/>
    <w:rsid w:val="007006CB"/>
    <w:rsid w:val="00701490"/>
    <w:rsid w:val="00703211"/>
    <w:rsid w:val="007045BE"/>
    <w:rsid w:val="00710734"/>
    <w:rsid w:val="00713EF1"/>
    <w:rsid w:val="0071749C"/>
    <w:rsid w:val="00730B76"/>
    <w:rsid w:val="00731A71"/>
    <w:rsid w:val="00734D23"/>
    <w:rsid w:val="007352D0"/>
    <w:rsid w:val="0074046A"/>
    <w:rsid w:val="00740596"/>
    <w:rsid w:val="007412AA"/>
    <w:rsid w:val="007424F5"/>
    <w:rsid w:val="00743F8C"/>
    <w:rsid w:val="00756F4B"/>
    <w:rsid w:val="00760613"/>
    <w:rsid w:val="0076123C"/>
    <w:rsid w:val="00762C9A"/>
    <w:rsid w:val="00762D1E"/>
    <w:rsid w:val="007661E3"/>
    <w:rsid w:val="00771A9F"/>
    <w:rsid w:val="00774C58"/>
    <w:rsid w:val="00775D26"/>
    <w:rsid w:val="00777474"/>
    <w:rsid w:val="007871F3"/>
    <w:rsid w:val="00790E21"/>
    <w:rsid w:val="007A06BA"/>
    <w:rsid w:val="007A072E"/>
    <w:rsid w:val="007A2A61"/>
    <w:rsid w:val="007A2CD4"/>
    <w:rsid w:val="007B14BC"/>
    <w:rsid w:val="007B6098"/>
    <w:rsid w:val="007C67BE"/>
    <w:rsid w:val="007C7824"/>
    <w:rsid w:val="007E237F"/>
    <w:rsid w:val="007E3B2D"/>
    <w:rsid w:val="007E4C0E"/>
    <w:rsid w:val="007E5762"/>
    <w:rsid w:val="007F0EB6"/>
    <w:rsid w:val="007F47DA"/>
    <w:rsid w:val="007F6F5B"/>
    <w:rsid w:val="007F7BF1"/>
    <w:rsid w:val="00803F0A"/>
    <w:rsid w:val="00806BCB"/>
    <w:rsid w:val="008078B1"/>
    <w:rsid w:val="00821679"/>
    <w:rsid w:val="008267DB"/>
    <w:rsid w:val="00831427"/>
    <w:rsid w:val="0084042F"/>
    <w:rsid w:val="00845174"/>
    <w:rsid w:val="0085032F"/>
    <w:rsid w:val="008546AC"/>
    <w:rsid w:val="00861CD8"/>
    <w:rsid w:val="0087227E"/>
    <w:rsid w:val="0087631C"/>
    <w:rsid w:val="0088252C"/>
    <w:rsid w:val="008834A6"/>
    <w:rsid w:val="00883734"/>
    <w:rsid w:val="008855BC"/>
    <w:rsid w:val="0088569F"/>
    <w:rsid w:val="00894946"/>
    <w:rsid w:val="008A4315"/>
    <w:rsid w:val="008A5B5B"/>
    <w:rsid w:val="008A7D3E"/>
    <w:rsid w:val="008B08E1"/>
    <w:rsid w:val="008B5315"/>
    <w:rsid w:val="008B76A1"/>
    <w:rsid w:val="008C177F"/>
    <w:rsid w:val="008D24C2"/>
    <w:rsid w:val="008D2A00"/>
    <w:rsid w:val="008D7408"/>
    <w:rsid w:val="008E0E34"/>
    <w:rsid w:val="008E4278"/>
    <w:rsid w:val="008E4A1F"/>
    <w:rsid w:val="008E4CFF"/>
    <w:rsid w:val="008F2255"/>
    <w:rsid w:val="008F38D9"/>
    <w:rsid w:val="008F3E31"/>
    <w:rsid w:val="008F4DF5"/>
    <w:rsid w:val="0091774E"/>
    <w:rsid w:val="00921A5E"/>
    <w:rsid w:val="0092293D"/>
    <w:rsid w:val="00923F00"/>
    <w:rsid w:val="00925041"/>
    <w:rsid w:val="0092577E"/>
    <w:rsid w:val="00926055"/>
    <w:rsid w:val="00926D9A"/>
    <w:rsid w:val="00930CA2"/>
    <w:rsid w:val="009379ED"/>
    <w:rsid w:val="00943B4C"/>
    <w:rsid w:val="009458DC"/>
    <w:rsid w:val="00946851"/>
    <w:rsid w:val="00954C48"/>
    <w:rsid w:val="00954ED4"/>
    <w:rsid w:val="00956F5B"/>
    <w:rsid w:val="009579ED"/>
    <w:rsid w:val="0096036A"/>
    <w:rsid w:val="00961590"/>
    <w:rsid w:val="00964468"/>
    <w:rsid w:val="00964950"/>
    <w:rsid w:val="009745C4"/>
    <w:rsid w:val="009A0A55"/>
    <w:rsid w:val="009A6AFC"/>
    <w:rsid w:val="009B7CEE"/>
    <w:rsid w:val="009C5190"/>
    <w:rsid w:val="009D39AC"/>
    <w:rsid w:val="009D41AD"/>
    <w:rsid w:val="009F39B5"/>
    <w:rsid w:val="00A034DE"/>
    <w:rsid w:val="00A0494A"/>
    <w:rsid w:val="00A051AB"/>
    <w:rsid w:val="00A07E71"/>
    <w:rsid w:val="00A10C9D"/>
    <w:rsid w:val="00A11AAF"/>
    <w:rsid w:val="00A13DED"/>
    <w:rsid w:val="00A174B9"/>
    <w:rsid w:val="00A2071B"/>
    <w:rsid w:val="00A22CAF"/>
    <w:rsid w:val="00A36974"/>
    <w:rsid w:val="00A424A2"/>
    <w:rsid w:val="00A5222A"/>
    <w:rsid w:val="00A54395"/>
    <w:rsid w:val="00A54994"/>
    <w:rsid w:val="00A56524"/>
    <w:rsid w:val="00A5721D"/>
    <w:rsid w:val="00A57709"/>
    <w:rsid w:val="00A613A2"/>
    <w:rsid w:val="00A63011"/>
    <w:rsid w:val="00A65883"/>
    <w:rsid w:val="00A6756D"/>
    <w:rsid w:val="00A73FB4"/>
    <w:rsid w:val="00A76659"/>
    <w:rsid w:val="00A77BA2"/>
    <w:rsid w:val="00A82041"/>
    <w:rsid w:val="00A83163"/>
    <w:rsid w:val="00A83A37"/>
    <w:rsid w:val="00A92A83"/>
    <w:rsid w:val="00A94C58"/>
    <w:rsid w:val="00A9590B"/>
    <w:rsid w:val="00AA3E2F"/>
    <w:rsid w:val="00AB0095"/>
    <w:rsid w:val="00AB19F7"/>
    <w:rsid w:val="00AC3F04"/>
    <w:rsid w:val="00AC4E80"/>
    <w:rsid w:val="00AC7676"/>
    <w:rsid w:val="00AD346F"/>
    <w:rsid w:val="00AD7736"/>
    <w:rsid w:val="00AE0790"/>
    <w:rsid w:val="00AE3E74"/>
    <w:rsid w:val="00AE7D38"/>
    <w:rsid w:val="00AF0EB0"/>
    <w:rsid w:val="00B06EC9"/>
    <w:rsid w:val="00B107C9"/>
    <w:rsid w:val="00B10AC1"/>
    <w:rsid w:val="00B10F04"/>
    <w:rsid w:val="00B137EC"/>
    <w:rsid w:val="00B2274B"/>
    <w:rsid w:val="00B26691"/>
    <w:rsid w:val="00B347DE"/>
    <w:rsid w:val="00B34AF4"/>
    <w:rsid w:val="00B351DB"/>
    <w:rsid w:val="00B40B91"/>
    <w:rsid w:val="00B445A6"/>
    <w:rsid w:val="00B5015B"/>
    <w:rsid w:val="00B534D0"/>
    <w:rsid w:val="00B569B8"/>
    <w:rsid w:val="00B60B62"/>
    <w:rsid w:val="00B612F1"/>
    <w:rsid w:val="00B67758"/>
    <w:rsid w:val="00B70D72"/>
    <w:rsid w:val="00B71264"/>
    <w:rsid w:val="00B71EAE"/>
    <w:rsid w:val="00B73E10"/>
    <w:rsid w:val="00B742CD"/>
    <w:rsid w:val="00B74829"/>
    <w:rsid w:val="00B75E17"/>
    <w:rsid w:val="00B8597F"/>
    <w:rsid w:val="00B94149"/>
    <w:rsid w:val="00B96285"/>
    <w:rsid w:val="00B97724"/>
    <w:rsid w:val="00BA1CF5"/>
    <w:rsid w:val="00BB2741"/>
    <w:rsid w:val="00BB3309"/>
    <w:rsid w:val="00BB4DD8"/>
    <w:rsid w:val="00BB5300"/>
    <w:rsid w:val="00BB77ED"/>
    <w:rsid w:val="00BC07CE"/>
    <w:rsid w:val="00BC2985"/>
    <w:rsid w:val="00BC7244"/>
    <w:rsid w:val="00BD0549"/>
    <w:rsid w:val="00BD528E"/>
    <w:rsid w:val="00BE69FA"/>
    <w:rsid w:val="00BF2205"/>
    <w:rsid w:val="00BF248D"/>
    <w:rsid w:val="00BF3479"/>
    <w:rsid w:val="00BF6C52"/>
    <w:rsid w:val="00C017D7"/>
    <w:rsid w:val="00C15C9F"/>
    <w:rsid w:val="00C23A95"/>
    <w:rsid w:val="00C24786"/>
    <w:rsid w:val="00C25931"/>
    <w:rsid w:val="00C30180"/>
    <w:rsid w:val="00C310D2"/>
    <w:rsid w:val="00C33BEB"/>
    <w:rsid w:val="00C341FB"/>
    <w:rsid w:val="00C35CE1"/>
    <w:rsid w:val="00C40785"/>
    <w:rsid w:val="00C40A61"/>
    <w:rsid w:val="00C41513"/>
    <w:rsid w:val="00C5034F"/>
    <w:rsid w:val="00C523B1"/>
    <w:rsid w:val="00C53A5A"/>
    <w:rsid w:val="00C5533D"/>
    <w:rsid w:val="00C63C4C"/>
    <w:rsid w:val="00C66F79"/>
    <w:rsid w:val="00C71C7B"/>
    <w:rsid w:val="00C71D14"/>
    <w:rsid w:val="00C75997"/>
    <w:rsid w:val="00C805ED"/>
    <w:rsid w:val="00C81F03"/>
    <w:rsid w:val="00C84EF7"/>
    <w:rsid w:val="00C862A1"/>
    <w:rsid w:val="00C86400"/>
    <w:rsid w:val="00C8795D"/>
    <w:rsid w:val="00C91D70"/>
    <w:rsid w:val="00C9657B"/>
    <w:rsid w:val="00C97862"/>
    <w:rsid w:val="00CA06B0"/>
    <w:rsid w:val="00CA1496"/>
    <w:rsid w:val="00CB2677"/>
    <w:rsid w:val="00CB26B2"/>
    <w:rsid w:val="00CB4947"/>
    <w:rsid w:val="00CD3B1E"/>
    <w:rsid w:val="00CD7165"/>
    <w:rsid w:val="00CE734F"/>
    <w:rsid w:val="00CF176A"/>
    <w:rsid w:val="00D007DB"/>
    <w:rsid w:val="00D032E9"/>
    <w:rsid w:val="00D03C2C"/>
    <w:rsid w:val="00D13B29"/>
    <w:rsid w:val="00D21C4B"/>
    <w:rsid w:val="00D2777C"/>
    <w:rsid w:val="00D31C82"/>
    <w:rsid w:val="00D457CD"/>
    <w:rsid w:val="00D504D1"/>
    <w:rsid w:val="00D62BB3"/>
    <w:rsid w:val="00D65D1F"/>
    <w:rsid w:val="00D6729D"/>
    <w:rsid w:val="00D6789F"/>
    <w:rsid w:val="00D70495"/>
    <w:rsid w:val="00D73243"/>
    <w:rsid w:val="00D745C7"/>
    <w:rsid w:val="00D74D94"/>
    <w:rsid w:val="00D83415"/>
    <w:rsid w:val="00D84B28"/>
    <w:rsid w:val="00D84C5A"/>
    <w:rsid w:val="00D87763"/>
    <w:rsid w:val="00D9066E"/>
    <w:rsid w:val="00D9495C"/>
    <w:rsid w:val="00DA4541"/>
    <w:rsid w:val="00DB497B"/>
    <w:rsid w:val="00DB7C6A"/>
    <w:rsid w:val="00DC2EF8"/>
    <w:rsid w:val="00DC3A41"/>
    <w:rsid w:val="00DC4198"/>
    <w:rsid w:val="00DC443B"/>
    <w:rsid w:val="00DC5756"/>
    <w:rsid w:val="00DD1D17"/>
    <w:rsid w:val="00DD2B48"/>
    <w:rsid w:val="00DE0F22"/>
    <w:rsid w:val="00DE2B25"/>
    <w:rsid w:val="00DE745C"/>
    <w:rsid w:val="00DF40AC"/>
    <w:rsid w:val="00DF7DC6"/>
    <w:rsid w:val="00E04C79"/>
    <w:rsid w:val="00E053D8"/>
    <w:rsid w:val="00E060FD"/>
    <w:rsid w:val="00E1115E"/>
    <w:rsid w:val="00E128FC"/>
    <w:rsid w:val="00E20406"/>
    <w:rsid w:val="00E25DA0"/>
    <w:rsid w:val="00E40A56"/>
    <w:rsid w:val="00E4154B"/>
    <w:rsid w:val="00E51F86"/>
    <w:rsid w:val="00E52879"/>
    <w:rsid w:val="00E533F4"/>
    <w:rsid w:val="00E565BD"/>
    <w:rsid w:val="00E615F1"/>
    <w:rsid w:val="00E620EF"/>
    <w:rsid w:val="00E62C66"/>
    <w:rsid w:val="00E701BE"/>
    <w:rsid w:val="00E75013"/>
    <w:rsid w:val="00E77553"/>
    <w:rsid w:val="00E812D4"/>
    <w:rsid w:val="00E846E4"/>
    <w:rsid w:val="00E85001"/>
    <w:rsid w:val="00E86DE2"/>
    <w:rsid w:val="00E87164"/>
    <w:rsid w:val="00E9138F"/>
    <w:rsid w:val="00E955E6"/>
    <w:rsid w:val="00E978CF"/>
    <w:rsid w:val="00EA0C15"/>
    <w:rsid w:val="00EA1114"/>
    <w:rsid w:val="00EA1810"/>
    <w:rsid w:val="00EB1811"/>
    <w:rsid w:val="00EB2173"/>
    <w:rsid w:val="00EB5A14"/>
    <w:rsid w:val="00EC070E"/>
    <w:rsid w:val="00EC3A93"/>
    <w:rsid w:val="00EC6010"/>
    <w:rsid w:val="00EC7A17"/>
    <w:rsid w:val="00ED13C9"/>
    <w:rsid w:val="00EE68F2"/>
    <w:rsid w:val="00EE7F03"/>
    <w:rsid w:val="00EF0381"/>
    <w:rsid w:val="00EF043E"/>
    <w:rsid w:val="00EF33B8"/>
    <w:rsid w:val="00EF7B74"/>
    <w:rsid w:val="00F03757"/>
    <w:rsid w:val="00F127DC"/>
    <w:rsid w:val="00F15F84"/>
    <w:rsid w:val="00F17F54"/>
    <w:rsid w:val="00F20293"/>
    <w:rsid w:val="00F231A2"/>
    <w:rsid w:val="00F24011"/>
    <w:rsid w:val="00F24746"/>
    <w:rsid w:val="00F2604A"/>
    <w:rsid w:val="00F343C2"/>
    <w:rsid w:val="00F34C44"/>
    <w:rsid w:val="00F351D0"/>
    <w:rsid w:val="00F35BE1"/>
    <w:rsid w:val="00F4285A"/>
    <w:rsid w:val="00F43E28"/>
    <w:rsid w:val="00F45EAB"/>
    <w:rsid w:val="00F4746D"/>
    <w:rsid w:val="00F63788"/>
    <w:rsid w:val="00F67220"/>
    <w:rsid w:val="00F70334"/>
    <w:rsid w:val="00F72E60"/>
    <w:rsid w:val="00F740D9"/>
    <w:rsid w:val="00F743E1"/>
    <w:rsid w:val="00F7553F"/>
    <w:rsid w:val="00F80FEA"/>
    <w:rsid w:val="00F835E8"/>
    <w:rsid w:val="00F863E0"/>
    <w:rsid w:val="00F86EC0"/>
    <w:rsid w:val="00F903E4"/>
    <w:rsid w:val="00F920C9"/>
    <w:rsid w:val="00F92480"/>
    <w:rsid w:val="00F93C64"/>
    <w:rsid w:val="00F9522B"/>
    <w:rsid w:val="00F9701B"/>
    <w:rsid w:val="00F97BF6"/>
    <w:rsid w:val="00FA014D"/>
    <w:rsid w:val="00FA242A"/>
    <w:rsid w:val="00FA34FF"/>
    <w:rsid w:val="00FA6F1F"/>
    <w:rsid w:val="00FB00D5"/>
    <w:rsid w:val="00FB0BD5"/>
    <w:rsid w:val="00FD08E2"/>
    <w:rsid w:val="00FD3E06"/>
    <w:rsid w:val="00FD7BFD"/>
    <w:rsid w:val="00FE0DAC"/>
    <w:rsid w:val="00FE66C0"/>
    <w:rsid w:val="00FE743B"/>
    <w:rsid w:val="00FE76D6"/>
    <w:rsid w:val="00FF6363"/>
  </w:rsids>
  <m:mathPr>
    <m:mathFont m:val="Cambria Math"/>
  </m:mathPr>
  <w:themeFontLang w:val="lv-LV"/>
  <w:clrSchemeMapping w:bg1="light1" w:t1="dark1" w:bg2="light2" w:t2="dark2" w:accent1="accent1" w:accent2="accent2" w:accent3="accent3" w:accent4="accent4" w:accent5="accent5" w:accent6="accent6" w:hyperlink="hyperlink" w:followedHyperlink="followedHyperlink"/>
  <w15:docId w15:val="{D0784E36-401E-4B92-AD3F-0ABFC0DC5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E4CF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C35CE1"/>
    <w:pPr>
      <w:keepNext/>
      <w:keepLines/>
      <w:spacing w:after="0" w:line="240" w:lineRule="auto"/>
      <w:outlineLvl w:val="2"/>
    </w:pPr>
    <w:rPr>
      <w:rFonts w:ascii="Times New Roman" w:hAnsi="Times New Roman" w:eastAsiaTheme="majorEastAsia"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4CFF"/>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C35CE1"/>
    <w:rPr>
      <w:rFonts w:ascii="Times New Roman" w:hAnsi="Times New Roman" w:eastAsiaTheme="majorEastAsia" w:cstheme="majorBidi"/>
      <w:b/>
      <w:bCs/>
      <w:sz w:val="24"/>
    </w:rPr>
  </w:style>
  <w:style w:type="paragraph" w:styleId="BalloonText">
    <w:name w:val="Balloon Text"/>
    <w:basedOn w:val="Normal"/>
    <w:link w:val="BalloonTextChar"/>
    <w:uiPriority w:val="99"/>
    <w:semiHidden/>
    <w:unhideWhenUsed/>
    <w:rsid w:val="00A572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21D"/>
    <w:rPr>
      <w:rFonts w:ascii="Tahoma" w:hAnsi="Tahoma" w:cs="Tahoma"/>
      <w:sz w:val="16"/>
      <w:szCs w:val="16"/>
    </w:rPr>
  </w:style>
  <w:style w:type="table" w:styleId="TableGrid">
    <w:name w:val="Table Grid"/>
    <w:basedOn w:val="TableNormal"/>
    <w:uiPriority w:val="59"/>
    <w:rsid w:val="00A57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Left">
    <w:name w:val="Normal Left"/>
    <w:basedOn w:val="Normal"/>
    <w:uiPriority w:val="99"/>
    <w:rsid w:val="00A5721D"/>
    <w:pPr>
      <w:spacing w:before="120" w:after="120"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6879BC"/>
    <w:rPr>
      <w:sz w:val="16"/>
      <w:szCs w:val="16"/>
    </w:rPr>
  </w:style>
  <w:style w:type="paragraph" w:styleId="CommentText">
    <w:name w:val="annotation text"/>
    <w:basedOn w:val="Normal"/>
    <w:link w:val="CommentTextChar"/>
    <w:uiPriority w:val="99"/>
    <w:semiHidden/>
    <w:unhideWhenUsed/>
    <w:rsid w:val="006879BC"/>
    <w:pPr>
      <w:spacing w:line="240" w:lineRule="auto"/>
    </w:pPr>
    <w:rPr>
      <w:sz w:val="20"/>
      <w:szCs w:val="20"/>
    </w:rPr>
  </w:style>
  <w:style w:type="character" w:customStyle="1" w:styleId="CommentTextChar">
    <w:name w:val="Comment Text Char"/>
    <w:basedOn w:val="DefaultParagraphFont"/>
    <w:link w:val="CommentText"/>
    <w:uiPriority w:val="99"/>
    <w:semiHidden/>
    <w:rsid w:val="006879BC"/>
    <w:rPr>
      <w:sz w:val="20"/>
      <w:szCs w:val="20"/>
    </w:rPr>
  </w:style>
  <w:style w:type="paragraph" w:styleId="CommentSubject">
    <w:name w:val="annotation subject"/>
    <w:basedOn w:val="CommentText"/>
    <w:next w:val="CommentText"/>
    <w:link w:val="CommentSubjectChar"/>
    <w:uiPriority w:val="99"/>
    <w:semiHidden/>
    <w:unhideWhenUsed/>
    <w:rsid w:val="006879BC"/>
    <w:rPr>
      <w:b/>
      <w:bCs/>
    </w:rPr>
  </w:style>
  <w:style w:type="character" w:customStyle="1" w:styleId="CommentSubjectChar">
    <w:name w:val="Comment Subject Char"/>
    <w:basedOn w:val="CommentTextChar"/>
    <w:link w:val="CommentSubject"/>
    <w:uiPriority w:val="99"/>
    <w:semiHidden/>
    <w:rsid w:val="006879BC"/>
    <w:rPr>
      <w:b/>
      <w:bCs/>
      <w:sz w:val="20"/>
      <w:szCs w:val="20"/>
    </w:rPr>
  </w:style>
  <w:style w:type="character" w:styleId="Hyperlink">
    <w:name w:val="Hyperlink"/>
    <w:basedOn w:val="DefaultParagraphFont"/>
    <w:uiPriority w:val="99"/>
    <w:unhideWhenUsed/>
    <w:rsid w:val="008E4CFF"/>
    <w:rPr>
      <w:color w:val="0000FF" w:themeColor="hyperlink"/>
      <w:u w:val="single"/>
    </w:rPr>
  </w:style>
  <w:style w:type="paragraph" w:styleId="TOCHeading">
    <w:name w:val="TOC Heading"/>
    <w:basedOn w:val="Heading1"/>
    <w:next w:val="Normal"/>
    <w:uiPriority w:val="39"/>
    <w:unhideWhenUsed/>
    <w:qFormat/>
    <w:rsid w:val="008E4CFF"/>
    <w:pPr>
      <w:spacing w:before="480"/>
      <w:outlineLvl w:val="9"/>
    </w:pPr>
    <w:rPr>
      <w:b/>
      <w:bCs/>
      <w:sz w:val="28"/>
      <w:szCs w:val="28"/>
      <w:lang w:val="en-US"/>
    </w:rPr>
  </w:style>
  <w:style w:type="paragraph" w:styleId="TOC1">
    <w:name w:val="toc 1"/>
    <w:basedOn w:val="Normal"/>
    <w:next w:val="Normal"/>
    <w:autoRedefine/>
    <w:uiPriority w:val="39"/>
    <w:unhideWhenUsed/>
    <w:rsid w:val="008E4CFF"/>
    <w:pPr>
      <w:spacing w:after="100"/>
    </w:pPr>
  </w:style>
  <w:style w:type="paragraph" w:styleId="Header">
    <w:name w:val="header"/>
    <w:basedOn w:val="Normal"/>
    <w:link w:val="HeaderChar"/>
    <w:uiPriority w:val="99"/>
    <w:unhideWhenUsed/>
    <w:rsid w:val="008E4CFF"/>
    <w:pPr>
      <w:tabs>
        <w:tab w:val="center" w:pos="4153"/>
        <w:tab w:val="right" w:pos="8306"/>
      </w:tabs>
      <w:spacing w:after="0" w:line="240" w:lineRule="auto"/>
    </w:pPr>
  </w:style>
  <w:style w:type="character" w:customStyle="1" w:styleId="HeaderChar">
    <w:name w:val="Header Char"/>
    <w:basedOn w:val="DefaultParagraphFont"/>
    <w:link w:val="Header"/>
    <w:uiPriority w:val="99"/>
    <w:rsid w:val="008E4CFF"/>
  </w:style>
  <w:style w:type="paragraph" w:styleId="Footer">
    <w:name w:val="footer"/>
    <w:basedOn w:val="Normal"/>
    <w:link w:val="FooterChar"/>
    <w:uiPriority w:val="99"/>
    <w:unhideWhenUsed/>
    <w:rsid w:val="008E4CFF"/>
    <w:pPr>
      <w:tabs>
        <w:tab w:val="center" w:pos="4153"/>
        <w:tab w:val="right" w:pos="8306"/>
      </w:tabs>
      <w:spacing w:after="0" w:line="240" w:lineRule="auto"/>
    </w:pPr>
  </w:style>
  <w:style w:type="character" w:customStyle="1" w:styleId="FooterChar">
    <w:name w:val="Footer Char"/>
    <w:basedOn w:val="DefaultParagraphFont"/>
    <w:link w:val="Footer"/>
    <w:uiPriority w:val="99"/>
    <w:rsid w:val="008E4CFF"/>
  </w:style>
  <w:style w:type="table" w:customStyle="1" w:styleId="TableGrid1">
    <w:name w:val="Table Grid1"/>
    <w:basedOn w:val="TableNormal"/>
    <w:next w:val="TableGrid"/>
    <w:uiPriority w:val="59"/>
    <w:rsid w:val="006B3D8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B56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56F2"/>
    <w:rPr>
      <w:sz w:val="20"/>
      <w:szCs w:val="20"/>
    </w:rPr>
  </w:style>
  <w:style w:type="character" w:styleId="FootnoteReference">
    <w:name w:val="footnote reference"/>
    <w:basedOn w:val="DefaultParagraphFont"/>
    <w:uiPriority w:val="99"/>
    <w:semiHidden/>
    <w:unhideWhenUsed/>
    <w:rsid w:val="000B56F2"/>
    <w:rPr>
      <w:vertAlign w:val="superscript"/>
    </w:rPr>
  </w:style>
  <w:style w:type="paragraph" w:styleId="ListParagraph">
    <w:name w:val="List Paragraph"/>
    <w:basedOn w:val="Normal"/>
    <w:uiPriority w:val="34"/>
    <w:qFormat/>
    <w:rsid w:val="009615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chart" Target="charts/chart5.xml" /><Relationship Id="rId100" Type="http://schemas.openxmlformats.org/officeDocument/2006/relationships/chart" Target="charts/chart95.xml" /><Relationship Id="rId101" Type="http://schemas.openxmlformats.org/officeDocument/2006/relationships/chart" Target="charts/chart96.xml" /><Relationship Id="rId102" Type="http://schemas.openxmlformats.org/officeDocument/2006/relationships/chart" Target="charts/chart97.xml" /><Relationship Id="rId103" Type="http://schemas.openxmlformats.org/officeDocument/2006/relationships/chart" Target="charts/chart98.xml" /><Relationship Id="rId104" Type="http://schemas.openxmlformats.org/officeDocument/2006/relationships/chart" Target="charts/chart99.xml" /><Relationship Id="rId105" Type="http://schemas.openxmlformats.org/officeDocument/2006/relationships/chart" Target="charts/chart100.xml" /><Relationship Id="rId106" Type="http://schemas.openxmlformats.org/officeDocument/2006/relationships/chart" Target="charts/chart101.xml" /><Relationship Id="rId107" Type="http://schemas.openxmlformats.org/officeDocument/2006/relationships/chart" Target="charts/chart102.xml" /><Relationship Id="rId108" Type="http://schemas.openxmlformats.org/officeDocument/2006/relationships/chart" Target="charts/chart103.xml" /><Relationship Id="rId109" Type="http://schemas.openxmlformats.org/officeDocument/2006/relationships/chart" Target="charts/chart104.xml" /><Relationship Id="rId11" Type="http://schemas.openxmlformats.org/officeDocument/2006/relationships/chart" Target="charts/chart6.xml" /><Relationship Id="rId110" Type="http://schemas.openxmlformats.org/officeDocument/2006/relationships/chart" Target="charts/chart105.xml" /><Relationship Id="rId111" Type="http://schemas.openxmlformats.org/officeDocument/2006/relationships/chart" Target="charts/chart106.xml" /><Relationship Id="rId112" Type="http://schemas.openxmlformats.org/officeDocument/2006/relationships/chart" Target="charts/chart107.xml" /><Relationship Id="rId113" Type="http://schemas.openxmlformats.org/officeDocument/2006/relationships/chart" Target="charts/chart108.xml" /><Relationship Id="rId114" Type="http://schemas.openxmlformats.org/officeDocument/2006/relationships/chart" Target="charts/chart109.xml" /><Relationship Id="rId115" Type="http://schemas.openxmlformats.org/officeDocument/2006/relationships/chart" Target="charts/chart110.xml" /><Relationship Id="rId116" Type="http://schemas.openxmlformats.org/officeDocument/2006/relationships/chart" Target="charts/chart111.xml" /><Relationship Id="rId117" Type="http://schemas.openxmlformats.org/officeDocument/2006/relationships/chart" Target="charts/chart112.xml" /><Relationship Id="rId118" Type="http://schemas.openxmlformats.org/officeDocument/2006/relationships/chart" Target="charts/chart113.xml" /><Relationship Id="rId119" Type="http://schemas.openxmlformats.org/officeDocument/2006/relationships/chart" Target="charts/chart114.xml" /><Relationship Id="rId12" Type="http://schemas.openxmlformats.org/officeDocument/2006/relationships/chart" Target="charts/chart7.xml" /><Relationship Id="rId120" Type="http://schemas.openxmlformats.org/officeDocument/2006/relationships/chart" Target="charts/chart115.xml" /><Relationship Id="rId121" Type="http://schemas.openxmlformats.org/officeDocument/2006/relationships/chart" Target="charts/chart116.xml" /><Relationship Id="rId122" Type="http://schemas.openxmlformats.org/officeDocument/2006/relationships/chart" Target="charts/chart117.xml" /><Relationship Id="rId123" Type="http://schemas.openxmlformats.org/officeDocument/2006/relationships/chart" Target="charts/chart118.xml" /><Relationship Id="rId124" Type="http://schemas.openxmlformats.org/officeDocument/2006/relationships/chart" Target="charts/chart119.xml" /><Relationship Id="rId125" Type="http://schemas.openxmlformats.org/officeDocument/2006/relationships/chart" Target="charts/chart120.xml" /><Relationship Id="rId126" Type="http://schemas.openxmlformats.org/officeDocument/2006/relationships/chart" Target="charts/chart121.xml" /><Relationship Id="rId127" Type="http://schemas.openxmlformats.org/officeDocument/2006/relationships/chart" Target="charts/chart122.xml" /><Relationship Id="rId128" Type="http://schemas.openxmlformats.org/officeDocument/2006/relationships/chart" Target="charts/chart123.xml" /><Relationship Id="rId129" Type="http://schemas.openxmlformats.org/officeDocument/2006/relationships/chart" Target="charts/chart124.xml" /><Relationship Id="rId13" Type="http://schemas.openxmlformats.org/officeDocument/2006/relationships/chart" Target="charts/chart8.xml" /><Relationship Id="rId130" Type="http://schemas.openxmlformats.org/officeDocument/2006/relationships/chart" Target="charts/chart125.xml" /><Relationship Id="rId131" Type="http://schemas.openxmlformats.org/officeDocument/2006/relationships/chart" Target="charts/chart126.xml" /><Relationship Id="rId132" Type="http://schemas.openxmlformats.org/officeDocument/2006/relationships/chart" Target="charts/chart127.xml" /><Relationship Id="rId133" Type="http://schemas.openxmlformats.org/officeDocument/2006/relationships/chart" Target="charts/chart128.xml" /><Relationship Id="rId134" Type="http://schemas.openxmlformats.org/officeDocument/2006/relationships/chart" Target="charts/chart129.xml" /><Relationship Id="rId135" Type="http://schemas.openxmlformats.org/officeDocument/2006/relationships/chart" Target="charts/chart130.xml" /><Relationship Id="rId136" Type="http://schemas.openxmlformats.org/officeDocument/2006/relationships/chart" Target="charts/chart131.xml" /><Relationship Id="rId137" Type="http://schemas.openxmlformats.org/officeDocument/2006/relationships/chart" Target="charts/chart132.xml" /><Relationship Id="rId138" Type="http://schemas.openxmlformats.org/officeDocument/2006/relationships/chart" Target="charts/chart133.xml" /><Relationship Id="rId139" Type="http://schemas.openxmlformats.org/officeDocument/2006/relationships/chart" Target="charts/chart134.xml" /><Relationship Id="rId14" Type="http://schemas.openxmlformats.org/officeDocument/2006/relationships/chart" Target="charts/chart9.xml" /><Relationship Id="rId140" Type="http://schemas.openxmlformats.org/officeDocument/2006/relationships/chart" Target="charts/chart135.xml" /><Relationship Id="rId141" Type="http://schemas.openxmlformats.org/officeDocument/2006/relationships/chart" Target="charts/chart136.xml" /><Relationship Id="rId142" Type="http://schemas.openxmlformats.org/officeDocument/2006/relationships/chart" Target="charts/chart137.xml" /><Relationship Id="rId143" Type="http://schemas.openxmlformats.org/officeDocument/2006/relationships/chart" Target="charts/chart138.xml" /><Relationship Id="rId144" Type="http://schemas.openxmlformats.org/officeDocument/2006/relationships/chart" Target="charts/chart139.xml" /><Relationship Id="rId145" Type="http://schemas.openxmlformats.org/officeDocument/2006/relationships/chart" Target="charts/chart140.xml" /><Relationship Id="rId146" Type="http://schemas.openxmlformats.org/officeDocument/2006/relationships/chart" Target="charts/chart141.xml" /><Relationship Id="rId147" Type="http://schemas.openxmlformats.org/officeDocument/2006/relationships/chart" Target="charts/chart142.xml" /><Relationship Id="rId148" Type="http://schemas.openxmlformats.org/officeDocument/2006/relationships/chart" Target="charts/chart143.xml" /><Relationship Id="rId149" Type="http://schemas.openxmlformats.org/officeDocument/2006/relationships/chart" Target="charts/chart144.xml" /><Relationship Id="rId15" Type="http://schemas.openxmlformats.org/officeDocument/2006/relationships/chart" Target="charts/chart10.xml" /><Relationship Id="rId150" Type="http://schemas.openxmlformats.org/officeDocument/2006/relationships/chart" Target="charts/chart145.xml" /><Relationship Id="rId151" Type="http://schemas.openxmlformats.org/officeDocument/2006/relationships/chart" Target="charts/chart146.xml" /><Relationship Id="rId152" Type="http://schemas.openxmlformats.org/officeDocument/2006/relationships/chart" Target="charts/chart147.xml" /><Relationship Id="rId153" Type="http://schemas.openxmlformats.org/officeDocument/2006/relationships/chart" Target="charts/chart148.xml" /><Relationship Id="rId154" Type="http://schemas.openxmlformats.org/officeDocument/2006/relationships/chart" Target="charts/chart149.xml" /><Relationship Id="rId155" Type="http://schemas.openxmlformats.org/officeDocument/2006/relationships/chart" Target="charts/chart150.xml" /><Relationship Id="rId156" Type="http://schemas.openxmlformats.org/officeDocument/2006/relationships/chart" Target="charts/chart151.xml" /><Relationship Id="rId157" Type="http://schemas.openxmlformats.org/officeDocument/2006/relationships/chart" Target="charts/chart152.xml" /><Relationship Id="rId158" Type="http://schemas.openxmlformats.org/officeDocument/2006/relationships/chart" Target="charts/chart153.xml" /><Relationship Id="rId159" Type="http://schemas.openxmlformats.org/officeDocument/2006/relationships/chart" Target="charts/chart154.xml" /><Relationship Id="rId16" Type="http://schemas.openxmlformats.org/officeDocument/2006/relationships/chart" Target="charts/chart11.xml" /><Relationship Id="rId160" Type="http://schemas.openxmlformats.org/officeDocument/2006/relationships/chart" Target="charts/chart155.xml" /><Relationship Id="rId161" Type="http://schemas.openxmlformats.org/officeDocument/2006/relationships/chart" Target="charts/chart156.xml" /><Relationship Id="rId162" Type="http://schemas.openxmlformats.org/officeDocument/2006/relationships/chart" Target="charts/chart157.xml" /><Relationship Id="rId163" Type="http://schemas.openxmlformats.org/officeDocument/2006/relationships/chart" Target="charts/chart158.xml" /><Relationship Id="rId164" Type="http://schemas.openxmlformats.org/officeDocument/2006/relationships/chart" Target="charts/chart159.xml" /><Relationship Id="rId165" Type="http://schemas.openxmlformats.org/officeDocument/2006/relationships/chart" Target="charts/chart160.xml" /><Relationship Id="rId166" Type="http://schemas.openxmlformats.org/officeDocument/2006/relationships/chart" Target="charts/chart161.xml" /><Relationship Id="rId167" Type="http://schemas.openxmlformats.org/officeDocument/2006/relationships/chart" Target="charts/chart162.xml" /><Relationship Id="rId168" Type="http://schemas.openxmlformats.org/officeDocument/2006/relationships/chart" Target="charts/chart163.xml" /><Relationship Id="rId169" Type="http://schemas.openxmlformats.org/officeDocument/2006/relationships/chart" Target="charts/chart164.xml" /><Relationship Id="rId17" Type="http://schemas.openxmlformats.org/officeDocument/2006/relationships/chart" Target="charts/chart12.xml" /><Relationship Id="rId170" Type="http://schemas.openxmlformats.org/officeDocument/2006/relationships/chart" Target="charts/chart165.xml" /><Relationship Id="rId171" Type="http://schemas.openxmlformats.org/officeDocument/2006/relationships/chart" Target="charts/chart166.xml" /><Relationship Id="rId172" Type="http://schemas.openxmlformats.org/officeDocument/2006/relationships/chart" Target="charts/chart167.xml" /><Relationship Id="rId173" Type="http://schemas.openxmlformats.org/officeDocument/2006/relationships/chart" Target="charts/chart168.xml" /><Relationship Id="rId174" Type="http://schemas.openxmlformats.org/officeDocument/2006/relationships/chart" Target="charts/chart169.xml" /><Relationship Id="rId175" Type="http://schemas.openxmlformats.org/officeDocument/2006/relationships/chart" Target="charts/chart170.xml" /><Relationship Id="rId176" Type="http://schemas.openxmlformats.org/officeDocument/2006/relationships/chart" Target="charts/chart171.xml" /><Relationship Id="rId177" Type="http://schemas.openxmlformats.org/officeDocument/2006/relationships/chart" Target="charts/chart172.xml" /><Relationship Id="rId178" Type="http://schemas.openxmlformats.org/officeDocument/2006/relationships/chart" Target="charts/chart173.xml" /><Relationship Id="rId179" Type="http://schemas.openxmlformats.org/officeDocument/2006/relationships/chart" Target="charts/chart174.xml" /><Relationship Id="rId18" Type="http://schemas.openxmlformats.org/officeDocument/2006/relationships/chart" Target="charts/chart13.xml" /><Relationship Id="rId180" Type="http://schemas.openxmlformats.org/officeDocument/2006/relationships/chart" Target="charts/chart175.xml" /><Relationship Id="rId181" Type="http://schemas.openxmlformats.org/officeDocument/2006/relationships/chart" Target="charts/chart176.xml" /><Relationship Id="rId182" Type="http://schemas.openxmlformats.org/officeDocument/2006/relationships/chart" Target="charts/chart177.xml" /><Relationship Id="rId183" Type="http://schemas.openxmlformats.org/officeDocument/2006/relationships/chart" Target="charts/chart178.xml" /><Relationship Id="rId184" Type="http://schemas.openxmlformats.org/officeDocument/2006/relationships/chart" Target="charts/chart179.xml" /><Relationship Id="rId185" Type="http://schemas.openxmlformats.org/officeDocument/2006/relationships/chart" Target="charts/chart180.xml" /><Relationship Id="rId186" Type="http://schemas.openxmlformats.org/officeDocument/2006/relationships/chart" Target="charts/chart181.xml" /><Relationship Id="rId187" Type="http://schemas.openxmlformats.org/officeDocument/2006/relationships/chart" Target="charts/chart182.xml" /><Relationship Id="rId188" Type="http://schemas.openxmlformats.org/officeDocument/2006/relationships/chart" Target="charts/chart183.xml" /><Relationship Id="rId189" Type="http://schemas.openxmlformats.org/officeDocument/2006/relationships/chart" Target="charts/chart184.xml" /><Relationship Id="rId19" Type="http://schemas.openxmlformats.org/officeDocument/2006/relationships/chart" Target="charts/chart14.xml" /><Relationship Id="rId190" Type="http://schemas.openxmlformats.org/officeDocument/2006/relationships/chart" Target="charts/chart185.xml" /><Relationship Id="rId191" Type="http://schemas.openxmlformats.org/officeDocument/2006/relationships/chart" Target="charts/chart186.xml" /><Relationship Id="rId192" Type="http://schemas.openxmlformats.org/officeDocument/2006/relationships/chart" Target="charts/chart187.xml" /><Relationship Id="rId193" Type="http://schemas.openxmlformats.org/officeDocument/2006/relationships/chart" Target="charts/chart188.xml" /><Relationship Id="rId194" Type="http://schemas.openxmlformats.org/officeDocument/2006/relationships/chart" Target="charts/chart189.xml" /><Relationship Id="rId195" Type="http://schemas.openxmlformats.org/officeDocument/2006/relationships/chart" Target="charts/chart190.xml" /><Relationship Id="rId196" Type="http://schemas.openxmlformats.org/officeDocument/2006/relationships/chart" Target="charts/chart191.xml" /><Relationship Id="rId197" Type="http://schemas.openxmlformats.org/officeDocument/2006/relationships/chart" Target="charts/chart192.xml" /><Relationship Id="rId198" Type="http://schemas.openxmlformats.org/officeDocument/2006/relationships/chart" Target="charts/chart193.xml" /><Relationship Id="rId199" Type="http://schemas.openxmlformats.org/officeDocument/2006/relationships/chart" Target="charts/chart194.xml" /><Relationship Id="rId2" Type="http://schemas.openxmlformats.org/officeDocument/2006/relationships/settings" Target="settings.xml" /><Relationship Id="rId20" Type="http://schemas.openxmlformats.org/officeDocument/2006/relationships/chart" Target="charts/chart15.xml" /><Relationship Id="rId200" Type="http://schemas.openxmlformats.org/officeDocument/2006/relationships/chart" Target="charts/chart195.xml" /><Relationship Id="rId201" Type="http://schemas.openxmlformats.org/officeDocument/2006/relationships/chart" Target="charts/chart196.xml" /><Relationship Id="rId202" Type="http://schemas.openxmlformats.org/officeDocument/2006/relationships/chart" Target="charts/chart197.xml" /><Relationship Id="rId203" Type="http://schemas.openxmlformats.org/officeDocument/2006/relationships/chart" Target="charts/chart198.xml" /><Relationship Id="rId204" Type="http://schemas.openxmlformats.org/officeDocument/2006/relationships/chart" Target="charts/chart199.xml" /><Relationship Id="rId205" Type="http://schemas.openxmlformats.org/officeDocument/2006/relationships/chart" Target="charts/chart200.xml" /><Relationship Id="rId206" Type="http://schemas.openxmlformats.org/officeDocument/2006/relationships/chart" Target="charts/chart201.xml" /><Relationship Id="rId207" Type="http://schemas.openxmlformats.org/officeDocument/2006/relationships/chart" Target="charts/chart202.xml" /><Relationship Id="rId208" Type="http://schemas.openxmlformats.org/officeDocument/2006/relationships/chart" Target="charts/chart203.xml" /><Relationship Id="rId209" Type="http://schemas.openxmlformats.org/officeDocument/2006/relationships/chart" Target="charts/chart204.xml" /><Relationship Id="rId21" Type="http://schemas.openxmlformats.org/officeDocument/2006/relationships/chart" Target="charts/chart16.xml" /><Relationship Id="rId210" Type="http://schemas.openxmlformats.org/officeDocument/2006/relationships/chart" Target="charts/chart205.xml" /><Relationship Id="rId211" Type="http://schemas.openxmlformats.org/officeDocument/2006/relationships/chart" Target="charts/chart206.xml" /><Relationship Id="rId212" Type="http://schemas.openxmlformats.org/officeDocument/2006/relationships/chart" Target="charts/chart207.xml" /><Relationship Id="rId213" Type="http://schemas.openxmlformats.org/officeDocument/2006/relationships/chart" Target="charts/chart208.xml" /><Relationship Id="rId214" Type="http://schemas.openxmlformats.org/officeDocument/2006/relationships/chart" Target="charts/chart209.xml" /><Relationship Id="rId215" Type="http://schemas.openxmlformats.org/officeDocument/2006/relationships/chart" Target="charts/chart210.xml" /><Relationship Id="rId216" Type="http://schemas.openxmlformats.org/officeDocument/2006/relationships/chart" Target="charts/chart211.xml" /><Relationship Id="rId217" Type="http://schemas.openxmlformats.org/officeDocument/2006/relationships/chart" Target="charts/chart212.xml" /><Relationship Id="rId218" Type="http://schemas.openxmlformats.org/officeDocument/2006/relationships/chart" Target="charts/chart213.xml" /><Relationship Id="rId219" Type="http://schemas.openxmlformats.org/officeDocument/2006/relationships/chart" Target="charts/chart214.xml" /><Relationship Id="rId22" Type="http://schemas.openxmlformats.org/officeDocument/2006/relationships/chart" Target="charts/chart17.xml" /><Relationship Id="rId220" Type="http://schemas.openxmlformats.org/officeDocument/2006/relationships/chart" Target="charts/chart215.xml" /><Relationship Id="rId221" Type="http://schemas.openxmlformats.org/officeDocument/2006/relationships/chart" Target="charts/chart216.xml" /><Relationship Id="rId222" Type="http://schemas.openxmlformats.org/officeDocument/2006/relationships/chart" Target="charts/chart217.xml" /><Relationship Id="rId223" Type="http://schemas.openxmlformats.org/officeDocument/2006/relationships/chart" Target="charts/chart218.xml" /><Relationship Id="rId224" Type="http://schemas.openxmlformats.org/officeDocument/2006/relationships/chart" Target="charts/chart219.xml" /><Relationship Id="rId225" Type="http://schemas.openxmlformats.org/officeDocument/2006/relationships/chart" Target="charts/chart220.xml" /><Relationship Id="rId226" Type="http://schemas.openxmlformats.org/officeDocument/2006/relationships/chart" Target="charts/chart221.xml" /><Relationship Id="rId227" Type="http://schemas.openxmlformats.org/officeDocument/2006/relationships/chart" Target="charts/chart222.xml" /><Relationship Id="rId228" Type="http://schemas.openxmlformats.org/officeDocument/2006/relationships/chart" Target="charts/chart223.xml" /><Relationship Id="rId229" Type="http://schemas.openxmlformats.org/officeDocument/2006/relationships/chart" Target="charts/chart224.xml" /><Relationship Id="rId23" Type="http://schemas.openxmlformats.org/officeDocument/2006/relationships/chart" Target="charts/chart18.xml" /><Relationship Id="rId230" Type="http://schemas.openxmlformats.org/officeDocument/2006/relationships/chart" Target="charts/chart225.xml" /><Relationship Id="rId231" Type="http://schemas.openxmlformats.org/officeDocument/2006/relationships/chart" Target="charts/chart226.xml" /><Relationship Id="rId232" Type="http://schemas.openxmlformats.org/officeDocument/2006/relationships/chart" Target="charts/chart227.xml" /><Relationship Id="rId233" Type="http://schemas.openxmlformats.org/officeDocument/2006/relationships/chart" Target="charts/chart228.xml" /><Relationship Id="rId234" Type="http://schemas.openxmlformats.org/officeDocument/2006/relationships/chart" Target="charts/chart229.xml" /><Relationship Id="rId235" Type="http://schemas.openxmlformats.org/officeDocument/2006/relationships/chart" Target="charts/chart230.xml" /><Relationship Id="rId236" Type="http://schemas.openxmlformats.org/officeDocument/2006/relationships/chart" Target="charts/chart231.xml" /><Relationship Id="rId237" Type="http://schemas.openxmlformats.org/officeDocument/2006/relationships/chart" Target="charts/chart232.xml" /><Relationship Id="rId238" Type="http://schemas.openxmlformats.org/officeDocument/2006/relationships/chart" Target="charts/chart233.xml" /><Relationship Id="rId239" Type="http://schemas.openxmlformats.org/officeDocument/2006/relationships/chart" Target="charts/chart234.xml" /><Relationship Id="rId24" Type="http://schemas.openxmlformats.org/officeDocument/2006/relationships/chart" Target="charts/chart19.xml" /><Relationship Id="rId240" Type="http://schemas.openxmlformats.org/officeDocument/2006/relationships/chart" Target="charts/chart235.xml" /><Relationship Id="rId241" Type="http://schemas.openxmlformats.org/officeDocument/2006/relationships/chart" Target="charts/chart236.xml" /><Relationship Id="rId242" Type="http://schemas.openxmlformats.org/officeDocument/2006/relationships/chart" Target="charts/chart237.xml" /><Relationship Id="rId243" Type="http://schemas.openxmlformats.org/officeDocument/2006/relationships/chart" Target="charts/chart238.xml" /><Relationship Id="rId244" Type="http://schemas.openxmlformats.org/officeDocument/2006/relationships/chart" Target="charts/chart239.xml" /><Relationship Id="rId245" Type="http://schemas.openxmlformats.org/officeDocument/2006/relationships/chart" Target="charts/chart240.xml" /><Relationship Id="rId246" Type="http://schemas.openxmlformats.org/officeDocument/2006/relationships/chart" Target="charts/chart241.xml" /><Relationship Id="rId247" Type="http://schemas.openxmlformats.org/officeDocument/2006/relationships/chart" Target="charts/chart242.xml" /><Relationship Id="rId248" Type="http://schemas.openxmlformats.org/officeDocument/2006/relationships/chart" Target="charts/chart243.xml" /><Relationship Id="rId249" Type="http://schemas.openxmlformats.org/officeDocument/2006/relationships/chart" Target="charts/chart244.xml" /><Relationship Id="rId25" Type="http://schemas.openxmlformats.org/officeDocument/2006/relationships/chart" Target="charts/chart20.xml" /><Relationship Id="rId250" Type="http://schemas.openxmlformats.org/officeDocument/2006/relationships/chart" Target="charts/chart245.xml" /><Relationship Id="rId251" Type="http://schemas.openxmlformats.org/officeDocument/2006/relationships/chart" Target="charts/chart246.xml" /><Relationship Id="rId252" Type="http://schemas.openxmlformats.org/officeDocument/2006/relationships/chart" Target="charts/chart247.xml" /><Relationship Id="rId253" Type="http://schemas.openxmlformats.org/officeDocument/2006/relationships/chart" Target="charts/chart248.xml" /><Relationship Id="rId254" Type="http://schemas.openxmlformats.org/officeDocument/2006/relationships/chart" Target="charts/chart249.xml" /><Relationship Id="rId255" Type="http://schemas.openxmlformats.org/officeDocument/2006/relationships/chart" Target="charts/chart250.xml" /><Relationship Id="rId256" Type="http://schemas.openxmlformats.org/officeDocument/2006/relationships/chart" Target="charts/chart251.xml" /><Relationship Id="rId257" Type="http://schemas.openxmlformats.org/officeDocument/2006/relationships/chart" Target="charts/chart252.xml" /><Relationship Id="rId258" Type="http://schemas.openxmlformats.org/officeDocument/2006/relationships/chart" Target="charts/chart253.xml" /><Relationship Id="rId259" Type="http://schemas.openxmlformats.org/officeDocument/2006/relationships/chart" Target="charts/chart254.xml" /><Relationship Id="rId26" Type="http://schemas.openxmlformats.org/officeDocument/2006/relationships/chart" Target="charts/chart21.xml" /><Relationship Id="rId260" Type="http://schemas.openxmlformats.org/officeDocument/2006/relationships/chart" Target="charts/chart255.xml" /><Relationship Id="rId261" Type="http://schemas.openxmlformats.org/officeDocument/2006/relationships/chart" Target="charts/chart256.xml" /><Relationship Id="rId262" Type="http://schemas.openxmlformats.org/officeDocument/2006/relationships/chart" Target="charts/chart257.xml" /><Relationship Id="rId263" Type="http://schemas.openxmlformats.org/officeDocument/2006/relationships/chart" Target="charts/chart258.xml" /><Relationship Id="rId264" Type="http://schemas.openxmlformats.org/officeDocument/2006/relationships/chart" Target="charts/chart259.xml" /><Relationship Id="rId265" Type="http://schemas.openxmlformats.org/officeDocument/2006/relationships/chart" Target="charts/chart260.xml" /><Relationship Id="rId266" Type="http://schemas.openxmlformats.org/officeDocument/2006/relationships/chart" Target="charts/chart261.xml" /><Relationship Id="rId267" Type="http://schemas.openxmlformats.org/officeDocument/2006/relationships/chart" Target="charts/chart262.xml" /><Relationship Id="rId268" Type="http://schemas.openxmlformats.org/officeDocument/2006/relationships/chart" Target="charts/chart263.xml" /><Relationship Id="rId269" Type="http://schemas.openxmlformats.org/officeDocument/2006/relationships/chart" Target="charts/chart264.xml" /><Relationship Id="rId27" Type="http://schemas.openxmlformats.org/officeDocument/2006/relationships/chart" Target="charts/chart22.xml" /><Relationship Id="rId270" Type="http://schemas.openxmlformats.org/officeDocument/2006/relationships/chart" Target="charts/chart265.xml" /><Relationship Id="rId271" Type="http://schemas.openxmlformats.org/officeDocument/2006/relationships/chart" Target="charts/chart266.xml" /><Relationship Id="rId272" Type="http://schemas.openxmlformats.org/officeDocument/2006/relationships/chart" Target="charts/chart267.xml" /><Relationship Id="rId273" Type="http://schemas.openxmlformats.org/officeDocument/2006/relationships/chart" Target="charts/chart268.xml" /><Relationship Id="rId274" Type="http://schemas.openxmlformats.org/officeDocument/2006/relationships/chart" Target="charts/chart269.xml" /><Relationship Id="rId275" Type="http://schemas.openxmlformats.org/officeDocument/2006/relationships/chart" Target="charts/chart270.xml" /><Relationship Id="rId276" Type="http://schemas.openxmlformats.org/officeDocument/2006/relationships/chart" Target="charts/chart271.xml" /><Relationship Id="rId277" Type="http://schemas.openxmlformats.org/officeDocument/2006/relationships/chart" Target="charts/chart272.xml" /><Relationship Id="rId278" Type="http://schemas.openxmlformats.org/officeDocument/2006/relationships/chart" Target="charts/chart273.xml" /><Relationship Id="rId279" Type="http://schemas.openxmlformats.org/officeDocument/2006/relationships/chart" Target="charts/chart274.xml" /><Relationship Id="rId28" Type="http://schemas.openxmlformats.org/officeDocument/2006/relationships/chart" Target="charts/chart23.xml" /><Relationship Id="rId280" Type="http://schemas.openxmlformats.org/officeDocument/2006/relationships/chart" Target="charts/chart275.xml" /><Relationship Id="rId281" Type="http://schemas.openxmlformats.org/officeDocument/2006/relationships/chart" Target="charts/chart276.xml" /><Relationship Id="rId282" Type="http://schemas.openxmlformats.org/officeDocument/2006/relationships/chart" Target="charts/chart277.xml" /><Relationship Id="rId283" Type="http://schemas.openxmlformats.org/officeDocument/2006/relationships/chart" Target="charts/chart278.xml" /><Relationship Id="rId284" Type="http://schemas.openxmlformats.org/officeDocument/2006/relationships/chart" Target="charts/chart279.xml" /><Relationship Id="rId285" Type="http://schemas.openxmlformats.org/officeDocument/2006/relationships/chart" Target="charts/chart280.xml" /><Relationship Id="rId286" Type="http://schemas.openxmlformats.org/officeDocument/2006/relationships/chart" Target="charts/chart281.xml" /><Relationship Id="rId287" Type="http://schemas.openxmlformats.org/officeDocument/2006/relationships/chart" Target="charts/chart282.xml" /><Relationship Id="rId288" Type="http://schemas.openxmlformats.org/officeDocument/2006/relationships/chart" Target="charts/chart283.xml" /><Relationship Id="rId289" Type="http://schemas.openxmlformats.org/officeDocument/2006/relationships/chart" Target="charts/chart284.xml" /><Relationship Id="rId29" Type="http://schemas.openxmlformats.org/officeDocument/2006/relationships/chart" Target="charts/chart24.xml" /><Relationship Id="rId290" Type="http://schemas.openxmlformats.org/officeDocument/2006/relationships/chart" Target="charts/chart285.xml" /><Relationship Id="rId291" Type="http://schemas.openxmlformats.org/officeDocument/2006/relationships/chart" Target="charts/chart286.xml" /><Relationship Id="rId292" Type="http://schemas.openxmlformats.org/officeDocument/2006/relationships/chart" Target="charts/chart287.xml" /><Relationship Id="rId293" Type="http://schemas.openxmlformats.org/officeDocument/2006/relationships/chart" Target="charts/chart288.xml" /><Relationship Id="rId294" Type="http://schemas.openxmlformats.org/officeDocument/2006/relationships/chart" Target="charts/chart289.xml" /><Relationship Id="rId295" Type="http://schemas.openxmlformats.org/officeDocument/2006/relationships/chart" Target="charts/chart290.xml" /><Relationship Id="rId296" Type="http://schemas.openxmlformats.org/officeDocument/2006/relationships/chart" Target="charts/chart291.xml" /><Relationship Id="rId297" Type="http://schemas.openxmlformats.org/officeDocument/2006/relationships/chart" Target="charts/chart292.xml" /><Relationship Id="rId298" Type="http://schemas.openxmlformats.org/officeDocument/2006/relationships/chart" Target="charts/chart293.xml" /><Relationship Id="rId299" Type="http://schemas.openxmlformats.org/officeDocument/2006/relationships/chart" Target="charts/chart294.xml" /><Relationship Id="rId3" Type="http://schemas.openxmlformats.org/officeDocument/2006/relationships/webSettings" Target="webSettings.xml" /><Relationship Id="rId30" Type="http://schemas.openxmlformats.org/officeDocument/2006/relationships/chart" Target="charts/chart25.xml" /><Relationship Id="rId300" Type="http://schemas.openxmlformats.org/officeDocument/2006/relationships/chart" Target="charts/chart295.xml" /><Relationship Id="rId301" Type="http://schemas.openxmlformats.org/officeDocument/2006/relationships/chart" Target="charts/chart296.xml" /><Relationship Id="rId302" Type="http://schemas.openxmlformats.org/officeDocument/2006/relationships/chart" Target="charts/chart297.xml" /><Relationship Id="rId303" Type="http://schemas.openxmlformats.org/officeDocument/2006/relationships/chart" Target="charts/chart298.xml" /><Relationship Id="rId304" Type="http://schemas.openxmlformats.org/officeDocument/2006/relationships/chart" Target="charts/chart299.xml" /><Relationship Id="rId305" Type="http://schemas.openxmlformats.org/officeDocument/2006/relationships/chart" Target="charts/chart300.xml" /><Relationship Id="rId306" Type="http://schemas.openxmlformats.org/officeDocument/2006/relationships/chart" Target="charts/chart301.xml" /><Relationship Id="rId307" Type="http://schemas.openxmlformats.org/officeDocument/2006/relationships/chart" Target="charts/chart302.xml" /><Relationship Id="rId308" Type="http://schemas.openxmlformats.org/officeDocument/2006/relationships/chart" Target="charts/chart303.xml" /><Relationship Id="rId309" Type="http://schemas.openxmlformats.org/officeDocument/2006/relationships/chart" Target="charts/chart304.xml" /><Relationship Id="rId31" Type="http://schemas.openxmlformats.org/officeDocument/2006/relationships/chart" Target="charts/chart26.xml" /><Relationship Id="rId310" Type="http://schemas.openxmlformats.org/officeDocument/2006/relationships/chart" Target="charts/chart305.xml" /><Relationship Id="rId311" Type="http://schemas.openxmlformats.org/officeDocument/2006/relationships/chart" Target="charts/chart306.xml" /><Relationship Id="rId312" Type="http://schemas.openxmlformats.org/officeDocument/2006/relationships/chart" Target="charts/chart307.xml" /><Relationship Id="rId313" Type="http://schemas.openxmlformats.org/officeDocument/2006/relationships/chart" Target="charts/chart308.xml" /><Relationship Id="rId314" Type="http://schemas.openxmlformats.org/officeDocument/2006/relationships/chart" Target="charts/chart309.xml" /><Relationship Id="rId315" Type="http://schemas.openxmlformats.org/officeDocument/2006/relationships/chart" Target="charts/chart310.xml" /><Relationship Id="rId316" Type="http://schemas.openxmlformats.org/officeDocument/2006/relationships/chart" Target="charts/chart311.xml" /><Relationship Id="rId317" Type="http://schemas.openxmlformats.org/officeDocument/2006/relationships/chart" Target="charts/chart312.xml" /><Relationship Id="rId318" Type="http://schemas.openxmlformats.org/officeDocument/2006/relationships/chart" Target="charts/chart313.xml" /><Relationship Id="rId319" Type="http://schemas.openxmlformats.org/officeDocument/2006/relationships/chart" Target="charts/chart314.xml" /><Relationship Id="rId32" Type="http://schemas.openxmlformats.org/officeDocument/2006/relationships/chart" Target="charts/chart27.xml" /><Relationship Id="rId320" Type="http://schemas.openxmlformats.org/officeDocument/2006/relationships/chart" Target="charts/chart315.xml" /><Relationship Id="rId321" Type="http://schemas.openxmlformats.org/officeDocument/2006/relationships/chart" Target="charts/chart316.xml" /><Relationship Id="rId322" Type="http://schemas.openxmlformats.org/officeDocument/2006/relationships/chart" Target="charts/chart317.xml" /><Relationship Id="rId323" Type="http://schemas.openxmlformats.org/officeDocument/2006/relationships/chart" Target="charts/chart318.xml" /><Relationship Id="rId324" Type="http://schemas.openxmlformats.org/officeDocument/2006/relationships/chart" Target="charts/chart319.xml" /><Relationship Id="rId325" Type="http://schemas.openxmlformats.org/officeDocument/2006/relationships/chart" Target="charts/chart320.xml" /><Relationship Id="rId326" Type="http://schemas.openxmlformats.org/officeDocument/2006/relationships/chart" Target="charts/chart321.xml" /><Relationship Id="rId327" Type="http://schemas.openxmlformats.org/officeDocument/2006/relationships/chart" Target="charts/chart322.xml" /><Relationship Id="rId328" Type="http://schemas.openxmlformats.org/officeDocument/2006/relationships/chart" Target="charts/chart323.xml" /><Relationship Id="rId329" Type="http://schemas.openxmlformats.org/officeDocument/2006/relationships/chart" Target="charts/chart324.xml" /><Relationship Id="rId33" Type="http://schemas.openxmlformats.org/officeDocument/2006/relationships/chart" Target="charts/chart28.xml" /><Relationship Id="rId330" Type="http://schemas.openxmlformats.org/officeDocument/2006/relationships/chart" Target="charts/chart325.xml" /><Relationship Id="rId331" Type="http://schemas.openxmlformats.org/officeDocument/2006/relationships/chart" Target="charts/chart326.xml" /><Relationship Id="rId332" Type="http://schemas.openxmlformats.org/officeDocument/2006/relationships/chart" Target="charts/chart327.xml" /><Relationship Id="rId333" Type="http://schemas.openxmlformats.org/officeDocument/2006/relationships/chart" Target="charts/chart328.xml" /><Relationship Id="rId334" Type="http://schemas.openxmlformats.org/officeDocument/2006/relationships/chart" Target="charts/chart329.xml" /><Relationship Id="rId335" Type="http://schemas.openxmlformats.org/officeDocument/2006/relationships/chart" Target="charts/chart330.xml" /><Relationship Id="rId336" Type="http://schemas.openxmlformats.org/officeDocument/2006/relationships/chart" Target="charts/chart331.xml" /><Relationship Id="rId337" Type="http://schemas.openxmlformats.org/officeDocument/2006/relationships/chart" Target="charts/chart332.xml" /><Relationship Id="rId338" Type="http://schemas.openxmlformats.org/officeDocument/2006/relationships/chart" Target="charts/chart333.xml" /><Relationship Id="rId339" Type="http://schemas.openxmlformats.org/officeDocument/2006/relationships/chart" Target="charts/chart334.xml" /><Relationship Id="rId34" Type="http://schemas.openxmlformats.org/officeDocument/2006/relationships/chart" Target="charts/chart29.xml" /><Relationship Id="rId340" Type="http://schemas.openxmlformats.org/officeDocument/2006/relationships/chart" Target="charts/chart335.xml" /><Relationship Id="rId341" Type="http://schemas.openxmlformats.org/officeDocument/2006/relationships/chart" Target="charts/chart336.xml" /><Relationship Id="rId342" Type="http://schemas.openxmlformats.org/officeDocument/2006/relationships/chart" Target="charts/chart337.xml" /><Relationship Id="rId343" Type="http://schemas.openxmlformats.org/officeDocument/2006/relationships/chart" Target="charts/chart338.xml" /><Relationship Id="rId344" Type="http://schemas.openxmlformats.org/officeDocument/2006/relationships/chart" Target="charts/chart339.xml" /><Relationship Id="rId345" Type="http://schemas.openxmlformats.org/officeDocument/2006/relationships/chart" Target="charts/chart340.xml" /><Relationship Id="rId346" Type="http://schemas.openxmlformats.org/officeDocument/2006/relationships/chart" Target="charts/chart341.xml" /><Relationship Id="rId347" Type="http://schemas.openxmlformats.org/officeDocument/2006/relationships/chart" Target="charts/chart342.xml" /><Relationship Id="rId348" Type="http://schemas.openxmlformats.org/officeDocument/2006/relationships/chart" Target="charts/chart343.xml" /><Relationship Id="rId349" Type="http://schemas.openxmlformats.org/officeDocument/2006/relationships/chart" Target="charts/chart344.xml" /><Relationship Id="rId35" Type="http://schemas.openxmlformats.org/officeDocument/2006/relationships/chart" Target="charts/chart30.xml" /><Relationship Id="rId350" Type="http://schemas.openxmlformats.org/officeDocument/2006/relationships/chart" Target="charts/chart345.xml" /><Relationship Id="rId351" Type="http://schemas.openxmlformats.org/officeDocument/2006/relationships/chart" Target="charts/chart346.xml" /><Relationship Id="rId352" Type="http://schemas.openxmlformats.org/officeDocument/2006/relationships/chart" Target="charts/chart347.xml" /><Relationship Id="rId353" Type="http://schemas.openxmlformats.org/officeDocument/2006/relationships/chart" Target="charts/chart348.xml" /><Relationship Id="rId354" Type="http://schemas.openxmlformats.org/officeDocument/2006/relationships/chart" Target="charts/chart349.xml" /><Relationship Id="rId355" Type="http://schemas.openxmlformats.org/officeDocument/2006/relationships/chart" Target="charts/chart350.xml" /><Relationship Id="rId356" Type="http://schemas.openxmlformats.org/officeDocument/2006/relationships/chart" Target="charts/chart351.xml" /><Relationship Id="rId357" Type="http://schemas.openxmlformats.org/officeDocument/2006/relationships/chart" Target="charts/chart352.xml" /><Relationship Id="rId358" Type="http://schemas.openxmlformats.org/officeDocument/2006/relationships/chart" Target="charts/chart353.xml" /><Relationship Id="rId359" Type="http://schemas.openxmlformats.org/officeDocument/2006/relationships/chart" Target="charts/chart354.xml" /><Relationship Id="rId36" Type="http://schemas.openxmlformats.org/officeDocument/2006/relationships/chart" Target="charts/chart31.xml" /><Relationship Id="rId360" Type="http://schemas.openxmlformats.org/officeDocument/2006/relationships/chart" Target="charts/chart355.xml" /><Relationship Id="rId361" Type="http://schemas.openxmlformats.org/officeDocument/2006/relationships/chart" Target="charts/chart356.xml" /><Relationship Id="rId362" Type="http://schemas.openxmlformats.org/officeDocument/2006/relationships/chart" Target="charts/chart357.xml" /><Relationship Id="rId363" Type="http://schemas.openxmlformats.org/officeDocument/2006/relationships/chart" Target="charts/chart358.xml" /><Relationship Id="rId364" Type="http://schemas.openxmlformats.org/officeDocument/2006/relationships/chart" Target="charts/chart359.xml" /><Relationship Id="rId365" Type="http://schemas.openxmlformats.org/officeDocument/2006/relationships/chart" Target="charts/chart360.xml" /><Relationship Id="rId366" Type="http://schemas.openxmlformats.org/officeDocument/2006/relationships/chart" Target="charts/chart361.xml" /><Relationship Id="rId367" Type="http://schemas.openxmlformats.org/officeDocument/2006/relationships/chart" Target="charts/chart362.xml" /><Relationship Id="rId368" Type="http://schemas.openxmlformats.org/officeDocument/2006/relationships/chart" Target="charts/chart363.xml" /><Relationship Id="rId369" Type="http://schemas.openxmlformats.org/officeDocument/2006/relationships/chart" Target="charts/chart364.xml" /><Relationship Id="rId37" Type="http://schemas.openxmlformats.org/officeDocument/2006/relationships/chart" Target="charts/chart32.xml" /><Relationship Id="rId370" Type="http://schemas.openxmlformats.org/officeDocument/2006/relationships/chart" Target="charts/chart365.xml" /><Relationship Id="rId371" Type="http://schemas.openxmlformats.org/officeDocument/2006/relationships/chart" Target="charts/chart366.xml" /><Relationship Id="rId372" Type="http://schemas.openxmlformats.org/officeDocument/2006/relationships/chart" Target="charts/chart367.xml" /><Relationship Id="rId373" Type="http://schemas.openxmlformats.org/officeDocument/2006/relationships/chart" Target="charts/chart368.xml" /><Relationship Id="rId374" Type="http://schemas.openxmlformats.org/officeDocument/2006/relationships/chart" Target="charts/chart369.xml" /><Relationship Id="rId375" Type="http://schemas.openxmlformats.org/officeDocument/2006/relationships/chart" Target="charts/chart370.xml" /><Relationship Id="rId376" Type="http://schemas.openxmlformats.org/officeDocument/2006/relationships/chart" Target="charts/chart371.xml" /><Relationship Id="rId377" Type="http://schemas.openxmlformats.org/officeDocument/2006/relationships/chart" Target="charts/chart372.xml" /><Relationship Id="rId378" Type="http://schemas.openxmlformats.org/officeDocument/2006/relationships/chart" Target="charts/chart373.xml" /><Relationship Id="rId379" Type="http://schemas.openxmlformats.org/officeDocument/2006/relationships/chart" Target="charts/chart374.xml" /><Relationship Id="rId38" Type="http://schemas.openxmlformats.org/officeDocument/2006/relationships/chart" Target="charts/chart33.xml" /><Relationship Id="rId380" Type="http://schemas.openxmlformats.org/officeDocument/2006/relationships/chart" Target="charts/chart375.xml" /><Relationship Id="rId381" Type="http://schemas.openxmlformats.org/officeDocument/2006/relationships/chart" Target="charts/chart376.xml" /><Relationship Id="rId382" Type="http://schemas.openxmlformats.org/officeDocument/2006/relationships/chart" Target="charts/chart377.xml" /><Relationship Id="rId383" Type="http://schemas.openxmlformats.org/officeDocument/2006/relationships/chart" Target="charts/chart378.xml" /><Relationship Id="rId384" Type="http://schemas.openxmlformats.org/officeDocument/2006/relationships/chart" Target="charts/chart379.xml" /><Relationship Id="rId385" Type="http://schemas.openxmlformats.org/officeDocument/2006/relationships/chart" Target="charts/chart380.xml" /><Relationship Id="rId386" Type="http://schemas.openxmlformats.org/officeDocument/2006/relationships/chart" Target="charts/chart381.xml" /><Relationship Id="rId387" Type="http://schemas.openxmlformats.org/officeDocument/2006/relationships/chart" Target="charts/chart382.xml" /><Relationship Id="rId388" Type="http://schemas.openxmlformats.org/officeDocument/2006/relationships/chart" Target="charts/chart383.xml" /><Relationship Id="rId389" Type="http://schemas.openxmlformats.org/officeDocument/2006/relationships/chart" Target="charts/chart384.xml" /><Relationship Id="rId39" Type="http://schemas.openxmlformats.org/officeDocument/2006/relationships/chart" Target="charts/chart34.xml" /><Relationship Id="rId390" Type="http://schemas.openxmlformats.org/officeDocument/2006/relationships/chart" Target="charts/chart385.xml" /><Relationship Id="rId391" Type="http://schemas.openxmlformats.org/officeDocument/2006/relationships/chart" Target="charts/chart386.xml" /><Relationship Id="rId392" Type="http://schemas.openxmlformats.org/officeDocument/2006/relationships/chart" Target="charts/chart387.xml" /><Relationship Id="rId393" Type="http://schemas.openxmlformats.org/officeDocument/2006/relationships/chart" Target="charts/chart388.xml" /><Relationship Id="rId394" Type="http://schemas.openxmlformats.org/officeDocument/2006/relationships/chart" Target="charts/chart389.xml" /><Relationship Id="rId395" Type="http://schemas.openxmlformats.org/officeDocument/2006/relationships/chart" Target="charts/chart390.xml" /><Relationship Id="rId396" Type="http://schemas.openxmlformats.org/officeDocument/2006/relationships/chart" Target="charts/chart391.xml" /><Relationship Id="rId397" Type="http://schemas.openxmlformats.org/officeDocument/2006/relationships/chart" Target="charts/chart392.xml" /><Relationship Id="rId398" Type="http://schemas.openxmlformats.org/officeDocument/2006/relationships/chart" Target="charts/chart393.xml" /><Relationship Id="rId399" Type="http://schemas.openxmlformats.org/officeDocument/2006/relationships/chart" Target="charts/chart394.xml" /><Relationship Id="rId4" Type="http://schemas.openxmlformats.org/officeDocument/2006/relationships/fontTable" Target="fontTable.xml" /><Relationship Id="rId40" Type="http://schemas.openxmlformats.org/officeDocument/2006/relationships/chart" Target="charts/chart35.xml" /><Relationship Id="rId400" Type="http://schemas.openxmlformats.org/officeDocument/2006/relationships/chart" Target="charts/chart395.xml" /><Relationship Id="rId401" Type="http://schemas.openxmlformats.org/officeDocument/2006/relationships/chart" Target="charts/chart396.xml" /><Relationship Id="rId402" Type="http://schemas.openxmlformats.org/officeDocument/2006/relationships/chart" Target="charts/chart397.xml" /><Relationship Id="rId403" Type="http://schemas.openxmlformats.org/officeDocument/2006/relationships/chart" Target="charts/chart398.xml" /><Relationship Id="rId404" Type="http://schemas.openxmlformats.org/officeDocument/2006/relationships/chart" Target="charts/chart399.xml" /><Relationship Id="rId405" Type="http://schemas.openxmlformats.org/officeDocument/2006/relationships/chart" Target="charts/chart400.xml" /><Relationship Id="rId406" Type="http://schemas.openxmlformats.org/officeDocument/2006/relationships/chart" Target="charts/chart401.xml" /><Relationship Id="rId407" Type="http://schemas.openxmlformats.org/officeDocument/2006/relationships/chart" Target="charts/chart402.xml" /><Relationship Id="rId408" Type="http://schemas.openxmlformats.org/officeDocument/2006/relationships/chart" Target="charts/chart403.xml" /><Relationship Id="rId409" Type="http://schemas.openxmlformats.org/officeDocument/2006/relationships/chart" Target="charts/chart404.xml" /><Relationship Id="rId41" Type="http://schemas.openxmlformats.org/officeDocument/2006/relationships/chart" Target="charts/chart36.xml" /><Relationship Id="rId410" Type="http://schemas.openxmlformats.org/officeDocument/2006/relationships/chart" Target="charts/chart405.xml" /><Relationship Id="rId411" Type="http://schemas.openxmlformats.org/officeDocument/2006/relationships/chart" Target="charts/chart406.xml" /><Relationship Id="rId412" Type="http://schemas.openxmlformats.org/officeDocument/2006/relationships/chart" Target="charts/chart407.xml" /><Relationship Id="rId413" Type="http://schemas.openxmlformats.org/officeDocument/2006/relationships/chart" Target="charts/chart408.xml" /><Relationship Id="rId414" Type="http://schemas.openxmlformats.org/officeDocument/2006/relationships/chart" Target="charts/chart409.xml" /><Relationship Id="rId415" Type="http://schemas.openxmlformats.org/officeDocument/2006/relationships/header" Target="header1.xml" /><Relationship Id="rId416" Type="http://schemas.openxmlformats.org/officeDocument/2006/relationships/footer" Target="footer1.xml" /><Relationship Id="rId417" Type="http://schemas.openxmlformats.org/officeDocument/2006/relationships/theme" Target="theme/theme1.xml" /><Relationship Id="rId418" Type="http://schemas.openxmlformats.org/officeDocument/2006/relationships/styles" Target="styles.xml" /><Relationship Id="rId42" Type="http://schemas.openxmlformats.org/officeDocument/2006/relationships/chart" Target="charts/chart37.xml" /><Relationship Id="rId43" Type="http://schemas.openxmlformats.org/officeDocument/2006/relationships/chart" Target="charts/chart38.xml" /><Relationship Id="rId44" Type="http://schemas.openxmlformats.org/officeDocument/2006/relationships/chart" Target="charts/chart39.xml" /><Relationship Id="rId45" Type="http://schemas.openxmlformats.org/officeDocument/2006/relationships/chart" Target="charts/chart40.xml" /><Relationship Id="rId46" Type="http://schemas.openxmlformats.org/officeDocument/2006/relationships/chart" Target="charts/chart41.xml" /><Relationship Id="rId47" Type="http://schemas.openxmlformats.org/officeDocument/2006/relationships/chart" Target="charts/chart42.xml" /><Relationship Id="rId48" Type="http://schemas.openxmlformats.org/officeDocument/2006/relationships/chart" Target="charts/chart43.xml" /><Relationship Id="rId49" Type="http://schemas.openxmlformats.org/officeDocument/2006/relationships/chart" Target="charts/chart44.xml" /><Relationship Id="rId5" Type="http://schemas.openxmlformats.org/officeDocument/2006/relationships/customXml" Target="../customXml/item1.xml" /><Relationship Id="rId50" Type="http://schemas.openxmlformats.org/officeDocument/2006/relationships/chart" Target="charts/chart45.xml" /><Relationship Id="rId51" Type="http://schemas.openxmlformats.org/officeDocument/2006/relationships/chart" Target="charts/chart46.xml" /><Relationship Id="rId52" Type="http://schemas.openxmlformats.org/officeDocument/2006/relationships/chart" Target="charts/chart47.xml" /><Relationship Id="rId53" Type="http://schemas.openxmlformats.org/officeDocument/2006/relationships/chart" Target="charts/chart48.xml" /><Relationship Id="rId54" Type="http://schemas.openxmlformats.org/officeDocument/2006/relationships/chart" Target="charts/chart49.xml" /><Relationship Id="rId55" Type="http://schemas.openxmlformats.org/officeDocument/2006/relationships/chart" Target="charts/chart50.xml" /><Relationship Id="rId56" Type="http://schemas.openxmlformats.org/officeDocument/2006/relationships/chart" Target="charts/chart51.xml" /><Relationship Id="rId57" Type="http://schemas.openxmlformats.org/officeDocument/2006/relationships/chart" Target="charts/chart52.xml" /><Relationship Id="rId58" Type="http://schemas.openxmlformats.org/officeDocument/2006/relationships/chart" Target="charts/chart53.xml" /><Relationship Id="rId59" Type="http://schemas.openxmlformats.org/officeDocument/2006/relationships/chart" Target="charts/chart54.xml" /><Relationship Id="rId6" Type="http://schemas.openxmlformats.org/officeDocument/2006/relationships/chart" Target="charts/chart1.xml" /><Relationship Id="rId60" Type="http://schemas.openxmlformats.org/officeDocument/2006/relationships/chart" Target="charts/chart55.xml" /><Relationship Id="rId61" Type="http://schemas.openxmlformats.org/officeDocument/2006/relationships/chart" Target="charts/chart56.xml" /><Relationship Id="rId62" Type="http://schemas.openxmlformats.org/officeDocument/2006/relationships/chart" Target="charts/chart57.xml" /><Relationship Id="rId63" Type="http://schemas.openxmlformats.org/officeDocument/2006/relationships/chart" Target="charts/chart58.xml" /><Relationship Id="rId64" Type="http://schemas.openxmlformats.org/officeDocument/2006/relationships/chart" Target="charts/chart59.xml" /><Relationship Id="rId65" Type="http://schemas.openxmlformats.org/officeDocument/2006/relationships/chart" Target="charts/chart60.xml" /><Relationship Id="rId66" Type="http://schemas.openxmlformats.org/officeDocument/2006/relationships/chart" Target="charts/chart61.xml" /><Relationship Id="rId67" Type="http://schemas.openxmlformats.org/officeDocument/2006/relationships/chart" Target="charts/chart62.xml" /><Relationship Id="rId68" Type="http://schemas.openxmlformats.org/officeDocument/2006/relationships/chart" Target="charts/chart63.xml" /><Relationship Id="rId69" Type="http://schemas.openxmlformats.org/officeDocument/2006/relationships/chart" Target="charts/chart64.xml" /><Relationship Id="rId7" Type="http://schemas.openxmlformats.org/officeDocument/2006/relationships/chart" Target="charts/chart2.xml" /><Relationship Id="rId70" Type="http://schemas.openxmlformats.org/officeDocument/2006/relationships/chart" Target="charts/chart65.xml" /><Relationship Id="rId71" Type="http://schemas.openxmlformats.org/officeDocument/2006/relationships/chart" Target="charts/chart66.xml" /><Relationship Id="rId72" Type="http://schemas.openxmlformats.org/officeDocument/2006/relationships/chart" Target="charts/chart67.xml" /><Relationship Id="rId73" Type="http://schemas.openxmlformats.org/officeDocument/2006/relationships/chart" Target="charts/chart68.xml" /><Relationship Id="rId74" Type="http://schemas.openxmlformats.org/officeDocument/2006/relationships/chart" Target="charts/chart69.xml" /><Relationship Id="rId75" Type="http://schemas.openxmlformats.org/officeDocument/2006/relationships/chart" Target="charts/chart70.xml" /><Relationship Id="rId76" Type="http://schemas.openxmlformats.org/officeDocument/2006/relationships/chart" Target="charts/chart71.xml" /><Relationship Id="rId77" Type="http://schemas.openxmlformats.org/officeDocument/2006/relationships/chart" Target="charts/chart72.xml" /><Relationship Id="rId78" Type="http://schemas.openxmlformats.org/officeDocument/2006/relationships/chart" Target="charts/chart73.xml" /><Relationship Id="rId79" Type="http://schemas.openxmlformats.org/officeDocument/2006/relationships/chart" Target="charts/chart74.xml" /><Relationship Id="rId8" Type="http://schemas.openxmlformats.org/officeDocument/2006/relationships/chart" Target="charts/chart3.xml" /><Relationship Id="rId80" Type="http://schemas.openxmlformats.org/officeDocument/2006/relationships/chart" Target="charts/chart75.xml" /><Relationship Id="rId81" Type="http://schemas.openxmlformats.org/officeDocument/2006/relationships/chart" Target="charts/chart76.xml" /><Relationship Id="rId82" Type="http://schemas.openxmlformats.org/officeDocument/2006/relationships/chart" Target="charts/chart77.xml" /><Relationship Id="rId83" Type="http://schemas.openxmlformats.org/officeDocument/2006/relationships/chart" Target="charts/chart78.xml" /><Relationship Id="rId84" Type="http://schemas.openxmlformats.org/officeDocument/2006/relationships/chart" Target="charts/chart79.xml" /><Relationship Id="rId85" Type="http://schemas.openxmlformats.org/officeDocument/2006/relationships/chart" Target="charts/chart80.xml" /><Relationship Id="rId86" Type="http://schemas.openxmlformats.org/officeDocument/2006/relationships/chart" Target="charts/chart81.xml" /><Relationship Id="rId87" Type="http://schemas.openxmlformats.org/officeDocument/2006/relationships/chart" Target="charts/chart82.xml" /><Relationship Id="rId88" Type="http://schemas.openxmlformats.org/officeDocument/2006/relationships/chart" Target="charts/chart83.xml" /><Relationship Id="rId89" Type="http://schemas.openxmlformats.org/officeDocument/2006/relationships/chart" Target="charts/chart84.xml" /><Relationship Id="rId9" Type="http://schemas.openxmlformats.org/officeDocument/2006/relationships/chart" Target="charts/chart4.xml" /><Relationship Id="rId90" Type="http://schemas.openxmlformats.org/officeDocument/2006/relationships/chart" Target="charts/chart85.xml" /><Relationship Id="rId91" Type="http://schemas.openxmlformats.org/officeDocument/2006/relationships/chart" Target="charts/chart86.xml" /><Relationship Id="rId92" Type="http://schemas.openxmlformats.org/officeDocument/2006/relationships/chart" Target="charts/chart87.xml" /><Relationship Id="rId93" Type="http://schemas.openxmlformats.org/officeDocument/2006/relationships/chart" Target="charts/chart88.xml" /><Relationship Id="rId94" Type="http://schemas.openxmlformats.org/officeDocument/2006/relationships/chart" Target="charts/chart89.xml" /><Relationship Id="rId95" Type="http://schemas.openxmlformats.org/officeDocument/2006/relationships/chart" Target="charts/chart90.xml" /><Relationship Id="rId96" Type="http://schemas.openxmlformats.org/officeDocument/2006/relationships/chart" Target="charts/chart91.xml" /><Relationship Id="rId97" Type="http://schemas.openxmlformats.org/officeDocument/2006/relationships/chart" Target="charts/chart92.xml" /><Relationship Id="rId98" Type="http://schemas.openxmlformats.org/officeDocument/2006/relationships/chart" Target="charts/chart93.xml" /><Relationship Id="rId99" Type="http://schemas.openxmlformats.org/officeDocument/2006/relationships/chart" Target="charts/chart94.xml" /></Relationships>
</file>

<file path=word/charts/_rels/chart1.xml.rels>&#65279;<?xml version="1.0" encoding="utf-8" standalone="yes"?><Relationships xmlns="http://schemas.openxmlformats.org/package/2006/relationships"><Relationship Id="rId1" Type="http://schemas.openxmlformats.org/officeDocument/2006/relationships/package" Target="../embeddings/Microsoft_Excel_Worksheet1.xlsx" /></Relationships>
</file>

<file path=word/charts/_rels/chart10.xml.rels>&#65279;<?xml version="1.0" encoding="utf-8" standalone="yes"?><Relationships xmlns="http://schemas.openxmlformats.org/package/2006/relationships"><Relationship Id="rId1" Type="http://schemas.openxmlformats.org/officeDocument/2006/relationships/package" Target="../embeddings/Microsoft_Excel_Worksheet10.xlsx" /></Relationships>
</file>

<file path=word/charts/_rels/chart100.xml.rels>&#65279;<?xml version="1.0" encoding="utf-8" standalone="yes"?><Relationships xmlns="http://schemas.openxmlformats.org/package/2006/relationships"><Relationship Id="rId1" Type="http://schemas.openxmlformats.org/officeDocument/2006/relationships/package" Target="../embeddings/Microsoft_Excel_Worksheet100.xlsx" /></Relationships>
</file>

<file path=word/charts/_rels/chart101.xml.rels>&#65279;<?xml version="1.0" encoding="utf-8" standalone="yes"?><Relationships xmlns="http://schemas.openxmlformats.org/package/2006/relationships"><Relationship Id="rId1" Type="http://schemas.openxmlformats.org/officeDocument/2006/relationships/package" Target="../embeddings/Microsoft_Excel_Worksheet101.xlsx" /></Relationships>
</file>

<file path=word/charts/_rels/chart102.xml.rels>&#65279;<?xml version="1.0" encoding="utf-8" standalone="yes"?><Relationships xmlns="http://schemas.openxmlformats.org/package/2006/relationships"><Relationship Id="rId1" Type="http://schemas.openxmlformats.org/officeDocument/2006/relationships/package" Target="../embeddings/Microsoft_Excel_Worksheet102.xlsx" /></Relationships>
</file>

<file path=word/charts/_rels/chart103.xml.rels>&#65279;<?xml version="1.0" encoding="utf-8" standalone="yes"?><Relationships xmlns="http://schemas.openxmlformats.org/package/2006/relationships"><Relationship Id="rId1" Type="http://schemas.openxmlformats.org/officeDocument/2006/relationships/package" Target="../embeddings/Microsoft_Excel_Worksheet103.xlsx" /></Relationships>
</file>

<file path=word/charts/_rels/chart104.xml.rels>&#65279;<?xml version="1.0" encoding="utf-8" standalone="yes"?><Relationships xmlns="http://schemas.openxmlformats.org/package/2006/relationships"><Relationship Id="rId1" Type="http://schemas.openxmlformats.org/officeDocument/2006/relationships/package" Target="../embeddings/Microsoft_Excel_Worksheet104.xlsx" /></Relationships>
</file>

<file path=word/charts/_rels/chart105.xml.rels>&#65279;<?xml version="1.0" encoding="utf-8" standalone="yes"?><Relationships xmlns="http://schemas.openxmlformats.org/package/2006/relationships"><Relationship Id="rId1" Type="http://schemas.openxmlformats.org/officeDocument/2006/relationships/package" Target="../embeddings/Microsoft_Excel_Worksheet105.xlsx" /><Relationship Id="rId2" Type="http://schemas.openxmlformats.org/officeDocument/2006/relationships/themeOverride" Target="../theme/themeOverride22.xml" /></Relationships>
</file>

<file path=word/charts/_rels/chart106.xml.rels>&#65279;<?xml version="1.0" encoding="utf-8" standalone="yes"?><Relationships xmlns="http://schemas.openxmlformats.org/package/2006/relationships"><Relationship Id="rId1" Type="http://schemas.openxmlformats.org/officeDocument/2006/relationships/package" Target="../embeddings/Microsoft_Excel_Worksheet106.xlsx" /></Relationships>
</file>

<file path=word/charts/_rels/chart107.xml.rels>&#65279;<?xml version="1.0" encoding="utf-8" standalone="yes"?><Relationships xmlns="http://schemas.openxmlformats.org/package/2006/relationships"><Relationship Id="rId1" Type="http://schemas.openxmlformats.org/officeDocument/2006/relationships/package" Target="../embeddings/Microsoft_Excel_Worksheet107.xlsx" /></Relationships>
</file>

<file path=word/charts/_rels/chart108.xml.rels>&#65279;<?xml version="1.0" encoding="utf-8" standalone="yes"?><Relationships xmlns="http://schemas.openxmlformats.org/package/2006/relationships"><Relationship Id="rId1" Type="http://schemas.openxmlformats.org/officeDocument/2006/relationships/package" Target="../embeddings/Microsoft_Excel_Worksheet108.xlsx" /></Relationships>
</file>

<file path=word/charts/_rels/chart109.xml.rels>&#65279;<?xml version="1.0" encoding="utf-8" standalone="yes"?><Relationships xmlns="http://schemas.openxmlformats.org/package/2006/relationships"><Relationship Id="rId1" Type="http://schemas.openxmlformats.org/officeDocument/2006/relationships/package" Target="../embeddings/Microsoft_Excel_Worksheet109.xlsx" /></Relationships>
</file>

<file path=word/charts/_rels/chart11.xml.rels>&#65279;<?xml version="1.0" encoding="utf-8" standalone="yes"?><Relationships xmlns="http://schemas.openxmlformats.org/package/2006/relationships"><Relationship Id="rId1" Type="http://schemas.openxmlformats.org/officeDocument/2006/relationships/package" Target="../embeddings/Microsoft_Excel_Worksheet11.xlsx" /><Relationship Id="rId2" Type="http://schemas.openxmlformats.org/officeDocument/2006/relationships/themeOverride" Target="../theme/themeOverride1.xml" /></Relationships>
</file>

<file path=word/charts/_rels/chart110.xml.rels>&#65279;<?xml version="1.0" encoding="utf-8" standalone="yes"?><Relationships xmlns="http://schemas.openxmlformats.org/package/2006/relationships"><Relationship Id="rId1" Type="http://schemas.openxmlformats.org/officeDocument/2006/relationships/package" Target="../embeddings/Microsoft_Excel_Worksheet110.xlsx" /><Relationship Id="rId2" Type="http://schemas.openxmlformats.org/officeDocument/2006/relationships/themeOverride" Target="../theme/themeOverride23.xml" /></Relationships>
</file>

<file path=word/charts/_rels/chart111.xml.rels>&#65279;<?xml version="1.0" encoding="utf-8" standalone="yes"?><Relationships xmlns="http://schemas.openxmlformats.org/package/2006/relationships"><Relationship Id="rId1" Type="http://schemas.openxmlformats.org/officeDocument/2006/relationships/package" Target="../embeddings/Microsoft_Excel_Worksheet111.xlsx" /><Relationship Id="rId2" Type="http://schemas.openxmlformats.org/officeDocument/2006/relationships/themeOverride" Target="../theme/themeOverride24.xml" /></Relationships>
</file>

<file path=word/charts/_rels/chart112.xml.rels>&#65279;<?xml version="1.0" encoding="utf-8" standalone="yes"?><Relationships xmlns="http://schemas.openxmlformats.org/package/2006/relationships"><Relationship Id="rId1" Type="http://schemas.openxmlformats.org/officeDocument/2006/relationships/package" Target="../embeddings/Microsoft_Excel_Worksheet112.xlsx" /></Relationships>
</file>

<file path=word/charts/_rels/chart113.xml.rels>&#65279;<?xml version="1.0" encoding="utf-8" standalone="yes"?><Relationships xmlns="http://schemas.openxmlformats.org/package/2006/relationships"><Relationship Id="rId1" Type="http://schemas.openxmlformats.org/officeDocument/2006/relationships/package" Target="../embeddings/Microsoft_Excel_Worksheet113.xlsx" /><Relationship Id="rId2" Type="http://schemas.openxmlformats.org/officeDocument/2006/relationships/themeOverride" Target="../theme/themeOverride25.xml" /></Relationships>
</file>

<file path=word/charts/_rels/chart114.xml.rels>&#65279;<?xml version="1.0" encoding="utf-8" standalone="yes"?><Relationships xmlns="http://schemas.openxmlformats.org/package/2006/relationships"><Relationship Id="rId1" Type="http://schemas.openxmlformats.org/officeDocument/2006/relationships/package" Target="../embeddings/Microsoft_Excel_Worksheet114.xlsx" /></Relationships>
</file>

<file path=word/charts/_rels/chart115.xml.rels>&#65279;<?xml version="1.0" encoding="utf-8" standalone="yes"?><Relationships xmlns="http://schemas.openxmlformats.org/package/2006/relationships"><Relationship Id="rId1" Type="http://schemas.openxmlformats.org/officeDocument/2006/relationships/package" Target="../embeddings/Microsoft_Excel_Worksheet115.xlsx" /></Relationships>
</file>

<file path=word/charts/_rels/chart116.xml.rels>&#65279;<?xml version="1.0" encoding="utf-8" standalone="yes"?><Relationships xmlns="http://schemas.openxmlformats.org/package/2006/relationships"><Relationship Id="rId1" Type="http://schemas.openxmlformats.org/officeDocument/2006/relationships/package" Target="../embeddings/Microsoft_Excel_Worksheet116.xlsx" /></Relationships>
</file>

<file path=word/charts/_rels/chart117.xml.rels>&#65279;<?xml version="1.0" encoding="utf-8" standalone="yes"?><Relationships xmlns="http://schemas.openxmlformats.org/package/2006/relationships"><Relationship Id="rId1" Type="http://schemas.openxmlformats.org/officeDocument/2006/relationships/package" Target="../embeddings/Microsoft_Excel_Worksheet117.xlsx" /></Relationships>
</file>

<file path=word/charts/_rels/chart118.xml.rels>&#65279;<?xml version="1.0" encoding="utf-8" standalone="yes"?><Relationships xmlns="http://schemas.openxmlformats.org/package/2006/relationships"><Relationship Id="rId1" Type="http://schemas.openxmlformats.org/officeDocument/2006/relationships/package" Target="../embeddings/Microsoft_Excel_Worksheet118.xlsx" /></Relationships>
</file>

<file path=word/charts/_rels/chart119.xml.rels>&#65279;<?xml version="1.0" encoding="utf-8" standalone="yes"?><Relationships xmlns="http://schemas.openxmlformats.org/package/2006/relationships"><Relationship Id="rId1" Type="http://schemas.openxmlformats.org/officeDocument/2006/relationships/package" Target="../embeddings/Microsoft_Excel_Worksheet119.xlsx" /></Relationships>
</file>

<file path=word/charts/_rels/chart12.xml.rels>&#65279;<?xml version="1.0" encoding="utf-8" standalone="yes"?><Relationships xmlns="http://schemas.openxmlformats.org/package/2006/relationships"><Relationship Id="rId1" Type="http://schemas.openxmlformats.org/officeDocument/2006/relationships/package" Target="../embeddings/Microsoft_Excel_Worksheet12.xlsx" /></Relationships>
</file>

<file path=word/charts/_rels/chart120.xml.rels>&#65279;<?xml version="1.0" encoding="utf-8" standalone="yes"?><Relationships xmlns="http://schemas.openxmlformats.org/package/2006/relationships"><Relationship Id="rId1" Type="http://schemas.openxmlformats.org/officeDocument/2006/relationships/package" Target="../embeddings/Microsoft_Excel_Worksheet120.xlsx" /></Relationships>
</file>

<file path=word/charts/_rels/chart121.xml.rels>&#65279;<?xml version="1.0" encoding="utf-8" standalone="yes"?><Relationships xmlns="http://schemas.openxmlformats.org/package/2006/relationships"><Relationship Id="rId1" Type="http://schemas.openxmlformats.org/officeDocument/2006/relationships/package" Target="../embeddings/Microsoft_Excel_Worksheet121.xlsx" /></Relationships>
</file>

<file path=word/charts/_rels/chart122.xml.rels>&#65279;<?xml version="1.0" encoding="utf-8" standalone="yes"?><Relationships xmlns="http://schemas.openxmlformats.org/package/2006/relationships"><Relationship Id="rId1" Type="http://schemas.openxmlformats.org/officeDocument/2006/relationships/package" Target="../embeddings/Microsoft_Excel_Worksheet122.xlsx" /><Relationship Id="rId2" Type="http://schemas.openxmlformats.org/officeDocument/2006/relationships/themeOverride" Target="../theme/themeOverride26.xml" /></Relationships>
</file>

<file path=word/charts/_rels/chart123.xml.rels>&#65279;<?xml version="1.0" encoding="utf-8" standalone="yes"?><Relationships xmlns="http://schemas.openxmlformats.org/package/2006/relationships"><Relationship Id="rId1" Type="http://schemas.openxmlformats.org/officeDocument/2006/relationships/package" Target="../embeddings/Microsoft_Excel_Worksheet123.xlsx" /></Relationships>
</file>

<file path=word/charts/_rels/chart124.xml.rels>&#65279;<?xml version="1.0" encoding="utf-8" standalone="yes"?><Relationships xmlns="http://schemas.openxmlformats.org/package/2006/relationships"><Relationship Id="rId1" Type="http://schemas.openxmlformats.org/officeDocument/2006/relationships/package" Target="../embeddings/Microsoft_Excel_Worksheet124.xlsx" /></Relationships>
</file>

<file path=word/charts/_rels/chart125.xml.rels>&#65279;<?xml version="1.0" encoding="utf-8" standalone="yes"?><Relationships xmlns="http://schemas.openxmlformats.org/package/2006/relationships"><Relationship Id="rId1" Type="http://schemas.openxmlformats.org/officeDocument/2006/relationships/package" Target="../embeddings/Microsoft_Excel_Worksheet125.xlsx" /></Relationships>
</file>

<file path=word/charts/_rels/chart126.xml.rels>&#65279;<?xml version="1.0" encoding="utf-8" standalone="yes"?><Relationships xmlns="http://schemas.openxmlformats.org/package/2006/relationships"><Relationship Id="rId1" Type="http://schemas.openxmlformats.org/officeDocument/2006/relationships/package" Target="../embeddings/Microsoft_Excel_Worksheet126.xlsx" /></Relationships>
</file>

<file path=word/charts/_rels/chart127.xml.rels>&#65279;<?xml version="1.0" encoding="utf-8" standalone="yes"?><Relationships xmlns="http://schemas.openxmlformats.org/package/2006/relationships"><Relationship Id="rId1" Type="http://schemas.openxmlformats.org/officeDocument/2006/relationships/package" Target="../embeddings/Microsoft_Excel_Worksheet127.xlsx" /><Relationship Id="rId2" Type="http://schemas.openxmlformats.org/officeDocument/2006/relationships/themeOverride" Target="../theme/themeOverride27.xml" /></Relationships>
</file>

<file path=word/charts/_rels/chart128.xml.rels>&#65279;<?xml version="1.0" encoding="utf-8" standalone="yes"?><Relationships xmlns="http://schemas.openxmlformats.org/package/2006/relationships"><Relationship Id="rId1" Type="http://schemas.openxmlformats.org/officeDocument/2006/relationships/package" Target="../embeddings/Microsoft_Excel_Worksheet128.xlsx" /><Relationship Id="rId2" Type="http://schemas.openxmlformats.org/officeDocument/2006/relationships/themeOverride" Target="../theme/themeOverride28.xml" /></Relationships>
</file>

<file path=word/charts/_rels/chart129.xml.rels>&#65279;<?xml version="1.0" encoding="utf-8" standalone="yes"?><Relationships xmlns="http://schemas.openxmlformats.org/package/2006/relationships"><Relationship Id="rId1" Type="http://schemas.openxmlformats.org/officeDocument/2006/relationships/package" Target="../embeddings/Microsoft_Excel_Worksheet129.xlsx" /></Relationships>
</file>

<file path=word/charts/_rels/chart13.xml.rels>&#65279;<?xml version="1.0" encoding="utf-8" standalone="yes"?><Relationships xmlns="http://schemas.openxmlformats.org/package/2006/relationships"><Relationship Id="rId1" Type="http://schemas.openxmlformats.org/officeDocument/2006/relationships/package" Target="../embeddings/Microsoft_Excel_Worksheet13.xlsx" /></Relationships>
</file>

<file path=word/charts/_rels/chart130.xml.rels>&#65279;<?xml version="1.0" encoding="utf-8" standalone="yes"?><Relationships xmlns="http://schemas.openxmlformats.org/package/2006/relationships"><Relationship Id="rId1" Type="http://schemas.openxmlformats.org/officeDocument/2006/relationships/package" Target="../embeddings/Microsoft_Excel_Worksheet130.xlsx" /><Relationship Id="rId2" Type="http://schemas.openxmlformats.org/officeDocument/2006/relationships/themeOverride" Target="../theme/themeOverride29.xml" /></Relationships>
</file>

<file path=word/charts/_rels/chart131.xml.rels>&#65279;<?xml version="1.0" encoding="utf-8" standalone="yes"?><Relationships xmlns="http://schemas.openxmlformats.org/package/2006/relationships"><Relationship Id="rId1" Type="http://schemas.openxmlformats.org/officeDocument/2006/relationships/package" Target="../embeddings/Microsoft_Excel_Worksheet131.xlsx" /></Relationships>
</file>

<file path=word/charts/_rels/chart132.xml.rels>&#65279;<?xml version="1.0" encoding="utf-8" standalone="yes"?><Relationships xmlns="http://schemas.openxmlformats.org/package/2006/relationships"><Relationship Id="rId1" Type="http://schemas.openxmlformats.org/officeDocument/2006/relationships/package" Target="../embeddings/Microsoft_Excel_Worksheet132.xlsx" /></Relationships>
</file>

<file path=word/charts/_rels/chart133.xml.rels>&#65279;<?xml version="1.0" encoding="utf-8" standalone="yes"?><Relationships xmlns="http://schemas.openxmlformats.org/package/2006/relationships"><Relationship Id="rId1" Type="http://schemas.openxmlformats.org/officeDocument/2006/relationships/package" Target="../embeddings/Microsoft_Excel_Worksheet133.xlsx" /></Relationships>
</file>

<file path=word/charts/_rels/chart134.xml.rels>&#65279;<?xml version="1.0" encoding="utf-8" standalone="yes"?><Relationships xmlns="http://schemas.openxmlformats.org/package/2006/relationships"><Relationship Id="rId1" Type="http://schemas.openxmlformats.org/officeDocument/2006/relationships/package" Target="../embeddings/Microsoft_Excel_Worksheet134.xlsx" /></Relationships>
</file>

<file path=word/charts/_rels/chart135.xml.rels>&#65279;<?xml version="1.0" encoding="utf-8" standalone="yes"?><Relationships xmlns="http://schemas.openxmlformats.org/package/2006/relationships"><Relationship Id="rId1" Type="http://schemas.openxmlformats.org/officeDocument/2006/relationships/package" Target="../embeddings/Microsoft_Excel_Worksheet135.xlsx" /></Relationships>
</file>

<file path=word/charts/_rels/chart136.xml.rels>&#65279;<?xml version="1.0" encoding="utf-8" standalone="yes"?><Relationships xmlns="http://schemas.openxmlformats.org/package/2006/relationships"><Relationship Id="rId1" Type="http://schemas.openxmlformats.org/officeDocument/2006/relationships/package" Target="../embeddings/Microsoft_Excel_Worksheet136.xlsx" /></Relationships>
</file>

<file path=word/charts/_rels/chart137.xml.rels>&#65279;<?xml version="1.0" encoding="utf-8" standalone="yes"?><Relationships xmlns="http://schemas.openxmlformats.org/package/2006/relationships"><Relationship Id="rId1" Type="http://schemas.openxmlformats.org/officeDocument/2006/relationships/package" Target="../embeddings/Microsoft_Excel_Worksheet137.xlsx" /></Relationships>
</file>

<file path=word/charts/_rels/chart138.xml.rels>&#65279;<?xml version="1.0" encoding="utf-8" standalone="yes"?><Relationships xmlns="http://schemas.openxmlformats.org/package/2006/relationships"><Relationship Id="rId1" Type="http://schemas.openxmlformats.org/officeDocument/2006/relationships/package" Target="../embeddings/Microsoft_Excel_Worksheet138.xlsx" /></Relationships>
</file>

<file path=word/charts/_rels/chart139.xml.rels>&#65279;<?xml version="1.0" encoding="utf-8" standalone="yes"?><Relationships xmlns="http://schemas.openxmlformats.org/package/2006/relationships"><Relationship Id="rId1" Type="http://schemas.openxmlformats.org/officeDocument/2006/relationships/package" Target="../embeddings/Microsoft_Excel_Worksheet139.xlsx" /><Relationship Id="rId2" Type="http://schemas.openxmlformats.org/officeDocument/2006/relationships/themeOverride" Target="../theme/themeOverride30.xml" /></Relationships>
</file>

<file path=word/charts/_rels/chart14.xml.rels>&#65279;<?xml version="1.0" encoding="utf-8" standalone="yes"?><Relationships xmlns="http://schemas.openxmlformats.org/package/2006/relationships"><Relationship Id="rId1" Type="http://schemas.openxmlformats.org/officeDocument/2006/relationships/package" Target="../embeddings/Microsoft_Excel_Worksheet14.xlsx" /></Relationships>
</file>

<file path=word/charts/_rels/chart140.xml.rels>&#65279;<?xml version="1.0" encoding="utf-8" standalone="yes"?><Relationships xmlns="http://schemas.openxmlformats.org/package/2006/relationships"><Relationship Id="rId1" Type="http://schemas.openxmlformats.org/officeDocument/2006/relationships/package" Target="../embeddings/Microsoft_Excel_Worksheet140.xlsx" /></Relationships>
</file>

<file path=word/charts/_rels/chart141.xml.rels>&#65279;<?xml version="1.0" encoding="utf-8" standalone="yes"?><Relationships xmlns="http://schemas.openxmlformats.org/package/2006/relationships"><Relationship Id="rId1" Type="http://schemas.openxmlformats.org/officeDocument/2006/relationships/package" Target="../embeddings/Microsoft_Excel_Worksheet141.xlsx" /></Relationships>
</file>

<file path=word/charts/_rels/chart142.xml.rels>&#65279;<?xml version="1.0" encoding="utf-8" standalone="yes"?><Relationships xmlns="http://schemas.openxmlformats.org/package/2006/relationships"><Relationship Id="rId1" Type="http://schemas.openxmlformats.org/officeDocument/2006/relationships/package" Target="../embeddings/Microsoft_Excel_Worksheet142.xlsx" /></Relationships>
</file>

<file path=word/charts/_rels/chart143.xml.rels>&#65279;<?xml version="1.0" encoding="utf-8" standalone="yes"?><Relationships xmlns="http://schemas.openxmlformats.org/package/2006/relationships"><Relationship Id="rId1" Type="http://schemas.openxmlformats.org/officeDocument/2006/relationships/package" Target="../embeddings/Microsoft_Excel_Worksheet143.xlsx" /></Relationships>
</file>

<file path=word/charts/_rels/chart144.xml.rels>&#65279;<?xml version="1.0" encoding="utf-8" standalone="yes"?><Relationships xmlns="http://schemas.openxmlformats.org/package/2006/relationships"><Relationship Id="rId1" Type="http://schemas.openxmlformats.org/officeDocument/2006/relationships/package" Target="../embeddings/Microsoft_Excel_Worksheet144.xlsx" /><Relationship Id="rId2" Type="http://schemas.openxmlformats.org/officeDocument/2006/relationships/themeOverride" Target="../theme/themeOverride31.xml" /></Relationships>
</file>

<file path=word/charts/_rels/chart145.xml.rels>&#65279;<?xml version="1.0" encoding="utf-8" standalone="yes"?><Relationships xmlns="http://schemas.openxmlformats.org/package/2006/relationships"><Relationship Id="rId1" Type="http://schemas.openxmlformats.org/officeDocument/2006/relationships/package" Target="../embeddings/Microsoft_Excel_Worksheet145.xlsx" /><Relationship Id="rId2" Type="http://schemas.openxmlformats.org/officeDocument/2006/relationships/themeOverride" Target="../theme/themeOverride32.xml" /></Relationships>
</file>

<file path=word/charts/_rels/chart146.xml.rels>&#65279;<?xml version="1.0" encoding="utf-8" standalone="yes"?><Relationships xmlns="http://schemas.openxmlformats.org/package/2006/relationships"><Relationship Id="rId1" Type="http://schemas.openxmlformats.org/officeDocument/2006/relationships/package" Target="../embeddings/Microsoft_Excel_Worksheet146.xlsx" /></Relationships>
</file>

<file path=word/charts/_rels/chart147.xml.rels>&#65279;<?xml version="1.0" encoding="utf-8" standalone="yes"?><Relationships xmlns="http://schemas.openxmlformats.org/package/2006/relationships"><Relationship Id="rId1" Type="http://schemas.openxmlformats.org/officeDocument/2006/relationships/package" Target="../embeddings/Microsoft_Excel_Worksheet147.xlsx" /><Relationship Id="rId2" Type="http://schemas.openxmlformats.org/officeDocument/2006/relationships/themeOverride" Target="../theme/themeOverride33.xml" /></Relationships>
</file>

<file path=word/charts/_rels/chart148.xml.rels>&#65279;<?xml version="1.0" encoding="utf-8" standalone="yes"?><Relationships xmlns="http://schemas.openxmlformats.org/package/2006/relationships"><Relationship Id="rId1" Type="http://schemas.openxmlformats.org/officeDocument/2006/relationships/package" Target="../embeddings/Microsoft_Excel_Worksheet148.xlsx" /></Relationships>
</file>

<file path=word/charts/_rels/chart149.xml.rels>&#65279;<?xml version="1.0" encoding="utf-8" standalone="yes"?><Relationships xmlns="http://schemas.openxmlformats.org/package/2006/relationships"><Relationship Id="rId1" Type="http://schemas.openxmlformats.org/officeDocument/2006/relationships/package" Target="../embeddings/Microsoft_Excel_Worksheet149.xlsx" /></Relationships>
</file>

<file path=word/charts/_rels/chart15.xml.rels>&#65279;<?xml version="1.0" encoding="utf-8" standalone="yes"?><Relationships xmlns="http://schemas.openxmlformats.org/package/2006/relationships"><Relationship Id="rId1" Type="http://schemas.openxmlformats.org/officeDocument/2006/relationships/package" Target="../embeddings/Microsoft_Excel_Worksheet15.xlsx" /></Relationships>
</file>

<file path=word/charts/_rels/chart150.xml.rels>&#65279;<?xml version="1.0" encoding="utf-8" standalone="yes"?><Relationships xmlns="http://schemas.openxmlformats.org/package/2006/relationships"><Relationship Id="rId1" Type="http://schemas.openxmlformats.org/officeDocument/2006/relationships/package" Target="../embeddings/Microsoft_Excel_Worksheet150.xlsx" /><Relationship Id="rId2" Type="http://schemas.openxmlformats.org/officeDocument/2006/relationships/chartUserShapes" Target="../drawings/drawing2.xml" /></Relationships>
</file>

<file path=word/charts/_rels/chart151.xml.rels>&#65279;<?xml version="1.0" encoding="utf-8" standalone="yes"?><Relationships xmlns="http://schemas.openxmlformats.org/package/2006/relationships"><Relationship Id="rId1" Type="http://schemas.openxmlformats.org/officeDocument/2006/relationships/package" Target="../embeddings/Microsoft_Excel_Worksheet151.xlsx" /></Relationships>
</file>

<file path=word/charts/_rels/chart152.xml.rels>&#65279;<?xml version="1.0" encoding="utf-8" standalone="yes"?><Relationships xmlns="http://schemas.openxmlformats.org/package/2006/relationships"><Relationship Id="rId1" Type="http://schemas.openxmlformats.org/officeDocument/2006/relationships/package" Target="../embeddings/Microsoft_Excel_Worksheet152.xlsx" /></Relationships>
</file>

<file path=word/charts/_rels/chart153.xml.rels>&#65279;<?xml version="1.0" encoding="utf-8" standalone="yes"?><Relationships xmlns="http://schemas.openxmlformats.org/package/2006/relationships"><Relationship Id="rId1" Type="http://schemas.openxmlformats.org/officeDocument/2006/relationships/package" Target="../embeddings/Microsoft_Excel_Worksheet153.xlsx" /></Relationships>
</file>

<file path=word/charts/_rels/chart154.xml.rels>&#65279;<?xml version="1.0" encoding="utf-8" standalone="yes"?><Relationships xmlns="http://schemas.openxmlformats.org/package/2006/relationships"><Relationship Id="rId1" Type="http://schemas.openxmlformats.org/officeDocument/2006/relationships/package" Target="../embeddings/Microsoft_Excel_Worksheet154.xlsx" /></Relationships>
</file>

<file path=word/charts/_rels/chart155.xml.rels>&#65279;<?xml version="1.0" encoding="utf-8" standalone="yes"?><Relationships xmlns="http://schemas.openxmlformats.org/package/2006/relationships"><Relationship Id="rId1" Type="http://schemas.openxmlformats.org/officeDocument/2006/relationships/package" Target="../embeddings/Microsoft_Excel_Worksheet155.xlsx" /></Relationships>
</file>

<file path=word/charts/_rels/chart156.xml.rels>&#65279;<?xml version="1.0" encoding="utf-8" standalone="yes"?><Relationships xmlns="http://schemas.openxmlformats.org/package/2006/relationships"><Relationship Id="rId1" Type="http://schemas.openxmlformats.org/officeDocument/2006/relationships/package" Target="../embeddings/Microsoft_Excel_Worksheet156.xlsx" /><Relationship Id="rId2" Type="http://schemas.openxmlformats.org/officeDocument/2006/relationships/themeOverride" Target="../theme/themeOverride34.xml" /></Relationships>
</file>

<file path=word/charts/_rels/chart157.xml.rels>&#65279;<?xml version="1.0" encoding="utf-8" standalone="yes"?><Relationships xmlns="http://schemas.openxmlformats.org/package/2006/relationships"><Relationship Id="rId1" Type="http://schemas.openxmlformats.org/officeDocument/2006/relationships/package" Target="../embeddings/Microsoft_Excel_Worksheet157.xlsx" /></Relationships>
</file>

<file path=word/charts/_rels/chart158.xml.rels>&#65279;<?xml version="1.0" encoding="utf-8" standalone="yes"?><Relationships xmlns="http://schemas.openxmlformats.org/package/2006/relationships"><Relationship Id="rId1" Type="http://schemas.openxmlformats.org/officeDocument/2006/relationships/package" Target="../embeddings/Microsoft_Excel_Worksheet158.xlsx" /></Relationships>
</file>

<file path=word/charts/_rels/chart159.xml.rels>&#65279;<?xml version="1.0" encoding="utf-8" standalone="yes"?><Relationships xmlns="http://schemas.openxmlformats.org/package/2006/relationships"><Relationship Id="rId1" Type="http://schemas.openxmlformats.org/officeDocument/2006/relationships/package" Target="../embeddings/Microsoft_Excel_Worksheet159.xlsx" /></Relationships>
</file>

<file path=word/charts/_rels/chart16.xml.rels>&#65279;<?xml version="1.0" encoding="utf-8" standalone="yes"?><Relationships xmlns="http://schemas.openxmlformats.org/package/2006/relationships"><Relationship Id="rId1" Type="http://schemas.openxmlformats.org/officeDocument/2006/relationships/package" Target="../embeddings/Microsoft_Excel_Worksheet16.xlsx" /></Relationships>
</file>

<file path=word/charts/_rels/chart160.xml.rels>&#65279;<?xml version="1.0" encoding="utf-8" standalone="yes"?><Relationships xmlns="http://schemas.openxmlformats.org/package/2006/relationships"><Relationship Id="rId1" Type="http://schemas.openxmlformats.org/officeDocument/2006/relationships/package" Target="../embeddings/Microsoft_Excel_Worksheet160.xlsx" /></Relationships>
</file>

<file path=word/charts/_rels/chart161.xml.rels>&#65279;<?xml version="1.0" encoding="utf-8" standalone="yes"?><Relationships xmlns="http://schemas.openxmlformats.org/package/2006/relationships"><Relationship Id="rId1" Type="http://schemas.openxmlformats.org/officeDocument/2006/relationships/package" Target="../embeddings/Microsoft_Excel_Worksheet161.xlsx" /><Relationship Id="rId2" Type="http://schemas.openxmlformats.org/officeDocument/2006/relationships/themeOverride" Target="../theme/themeOverride35.xml" /></Relationships>
</file>

<file path=word/charts/_rels/chart162.xml.rels>&#65279;<?xml version="1.0" encoding="utf-8" standalone="yes"?><Relationships xmlns="http://schemas.openxmlformats.org/package/2006/relationships"><Relationship Id="rId1" Type="http://schemas.openxmlformats.org/officeDocument/2006/relationships/package" Target="../embeddings/Microsoft_Excel_Worksheet162.xlsx" /><Relationship Id="rId2" Type="http://schemas.openxmlformats.org/officeDocument/2006/relationships/themeOverride" Target="../theme/themeOverride36.xml" /></Relationships>
</file>

<file path=word/charts/_rels/chart163.xml.rels>&#65279;<?xml version="1.0" encoding="utf-8" standalone="yes"?><Relationships xmlns="http://schemas.openxmlformats.org/package/2006/relationships"><Relationship Id="rId1" Type="http://schemas.openxmlformats.org/officeDocument/2006/relationships/package" Target="../embeddings/Microsoft_Excel_Worksheet163.xlsx" /></Relationships>
</file>

<file path=word/charts/_rels/chart164.xml.rels>&#65279;<?xml version="1.0" encoding="utf-8" standalone="yes"?><Relationships xmlns="http://schemas.openxmlformats.org/package/2006/relationships"><Relationship Id="rId1" Type="http://schemas.openxmlformats.org/officeDocument/2006/relationships/package" Target="../embeddings/Microsoft_Excel_Worksheet164.xlsx" /><Relationship Id="rId2" Type="http://schemas.openxmlformats.org/officeDocument/2006/relationships/themeOverride" Target="../theme/themeOverride37.xml" /></Relationships>
</file>

<file path=word/charts/_rels/chart165.xml.rels>&#65279;<?xml version="1.0" encoding="utf-8" standalone="yes"?><Relationships xmlns="http://schemas.openxmlformats.org/package/2006/relationships"><Relationship Id="rId1" Type="http://schemas.openxmlformats.org/officeDocument/2006/relationships/package" Target="../embeddings/Microsoft_Excel_Worksheet165.xlsx" /></Relationships>
</file>

<file path=word/charts/_rels/chart166.xml.rels>&#65279;<?xml version="1.0" encoding="utf-8" standalone="yes"?><Relationships xmlns="http://schemas.openxmlformats.org/package/2006/relationships"><Relationship Id="rId1" Type="http://schemas.openxmlformats.org/officeDocument/2006/relationships/package" Target="../embeddings/Microsoft_Excel_Worksheet166.xlsx" /></Relationships>
</file>

<file path=word/charts/_rels/chart167.xml.rels>&#65279;<?xml version="1.0" encoding="utf-8" standalone="yes"?><Relationships xmlns="http://schemas.openxmlformats.org/package/2006/relationships"><Relationship Id="rId1" Type="http://schemas.openxmlformats.org/officeDocument/2006/relationships/package" Target="../embeddings/Microsoft_Excel_Worksheet167.xlsx" /></Relationships>
</file>

<file path=word/charts/_rels/chart168.xml.rels>&#65279;<?xml version="1.0" encoding="utf-8" standalone="yes"?><Relationships xmlns="http://schemas.openxmlformats.org/package/2006/relationships"><Relationship Id="rId1" Type="http://schemas.openxmlformats.org/officeDocument/2006/relationships/package" Target="../embeddings/Microsoft_Excel_Worksheet168.xlsx" /></Relationships>
</file>

<file path=word/charts/_rels/chart169.xml.rels>&#65279;<?xml version="1.0" encoding="utf-8" standalone="yes"?><Relationships xmlns="http://schemas.openxmlformats.org/package/2006/relationships"><Relationship Id="rId1" Type="http://schemas.openxmlformats.org/officeDocument/2006/relationships/package" Target="../embeddings/Microsoft_Excel_Worksheet169.xlsx" /></Relationships>
</file>

<file path=word/charts/_rels/chart17.xml.rels>&#65279;<?xml version="1.0" encoding="utf-8" standalone="yes"?><Relationships xmlns="http://schemas.openxmlformats.org/package/2006/relationships"><Relationship Id="rId1" Type="http://schemas.openxmlformats.org/officeDocument/2006/relationships/package" Target="../embeddings/Microsoft_Excel_Worksheet17.xlsx" /></Relationships>
</file>

<file path=word/charts/_rels/chart170.xml.rels>&#65279;<?xml version="1.0" encoding="utf-8" standalone="yes"?><Relationships xmlns="http://schemas.openxmlformats.org/package/2006/relationships"><Relationship Id="rId1" Type="http://schemas.openxmlformats.org/officeDocument/2006/relationships/package" Target="../embeddings/Microsoft_Excel_Worksheet170.xlsx" /></Relationships>
</file>

<file path=word/charts/_rels/chart171.xml.rels>&#65279;<?xml version="1.0" encoding="utf-8" standalone="yes"?><Relationships xmlns="http://schemas.openxmlformats.org/package/2006/relationships"><Relationship Id="rId1" Type="http://schemas.openxmlformats.org/officeDocument/2006/relationships/package" Target="../embeddings/Microsoft_Excel_Worksheet171.xlsx" /></Relationships>
</file>

<file path=word/charts/_rels/chart172.xml.rels>&#65279;<?xml version="1.0" encoding="utf-8" standalone="yes"?><Relationships xmlns="http://schemas.openxmlformats.org/package/2006/relationships"><Relationship Id="rId1" Type="http://schemas.openxmlformats.org/officeDocument/2006/relationships/package" Target="../embeddings/Microsoft_Excel_Worksheet172.xlsx" /></Relationships>
</file>

<file path=word/charts/_rels/chart173.xml.rels>&#65279;<?xml version="1.0" encoding="utf-8" standalone="yes"?><Relationships xmlns="http://schemas.openxmlformats.org/package/2006/relationships"><Relationship Id="rId1" Type="http://schemas.openxmlformats.org/officeDocument/2006/relationships/package" Target="../embeddings/Microsoft_Excel_Worksheet173.xlsx" /><Relationship Id="rId2" Type="http://schemas.openxmlformats.org/officeDocument/2006/relationships/themeOverride" Target="../theme/themeOverride38.xml" /></Relationships>
</file>

<file path=word/charts/_rels/chart174.xml.rels>&#65279;<?xml version="1.0" encoding="utf-8" standalone="yes"?><Relationships xmlns="http://schemas.openxmlformats.org/package/2006/relationships"><Relationship Id="rId1" Type="http://schemas.openxmlformats.org/officeDocument/2006/relationships/package" Target="../embeddings/Microsoft_Excel_Worksheet174.xlsx" /></Relationships>
</file>

<file path=word/charts/_rels/chart175.xml.rels>&#65279;<?xml version="1.0" encoding="utf-8" standalone="yes"?><Relationships xmlns="http://schemas.openxmlformats.org/package/2006/relationships"><Relationship Id="rId1" Type="http://schemas.openxmlformats.org/officeDocument/2006/relationships/package" Target="../embeddings/Microsoft_Excel_Worksheet175.xlsx" /></Relationships>
</file>

<file path=word/charts/_rels/chart176.xml.rels>&#65279;<?xml version="1.0" encoding="utf-8" standalone="yes"?><Relationships xmlns="http://schemas.openxmlformats.org/package/2006/relationships"><Relationship Id="rId1" Type="http://schemas.openxmlformats.org/officeDocument/2006/relationships/package" Target="../embeddings/Microsoft_Excel_Worksheet176.xlsx" /></Relationships>
</file>

<file path=word/charts/_rels/chart177.xml.rels>&#65279;<?xml version="1.0" encoding="utf-8" standalone="yes"?><Relationships xmlns="http://schemas.openxmlformats.org/package/2006/relationships"><Relationship Id="rId1" Type="http://schemas.openxmlformats.org/officeDocument/2006/relationships/package" Target="../embeddings/Microsoft_Excel_Worksheet177.xlsx" /></Relationships>
</file>

<file path=word/charts/_rels/chart178.xml.rels>&#65279;<?xml version="1.0" encoding="utf-8" standalone="yes"?><Relationships xmlns="http://schemas.openxmlformats.org/package/2006/relationships"><Relationship Id="rId1" Type="http://schemas.openxmlformats.org/officeDocument/2006/relationships/package" Target="../embeddings/Microsoft_Excel_Worksheet178.xlsx" /><Relationship Id="rId2" Type="http://schemas.openxmlformats.org/officeDocument/2006/relationships/themeOverride" Target="../theme/themeOverride39.xml" /></Relationships>
</file>

<file path=word/charts/_rels/chart179.xml.rels>&#65279;<?xml version="1.0" encoding="utf-8" standalone="yes"?><Relationships xmlns="http://schemas.openxmlformats.org/package/2006/relationships"><Relationship Id="rId1" Type="http://schemas.openxmlformats.org/officeDocument/2006/relationships/package" Target="../embeddings/Microsoft_Excel_Worksheet179.xlsx" /><Relationship Id="rId2" Type="http://schemas.openxmlformats.org/officeDocument/2006/relationships/themeOverride" Target="../theme/themeOverride40.xml" /></Relationships>
</file>

<file path=word/charts/_rels/chart18.xml.rels>&#65279;<?xml version="1.0" encoding="utf-8" standalone="yes"?><Relationships xmlns="http://schemas.openxmlformats.org/package/2006/relationships"><Relationship Id="rId1" Type="http://schemas.openxmlformats.org/officeDocument/2006/relationships/package" Target="../embeddings/Microsoft_Excel_Worksheet18.xlsx" /></Relationships>
</file>

<file path=word/charts/_rels/chart180.xml.rels>&#65279;<?xml version="1.0" encoding="utf-8" standalone="yes"?><Relationships xmlns="http://schemas.openxmlformats.org/package/2006/relationships"><Relationship Id="rId1" Type="http://schemas.openxmlformats.org/officeDocument/2006/relationships/package" Target="../embeddings/Microsoft_Excel_Worksheet180.xlsx" /></Relationships>
</file>

<file path=word/charts/_rels/chart181.xml.rels>&#65279;<?xml version="1.0" encoding="utf-8" standalone="yes"?><Relationships xmlns="http://schemas.openxmlformats.org/package/2006/relationships"><Relationship Id="rId1" Type="http://schemas.openxmlformats.org/officeDocument/2006/relationships/package" Target="../embeddings/Microsoft_Excel_Worksheet181.xlsx" /><Relationship Id="rId2" Type="http://schemas.openxmlformats.org/officeDocument/2006/relationships/themeOverride" Target="../theme/themeOverride41.xml" /></Relationships>
</file>

<file path=word/charts/_rels/chart182.xml.rels>&#65279;<?xml version="1.0" encoding="utf-8" standalone="yes"?><Relationships xmlns="http://schemas.openxmlformats.org/package/2006/relationships"><Relationship Id="rId1" Type="http://schemas.openxmlformats.org/officeDocument/2006/relationships/package" Target="../embeddings/Microsoft_Excel_Worksheet182.xlsx" /></Relationships>
</file>

<file path=word/charts/_rels/chart183.xml.rels>&#65279;<?xml version="1.0" encoding="utf-8" standalone="yes"?><Relationships xmlns="http://schemas.openxmlformats.org/package/2006/relationships"><Relationship Id="rId1" Type="http://schemas.openxmlformats.org/officeDocument/2006/relationships/package" Target="../embeddings/Microsoft_Excel_Worksheet183.xlsx" /></Relationships>
</file>

<file path=word/charts/_rels/chart184.xml.rels>&#65279;<?xml version="1.0" encoding="utf-8" standalone="yes"?><Relationships xmlns="http://schemas.openxmlformats.org/package/2006/relationships"><Relationship Id="rId1" Type="http://schemas.openxmlformats.org/officeDocument/2006/relationships/package" Target="../embeddings/Microsoft_Excel_Worksheet184.xlsx" /></Relationships>
</file>

<file path=word/charts/_rels/chart185.xml.rels>&#65279;<?xml version="1.0" encoding="utf-8" standalone="yes"?><Relationships xmlns="http://schemas.openxmlformats.org/package/2006/relationships"><Relationship Id="rId1" Type="http://schemas.openxmlformats.org/officeDocument/2006/relationships/package" Target="../embeddings/Microsoft_Excel_Worksheet185.xlsx" /></Relationships>
</file>

<file path=word/charts/_rels/chart186.xml.rels>&#65279;<?xml version="1.0" encoding="utf-8" standalone="yes"?><Relationships xmlns="http://schemas.openxmlformats.org/package/2006/relationships"><Relationship Id="rId1" Type="http://schemas.openxmlformats.org/officeDocument/2006/relationships/package" Target="../embeddings/Microsoft_Excel_Worksheet186.xlsx" /></Relationships>
</file>

<file path=word/charts/_rels/chart187.xml.rels>&#65279;<?xml version="1.0" encoding="utf-8" standalone="yes"?><Relationships xmlns="http://schemas.openxmlformats.org/package/2006/relationships"><Relationship Id="rId1" Type="http://schemas.openxmlformats.org/officeDocument/2006/relationships/package" Target="../embeddings/Microsoft_Excel_Worksheet187.xlsx" /></Relationships>
</file>

<file path=word/charts/_rels/chart188.xml.rels>&#65279;<?xml version="1.0" encoding="utf-8" standalone="yes"?><Relationships xmlns="http://schemas.openxmlformats.org/package/2006/relationships"><Relationship Id="rId1" Type="http://schemas.openxmlformats.org/officeDocument/2006/relationships/package" Target="../embeddings/Microsoft_Excel_Worksheet188.xlsx" /></Relationships>
</file>

<file path=word/charts/_rels/chart189.xml.rels>&#65279;<?xml version="1.0" encoding="utf-8" standalone="yes"?><Relationships xmlns="http://schemas.openxmlformats.org/package/2006/relationships"><Relationship Id="rId1" Type="http://schemas.openxmlformats.org/officeDocument/2006/relationships/package" Target="../embeddings/Microsoft_Excel_Worksheet189.xlsx" /></Relationships>
</file>

<file path=word/charts/_rels/chart19.xml.rels>&#65279;<?xml version="1.0" encoding="utf-8" standalone="yes"?><Relationships xmlns="http://schemas.openxmlformats.org/package/2006/relationships"><Relationship Id="rId1" Type="http://schemas.openxmlformats.org/officeDocument/2006/relationships/package" Target="../embeddings/Microsoft_Excel_Worksheet19.xlsx" /></Relationships>
</file>

<file path=word/charts/_rels/chart190.xml.rels>&#65279;<?xml version="1.0" encoding="utf-8" standalone="yes"?><Relationships xmlns="http://schemas.openxmlformats.org/package/2006/relationships"><Relationship Id="rId1" Type="http://schemas.openxmlformats.org/officeDocument/2006/relationships/package" Target="../embeddings/Microsoft_Excel_Worksheet190.xlsx" /><Relationship Id="rId2" Type="http://schemas.openxmlformats.org/officeDocument/2006/relationships/themeOverride" Target="../theme/themeOverride42.xml" /></Relationships>
</file>

<file path=word/charts/_rels/chart191.xml.rels>&#65279;<?xml version="1.0" encoding="utf-8" standalone="yes"?><Relationships xmlns="http://schemas.openxmlformats.org/package/2006/relationships"><Relationship Id="rId1" Type="http://schemas.openxmlformats.org/officeDocument/2006/relationships/package" Target="../embeddings/Microsoft_Excel_Worksheet191.xlsx" /></Relationships>
</file>

<file path=word/charts/_rels/chart192.xml.rels>&#65279;<?xml version="1.0" encoding="utf-8" standalone="yes"?><Relationships xmlns="http://schemas.openxmlformats.org/package/2006/relationships"><Relationship Id="rId1" Type="http://schemas.openxmlformats.org/officeDocument/2006/relationships/package" Target="../embeddings/Microsoft_Excel_Worksheet192.xlsx" /></Relationships>
</file>

<file path=word/charts/_rels/chart193.xml.rels>&#65279;<?xml version="1.0" encoding="utf-8" standalone="yes"?><Relationships xmlns="http://schemas.openxmlformats.org/package/2006/relationships"><Relationship Id="rId1" Type="http://schemas.openxmlformats.org/officeDocument/2006/relationships/package" Target="../embeddings/Microsoft_Excel_Worksheet193.xlsx" /></Relationships>
</file>

<file path=word/charts/_rels/chart194.xml.rels>&#65279;<?xml version="1.0" encoding="utf-8" standalone="yes"?><Relationships xmlns="http://schemas.openxmlformats.org/package/2006/relationships"><Relationship Id="rId1" Type="http://schemas.openxmlformats.org/officeDocument/2006/relationships/package" Target="../embeddings/Microsoft_Excel_Worksheet194.xlsx" /></Relationships>
</file>

<file path=word/charts/_rels/chart195.xml.rels>&#65279;<?xml version="1.0" encoding="utf-8" standalone="yes"?><Relationships xmlns="http://schemas.openxmlformats.org/package/2006/relationships"><Relationship Id="rId1" Type="http://schemas.openxmlformats.org/officeDocument/2006/relationships/package" Target="../embeddings/Microsoft_Excel_Worksheet195.xlsx" /><Relationship Id="rId2" Type="http://schemas.openxmlformats.org/officeDocument/2006/relationships/themeOverride" Target="../theme/themeOverride43.xml" /></Relationships>
</file>

<file path=word/charts/_rels/chart196.xml.rels>&#65279;<?xml version="1.0" encoding="utf-8" standalone="yes"?><Relationships xmlns="http://schemas.openxmlformats.org/package/2006/relationships"><Relationship Id="rId1" Type="http://schemas.openxmlformats.org/officeDocument/2006/relationships/package" Target="../embeddings/Microsoft_Excel_Worksheet196.xlsx" /><Relationship Id="rId2" Type="http://schemas.openxmlformats.org/officeDocument/2006/relationships/themeOverride" Target="../theme/themeOverride44.xml" /></Relationships>
</file>

<file path=word/charts/_rels/chart197.xml.rels>&#65279;<?xml version="1.0" encoding="utf-8" standalone="yes"?><Relationships xmlns="http://schemas.openxmlformats.org/package/2006/relationships"><Relationship Id="rId1" Type="http://schemas.openxmlformats.org/officeDocument/2006/relationships/package" Target="../embeddings/Microsoft_Excel_Worksheet197.xlsx" /></Relationships>
</file>

<file path=word/charts/_rels/chart198.xml.rels>&#65279;<?xml version="1.0" encoding="utf-8" standalone="yes"?><Relationships xmlns="http://schemas.openxmlformats.org/package/2006/relationships"><Relationship Id="rId1" Type="http://schemas.openxmlformats.org/officeDocument/2006/relationships/package" Target="../embeddings/Microsoft_Excel_Worksheet198.xlsx" /><Relationship Id="rId2" Type="http://schemas.openxmlformats.org/officeDocument/2006/relationships/themeOverride" Target="../theme/themeOverride45.xml" /></Relationships>
</file>

<file path=word/charts/_rels/chart199.xml.rels>&#65279;<?xml version="1.0" encoding="utf-8" standalone="yes"?><Relationships xmlns="http://schemas.openxmlformats.org/package/2006/relationships"><Relationship Id="rId1" Type="http://schemas.openxmlformats.org/officeDocument/2006/relationships/package" Target="../embeddings/Microsoft_Excel_Worksheet199.xlsx" /></Relationships>
</file>

<file path=word/charts/_rels/chart2.xml.rels>&#65279;<?xml version="1.0" encoding="utf-8" standalone="yes"?><Relationships xmlns="http://schemas.openxmlformats.org/package/2006/relationships"><Relationship Id="rId1" Type="http://schemas.openxmlformats.org/officeDocument/2006/relationships/package" Target="../embeddings/Microsoft_Excel_Worksheet2.xlsx" /></Relationships>
</file>

<file path=word/charts/_rels/chart20.xml.rels>&#65279;<?xml version="1.0" encoding="utf-8" standalone="yes"?><Relationships xmlns="http://schemas.openxmlformats.org/package/2006/relationships"><Relationship Id="rId1" Type="http://schemas.openxmlformats.org/officeDocument/2006/relationships/package" Target="../embeddings/Microsoft_Excel_Worksheet20.xlsx" /><Relationship Id="rId2" Type="http://schemas.openxmlformats.org/officeDocument/2006/relationships/themeOverride" Target="../theme/themeOverride2.xml" /></Relationships>
</file>

<file path=word/charts/_rels/chart200.xml.rels>&#65279;<?xml version="1.0" encoding="utf-8" standalone="yes"?><Relationships xmlns="http://schemas.openxmlformats.org/package/2006/relationships"><Relationship Id="rId1" Type="http://schemas.openxmlformats.org/officeDocument/2006/relationships/package" Target="../embeddings/Microsoft_Excel_Worksheet200.xlsx" /></Relationships>
</file>

<file path=word/charts/_rels/chart201.xml.rels>&#65279;<?xml version="1.0" encoding="utf-8" standalone="yes"?><Relationships xmlns="http://schemas.openxmlformats.org/package/2006/relationships"><Relationship Id="rId1" Type="http://schemas.openxmlformats.org/officeDocument/2006/relationships/package" Target="../embeddings/Microsoft_Excel_Worksheet201.xlsx" /></Relationships>
</file>

<file path=word/charts/_rels/chart202.xml.rels>&#65279;<?xml version="1.0" encoding="utf-8" standalone="yes"?><Relationships xmlns="http://schemas.openxmlformats.org/package/2006/relationships"><Relationship Id="rId1" Type="http://schemas.openxmlformats.org/officeDocument/2006/relationships/package" Target="../embeddings/Microsoft_Excel_Worksheet202.xlsx" /></Relationships>
</file>

<file path=word/charts/_rels/chart203.xml.rels>&#65279;<?xml version="1.0" encoding="utf-8" standalone="yes"?><Relationships xmlns="http://schemas.openxmlformats.org/package/2006/relationships"><Relationship Id="rId1" Type="http://schemas.openxmlformats.org/officeDocument/2006/relationships/package" Target="../embeddings/Microsoft_Excel_Worksheet203.xlsx" /></Relationships>
</file>

<file path=word/charts/_rels/chart204.xml.rels>&#65279;<?xml version="1.0" encoding="utf-8" standalone="yes"?><Relationships xmlns="http://schemas.openxmlformats.org/package/2006/relationships"><Relationship Id="rId1" Type="http://schemas.openxmlformats.org/officeDocument/2006/relationships/package" Target="../embeddings/Microsoft_Excel_Worksheet204.xlsx" /></Relationships>
</file>

<file path=word/charts/_rels/chart205.xml.rels>&#65279;<?xml version="1.0" encoding="utf-8" standalone="yes"?><Relationships xmlns="http://schemas.openxmlformats.org/package/2006/relationships"><Relationship Id="rId1" Type="http://schemas.openxmlformats.org/officeDocument/2006/relationships/package" Target="../embeddings/Microsoft_Excel_Worksheet205.xlsx" /></Relationships>
</file>

<file path=word/charts/_rels/chart206.xml.rels>&#65279;<?xml version="1.0" encoding="utf-8" standalone="yes"?><Relationships xmlns="http://schemas.openxmlformats.org/package/2006/relationships"><Relationship Id="rId1" Type="http://schemas.openxmlformats.org/officeDocument/2006/relationships/package" Target="../embeddings/Microsoft_Excel_Worksheet206.xlsx" /></Relationships>
</file>

<file path=word/charts/_rels/chart207.xml.rels>&#65279;<?xml version="1.0" encoding="utf-8" standalone="yes"?><Relationships xmlns="http://schemas.openxmlformats.org/package/2006/relationships"><Relationship Id="rId1" Type="http://schemas.openxmlformats.org/officeDocument/2006/relationships/package" Target="../embeddings/Microsoft_Excel_Worksheet207.xlsx" /><Relationship Id="rId2" Type="http://schemas.openxmlformats.org/officeDocument/2006/relationships/themeOverride" Target="../theme/themeOverride46.xml" /></Relationships>
</file>

<file path=word/charts/_rels/chart208.xml.rels>&#65279;<?xml version="1.0" encoding="utf-8" standalone="yes"?><Relationships xmlns="http://schemas.openxmlformats.org/package/2006/relationships"><Relationship Id="rId1" Type="http://schemas.openxmlformats.org/officeDocument/2006/relationships/package" Target="../embeddings/Microsoft_Excel_Worksheet208.xlsx" /></Relationships>
</file>

<file path=word/charts/_rels/chart209.xml.rels>&#65279;<?xml version="1.0" encoding="utf-8" standalone="yes"?><Relationships xmlns="http://schemas.openxmlformats.org/package/2006/relationships"><Relationship Id="rId1" Type="http://schemas.openxmlformats.org/officeDocument/2006/relationships/package" Target="../embeddings/Microsoft_Excel_Worksheet209.xlsx" /></Relationships>
</file>

<file path=word/charts/_rels/chart21.xml.rels>&#65279;<?xml version="1.0" encoding="utf-8" standalone="yes"?><Relationships xmlns="http://schemas.openxmlformats.org/package/2006/relationships"><Relationship Id="rId1" Type="http://schemas.openxmlformats.org/officeDocument/2006/relationships/package" Target="../embeddings/Microsoft_Excel_Worksheet21.xlsx" /></Relationships>
</file>

<file path=word/charts/_rels/chart210.xml.rels>&#65279;<?xml version="1.0" encoding="utf-8" standalone="yes"?><Relationships xmlns="http://schemas.openxmlformats.org/package/2006/relationships"><Relationship Id="rId1" Type="http://schemas.openxmlformats.org/officeDocument/2006/relationships/package" Target="../embeddings/Microsoft_Excel_Worksheet210.xlsx" /></Relationships>
</file>

<file path=word/charts/_rels/chart211.xml.rels>&#65279;<?xml version="1.0" encoding="utf-8" standalone="yes"?><Relationships xmlns="http://schemas.openxmlformats.org/package/2006/relationships"><Relationship Id="rId1" Type="http://schemas.openxmlformats.org/officeDocument/2006/relationships/package" Target="../embeddings/Microsoft_Excel_Worksheet211.xlsx" /></Relationships>
</file>

<file path=word/charts/_rels/chart212.xml.rels>&#65279;<?xml version="1.0" encoding="utf-8" standalone="yes"?><Relationships xmlns="http://schemas.openxmlformats.org/package/2006/relationships"><Relationship Id="rId1" Type="http://schemas.openxmlformats.org/officeDocument/2006/relationships/package" Target="../embeddings/Microsoft_Excel_Worksheet212.xlsx" /><Relationship Id="rId2" Type="http://schemas.openxmlformats.org/officeDocument/2006/relationships/themeOverride" Target="../theme/themeOverride47.xml" /></Relationships>
</file>

<file path=word/charts/_rels/chart213.xml.rels>&#65279;<?xml version="1.0" encoding="utf-8" standalone="yes"?><Relationships xmlns="http://schemas.openxmlformats.org/package/2006/relationships"><Relationship Id="rId1" Type="http://schemas.openxmlformats.org/officeDocument/2006/relationships/package" Target="../embeddings/Microsoft_Excel_Worksheet213.xlsx" /><Relationship Id="rId2" Type="http://schemas.openxmlformats.org/officeDocument/2006/relationships/themeOverride" Target="../theme/themeOverride48.xml" /></Relationships>
</file>

<file path=word/charts/_rels/chart214.xml.rels>&#65279;<?xml version="1.0" encoding="utf-8" standalone="yes"?><Relationships xmlns="http://schemas.openxmlformats.org/package/2006/relationships"><Relationship Id="rId1" Type="http://schemas.openxmlformats.org/officeDocument/2006/relationships/package" Target="../embeddings/Microsoft_Excel_Worksheet214.xlsx" /></Relationships>
</file>

<file path=word/charts/_rels/chart215.xml.rels>&#65279;<?xml version="1.0" encoding="utf-8" standalone="yes"?><Relationships xmlns="http://schemas.openxmlformats.org/package/2006/relationships"><Relationship Id="rId1" Type="http://schemas.openxmlformats.org/officeDocument/2006/relationships/package" Target="../embeddings/Microsoft_Excel_Worksheet215.xlsx" /><Relationship Id="rId2" Type="http://schemas.openxmlformats.org/officeDocument/2006/relationships/themeOverride" Target="../theme/themeOverride49.xml" /></Relationships>
</file>

<file path=word/charts/_rels/chart216.xml.rels>&#65279;<?xml version="1.0" encoding="utf-8" standalone="yes"?><Relationships xmlns="http://schemas.openxmlformats.org/package/2006/relationships"><Relationship Id="rId1" Type="http://schemas.openxmlformats.org/officeDocument/2006/relationships/package" Target="../embeddings/Microsoft_Excel_Worksheet216.xlsx" /></Relationships>
</file>

<file path=word/charts/_rels/chart217.xml.rels>&#65279;<?xml version="1.0" encoding="utf-8" standalone="yes"?><Relationships xmlns="http://schemas.openxmlformats.org/package/2006/relationships"><Relationship Id="rId1" Type="http://schemas.openxmlformats.org/officeDocument/2006/relationships/package" Target="../embeddings/Microsoft_Excel_Worksheet217.xlsx" /></Relationships>
</file>

<file path=word/charts/_rels/chart218.xml.rels>&#65279;<?xml version="1.0" encoding="utf-8" standalone="yes"?><Relationships xmlns="http://schemas.openxmlformats.org/package/2006/relationships"><Relationship Id="rId1" Type="http://schemas.openxmlformats.org/officeDocument/2006/relationships/package" Target="../embeddings/Microsoft_Excel_Worksheet218.xlsx" /><Relationship Id="rId2" Type="http://schemas.openxmlformats.org/officeDocument/2006/relationships/chartUserShapes" Target="../drawings/drawing3.xml" /></Relationships>
</file>

<file path=word/charts/_rels/chart219.xml.rels>&#65279;<?xml version="1.0" encoding="utf-8" standalone="yes"?><Relationships xmlns="http://schemas.openxmlformats.org/package/2006/relationships"><Relationship Id="rId1" Type="http://schemas.openxmlformats.org/officeDocument/2006/relationships/package" Target="../embeddings/Microsoft_Excel_Worksheet219.xlsx" /></Relationships>
</file>

<file path=word/charts/_rels/chart22.xml.rels>&#65279;<?xml version="1.0" encoding="utf-8" standalone="yes"?><Relationships xmlns="http://schemas.openxmlformats.org/package/2006/relationships"><Relationship Id="rId1" Type="http://schemas.openxmlformats.org/officeDocument/2006/relationships/package" Target="../embeddings/Microsoft_Excel_Worksheet22.xlsx" /></Relationships>
</file>

<file path=word/charts/_rels/chart220.xml.rels>&#65279;<?xml version="1.0" encoding="utf-8" standalone="yes"?><Relationships xmlns="http://schemas.openxmlformats.org/package/2006/relationships"><Relationship Id="rId1" Type="http://schemas.openxmlformats.org/officeDocument/2006/relationships/package" Target="../embeddings/Microsoft_Excel_Worksheet220.xlsx" /></Relationships>
</file>

<file path=word/charts/_rels/chart221.xml.rels>&#65279;<?xml version="1.0" encoding="utf-8" standalone="yes"?><Relationships xmlns="http://schemas.openxmlformats.org/package/2006/relationships"><Relationship Id="rId1" Type="http://schemas.openxmlformats.org/officeDocument/2006/relationships/package" Target="../embeddings/Microsoft_Excel_Worksheet221.xlsx" /></Relationships>
</file>

<file path=word/charts/_rels/chart222.xml.rels>&#65279;<?xml version="1.0" encoding="utf-8" standalone="yes"?><Relationships xmlns="http://schemas.openxmlformats.org/package/2006/relationships"><Relationship Id="rId1" Type="http://schemas.openxmlformats.org/officeDocument/2006/relationships/package" Target="../embeddings/Microsoft_Excel_Worksheet222.xlsx" /></Relationships>
</file>

<file path=word/charts/_rels/chart223.xml.rels>&#65279;<?xml version="1.0" encoding="utf-8" standalone="yes"?><Relationships xmlns="http://schemas.openxmlformats.org/package/2006/relationships"><Relationship Id="rId1" Type="http://schemas.openxmlformats.org/officeDocument/2006/relationships/package" Target="../embeddings/Microsoft_Excel_Worksheet223.xlsx" /></Relationships>
</file>

<file path=word/charts/_rels/chart224.xml.rels>&#65279;<?xml version="1.0" encoding="utf-8" standalone="yes"?><Relationships xmlns="http://schemas.openxmlformats.org/package/2006/relationships"><Relationship Id="rId1" Type="http://schemas.openxmlformats.org/officeDocument/2006/relationships/package" Target="../embeddings/Microsoft_Excel_Worksheet224.xlsx" /><Relationship Id="rId2" Type="http://schemas.openxmlformats.org/officeDocument/2006/relationships/themeOverride" Target="../theme/themeOverride50.xml" /></Relationships>
</file>

<file path=word/charts/_rels/chart225.xml.rels>&#65279;<?xml version="1.0" encoding="utf-8" standalone="yes"?><Relationships xmlns="http://schemas.openxmlformats.org/package/2006/relationships"><Relationship Id="rId1" Type="http://schemas.openxmlformats.org/officeDocument/2006/relationships/package" Target="../embeddings/Microsoft_Excel_Worksheet225.xlsx" /></Relationships>
</file>

<file path=word/charts/_rels/chart226.xml.rels>&#65279;<?xml version="1.0" encoding="utf-8" standalone="yes"?><Relationships xmlns="http://schemas.openxmlformats.org/package/2006/relationships"><Relationship Id="rId1" Type="http://schemas.openxmlformats.org/officeDocument/2006/relationships/package" Target="../embeddings/Microsoft_Excel_Worksheet226.xlsx" /></Relationships>
</file>

<file path=word/charts/_rels/chart227.xml.rels>&#65279;<?xml version="1.0" encoding="utf-8" standalone="yes"?><Relationships xmlns="http://schemas.openxmlformats.org/package/2006/relationships"><Relationship Id="rId1" Type="http://schemas.openxmlformats.org/officeDocument/2006/relationships/package" Target="../embeddings/Microsoft_Excel_Worksheet227.xlsx" /></Relationships>
</file>

<file path=word/charts/_rels/chart228.xml.rels>&#65279;<?xml version="1.0" encoding="utf-8" standalone="yes"?><Relationships xmlns="http://schemas.openxmlformats.org/package/2006/relationships"><Relationship Id="rId1" Type="http://schemas.openxmlformats.org/officeDocument/2006/relationships/package" Target="../embeddings/Microsoft_Excel_Worksheet228.xlsx" /></Relationships>
</file>

<file path=word/charts/_rels/chart229.xml.rels>&#65279;<?xml version="1.0" encoding="utf-8" standalone="yes"?><Relationships xmlns="http://schemas.openxmlformats.org/package/2006/relationships"><Relationship Id="rId1" Type="http://schemas.openxmlformats.org/officeDocument/2006/relationships/package" Target="../embeddings/Microsoft_Excel_Worksheet229.xlsx" /><Relationship Id="rId2" Type="http://schemas.openxmlformats.org/officeDocument/2006/relationships/themeOverride" Target="../theme/themeOverride51.xml" /></Relationships>
</file>

<file path=word/charts/_rels/chart23.xml.rels>&#65279;<?xml version="1.0" encoding="utf-8" standalone="yes"?><Relationships xmlns="http://schemas.openxmlformats.org/package/2006/relationships"><Relationship Id="rId1" Type="http://schemas.openxmlformats.org/officeDocument/2006/relationships/package" Target="../embeddings/Microsoft_Excel_Worksheet23.xlsx" /></Relationships>
</file>

<file path=word/charts/_rels/chart230.xml.rels>&#65279;<?xml version="1.0" encoding="utf-8" standalone="yes"?><Relationships xmlns="http://schemas.openxmlformats.org/package/2006/relationships"><Relationship Id="rId1" Type="http://schemas.openxmlformats.org/officeDocument/2006/relationships/package" Target="../embeddings/Microsoft_Excel_Worksheet230.xlsx" /><Relationship Id="rId2" Type="http://schemas.openxmlformats.org/officeDocument/2006/relationships/themeOverride" Target="../theme/themeOverride52.xml" /></Relationships>
</file>

<file path=word/charts/_rels/chart231.xml.rels>&#65279;<?xml version="1.0" encoding="utf-8" standalone="yes"?><Relationships xmlns="http://schemas.openxmlformats.org/package/2006/relationships"><Relationship Id="rId1" Type="http://schemas.openxmlformats.org/officeDocument/2006/relationships/package" Target="../embeddings/Microsoft_Excel_Worksheet231.xlsx" /></Relationships>
</file>

<file path=word/charts/_rels/chart232.xml.rels>&#65279;<?xml version="1.0" encoding="utf-8" standalone="yes"?><Relationships xmlns="http://schemas.openxmlformats.org/package/2006/relationships"><Relationship Id="rId1" Type="http://schemas.openxmlformats.org/officeDocument/2006/relationships/package" Target="../embeddings/Microsoft_Excel_Worksheet232.xlsx" /><Relationship Id="rId2" Type="http://schemas.openxmlformats.org/officeDocument/2006/relationships/themeOverride" Target="../theme/themeOverride53.xml" /></Relationships>
</file>

<file path=word/charts/_rels/chart233.xml.rels>&#65279;<?xml version="1.0" encoding="utf-8" standalone="yes"?><Relationships xmlns="http://schemas.openxmlformats.org/package/2006/relationships"><Relationship Id="rId1" Type="http://schemas.openxmlformats.org/officeDocument/2006/relationships/package" Target="../embeddings/Microsoft_Excel_Worksheet233.xlsx" /></Relationships>
</file>

<file path=word/charts/_rels/chart234.xml.rels>&#65279;<?xml version="1.0" encoding="utf-8" standalone="yes"?><Relationships xmlns="http://schemas.openxmlformats.org/package/2006/relationships"><Relationship Id="rId1" Type="http://schemas.openxmlformats.org/officeDocument/2006/relationships/package" Target="../embeddings/Microsoft_Excel_Worksheet234.xlsx" /></Relationships>
</file>

<file path=word/charts/_rels/chart235.xml.rels>&#65279;<?xml version="1.0" encoding="utf-8" standalone="yes"?><Relationships xmlns="http://schemas.openxmlformats.org/package/2006/relationships"><Relationship Id="rId1" Type="http://schemas.openxmlformats.org/officeDocument/2006/relationships/package" Target="../embeddings/Microsoft_Excel_Worksheet235.xlsx" /><Relationship Id="rId2" Type="http://schemas.openxmlformats.org/officeDocument/2006/relationships/chartUserShapes" Target="../drawings/drawing4.xml" /></Relationships>
</file>

<file path=word/charts/_rels/chart236.xml.rels>&#65279;<?xml version="1.0" encoding="utf-8" standalone="yes"?><Relationships xmlns="http://schemas.openxmlformats.org/package/2006/relationships"><Relationship Id="rId1" Type="http://schemas.openxmlformats.org/officeDocument/2006/relationships/package" Target="../embeddings/Microsoft_Excel_Worksheet236.xlsx" /></Relationships>
</file>

<file path=word/charts/_rels/chart237.xml.rels>&#65279;<?xml version="1.0" encoding="utf-8" standalone="yes"?><Relationships xmlns="http://schemas.openxmlformats.org/package/2006/relationships"><Relationship Id="rId1" Type="http://schemas.openxmlformats.org/officeDocument/2006/relationships/package" Target="../embeddings/Microsoft_Excel_Worksheet237.xlsx" /></Relationships>
</file>

<file path=word/charts/_rels/chart238.xml.rels>&#65279;<?xml version="1.0" encoding="utf-8" standalone="yes"?><Relationships xmlns="http://schemas.openxmlformats.org/package/2006/relationships"><Relationship Id="rId1" Type="http://schemas.openxmlformats.org/officeDocument/2006/relationships/package" Target="../embeddings/Microsoft_Excel_Worksheet238.xlsx" /></Relationships>
</file>

<file path=word/charts/_rels/chart239.xml.rels>&#65279;<?xml version="1.0" encoding="utf-8" standalone="yes"?><Relationships xmlns="http://schemas.openxmlformats.org/package/2006/relationships"><Relationship Id="rId1" Type="http://schemas.openxmlformats.org/officeDocument/2006/relationships/package" Target="../embeddings/Microsoft_Excel_Worksheet239.xlsx" /></Relationships>
</file>

<file path=word/charts/_rels/chart24.xml.rels>&#65279;<?xml version="1.0" encoding="utf-8" standalone="yes"?><Relationships xmlns="http://schemas.openxmlformats.org/package/2006/relationships"><Relationship Id="rId1" Type="http://schemas.openxmlformats.org/officeDocument/2006/relationships/package" Target="../embeddings/Microsoft_Excel_Worksheet24.xlsx" /></Relationships>
</file>

<file path=word/charts/_rels/chart240.xml.rels>&#65279;<?xml version="1.0" encoding="utf-8" standalone="yes"?><Relationships xmlns="http://schemas.openxmlformats.org/package/2006/relationships"><Relationship Id="rId1" Type="http://schemas.openxmlformats.org/officeDocument/2006/relationships/package" Target="../embeddings/Microsoft_Excel_Worksheet240.xlsx" /></Relationships>
</file>

<file path=word/charts/_rels/chart241.xml.rels>&#65279;<?xml version="1.0" encoding="utf-8" standalone="yes"?><Relationships xmlns="http://schemas.openxmlformats.org/package/2006/relationships"><Relationship Id="rId1" Type="http://schemas.openxmlformats.org/officeDocument/2006/relationships/package" Target="../embeddings/Microsoft_Excel_Worksheet241.xlsx" /><Relationship Id="rId2" Type="http://schemas.openxmlformats.org/officeDocument/2006/relationships/themeOverride" Target="../theme/themeOverride54.xml" /></Relationships>
</file>

<file path=word/charts/_rels/chart242.xml.rels>&#65279;<?xml version="1.0" encoding="utf-8" standalone="yes"?><Relationships xmlns="http://schemas.openxmlformats.org/package/2006/relationships"><Relationship Id="rId1" Type="http://schemas.openxmlformats.org/officeDocument/2006/relationships/package" Target="../embeddings/Microsoft_Excel_Worksheet242.xlsx" /></Relationships>
</file>

<file path=word/charts/_rels/chart243.xml.rels>&#65279;<?xml version="1.0" encoding="utf-8" standalone="yes"?><Relationships xmlns="http://schemas.openxmlformats.org/package/2006/relationships"><Relationship Id="rId1" Type="http://schemas.openxmlformats.org/officeDocument/2006/relationships/package" Target="../embeddings/Microsoft_Excel_Worksheet243.xlsx" /></Relationships>
</file>

<file path=word/charts/_rels/chart244.xml.rels>&#65279;<?xml version="1.0" encoding="utf-8" standalone="yes"?><Relationships xmlns="http://schemas.openxmlformats.org/package/2006/relationships"><Relationship Id="rId1" Type="http://schemas.openxmlformats.org/officeDocument/2006/relationships/package" Target="../embeddings/Microsoft_Excel_Worksheet244.xlsx" /></Relationships>
</file>

<file path=word/charts/_rels/chart245.xml.rels>&#65279;<?xml version="1.0" encoding="utf-8" standalone="yes"?><Relationships xmlns="http://schemas.openxmlformats.org/package/2006/relationships"><Relationship Id="rId1" Type="http://schemas.openxmlformats.org/officeDocument/2006/relationships/package" Target="../embeddings/Microsoft_Excel_Worksheet245.xlsx" /></Relationships>
</file>

<file path=word/charts/_rels/chart246.xml.rels>&#65279;<?xml version="1.0" encoding="utf-8" standalone="yes"?><Relationships xmlns="http://schemas.openxmlformats.org/package/2006/relationships"><Relationship Id="rId1" Type="http://schemas.openxmlformats.org/officeDocument/2006/relationships/package" Target="../embeddings/Microsoft_Excel_Worksheet246.xlsx" /><Relationship Id="rId2" Type="http://schemas.openxmlformats.org/officeDocument/2006/relationships/themeOverride" Target="../theme/themeOverride55.xml" /></Relationships>
</file>

<file path=word/charts/_rels/chart247.xml.rels>&#65279;<?xml version="1.0" encoding="utf-8" standalone="yes"?><Relationships xmlns="http://schemas.openxmlformats.org/package/2006/relationships"><Relationship Id="rId1" Type="http://schemas.openxmlformats.org/officeDocument/2006/relationships/package" Target="../embeddings/Microsoft_Excel_Worksheet247.xlsx" /><Relationship Id="rId2" Type="http://schemas.openxmlformats.org/officeDocument/2006/relationships/themeOverride" Target="../theme/themeOverride56.xml" /></Relationships>
</file>

<file path=word/charts/_rels/chart248.xml.rels>&#65279;<?xml version="1.0" encoding="utf-8" standalone="yes"?><Relationships xmlns="http://schemas.openxmlformats.org/package/2006/relationships"><Relationship Id="rId1" Type="http://schemas.openxmlformats.org/officeDocument/2006/relationships/package" Target="../embeddings/Microsoft_Excel_Worksheet248.xlsx" /></Relationships>
</file>

<file path=word/charts/_rels/chart249.xml.rels>&#65279;<?xml version="1.0" encoding="utf-8" standalone="yes"?><Relationships xmlns="http://schemas.openxmlformats.org/package/2006/relationships"><Relationship Id="rId1" Type="http://schemas.openxmlformats.org/officeDocument/2006/relationships/package" Target="../embeddings/Microsoft_Excel_Worksheet249.xlsx" /><Relationship Id="rId2" Type="http://schemas.openxmlformats.org/officeDocument/2006/relationships/themeOverride" Target="../theme/themeOverride57.xml" /></Relationships>
</file>

<file path=word/charts/_rels/chart25.xml.rels>&#65279;<?xml version="1.0" encoding="utf-8" standalone="yes"?><Relationships xmlns="http://schemas.openxmlformats.org/package/2006/relationships"><Relationship Id="rId1" Type="http://schemas.openxmlformats.org/officeDocument/2006/relationships/package" Target="../embeddings/Microsoft_Excel_Worksheet25.xlsx" /><Relationship Id="rId2" Type="http://schemas.openxmlformats.org/officeDocument/2006/relationships/themeOverride" Target="../theme/themeOverride3.xml" /></Relationships>
</file>

<file path=word/charts/_rels/chart250.xml.rels>&#65279;<?xml version="1.0" encoding="utf-8" standalone="yes"?><Relationships xmlns="http://schemas.openxmlformats.org/package/2006/relationships"><Relationship Id="rId1" Type="http://schemas.openxmlformats.org/officeDocument/2006/relationships/package" Target="../embeddings/Microsoft_Excel_Worksheet250.xlsx" /></Relationships>
</file>

<file path=word/charts/_rels/chart251.xml.rels>&#65279;<?xml version="1.0" encoding="utf-8" standalone="yes"?><Relationships xmlns="http://schemas.openxmlformats.org/package/2006/relationships"><Relationship Id="rId1" Type="http://schemas.openxmlformats.org/officeDocument/2006/relationships/package" Target="../embeddings/Microsoft_Excel_Worksheet251.xlsx" /></Relationships>
</file>

<file path=word/charts/_rels/chart252.xml.rels>&#65279;<?xml version="1.0" encoding="utf-8" standalone="yes"?><Relationships xmlns="http://schemas.openxmlformats.org/package/2006/relationships"><Relationship Id="rId1" Type="http://schemas.openxmlformats.org/officeDocument/2006/relationships/package" Target="../embeddings/Microsoft_Excel_Worksheet252.xlsx" /></Relationships>
</file>

<file path=word/charts/_rels/chart253.xml.rels>&#65279;<?xml version="1.0" encoding="utf-8" standalone="yes"?><Relationships xmlns="http://schemas.openxmlformats.org/package/2006/relationships"><Relationship Id="rId1" Type="http://schemas.openxmlformats.org/officeDocument/2006/relationships/package" Target="../embeddings/Microsoft_Excel_Worksheet253.xlsx" /></Relationships>
</file>

<file path=word/charts/_rels/chart254.xml.rels>&#65279;<?xml version="1.0" encoding="utf-8" standalone="yes"?><Relationships xmlns="http://schemas.openxmlformats.org/package/2006/relationships"><Relationship Id="rId1" Type="http://schemas.openxmlformats.org/officeDocument/2006/relationships/package" Target="../embeddings/Microsoft_Excel_Worksheet254.xlsx" /></Relationships>
</file>

<file path=word/charts/_rels/chart255.xml.rels>&#65279;<?xml version="1.0" encoding="utf-8" standalone="yes"?><Relationships xmlns="http://schemas.openxmlformats.org/package/2006/relationships"><Relationship Id="rId1" Type="http://schemas.openxmlformats.org/officeDocument/2006/relationships/package" Target="../embeddings/Microsoft_Excel_Worksheet255.xlsx" /></Relationships>
</file>

<file path=word/charts/_rels/chart256.xml.rels>&#65279;<?xml version="1.0" encoding="utf-8" standalone="yes"?><Relationships xmlns="http://schemas.openxmlformats.org/package/2006/relationships"><Relationship Id="rId1" Type="http://schemas.openxmlformats.org/officeDocument/2006/relationships/package" Target="../embeddings/Microsoft_Excel_Worksheet256.xlsx" /><Relationship Id="rId2" Type="http://schemas.openxmlformats.org/officeDocument/2006/relationships/themeOverride" Target="../theme/themeOverride58.xml" /></Relationships>
</file>

<file path=word/charts/_rels/chart257.xml.rels>&#65279;<?xml version="1.0" encoding="utf-8" standalone="yes"?><Relationships xmlns="http://schemas.openxmlformats.org/package/2006/relationships"><Relationship Id="rId1" Type="http://schemas.openxmlformats.org/officeDocument/2006/relationships/package" Target="../embeddings/Microsoft_Excel_Worksheet257.xlsx" /></Relationships>
</file>

<file path=word/charts/_rels/chart258.xml.rels>&#65279;<?xml version="1.0" encoding="utf-8" standalone="yes"?><Relationships xmlns="http://schemas.openxmlformats.org/package/2006/relationships"><Relationship Id="rId1" Type="http://schemas.openxmlformats.org/officeDocument/2006/relationships/package" Target="../embeddings/Microsoft_Excel_Worksheet258.xlsx" /></Relationships>
</file>

<file path=word/charts/_rels/chart259.xml.rels>&#65279;<?xml version="1.0" encoding="utf-8" standalone="yes"?><Relationships xmlns="http://schemas.openxmlformats.org/package/2006/relationships"><Relationship Id="rId1" Type="http://schemas.openxmlformats.org/officeDocument/2006/relationships/package" Target="../embeddings/Microsoft_Excel_Worksheet259.xlsx" /></Relationships>
</file>

<file path=word/charts/_rels/chart26.xml.rels>&#65279;<?xml version="1.0" encoding="utf-8" standalone="yes"?><Relationships xmlns="http://schemas.openxmlformats.org/package/2006/relationships"><Relationship Id="rId1" Type="http://schemas.openxmlformats.org/officeDocument/2006/relationships/package" Target="../embeddings/Microsoft_Excel_Worksheet26.xlsx" /><Relationship Id="rId2" Type="http://schemas.openxmlformats.org/officeDocument/2006/relationships/themeOverride" Target="../theme/themeOverride4.xml" /></Relationships>
</file>

<file path=word/charts/_rels/chart260.xml.rels>&#65279;<?xml version="1.0" encoding="utf-8" standalone="yes"?><Relationships xmlns="http://schemas.openxmlformats.org/package/2006/relationships"><Relationship Id="rId1" Type="http://schemas.openxmlformats.org/officeDocument/2006/relationships/package" Target="../embeddings/Microsoft_Excel_Worksheet260.xlsx" /></Relationships>
</file>

<file path=word/charts/_rels/chart261.xml.rels>&#65279;<?xml version="1.0" encoding="utf-8" standalone="yes"?><Relationships xmlns="http://schemas.openxmlformats.org/package/2006/relationships"><Relationship Id="rId1" Type="http://schemas.openxmlformats.org/officeDocument/2006/relationships/package" Target="../embeddings/Microsoft_Excel_Worksheet261.xlsx" /><Relationship Id="rId2" Type="http://schemas.openxmlformats.org/officeDocument/2006/relationships/themeOverride" Target="../theme/themeOverride59.xml" /></Relationships>
</file>

<file path=word/charts/_rels/chart262.xml.rels>&#65279;<?xml version="1.0" encoding="utf-8" standalone="yes"?><Relationships xmlns="http://schemas.openxmlformats.org/package/2006/relationships"><Relationship Id="rId1" Type="http://schemas.openxmlformats.org/officeDocument/2006/relationships/package" Target="../embeddings/Microsoft_Excel_Worksheet262.xlsx" /><Relationship Id="rId2" Type="http://schemas.openxmlformats.org/officeDocument/2006/relationships/themeOverride" Target="../theme/themeOverride60.xml" /></Relationships>
</file>

<file path=word/charts/_rels/chart263.xml.rels>&#65279;<?xml version="1.0" encoding="utf-8" standalone="yes"?><Relationships xmlns="http://schemas.openxmlformats.org/package/2006/relationships"><Relationship Id="rId1" Type="http://schemas.openxmlformats.org/officeDocument/2006/relationships/package" Target="../embeddings/Microsoft_Excel_Worksheet263.xlsx" /></Relationships>
</file>

<file path=word/charts/_rels/chart264.xml.rels>&#65279;<?xml version="1.0" encoding="utf-8" standalone="yes"?><Relationships xmlns="http://schemas.openxmlformats.org/package/2006/relationships"><Relationship Id="rId1" Type="http://schemas.openxmlformats.org/officeDocument/2006/relationships/package" Target="../embeddings/Microsoft_Excel_Worksheet264.xlsx" /><Relationship Id="rId2" Type="http://schemas.openxmlformats.org/officeDocument/2006/relationships/themeOverride" Target="../theme/themeOverride61.xml" /></Relationships>
</file>

<file path=word/charts/_rels/chart265.xml.rels>&#65279;<?xml version="1.0" encoding="utf-8" standalone="yes"?><Relationships xmlns="http://schemas.openxmlformats.org/package/2006/relationships"><Relationship Id="rId1" Type="http://schemas.openxmlformats.org/officeDocument/2006/relationships/package" Target="../embeddings/Microsoft_Excel_Worksheet265.xlsx" /></Relationships>
</file>

<file path=word/charts/_rels/chart266.xml.rels>&#65279;<?xml version="1.0" encoding="utf-8" standalone="yes"?><Relationships xmlns="http://schemas.openxmlformats.org/package/2006/relationships"><Relationship Id="rId1" Type="http://schemas.openxmlformats.org/officeDocument/2006/relationships/package" Target="../embeddings/Microsoft_Excel_Worksheet266.xlsx" /></Relationships>
</file>

<file path=word/charts/_rels/chart267.xml.rels>&#65279;<?xml version="1.0" encoding="utf-8" standalone="yes"?><Relationships xmlns="http://schemas.openxmlformats.org/package/2006/relationships"><Relationship Id="rId1" Type="http://schemas.openxmlformats.org/officeDocument/2006/relationships/package" Target="../embeddings/Microsoft_Excel_Worksheet267.xlsx" /><Relationship Id="rId2" Type="http://schemas.openxmlformats.org/officeDocument/2006/relationships/themeOverride" Target="../theme/themeOverride62.xml" /></Relationships>
</file>

<file path=word/charts/_rels/chart268.xml.rels>&#65279;<?xml version="1.0" encoding="utf-8" standalone="yes"?><Relationships xmlns="http://schemas.openxmlformats.org/package/2006/relationships"><Relationship Id="rId1" Type="http://schemas.openxmlformats.org/officeDocument/2006/relationships/package" Target="../embeddings/Microsoft_Excel_Worksheet268.xlsx" /></Relationships>
</file>

<file path=word/charts/_rels/chart269.xml.rels>&#65279;<?xml version="1.0" encoding="utf-8" standalone="yes"?><Relationships xmlns="http://schemas.openxmlformats.org/package/2006/relationships"><Relationship Id="rId1" Type="http://schemas.openxmlformats.org/officeDocument/2006/relationships/package" Target="../embeddings/Microsoft_Excel_Worksheet269.xlsx" /></Relationships>
</file>

<file path=word/charts/_rels/chart27.xml.rels>&#65279;<?xml version="1.0" encoding="utf-8" standalone="yes"?><Relationships xmlns="http://schemas.openxmlformats.org/package/2006/relationships"><Relationship Id="rId1" Type="http://schemas.openxmlformats.org/officeDocument/2006/relationships/package" Target="../embeddings/Microsoft_Excel_Worksheet27.xlsx" /></Relationships>
</file>

<file path=word/charts/_rels/chart270.xml.rels>&#65279;<?xml version="1.0" encoding="utf-8" standalone="yes"?><Relationships xmlns="http://schemas.openxmlformats.org/package/2006/relationships"><Relationship Id="rId1" Type="http://schemas.openxmlformats.org/officeDocument/2006/relationships/package" Target="../embeddings/Microsoft_Excel_Worksheet270.xlsx" /></Relationships>
</file>

<file path=word/charts/_rels/chart271.xml.rels>&#65279;<?xml version="1.0" encoding="utf-8" standalone="yes"?><Relationships xmlns="http://schemas.openxmlformats.org/package/2006/relationships"><Relationship Id="rId1" Type="http://schemas.openxmlformats.org/officeDocument/2006/relationships/package" Target="../embeddings/Microsoft_Excel_Worksheet271.xlsx" /></Relationships>
</file>

<file path=word/charts/_rels/chart272.xml.rels>&#65279;<?xml version="1.0" encoding="utf-8" standalone="yes"?><Relationships xmlns="http://schemas.openxmlformats.org/package/2006/relationships"><Relationship Id="rId1" Type="http://schemas.openxmlformats.org/officeDocument/2006/relationships/package" Target="../embeddings/Microsoft_Excel_Worksheet272.xlsx" /><Relationship Id="rId2" Type="http://schemas.openxmlformats.org/officeDocument/2006/relationships/themeOverride" Target="../theme/themeOverride63.xml" /></Relationships>
</file>

<file path=word/charts/_rels/chart273.xml.rels>&#65279;<?xml version="1.0" encoding="utf-8" standalone="yes"?><Relationships xmlns="http://schemas.openxmlformats.org/package/2006/relationships"><Relationship Id="rId1" Type="http://schemas.openxmlformats.org/officeDocument/2006/relationships/package" Target="../embeddings/Microsoft_Excel_Worksheet273.xlsx" /><Relationship Id="rId2" Type="http://schemas.openxmlformats.org/officeDocument/2006/relationships/themeOverride" Target="../theme/themeOverride64.xml" /></Relationships>
</file>

<file path=word/charts/_rels/chart274.xml.rels>&#65279;<?xml version="1.0" encoding="utf-8" standalone="yes"?><Relationships xmlns="http://schemas.openxmlformats.org/package/2006/relationships"><Relationship Id="rId1" Type="http://schemas.openxmlformats.org/officeDocument/2006/relationships/package" Target="../embeddings/Microsoft_Excel_Worksheet274.xlsx" /></Relationships>
</file>

<file path=word/charts/_rels/chart275.xml.rels>&#65279;<?xml version="1.0" encoding="utf-8" standalone="yes"?><Relationships xmlns="http://schemas.openxmlformats.org/package/2006/relationships"><Relationship Id="rId1" Type="http://schemas.openxmlformats.org/officeDocument/2006/relationships/package" Target="../embeddings/Microsoft_Excel_Worksheet275.xlsx" /><Relationship Id="rId2" Type="http://schemas.openxmlformats.org/officeDocument/2006/relationships/themeOverride" Target="../theme/themeOverride65.xml" /></Relationships>
</file>

<file path=word/charts/_rels/chart276.xml.rels>&#65279;<?xml version="1.0" encoding="utf-8" standalone="yes"?><Relationships xmlns="http://schemas.openxmlformats.org/package/2006/relationships"><Relationship Id="rId1" Type="http://schemas.openxmlformats.org/officeDocument/2006/relationships/package" Target="../embeddings/Microsoft_Excel_Worksheet276.xlsx" /></Relationships>
</file>

<file path=word/charts/_rels/chart277.xml.rels>&#65279;<?xml version="1.0" encoding="utf-8" standalone="yes"?><Relationships xmlns="http://schemas.openxmlformats.org/package/2006/relationships"><Relationship Id="rId1" Type="http://schemas.openxmlformats.org/officeDocument/2006/relationships/package" Target="../embeddings/Microsoft_Excel_Worksheet277.xlsx" /></Relationships>
</file>

<file path=word/charts/_rels/chart278.xml.rels>&#65279;<?xml version="1.0" encoding="utf-8" standalone="yes"?><Relationships xmlns="http://schemas.openxmlformats.org/package/2006/relationships"><Relationship Id="rId1" Type="http://schemas.openxmlformats.org/officeDocument/2006/relationships/package" Target="../embeddings/Microsoft_Excel_Worksheet278.xlsx" /></Relationships>
</file>

<file path=word/charts/_rels/chart279.xml.rels>&#65279;<?xml version="1.0" encoding="utf-8" standalone="yes"?><Relationships xmlns="http://schemas.openxmlformats.org/package/2006/relationships"><Relationship Id="rId1" Type="http://schemas.openxmlformats.org/officeDocument/2006/relationships/package" Target="../embeddings/Microsoft_Excel_Worksheet279.xlsx" /></Relationships>
</file>

<file path=word/charts/_rels/chart28.xml.rels>&#65279;<?xml version="1.0" encoding="utf-8" standalone="yes"?><Relationships xmlns="http://schemas.openxmlformats.org/package/2006/relationships"><Relationship Id="rId1" Type="http://schemas.openxmlformats.org/officeDocument/2006/relationships/package" Target="../embeddings/Microsoft_Excel_Worksheet28.xlsx" /><Relationship Id="rId2" Type="http://schemas.openxmlformats.org/officeDocument/2006/relationships/themeOverride" Target="../theme/themeOverride5.xml" /></Relationships>
</file>

<file path=word/charts/_rels/chart280.xml.rels>&#65279;<?xml version="1.0" encoding="utf-8" standalone="yes"?><Relationships xmlns="http://schemas.openxmlformats.org/package/2006/relationships"><Relationship Id="rId1" Type="http://schemas.openxmlformats.org/officeDocument/2006/relationships/package" Target="../embeddings/Microsoft_Excel_Worksheet280.xlsx" /></Relationships>
</file>

<file path=word/charts/_rels/chart281.xml.rels>&#65279;<?xml version="1.0" encoding="utf-8" standalone="yes"?><Relationships xmlns="http://schemas.openxmlformats.org/package/2006/relationships"><Relationship Id="rId1" Type="http://schemas.openxmlformats.org/officeDocument/2006/relationships/package" Target="../embeddings/Microsoft_Excel_Worksheet281.xlsx" /></Relationships>
</file>

<file path=word/charts/_rels/chart282.xml.rels>&#65279;<?xml version="1.0" encoding="utf-8" standalone="yes"?><Relationships xmlns="http://schemas.openxmlformats.org/package/2006/relationships"><Relationship Id="rId1" Type="http://schemas.openxmlformats.org/officeDocument/2006/relationships/package" Target="../embeddings/Microsoft_Excel_Worksheet282.xlsx" /><Relationship Id="rId2" Type="http://schemas.openxmlformats.org/officeDocument/2006/relationships/themeOverride" Target="../theme/themeOverride66.xml" /></Relationships>
</file>

<file path=word/charts/_rels/chart283.xml.rels>&#65279;<?xml version="1.0" encoding="utf-8" standalone="yes"?><Relationships xmlns="http://schemas.openxmlformats.org/package/2006/relationships"><Relationship Id="rId1" Type="http://schemas.openxmlformats.org/officeDocument/2006/relationships/package" Target="../embeddings/Microsoft_Excel_Worksheet283.xlsx" /></Relationships>
</file>

<file path=word/charts/_rels/chart284.xml.rels>&#65279;<?xml version="1.0" encoding="utf-8" standalone="yes"?><Relationships xmlns="http://schemas.openxmlformats.org/package/2006/relationships"><Relationship Id="rId1" Type="http://schemas.openxmlformats.org/officeDocument/2006/relationships/package" Target="../embeddings/Microsoft_Excel_Worksheet284.xlsx" /></Relationships>
</file>

<file path=word/charts/_rels/chart285.xml.rels>&#65279;<?xml version="1.0" encoding="utf-8" standalone="yes"?><Relationships xmlns="http://schemas.openxmlformats.org/package/2006/relationships"><Relationship Id="rId1" Type="http://schemas.openxmlformats.org/officeDocument/2006/relationships/package" Target="../embeddings/Microsoft_Excel_Worksheet285.xlsx" /></Relationships>
</file>

<file path=word/charts/_rels/chart286.xml.rels>&#65279;<?xml version="1.0" encoding="utf-8" standalone="yes"?><Relationships xmlns="http://schemas.openxmlformats.org/package/2006/relationships"><Relationship Id="rId1" Type="http://schemas.openxmlformats.org/officeDocument/2006/relationships/package" Target="../embeddings/Microsoft_Excel_Worksheet286.xlsx" /></Relationships>
</file>

<file path=word/charts/_rels/chart287.xml.rels>&#65279;<?xml version="1.0" encoding="utf-8" standalone="yes"?><Relationships xmlns="http://schemas.openxmlformats.org/package/2006/relationships"><Relationship Id="rId1" Type="http://schemas.openxmlformats.org/officeDocument/2006/relationships/package" Target="../embeddings/Microsoft_Excel_Worksheet287.xlsx" /><Relationship Id="rId2" Type="http://schemas.openxmlformats.org/officeDocument/2006/relationships/themeOverride" Target="../theme/themeOverride67.xml" /></Relationships>
</file>

<file path=word/charts/_rels/chart288.xml.rels>&#65279;<?xml version="1.0" encoding="utf-8" standalone="yes"?><Relationships xmlns="http://schemas.openxmlformats.org/package/2006/relationships"><Relationship Id="rId1" Type="http://schemas.openxmlformats.org/officeDocument/2006/relationships/package" Target="../embeddings/Microsoft_Excel_Worksheet288.xlsx" /><Relationship Id="rId2" Type="http://schemas.openxmlformats.org/officeDocument/2006/relationships/themeOverride" Target="../theme/themeOverride68.xml" /></Relationships>
</file>

<file path=word/charts/_rels/chart289.xml.rels>&#65279;<?xml version="1.0" encoding="utf-8" standalone="yes"?><Relationships xmlns="http://schemas.openxmlformats.org/package/2006/relationships"><Relationship Id="rId1" Type="http://schemas.openxmlformats.org/officeDocument/2006/relationships/package" Target="../embeddings/Microsoft_Excel_Worksheet289.xlsx" /></Relationships>
</file>

<file path=word/charts/_rels/chart29.xml.rels>&#65279;<?xml version="1.0" encoding="utf-8" standalone="yes"?><Relationships xmlns="http://schemas.openxmlformats.org/package/2006/relationships"><Relationship Id="rId1" Type="http://schemas.openxmlformats.org/officeDocument/2006/relationships/package" Target="../embeddings/Microsoft_Excel_Worksheet29.xlsx" /></Relationships>
</file>

<file path=word/charts/_rels/chart290.xml.rels>&#65279;<?xml version="1.0" encoding="utf-8" standalone="yes"?><Relationships xmlns="http://schemas.openxmlformats.org/package/2006/relationships"><Relationship Id="rId1" Type="http://schemas.openxmlformats.org/officeDocument/2006/relationships/package" Target="../embeddings/Microsoft_Excel_Worksheet290.xlsx" /><Relationship Id="rId2" Type="http://schemas.openxmlformats.org/officeDocument/2006/relationships/themeOverride" Target="../theme/themeOverride69.xml" /></Relationships>
</file>

<file path=word/charts/_rels/chart291.xml.rels>&#65279;<?xml version="1.0" encoding="utf-8" standalone="yes"?><Relationships xmlns="http://schemas.openxmlformats.org/package/2006/relationships"><Relationship Id="rId1" Type="http://schemas.openxmlformats.org/officeDocument/2006/relationships/package" Target="../embeddings/Microsoft_Excel_Worksheet291.xlsx" /></Relationships>
</file>

<file path=word/charts/_rels/chart292.xml.rels>&#65279;<?xml version="1.0" encoding="utf-8" standalone="yes"?><Relationships xmlns="http://schemas.openxmlformats.org/package/2006/relationships"><Relationship Id="rId1" Type="http://schemas.openxmlformats.org/officeDocument/2006/relationships/package" Target="../embeddings/Microsoft_Excel_Worksheet292.xlsx" /></Relationships>
</file>

<file path=word/charts/_rels/chart293.xml.rels>&#65279;<?xml version="1.0" encoding="utf-8" standalone="yes"?><Relationships xmlns="http://schemas.openxmlformats.org/package/2006/relationships"><Relationship Id="rId1" Type="http://schemas.openxmlformats.org/officeDocument/2006/relationships/package" Target="../embeddings/Microsoft_Excel_Worksheet293.xlsx" /><Relationship Id="rId2" Type="http://schemas.openxmlformats.org/officeDocument/2006/relationships/themeOverride" Target="../theme/themeOverride70.xml" /></Relationships>
</file>

<file path=word/charts/_rels/chart294.xml.rels>&#65279;<?xml version="1.0" encoding="utf-8" standalone="yes"?><Relationships xmlns="http://schemas.openxmlformats.org/package/2006/relationships"><Relationship Id="rId1" Type="http://schemas.openxmlformats.org/officeDocument/2006/relationships/package" Target="../embeddings/Microsoft_Excel_Worksheet294.xlsx" /></Relationships>
</file>

<file path=word/charts/_rels/chart295.xml.rels>&#65279;<?xml version="1.0" encoding="utf-8" standalone="yes"?><Relationships xmlns="http://schemas.openxmlformats.org/package/2006/relationships"><Relationship Id="rId1" Type="http://schemas.openxmlformats.org/officeDocument/2006/relationships/package" Target="../embeddings/Microsoft_Excel_Worksheet295.xlsx" /></Relationships>
</file>

<file path=word/charts/_rels/chart296.xml.rels>&#65279;<?xml version="1.0" encoding="utf-8" standalone="yes"?><Relationships xmlns="http://schemas.openxmlformats.org/package/2006/relationships"><Relationship Id="rId1" Type="http://schemas.openxmlformats.org/officeDocument/2006/relationships/package" Target="../embeddings/Microsoft_Excel_Worksheet296.xlsx" /></Relationships>
</file>

<file path=word/charts/_rels/chart297.xml.rels>&#65279;<?xml version="1.0" encoding="utf-8" standalone="yes"?><Relationships xmlns="http://schemas.openxmlformats.org/package/2006/relationships"><Relationship Id="rId1" Type="http://schemas.openxmlformats.org/officeDocument/2006/relationships/package" Target="../embeddings/Microsoft_Excel_Worksheet297.xlsx" /></Relationships>
</file>

<file path=word/charts/_rels/chart298.xml.rels>&#65279;<?xml version="1.0" encoding="utf-8" standalone="yes"?><Relationships xmlns="http://schemas.openxmlformats.org/package/2006/relationships"><Relationship Id="rId1" Type="http://schemas.openxmlformats.org/officeDocument/2006/relationships/package" Target="../embeddings/Microsoft_Excel_Worksheet298.xlsx" /><Relationship Id="rId2" Type="http://schemas.openxmlformats.org/officeDocument/2006/relationships/themeOverride" Target="../theme/themeOverride71.xml" /></Relationships>
</file>

<file path=word/charts/_rels/chart299.xml.rels>&#65279;<?xml version="1.0" encoding="utf-8" standalone="yes"?><Relationships xmlns="http://schemas.openxmlformats.org/package/2006/relationships"><Relationship Id="rId1" Type="http://schemas.openxmlformats.org/officeDocument/2006/relationships/package" Target="../embeddings/Microsoft_Excel_Worksheet299.xlsx" /><Relationship Id="rId2" Type="http://schemas.openxmlformats.org/officeDocument/2006/relationships/themeOverride" Target="../theme/themeOverride72.xml" /></Relationships>
</file>

<file path=word/charts/_rels/chart3.xml.rels>&#65279;<?xml version="1.0" encoding="utf-8" standalone="yes"?><Relationships xmlns="http://schemas.openxmlformats.org/package/2006/relationships"><Relationship Id="rId1" Type="http://schemas.openxmlformats.org/officeDocument/2006/relationships/package" Target="../embeddings/Microsoft_Excel_Worksheet3.xlsx" /></Relationships>
</file>

<file path=word/charts/_rels/chart30.xml.rels>&#65279;<?xml version="1.0" encoding="utf-8" standalone="yes"?><Relationships xmlns="http://schemas.openxmlformats.org/package/2006/relationships"><Relationship Id="rId1" Type="http://schemas.openxmlformats.org/officeDocument/2006/relationships/package" Target="../embeddings/Microsoft_Excel_Worksheet30.xlsx" /></Relationships>
</file>

<file path=word/charts/_rels/chart300.xml.rels>&#65279;<?xml version="1.0" encoding="utf-8" standalone="yes"?><Relationships xmlns="http://schemas.openxmlformats.org/package/2006/relationships"><Relationship Id="rId1" Type="http://schemas.openxmlformats.org/officeDocument/2006/relationships/package" Target="../embeddings/Microsoft_Excel_Worksheet300.xlsx" /></Relationships>
</file>

<file path=word/charts/_rels/chart301.xml.rels>&#65279;<?xml version="1.0" encoding="utf-8" standalone="yes"?><Relationships xmlns="http://schemas.openxmlformats.org/package/2006/relationships"><Relationship Id="rId1" Type="http://schemas.openxmlformats.org/officeDocument/2006/relationships/package" Target="../embeddings/Microsoft_Excel_Worksheet301.xlsx" /><Relationship Id="rId2" Type="http://schemas.openxmlformats.org/officeDocument/2006/relationships/themeOverride" Target="../theme/themeOverride73.xml" /></Relationships>
</file>

<file path=word/charts/_rels/chart302.xml.rels>&#65279;<?xml version="1.0" encoding="utf-8" standalone="yes"?><Relationships xmlns="http://schemas.openxmlformats.org/package/2006/relationships"><Relationship Id="rId1" Type="http://schemas.openxmlformats.org/officeDocument/2006/relationships/package" Target="../embeddings/Microsoft_Excel_Worksheet302.xlsx" /></Relationships>
</file>

<file path=word/charts/_rels/chart303.xml.rels>&#65279;<?xml version="1.0" encoding="utf-8" standalone="yes"?><Relationships xmlns="http://schemas.openxmlformats.org/package/2006/relationships"><Relationship Id="rId1" Type="http://schemas.openxmlformats.org/officeDocument/2006/relationships/package" Target="../embeddings/Microsoft_Excel_Worksheet303.xlsx" /></Relationships>
</file>

<file path=word/charts/_rels/chart304.xml.rels>&#65279;<?xml version="1.0" encoding="utf-8" standalone="yes"?><Relationships xmlns="http://schemas.openxmlformats.org/package/2006/relationships"><Relationship Id="rId1" Type="http://schemas.openxmlformats.org/officeDocument/2006/relationships/package" Target="../embeddings/Microsoft_Excel_Worksheet304.xlsx" /></Relationships>
</file>

<file path=word/charts/_rels/chart305.xml.rels>&#65279;<?xml version="1.0" encoding="utf-8" standalone="yes"?><Relationships xmlns="http://schemas.openxmlformats.org/package/2006/relationships"><Relationship Id="rId1" Type="http://schemas.openxmlformats.org/officeDocument/2006/relationships/package" Target="../embeddings/Microsoft_Excel_Worksheet305.xlsx" /></Relationships>
</file>

<file path=word/charts/_rels/chart306.xml.rels>&#65279;<?xml version="1.0" encoding="utf-8" standalone="yes"?><Relationships xmlns="http://schemas.openxmlformats.org/package/2006/relationships"><Relationship Id="rId1" Type="http://schemas.openxmlformats.org/officeDocument/2006/relationships/package" Target="../embeddings/Microsoft_Excel_Worksheet306.xlsx" /></Relationships>
</file>

<file path=word/charts/_rels/chart307.xml.rels>&#65279;<?xml version="1.0" encoding="utf-8" standalone="yes"?><Relationships xmlns="http://schemas.openxmlformats.org/package/2006/relationships"><Relationship Id="rId1" Type="http://schemas.openxmlformats.org/officeDocument/2006/relationships/package" Target="../embeddings/Microsoft_Excel_Worksheet307.xlsx" /></Relationships>
</file>

<file path=word/charts/_rels/chart308.xml.rels>&#65279;<?xml version="1.0" encoding="utf-8" standalone="yes"?><Relationships xmlns="http://schemas.openxmlformats.org/package/2006/relationships"><Relationship Id="rId1" Type="http://schemas.openxmlformats.org/officeDocument/2006/relationships/package" Target="../embeddings/Microsoft_Excel_Worksheet308.xlsx" /></Relationships>
</file>

<file path=word/charts/_rels/chart309.xml.rels>&#65279;<?xml version="1.0" encoding="utf-8" standalone="yes"?><Relationships xmlns="http://schemas.openxmlformats.org/package/2006/relationships"><Relationship Id="rId1" Type="http://schemas.openxmlformats.org/officeDocument/2006/relationships/package" Target="../embeddings/Microsoft_Excel_Worksheet309.xlsx" /></Relationships>
</file>

<file path=word/charts/_rels/chart31.xml.rels>&#65279;<?xml version="1.0" encoding="utf-8" standalone="yes"?><Relationships xmlns="http://schemas.openxmlformats.org/package/2006/relationships"><Relationship Id="rId1" Type="http://schemas.openxmlformats.org/officeDocument/2006/relationships/package" Target="../embeddings/Microsoft_Excel_Worksheet31.xlsx" /><Relationship Id="rId2" Type="http://schemas.openxmlformats.org/officeDocument/2006/relationships/chartUserShapes" Target="../drawings/drawing1.xml" /></Relationships>
</file>

<file path=word/charts/_rels/chart310.xml.rels>&#65279;<?xml version="1.0" encoding="utf-8" standalone="yes"?><Relationships xmlns="http://schemas.openxmlformats.org/package/2006/relationships"><Relationship Id="rId1" Type="http://schemas.openxmlformats.org/officeDocument/2006/relationships/package" Target="../embeddings/Microsoft_Excel_Worksheet310.xlsx" /><Relationship Id="rId2" Type="http://schemas.openxmlformats.org/officeDocument/2006/relationships/themeOverride" Target="../theme/themeOverride74.xml" /></Relationships>
</file>

<file path=word/charts/_rels/chart311.xml.rels>&#65279;<?xml version="1.0" encoding="utf-8" standalone="yes"?><Relationships xmlns="http://schemas.openxmlformats.org/package/2006/relationships"><Relationship Id="rId1" Type="http://schemas.openxmlformats.org/officeDocument/2006/relationships/package" Target="../embeddings/Microsoft_Excel_Worksheet311.xlsx" /></Relationships>
</file>

<file path=word/charts/_rels/chart312.xml.rels>&#65279;<?xml version="1.0" encoding="utf-8" standalone="yes"?><Relationships xmlns="http://schemas.openxmlformats.org/package/2006/relationships"><Relationship Id="rId1" Type="http://schemas.openxmlformats.org/officeDocument/2006/relationships/package" Target="../embeddings/Microsoft_Excel_Worksheet312.xlsx" /></Relationships>
</file>

<file path=word/charts/_rels/chart313.xml.rels>&#65279;<?xml version="1.0" encoding="utf-8" standalone="yes"?><Relationships xmlns="http://schemas.openxmlformats.org/package/2006/relationships"><Relationship Id="rId1" Type="http://schemas.openxmlformats.org/officeDocument/2006/relationships/package" Target="../embeddings/Microsoft_Excel_Worksheet313.xlsx" /></Relationships>
</file>

<file path=word/charts/_rels/chart314.xml.rels>&#65279;<?xml version="1.0" encoding="utf-8" standalone="yes"?><Relationships xmlns="http://schemas.openxmlformats.org/package/2006/relationships"><Relationship Id="rId1" Type="http://schemas.openxmlformats.org/officeDocument/2006/relationships/package" Target="../embeddings/Microsoft_Excel_Worksheet314.xlsx" /></Relationships>
</file>

<file path=word/charts/_rels/chart315.xml.rels>&#65279;<?xml version="1.0" encoding="utf-8" standalone="yes"?><Relationships xmlns="http://schemas.openxmlformats.org/package/2006/relationships"><Relationship Id="rId1" Type="http://schemas.openxmlformats.org/officeDocument/2006/relationships/package" Target="../embeddings/Microsoft_Excel_Worksheet315.xlsx" /><Relationship Id="rId2" Type="http://schemas.openxmlformats.org/officeDocument/2006/relationships/themeOverride" Target="../theme/themeOverride75.xml" /></Relationships>
</file>

<file path=word/charts/_rels/chart316.xml.rels>&#65279;<?xml version="1.0" encoding="utf-8" standalone="yes"?><Relationships xmlns="http://schemas.openxmlformats.org/package/2006/relationships"><Relationship Id="rId1" Type="http://schemas.openxmlformats.org/officeDocument/2006/relationships/package" Target="../embeddings/Microsoft_Excel_Worksheet316.xlsx" /><Relationship Id="rId2" Type="http://schemas.openxmlformats.org/officeDocument/2006/relationships/themeOverride" Target="../theme/themeOverride76.xml" /></Relationships>
</file>

<file path=word/charts/_rels/chart317.xml.rels>&#65279;<?xml version="1.0" encoding="utf-8" standalone="yes"?><Relationships xmlns="http://schemas.openxmlformats.org/package/2006/relationships"><Relationship Id="rId1" Type="http://schemas.openxmlformats.org/officeDocument/2006/relationships/package" Target="../embeddings/Microsoft_Excel_Worksheet317.xlsx" /><Relationship Id="rId2" Type="http://schemas.openxmlformats.org/officeDocument/2006/relationships/themeOverride" Target="../theme/themeOverride77.xml" /></Relationships>
</file>

<file path=word/charts/_rels/chart318.xml.rels>&#65279;<?xml version="1.0" encoding="utf-8" standalone="yes"?><Relationships xmlns="http://schemas.openxmlformats.org/package/2006/relationships"><Relationship Id="rId1" Type="http://schemas.openxmlformats.org/officeDocument/2006/relationships/package" Target="../embeddings/Microsoft_Excel_Worksheet318.xlsx" /><Relationship Id="rId2" Type="http://schemas.openxmlformats.org/officeDocument/2006/relationships/themeOverride" Target="../theme/themeOverride78.xml" /></Relationships>
</file>

<file path=word/charts/_rels/chart319.xml.rels>&#65279;<?xml version="1.0" encoding="utf-8" standalone="yes"?><Relationships xmlns="http://schemas.openxmlformats.org/package/2006/relationships"><Relationship Id="rId1" Type="http://schemas.openxmlformats.org/officeDocument/2006/relationships/package" Target="../embeddings/Microsoft_Excel_Worksheet319.xlsx" /><Relationship Id="rId2" Type="http://schemas.openxmlformats.org/officeDocument/2006/relationships/themeOverride" Target="../theme/themeOverride79.xml" /></Relationships>
</file>

<file path=word/charts/_rels/chart32.xml.rels>&#65279;<?xml version="1.0" encoding="utf-8" standalone="yes"?><Relationships xmlns="http://schemas.openxmlformats.org/package/2006/relationships"><Relationship Id="rId1" Type="http://schemas.openxmlformats.org/officeDocument/2006/relationships/package" Target="../embeddings/Microsoft_Excel_Worksheet32.xlsx" /></Relationships>
</file>

<file path=word/charts/_rels/chart320.xml.rels>&#65279;<?xml version="1.0" encoding="utf-8" standalone="yes"?><Relationships xmlns="http://schemas.openxmlformats.org/package/2006/relationships"><Relationship Id="rId1" Type="http://schemas.openxmlformats.org/officeDocument/2006/relationships/package" Target="../embeddings/Microsoft_Excel_Worksheet320.xlsx" /><Relationship Id="rId2" Type="http://schemas.openxmlformats.org/officeDocument/2006/relationships/themeOverride" Target="../theme/themeOverride80.xml" /></Relationships>
</file>

<file path=word/charts/_rels/chart321.xml.rels>&#65279;<?xml version="1.0" encoding="utf-8" standalone="yes"?><Relationships xmlns="http://schemas.openxmlformats.org/package/2006/relationships"><Relationship Id="rId1" Type="http://schemas.openxmlformats.org/officeDocument/2006/relationships/package" Target="../embeddings/Microsoft_Excel_Worksheet321.xlsx" /><Relationship Id="rId2" Type="http://schemas.openxmlformats.org/officeDocument/2006/relationships/themeOverride" Target="../theme/themeOverride81.xml" /></Relationships>
</file>

<file path=word/charts/_rels/chart322.xml.rels>&#65279;<?xml version="1.0" encoding="utf-8" standalone="yes"?><Relationships xmlns="http://schemas.openxmlformats.org/package/2006/relationships"><Relationship Id="rId1" Type="http://schemas.openxmlformats.org/officeDocument/2006/relationships/package" Target="../embeddings/Microsoft_Excel_Worksheet322.xlsx" /><Relationship Id="rId2" Type="http://schemas.openxmlformats.org/officeDocument/2006/relationships/themeOverride" Target="../theme/themeOverride82.xml" /></Relationships>
</file>

<file path=word/charts/_rels/chart323.xml.rels>&#65279;<?xml version="1.0" encoding="utf-8" standalone="yes"?><Relationships xmlns="http://schemas.openxmlformats.org/package/2006/relationships"><Relationship Id="rId1" Type="http://schemas.openxmlformats.org/officeDocument/2006/relationships/package" Target="../embeddings/Microsoft_Excel_Worksheet323.xlsx" /><Relationship Id="rId2" Type="http://schemas.openxmlformats.org/officeDocument/2006/relationships/themeOverride" Target="../theme/themeOverride83.xml" /></Relationships>
</file>

<file path=word/charts/_rels/chart324.xml.rels>&#65279;<?xml version="1.0" encoding="utf-8" standalone="yes"?><Relationships xmlns="http://schemas.openxmlformats.org/package/2006/relationships"><Relationship Id="rId1" Type="http://schemas.openxmlformats.org/officeDocument/2006/relationships/package" Target="../embeddings/Microsoft_Excel_Worksheet324.xlsx" /><Relationship Id="rId2" Type="http://schemas.openxmlformats.org/officeDocument/2006/relationships/themeOverride" Target="../theme/themeOverride84.xml" /></Relationships>
</file>

<file path=word/charts/_rels/chart325.xml.rels>&#65279;<?xml version="1.0" encoding="utf-8" standalone="yes"?><Relationships xmlns="http://schemas.openxmlformats.org/package/2006/relationships"><Relationship Id="rId1" Type="http://schemas.openxmlformats.org/officeDocument/2006/relationships/package" Target="../embeddings/Microsoft_Excel_Worksheet325.xlsx" /><Relationship Id="rId2" Type="http://schemas.openxmlformats.org/officeDocument/2006/relationships/themeOverride" Target="../theme/themeOverride85.xml" /></Relationships>
</file>

<file path=word/charts/_rels/chart326.xml.rels>&#65279;<?xml version="1.0" encoding="utf-8" standalone="yes"?><Relationships xmlns="http://schemas.openxmlformats.org/package/2006/relationships"><Relationship Id="rId1" Type="http://schemas.openxmlformats.org/officeDocument/2006/relationships/package" Target="../embeddings/Microsoft_Excel_Worksheet326.xlsx" /><Relationship Id="rId2" Type="http://schemas.openxmlformats.org/officeDocument/2006/relationships/themeOverride" Target="../theme/themeOverride86.xml" /></Relationships>
</file>

<file path=word/charts/_rels/chart327.xml.rels>&#65279;<?xml version="1.0" encoding="utf-8" standalone="yes"?><Relationships xmlns="http://schemas.openxmlformats.org/package/2006/relationships"><Relationship Id="rId1" Type="http://schemas.openxmlformats.org/officeDocument/2006/relationships/package" Target="../embeddings/Microsoft_Excel_Worksheet327.xlsx" /><Relationship Id="rId2" Type="http://schemas.openxmlformats.org/officeDocument/2006/relationships/themeOverride" Target="../theme/themeOverride87.xml" /></Relationships>
</file>

<file path=word/charts/_rels/chart328.xml.rels>&#65279;<?xml version="1.0" encoding="utf-8" standalone="yes"?><Relationships xmlns="http://schemas.openxmlformats.org/package/2006/relationships"><Relationship Id="rId1" Type="http://schemas.openxmlformats.org/officeDocument/2006/relationships/package" Target="../embeddings/Microsoft_Excel_Worksheet328.xlsx" /></Relationships>
</file>

<file path=word/charts/_rels/chart329.xml.rels>&#65279;<?xml version="1.0" encoding="utf-8" standalone="yes"?><Relationships xmlns="http://schemas.openxmlformats.org/package/2006/relationships"><Relationship Id="rId1" Type="http://schemas.openxmlformats.org/officeDocument/2006/relationships/package" Target="../embeddings/Microsoft_Excel_Worksheet329.xlsx" /><Relationship Id="rId2" Type="http://schemas.openxmlformats.org/officeDocument/2006/relationships/themeOverride" Target="../theme/themeOverride88.xml" /></Relationships>
</file>

<file path=word/charts/_rels/chart33.xml.rels>&#65279;<?xml version="1.0" encoding="utf-8" standalone="yes"?><Relationships xmlns="http://schemas.openxmlformats.org/package/2006/relationships"><Relationship Id="rId1" Type="http://schemas.openxmlformats.org/officeDocument/2006/relationships/package" Target="../embeddings/Microsoft_Excel_Worksheet33.xlsx" /></Relationships>
</file>

<file path=word/charts/_rels/chart330.xml.rels>&#65279;<?xml version="1.0" encoding="utf-8" standalone="yes"?><Relationships xmlns="http://schemas.openxmlformats.org/package/2006/relationships"><Relationship Id="rId1" Type="http://schemas.openxmlformats.org/officeDocument/2006/relationships/package" Target="../embeddings/Microsoft_Excel_Worksheet330.xlsx" /></Relationships>
</file>

<file path=word/charts/_rels/chart331.xml.rels>&#65279;<?xml version="1.0" encoding="utf-8" standalone="yes"?><Relationships xmlns="http://schemas.openxmlformats.org/package/2006/relationships"><Relationship Id="rId1" Type="http://schemas.openxmlformats.org/officeDocument/2006/relationships/package" Target="../embeddings/Microsoft_Excel_Worksheet331.xlsx" /></Relationships>
</file>

<file path=word/charts/_rels/chart332.xml.rels>&#65279;<?xml version="1.0" encoding="utf-8" standalone="yes"?><Relationships xmlns="http://schemas.openxmlformats.org/package/2006/relationships"><Relationship Id="rId1" Type="http://schemas.openxmlformats.org/officeDocument/2006/relationships/package" Target="../embeddings/Microsoft_Excel_Worksheet332.xlsx" /><Relationship Id="rId2" Type="http://schemas.openxmlformats.org/officeDocument/2006/relationships/chartUserShapes" Target="../drawings/drawing5.xml" /></Relationships>
</file>

<file path=word/charts/_rels/chart333.xml.rels>&#65279;<?xml version="1.0" encoding="utf-8" standalone="yes"?><Relationships xmlns="http://schemas.openxmlformats.org/package/2006/relationships"><Relationship Id="rId1" Type="http://schemas.openxmlformats.org/officeDocument/2006/relationships/package" Target="../embeddings/Microsoft_Excel_Worksheet333.xlsx" /></Relationships>
</file>

<file path=word/charts/_rels/chart334.xml.rels>&#65279;<?xml version="1.0" encoding="utf-8" standalone="yes"?><Relationships xmlns="http://schemas.openxmlformats.org/package/2006/relationships"><Relationship Id="rId1" Type="http://schemas.openxmlformats.org/officeDocument/2006/relationships/package" Target="../embeddings/Microsoft_Excel_Worksheet334.xlsx" /></Relationships>
</file>

<file path=word/charts/_rels/chart335.xml.rels>&#65279;<?xml version="1.0" encoding="utf-8" standalone="yes"?><Relationships xmlns="http://schemas.openxmlformats.org/package/2006/relationships"><Relationship Id="rId1" Type="http://schemas.openxmlformats.org/officeDocument/2006/relationships/package" Target="../embeddings/Microsoft_Excel_Worksheet335.xlsx" /></Relationships>
</file>

<file path=word/charts/_rels/chart336.xml.rels>&#65279;<?xml version="1.0" encoding="utf-8" standalone="yes"?><Relationships xmlns="http://schemas.openxmlformats.org/package/2006/relationships"><Relationship Id="rId1" Type="http://schemas.openxmlformats.org/officeDocument/2006/relationships/package" Target="../embeddings/Microsoft_Excel_Worksheet336.xlsx" /></Relationships>
</file>

<file path=word/charts/_rels/chart337.xml.rels>&#65279;<?xml version="1.0" encoding="utf-8" standalone="yes"?><Relationships xmlns="http://schemas.openxmlformats.org/package/2006/relationships"><Relationship Id="rId1" Type="http://schemas.openxmlformats.org/officeDocument/2006/relationships/package" Target="../embeddings/Microsoft_Excel_Worksheet337.xlsx" /></Relationships>
</file>

<file path=word/charts/_rels/chart338.xml.rels>&#65279;<?xml version="1.0" encoding="utf-8" standalone="yes"?><Relationships xmlns="http://schemas.openxmlformats.org/package/2006/relationships"><Relationship Id="rId1" Type="http://schemas.openxmlformats.org/officeDocument/2006/relationships/package" Target="../embeddings/Microsoft_Excel_Worksheet338.xlsx" /><Relationship Id="rId2" Type="http://schemas.openxmlformats.org/officeDocument/2006/relationships/themeOverride" Target="../theme/themeOverride89.xml" /></Relationships>
</file>

<file path=word/charts/_rels/chart339.xml.rels>&#65279;<?xml version="1.0" encoding="utf-8" standalone="yes"?><Relationships xmlns="http://schemas.openxmlformats.org/package/2006/relationships"><Relationship Id="rId1" Type="http://schemas.openxmlformats.org/officeDocument/2006/relationships/package" Target="../embeddings/Microsoft_Excel_Worksheet339.xlsx" /></Relationships>
</file>

<file path=word/charts/_rels/chart34.xml.rels>&#65279;<?xml version="1.0" encoding="utf-8" standalone="yes"?><Relationships xmlns="http://schemas.openxmlformats.org/package/2006/relationships"><Relationship Id="rId1" Type="http://schemas.openxmlformats.org/officeDocument/2006/relationships/package" Target="../embeddings/Microsoft_Excel_Worksheet34.xlsx" /></Relationships>
</file>

<file path=word/charts/_rels/chart340.xml.rels>&#65279;<?xml version="1.0" encoding="utf-8" standalone="yes"?><Relationships xmlns="http://schemas.openxmlformats.org/package/2006/relationships"><Relationship Id="rId1" Type="http://schemas.openxmlformats.org/officeDocument/2006/relationships/package" Target="../embeddings/Microsoft_Excel_Worksheet340.xlsx" /></Relationships>
</file>

<file path=word/charts/_rels/chart341.xml.rels>&#65279;<?xml version="1.0" encoding="utf-8" standalone="yes"?><Relationships xmlns="http://schemas.openxmlformats.org/package/2006/relationships"><Relationship Id="rId1" Type="http://schemas.openxmlformats.org/officeDocument/2006/relationships/package" Target="../embeddings/Microsoft_Excel_Worksheet341.xlsx" /></Relationships>
</file>

<file path=word/charts/_rels/chart342.xml.rels>&#65279;<?xml version="1.0" encoding="utf-8" standalone="yes"?><Relationships xmlns="http://schemas.openxmlformats.org/package/2006/relationships"><Relationship Id="rId1" Type="http://schemas.openxmlformats.org/officeDocument/2006/relationships/package" Target="../embeddings/Microsoft_Excel_Worksheet342.xlsx" /></Relationships>
</file>

<file path=word/charts/_rels/chart343.xml.rels>&#65279;<?xml version="1.0" encoding="utf-8" standalone="yes"?><Relationships xmlns="http://schemas.openxmlformats.org/package/2006/relationships"><Relationship Id="rId1" Type="http://schemas.openxmlformats.org/officeDocument/2006/relationships/package" Target="../embeddings/Microsoft_Excel_Worksheet343.xlsx" /><Relationship Id="rId2" Type="http://schemas.openxmlformats.org/officeDocument/2006/relationships/themeOverride" Target="../theme/themeOverride90.xml" /></Relationships>
</file>

<file path=word/charts/_rels/chart344.xml.rels>&#65279;<?xml version="1.0" encoding="utf-8" standalone="yes"?><Relationships xmlns="http://schemas.openxmlformats.org/package/2006/relationships"><Relationship Id="rId1" Type="http://schemas.openxmlformats.org/officeDocument/2006/relationships/package" Target="../embeddings/Microsoft_Excel_Worksheet344.xlsx" /><Relationship Id="rId2" Type="http://schemas.openxmlformats.org/officeDocument/2006/relationships/themeOverride" Target="../theme/themeOverride91.xml" /></Relationships>
</file>

<file path=word/charts/_rels/chart345.xml.rels>&#65279;<?xml version="1.0" encoding="utf-8" standalone="yes"?><Relationships xmlns="http://schemas.openxmlformats.org/package/2006/relationships"><Relationship Id="rId1" Type="http://schemas.openxmlformats.org/officeDocument/2006/relationships/package" Target="../embeddings/Microsoft_Excel_Worksheet345.xlsx" /></Relationships>
</file>

<file path=word/charts/_rels/chart346.xml.rels>&#65279;<?xml version="1.0" encoding="utf-8" standalone="yes"?><Relationships xmlns="http://schemas.openxmlformats.org/package/2006/relationships"><Relationship Id="rId1" Type="http://schemas.openxmlformats.org/officeDocument/2006/relationships/package" Target="../embeddings/Microsoft_Excel_Worksheet346.xlsx" /><Relationship Id="rId2" Type="http://schemas.openxmlformats.org/officeDocument/2006/relationships/themeOverride" Target="../theme/themeOverride92.xml" /></Relationships>
</file>

<file path=word/charts/_rels/chart347.xml.rels>&#65279;<?xml version="1.0" encoding="utf-8" standalone="yes"?><Relationships xmlns="http://schemas.openxmlformats.org/package/2006/relationships"><Relationship Id="rId1" Type="http://schemas.openxmlformats.org/officeDocument/2006/relationships/package" Target="../embeddings/Microsoft_Excel_Worksheet347.xlsx" /></Relationships>
</file>

<file path=word/charts/_rels/chart348.xml.rels>&#65279;<?xml version="1.0" encoding="utf-8" standalone="yes"?><Relationships xmlns="http://schemas.openxmlformats.org/package/2006/relationships"><Relationship Id="rId1" Type="http://schemas.openxmlformats.org/officeDocument/2006/relationships/package" Target="../embeddings/Microsoft_Excel_Worksheet348.xlsx" /></Relationships>
</file>

<file path=word/charts/_rels/chart349.xml.rels>&#65279;<?xml version="1.0" encoding="utf-8" standalone="yes"?><Relationships xmlns="http://schemas.openxmlformats.org/package/2006/relationships"><Relationship Id="rId1" Type="http://schemas.openxmlformats.org/officeDocument/2006/relationships/package" Target="../embeddings/Microsoft_Excel_Worksheet349.xlsx" /><Relationship Id="rId2" Type="http://schemas.openxmlformats.org/officeDocument/2006/relationships/chartUserShapes" Target="../drawings/drawing6.xml" /></Relationships>
</file>

<file path=word/charts/_rels/chart35.xml.rels>&#65279;<?xml version="1.0" encoding="utf-8" standalone="yes"?><Relationships xmlns="http://schemas.openxmlformats.org/package/2006/relationships"><Relationship Id="rId1" Type="http://schemas.openxmlformats.org/officeDocument/2006/relationships/package" Target="../embeddings/Microsoft_Excel_Worksheet35.xlsx" /></Relationships>
</file>

<file path=word/charts/_rels/chart350.xml.rels>&#65279;<?xml version="1.0" encoding="utf-8" standalone="yes"?><Relationships xmlns="http://schemas.openxmlformats.org/package/2006/relationships"><Relationship Id="rId1" Type="http://schemas.openxmlformats.org/officeDocument/2006/relationships/package" Target="../embeddings/Microsoft_Excel_Worksheet350.xlsx" /></Relationships>
</file>

<file path=word/charts/_rels/chart351.xml.rels>&#65279;<?xml version="1.0" encoding="utf-8" standalone="yes"?><Relationships xmlns="http://schemas.openxmlformats.org/package/2006/relationships"><Relationship Id="rId1" Type="http://schemas.openxmlformats.org/officeDocument/2006/relationships/package" Target="../embeddings/Microsoft_Excel_Worksheet351.xlsx" /></Relationships>
</file>

<file path=word/charts/_rels/chart352.xml.rels>&#65279;<?xml version="1.0" encoding="utf-8" standalone="yes"?><Relationships xmlns="http://schemas.openxmlformats.org/package/2006/relationships"><Relationship Id="rId1" Type="http://schemas.openxmlformats.org/officeDocument/2006/relationships/package" Target="../embeddings/Microsoft_Excel_Worksheet352.xlsx" /></Relationships>
</file>

<file path=word/charts/_rels/chart353.xml.rels>&#65279;<?xml version="1.0" encoding="utf-8" standalone="yes"?><Relationships xmlns="http://schemas.openxmlformats.org/package/2006/relationships"><Relationship Id="rId1" Type="http://schemas.openxmlformats.org/officeDocument/2006/relationships/package" Target="../embeddings/Microsoft_Excel_Worksheet353.xlsx" /><Relationship Id="rId2" Type="http://schemas.openxmlformats.org/officeDocument/2006/relationships/themeOverride" Target="../theme/themeOverride93.xml" /></Relationships>
</file>

<file path=word/charts/_rels/chart354.xml.rels>&#65279;<?xml version="1.0" encoding="utf-8" standalone="yes"?><Relationships xmlns="http://schemas.openxmlformats.org/package/2006/relationships"><Relationship Id="rId1" Type="http://schemas.openxmlformats.org/officeDocument/2006/relationships/package" Target="../embeddings/Microsoft_Excel_Worksheet354.xlsx" /></Relationships>
</file>

<file path=word/charts/_rels/chart355.xml.rels>&#65279;<?xml version="1.0" encoding="utf-8" standalone="yes"?><Relationships xmlns="http://schemas.openxmlformats.org/package/2006/relationships"><Relationship Id="rId1" Type="http://schemas.openxmlformats.org/officeDocument/2006/relationships/package" Target="../embeddings/Microsoft_Excel_Worksheet355.xlsx" /></Relationships>
</file>

<file path=word/charts/_rels/chart356.xml.rels>&#65279;<?xml version="1.0" encoding="utf-8" standalone="yes"?><Relationships xmlns="http://schemas.openxmlformats.org/package/2006/relationships"><Relationship Id="rId1" Type="http://schemas.openxmlformats.org/officeDocument/2006/relationships/package" Target="../embeddings/Microsoft_Excel_Worksheet356.xlsx" /></Relationships>
</file>

<file path=word/charts/_rels/chart357.xml.rels>&#65279;<?xml version="1.0" encoding="utf-8" standalone="yes"?><Relationships xmlns="http://schemas.openxmlformats.org/package/2006/relationships"><Relationship Id="rId1" Type="http://schemas.openxmlformats.org/officeDocument/2006/relationships/package" Target="../embeddings/Microsoft_Excel_Worksheet357.xlsx" /></Relationships>
</file>

<file path=word/charts/_rels/chart358.xml.rels>&#65279;<?xml version="1.0" encoding="utf-8" standalone="yes"?><Relationships xmlns="http://schemas.openxmlformats.org/package/2006/relationships"><Relationship Id="rId1" Type="http://schemas.openxmlformats.org/officeDocument/2006/relationships/package" Target="../embeddings/Microsoft_Excel_Worksheet358.xlsx" /><Relationship Id="rId2" Type="http://schemas.openxmlformats.org/officeDocument/2006/relationships/themeOverride" Target="../theme/themeOverride94.xml" /></Relationships>
</file>

<file path=word/charts/_rels/chart359.xml.rels>&#65279;<?xml version="1.0" encoding="utf-8" standalone="yes"?><Relationships xmlns="http://schemas.openxmlformats.org/package/2006/relationships"><Relationship Id="rId1" Type="http://schemas.openxmlformats.org/officeDocument/2006/relationships/package" Target="../embeddings/Microsoft_Excel_Worksheet359.xlsx" /><Relationship Id="rId2" Type="http://schemas.openxmlformats.org/officeDocument/2006/relationships/themeOverride" Target="../theme/themeOverride95.xml" /></Relationships>
</file>

<file path=word/charts/_rels/chart36.xml.rels>&#65279;<?xml version="1.0" encoding="utf-8" standalone="yes"?><Relationships xmlns="http://schemas.openxmlformats.org/package/2006/relationships"><Relationship Id="rId1" Type="http://schemas.openxmlformats.org/officeDocument/2006/relationships/package" Target="../embeddings/Microsoft_Excel_Worksheet36.xlsx" /></Relationships>
</file>

<file path=word/charts/_rels/chart360.xml.rels>&#65279;<?xml version="1.0" encoding="utf-8" standalone="yes"?><Relationships xmlns="http://schemas.openxmlformats.org/package/2006/relationships"><Relationship Id="rId1" Type="http://schemas.openxmlformats.org/officeDocument/2006/relationships/package" Target="../embeddings/Microsoft_Excel_Worksheet360.xlsx" /></Relationships>
</file>

<file path=word/charts/_rels/chart361.xml.rels>&#65279;<?xml version="1.0" encoding="utf-8" standalone="yes"?><Relationships xmlns="http://schemas.openxmlformats.org/package/2006/relationships"><Relationship Id="rId1" Type="http://schemas.openxmlformats.org/officeDocument/2006/relationships/package" Target="../embeddings/Microsoft_Excel_Worksheet361.xlsx" /><Relationship Id="rId2" Type="http://schemas.openxmlformats.org/officeDocument/2006/relationships/themeOverride" Target="../theme/themeOverride96.xml" /></Relationships>
</file>

<file path=word/charts/_rels/chart362.xml.rels>&#65279;<?xml version="1.0" encoding="utf-8" standalone="yes"?><Relationships xmlns="http://schemas.openxmlformats.org/package/2006/relationships"><Relationship Id="rId1" Type="http://schemas.openxmlformats.org/officeDocument/2006/relationships/package" Target="../embeddings/Microsoft_Excel_Worksheet362.xlsx" /></Relationships>
</file>

<file path=word/charts/_rels/chart363.xml.rels>&#65279;<?xml version="1.0" encoding="utf-8" standalone="yes"?><Relationships xmlns="http://schemas.openxmlformats.org/package/2006/relationships"><Relationship Id="rId1" Type="http://schemas.openxmlformats.org/officeDocument/2006/relationships/package" Target="../embeddings/Microsoft_Excel_Worksheet363.xlsx" /></Relationships>
</file>

<file path=word/charts/_rels/chart364.xml.rels>&#65279;<?xml version="1.0" encoding="utf-8" standalone="yes"?><Relationships xmlns="http://schemas.openxmlformats.org/package/2006/relationships"><Relationship Id="rId1" Type="http://schemas.openxmlformats.org/officeDocument/2006/relationships/package" Target="../embeddings/Microsoft_Excel_Worksheet364.xlsx" /></Relationships>
</file>

<file path=word/charts/_rels/chart365.xml.rels>&#65279;<?xml version="1.0" encoding="utf-8" standalone="yes"?><Relationships xmlns="http://schemas.openxmlformats.org/package/2006/relationships"><Relationship Id="rId1" Type="http://schemas.openxmlformats.org/officeDocument/2006/relationships/package" Target="../embeddings/Microsoft_Excel_Worksheet365.xlsx" /></Relationships>
</file>

<file path=word/charts/_rels/chart366.xml.rels>&#65279;<?xml version="1.0" encoding="utf-8" standalone="yes"?><Relationships xmlns="http://schemas.openxmlformats.org/package/2006/relationships"><Relationship Id="rId1" Type="http://schemas.openxmlformats.org/officeDocument/2006/relationships/package" Target="../embeddings/Microsoft_Excel_Worksheet366.xlsx" /></Relationships>
</file>

<file path=word/charts/_rels/chart367.xml.rels>&#65279;<?xml version="1.0" encoding="utf-8" standalone="yes"?><Relationships xmlns="http://schemas.openxmlformats.org/package/2006/relationships"><Relationship Id="rId1" Type="http://schemas.openxmlformats.org/officeDocument/2006/relationships/package" Target="../embeddings/Microsoft_Excel_Worksheet367.xlsx" /></Relationships>
</file>

<file path=word/charts/_rels/chart368.xml.rels>&#65279;<?xml version="1.0" encoding="utf-8" standalone="yes"?><Relationships xmlns="http://schemas.openxmlformats.org/package/2006/relationships"><Relationship Id="rId1" Type="http://schemas.openxmlformats.org/officeDocument/2006/relationships/package" Target="../embeddings/Microsoft_Excel_Worksheet368.xlsx" /><Relationship Id="rId2" Type="http://schemas.openxmlformats.org/officeDocument/2006/relationships/themeOverride" Target="../theme/themeOverride97.xml" /></Relationships>
</file>

<file path=word/charts/_rels/chart369.xml.rels>&#65279;<?xml version="1.0" encoding="utf-8" standalone="yes"?><Relationships xmlns="http://schemas.openxmlformats.org/package/2006/relationships"><Relationship Id="rId1" Type="http://schemas.openxmlformats.org/officeDocument/2006/relationships/package" Target="../embeddings/Microsoft_Excel_Worksheet369.xlsx" /></Relationships>
</file>

<file path=word/charts/_rels/chart37.xml.rels>&#65279;<?xml version="1.0" encoding="utf-8" standalone="yes"?><Relationships xmlns="http://schemas.openxmlformats.org/package/2006/relationships"><Relationship Id="rId1" Type="http://schemas.openxmlformats.org/officeDocument/2006/relationships/package" Target="../embeddings/Microsoft_Excel_Worksheet37.xlsx" /><Relationship Id="rId2" Type="http://schemas.openxmlformats.org/officeDocument/2006/relationships/themeOverride" Target="../theme/themeOverride6.xml" /></Relationships>
</file>

<file path=word/charts/_rels/chart370.xml.rels>&#65279;<?xml version="1.0" encoding="utf-8" standalone="yes"?><Relationships xmlns="http://schemas.openxmlformats.org/package/2006/relationships"><Relationship Id="rId1" Type="http://schemas.openxmlformats.org/officeDocument/2006/relationships/package" Target="../embeddings/Microsoft_Excel_Worksheet370.xlsx" /></Relationships>
</file>

<file path=word/charts/_rels/chart371.xml.rels>&#65279;<?xml version="1.0" encoding="utf-8" standalone="yes"?><Relationships xmlns="http://schemas.openxmlformats.org/package/2006/relationships"><Relationship Id="rId1" Type="http://schemas.openxmlformats.org/officeDocument/2006/relationships/package" Target="../embeddings/Microsoft_Excel_Worksheet371.xlsx" /></Relationships>
</file>

<file path=word/charts/_rels/chart372.xml.rels>&#65279;<?xml version="1.0" encoding="utf-8" standalone="yes"?><Relationships xmlns="http://schemas.openxmlformats.org/package/2006/relationships"><Relationship Id="rId1" Type="http://schemas.openxmlformats.org/officeDocument/2006/relationships/package" Target="../embeddings/Microsoft_Excel_Worksheet372.xlsx" /></Relationships>
</file>

<file path=word/charts/_rels/chart373.xml.rels>&#65279;<?xml version="1.0" encoding="utf-8" standalone="yes"?><Relationships xmlns="http://schemas.openxmlformats.org/package/2006/relationships"><Relationship Id="rId1" Type="http://schemas.openxmlformats.org/officeDocument/2006/relationships/package" Target="../embeddings/Microsoft_Excel_Worksheet373.xlsx" /><Relationship Id="rId2" Type="http://schemas.openxmlformats.org/officeDocument/2006/relationships/themeOverride" Target="../theme/themeOverride98.xml" /></Relationships>
</file>

<file path=word/charts/_rels/chart374.xml.rels>&#65279;<?xml version="1.0" encoding="utf-8" standalone="yes"?><Relationships xmlns="http://schemas.openxmlformats.org/package/2006/relationships"><Relationship Id="rId1" Type="http://schemas.openxmlformats.org/officeDocument/2006/relationships/package" Target="../embeddings/Microsoft_Excel_Worksheet374.xlsx" /><Relationship Id="rId2" Type="http://schemas.openxmlformats.org/officeDocument/2006/relationships/themeOverride" Target="../theme/themeOverride99.xml" /></Relationships>
</file>

<file path=word/charts/_rels/chart375.xml.rels>&#65279;<?xml version="1.0" encoding="utf-8" standalone="yes"?><Relationships xmlns="http://schemas.openxmlformats.org/package/2006/relationships"><Relationship Id="rId1" Type="http://schemas.openxmlformats.org/officeDocument/2006/relationships/package" Target="../embeddings/Microsoft_Excel_Worksheet375.xlsx" /></Relationships>
</file>

<file path=word/charts/_rels/chart376.xml.rels>&#65279;<?xml version="1.0" encoding="utf-8" standalone="yes"?><Relationships xmlns="http://schemas.openxmlformats.org/package/2006/relationships"><Relationship Id="rId1" Type="http://schemas.openxmlformats.org/officeDocument/2006/relationships/package" Target="../embeddings/Microsoft_Excel_Worksheet376.xlsx" /><Relationship Id="rId2" Type="http://schemas.openxmlformats.org/officeDocument/2006/relationships/themeOverride" Target="../theme/themeOverride100.xml" /></Relationships>
</file>

<file path=word/charts/_rels/chart377.xml.rels>&#65279;<?xml version="1.0" encoding="utf-8" standalone="yes"?><Relationships xmlns="http://schemas.openxmlformats.org/package/2006/relationships"><Relationship Id="rId1" Type="http://schemas.openxmlformats.org/officeDocument/2006/relationships/package" Target="../embeddings/Microsoft_Excel_Worksheet377.xlsx" /></Relationships>
</file>

<file path=word/charts/_rels/chart378.xml.rels>&#65279;<?xml version="1.0" encoding="utf-8" standalone="yes"?><Relationships xmlns="http://schemas.openxmlformats.org/package/2006/relationships"><Relationship Id="rId1" Type="http://schemas.openxmlformats.org/officeDocument/2006/relationships/package" Target="../embeddings/Microsoft_Excel_Worksheet378.xlsx" /></Relationships>
</file>

<file path=word/charts/_rels/chart379.xml.rels>&#65279;<?xml version="1.0" encoding="utf-8" standalone="yes"?><Relationships xmlns="http://schemas.openxmlformats.org/package/2006/relationships"><Relationship Id="rId1" Type="http://schemas.openxmlformats.org/officeDocument/2006/relationships/package" Target="../embeddings/Microsoft_Excel_Worksheet379.xlsx" /><Relationship Id="rId2" Type="http://schemas.openxmlformats.org/officeDocument/2006/relationships/themeOverride" Target="../theme/themeOverride101.xml" /></Relationships>
</file>

<file path=word/charts/_rels/chart38.xml.rels>&#65279;<?xml version="1.0" encoding="utf-8" standalone="yes"?><Relationships xmlns="http://schemas.openxmlformats.org/package/2006/relationships"><Relationship Id="rId1" Type="http://schemas.openxmlformats.org/officeDocument/2006/relationships/package" Target="../embeddings/Microsoft_Excel_Worksheet38.xlsx" /></Relationships>
</file>

<file path=word/charts/_rels/chart380.xml.rels>&#65279;<?xml version="1.0" encoding="utf-8" standalone="yes"?><Relationships xmlns="http://schemas.openxmlformats.org/package/2006/relationships"><Relationship Id="rId1" Type="http://schemas.openxmlformats.org/officeDocument/2006/relationships/package" Target="../embeddings/Microsoft_Excel_Worksheet380.xlsx" /></Relationships>
</file>

<file path=word/charts/_rels/chart381.xml.rels>&#65279;<?xml version="1.0" encoding="utf-8" standalone="yes"?><Relationships xmlns="http://schemas.openxmlformats.org/package/2006/relationships"><Relationship Id="rId1" Type="http://schemas.openxmlformats.org/officeDocument/2006/relationships/package" Target="../embeddings/Microsoft_Excel_Worksheet381.xlsx" /></Relationships>
</file>

<file path=word/charts/_rels/chart382.xml.rels>&#65279;<?xml version="1.0" encoding="utf-8" standalone="yes"?><Relationships xmlns="http://schemas.openxmlformats.org/package/2006/relationships"><Relationship Id="rId1" Type="http://schemas.openxmlformats.org/officeDocument/2006/relationships/package" Target="../embeddings/Microsoft_Excel_Worksheet382.xlsx" /></Relationships>
</file>

<file path=word/charts/_rels/chart383.xml.rels>&#65279;<?xml version="1.0" encoding="utf-8" standalone="yes"?><Relationships xmlns="http://schemas.openxmlformats.org/package/2006/relationships"><Relationship Id="rId1" Type="http://schemas.openxmlformats.org/officeDocument/2006/relationships/package" Target="../embeddings/Microsoft_Excel_Worksheet383.xlsx" /></Relationships>
</file>

<file path=word/charts/_rels/chart384.xml.rels>&#65279;<?xml version="1.0" encoding="utf-8" standalone="yes"?><Relationships xmlns="http://schemas.openxmlformats.org/package/2006/relationships"><Relationship Id="rId1" Type="http://schemas.openxmlformats.org/officeDocument/2006/relationships/package" Target="../embeddings/Microsoft_Excel_Worksheet384.xlsx" /><Relationship Id="rId2" Type="http://schemas.openxmlformats.org/officeDocument/2006/relationships/themeOverride" Target="../theme/themeOverride102.xml" /></Relationships>
</file>

<file path=word/charts/_rels/chart385.xml.rels>&#65279;<?xml version="1.0" encoding="utf-8" standalone="yes"?><Relationships xmlns="http://schemas.openxmlformats.org/package/2006/relationships"><Relationship Id="rId1" Type="http://schemas.openxmlformats.org/officeDocument/2006/relationships/package" Target="../embeddings/Microsoft_Excel_Worksheet385.xlsx" /><Relationship Id="rId2" Type="http://schemas.openxmlformats.org/officeDocument/2006/relationships/themeOverride" Target="../theme/themeOverride103.xml" /></Relationships>
</file>

<file path=word/charts/_rels/chart386.xml.rels>&#65279;<?xml version="1.0" encoding="utf-8" standalone="yes"?><Relationships xmlns="http://schemas.openxmlformats.org/package/2006/relationships"><Relationship Id="rId1" Type="http://schemas.openxmlformats.org/officeDocument/2006/relationships/package" Target="../embeddings/Microsoft_Excel_Worksheet386.xlsx" /><Relationship Id="rId2" Type="http://schemas.openxmlformats.org/officeDocument/2006/relationships/themeOverride" Target="../theme/themeOverride104.xml" /></Relationships>
</file>

<file path=word/charts/_rels/chart387.xml.rels>&#65279;<?xml version="1.0" encoding="utf-8" standalone="yes"?><Relationships xmlns="http://schemas.openxmlformats.org/package/2006/relationships"><Relationship Id="rId1" Type="http://schemas.openxmlformats.org/officeDocument/2006/relationships/package" Target="../embeddings/Microsoft_Excel_Worksheet387.xlsx" /><Relationship Id="rId2" Type="http://schemas.openxmlformats.org/officeDocument/2006/relationships/themeOverride" Target="../theme/themeOverride105.xml" /></Relationships>
</file>

<file path=word/charts/_rels/chart388.xml.rels>&#65279;<?xml version="1.0" encoding="utf-8" standalone="yes"?><Relationships xmlns="http://schemas.openxmlformats.org/package/2006/relationships"><Relationship Id="rId1" Type="http://schemas.openxmlformats.org/officeDocument/2006/relationships/package" Target="../embeddings/Microsoft_Excel_Worksheet388.xlsx" /><Relationship Id="rId2" Type="http://schemas.openxmlformats.org/officeDocument/2006/relationships/themeOverride" Target="../theme/themeOverride106.xml" /></Relationships>
</file>

<file path=word/charts/_rels/chart389.xml.rels>&#65279;<?xml version="1.0" encoding="utf-8" standalone="yes"?><Relationships xmlns="http://schemas.openxmlformats.org/package/2006/relationships"><Relationship Id="rId1" Type="http://schemas.openxmlformats.org/officeDocument/2006/relationships/package" Target="../embeddings/Microsoft_Excel_Worksheet389.xlsx" /><Relationship Id="rId2" Type="http://schemas.openxmlformats.org/officeDocument/2006/relationships/themeOverride" Target="../theme/themeOverride107.xml" /></Relationships>
</file>

<file path=word/charts/_rels/chart39.xml.rels>&#65279;<?xml version="1.0" encoding="utf-8" standalone="yes"?><Relationships xmlns="http://schemas.openxmlformats.org/package/2006/relationships"><Relationship Id="rId1" Type="http://schemas.openxmlformats.org/officeDocument/2006/relationships/package" Target="../embeddings/Microsoft_Excel_Worksheet39.xlsx" /></Relationships>
</file>

<file path=word/charts/_rels/chart390.xml.rels>&#65279;<?xml version="1.0" encoding="utf-8" standalone="yes"?><Relationships xmlns="http://schemas.openxmlformats.org/package/2006/relationships"><Relationship Id="rId1" Type="http://schemas.openxmlformats.org/officeDocument/2006/relationships/package" Target="../embeddings/Microsoft_Excel_Worksheet390.xlsx" /><Relationship Id="rId2" Type="http://schemas.openxmlformats.org/officeDocument/2006/relationships/themeOverride" Target="../theme/themeOverride108.xml" /></Relationships>
</file>

<file path=word/charts/_rels/chart391.xml.rels>&#65279;<?xml version="1.0" encoding="utf-8" standalone="yes"?><Relationships xmlns="http://schemas.openxmlformats.org/package/2006/relationships"><Relationship Id="rId1" Type="http://schemas.openxmlformats.org/officeDocument/2006/relationships/package" Target="../embeddings/Microsoft_Excel_Worksheet391.xlsx" /><Relationship Id="rId2" Type="http://schemas.openxmlformats.org/officeDocument/2006/relationships/themeOverride" Target="../theme/themeOverride109.xml" /></Relationships>
</file>

<file path=word/charts/_rels/chart392.xml.rels>&#65279;<?xml version="1.0" encoding="utf-8" standalone="yes"?><Relationships xmlns="http://schemas.openxmlformats.org/package/2006/relationships"><Relationship Id="rId1" Type="http://schemas.openxmlformats.org/officeDocument/2006/relationships/package" Target="../embeddings/Microsoft_Excel_Worksheet392.xlsx" /><Relationship Id="rId2" Type="http://schemas.openxmlformats.org/officeDocument/2006/relationships/themeOverride" Target="../theme/themeOverride110.xml" /></Relationships>
</file>

<file path=word/charts/_rels/chart393.xml.rels>&#65279;<?xml version="1.0" encoding="utf-8" standalone="yes"?><Relationships xmlns="http://schemas.openxmlformats.org/package/2006/relationships"><Relationship Id="rId1" Type="http://schemas.openxmlformats.org/officeDocument/2006/relationships/package" Target="../embeddings/Microsoft_Excel_Worksheet393.xlsx" /><Relationship Id="rId2" Type="http://schemas.openxmlformats.org/officeDocument/2006/relationships/themeOverride" Target="../theme/themeOverride111.xml" /></Relationships>
</file>

<file path=word/charts/_rels/chart394.xml.rels>&#65279;<?xml version="1.0" encoding="utf-8" standalone="yes"?><Relationships xmlns="http://schemas.openxmlformats.org/package/2006/relationships"><Relationship Id="rId1" Type="http://schemas.openxmlformats.org/officeDocument/2006/relationships/package" Target="../embeddings/Microsoft_Excel_Worksheet394.xlsx" /><Relationship Id="rId2" Type="http://schemas.openxmlformats.org/officeDocument/2006/relationships/themeOverride" Target="../theme/themeOverride112.xml" /></Relationships>
</file>

<file path=word/charts/_rels/chart395.xml.rels>&#65279;<?xml version="1.0" encoding="utf-8" standalone="yes"?><Relationships xmlns="http://schemas.openxmlformats.org/package/2006/relationships"><Relationship Id="rId1" Type="http://schemas.openxmlformats.org/officeDocument/2006/relationships/package" Target="../embeddings/Microsoft_Excel_Worksheet395.xlsx" /><Relationship Id="rId2" Type="http://schemas.openxmlformats.org/officeDocument/2006/relationships/themeOverride" Target="../theme/themeOverride113.xml" /></Relationships>
</file>

<file path=word/charts/_rels/chart396.xml.rels>&#65279;<?xml version="1.0" encoding="utf-8" standalone="yes"?><Relationships xmlns="http://schemas.openxmlformats.org/package/2006/relationships"><Relationship Id="rId1" Type="http://schemas.openxmlformats.org/officeDocument/2006/relationships/package" Target="../embeddings/Microsoft_Excel_Worksheet396.xlsx" /><Relationship Id="rId2" Type="http://schemas.openxmlformats.org/officeDocument/2006/relationships/themeOverride" Target="../theme/themeOverride114.xml" /></Relationships>
</file>

<file path=word/charts/_rels/chart397.xml.rels>&#65279;<?xml version="1.0" encoding="utf-8" standalone="yes"?><Relationships xmlns="http://schemas.openxmlformats.org/package/2006/relationships"><Relationship Id="rId1" Type="http://schemas.openxmlformats.org/officeDocument/2006/relationships/package" Target="../embeddings/Microsoft_Excel_Worksheet397.xlsx" /><Relationship Id="rId2" Type="http://schemas.openxmlformats.org/officeDocument/2006/relationships/themeOverride" Target="../theme/themeOverride115.xml" /></Relationships>
</file>

<file path=word/charts/_rels/chart398.xml.rels>&#65279;<?xml version="1.0" encoding="utf-8" standalone="yes"?><Relationships xmlns="http://schemas.openxmlformats.org/package/2006/relationships"><Relationship Id="rId1" Type="http://schemas.openxmlformats.org/officeDocument/2006/relationships/package" Target="../embeddings/Microsoft_Excel_Worksheet398.xlsx" /><Relationship Id="rId2" Type="http://schemas.openxmlformats.org/officeDocument/2006/relationships/themeOverride" Target="../theme/themeOverride116.xml" /></Relationships>
</file>

<file path=word/charts/_rels/chart399.xml.rels>&#65279;<?xml version="1.0" encoding="utf-8" standalone="yes"?><Relationships xmlns="http://schemas.openxmlformats.org/package/2006/relationships"><Relationship Id="rId1" Type="http://schemas.openxmlformats.org/officeDocument/2006/relationships/package" Target="../embeddings/Microsoft_Excel_Worksheet399.xlsx" /><Relationship Id="rId2" Type="http://schemas.openxmlformats.org/officeDocument/2006/relationships/themeOverride" Target="../theme/themeOverride117.xml" /></Relationships>
</file>

<file path=word/charts/_rels/chart4.xml.rels>&#65279;<?xml version="1.0" encoding="utf-8" standalone="yes"?><Relationships xmlns="http://schemas.openxmlformats.org/package/2006/relationships"><Relationship Id="rId1" Type="http://schemas.openxmlformats.org/officeDocument/2006/relationships/package" Target="../embeddings/Microsoft_Excel_Worksheet4.xlsx" /></Relationships>
</file>

<file path=word/charts/_rels/chart40.xml.rels>&#65279;<?xml version="1.0" encoding="utf-8" standalone="yes"?><Relationships xmlns="http://schemas.openxmlformats.org/package/2006/relationships"><Relationship Id="rId1" Type="http://schemas.openxmlformats.org/officeDocument/2006/relationships/package" Target="../embeddings/Microsoft_Excel_Worksheet40.xlsx" /></Relationships>
</file>

<file path=word/charts/_rels/chart400.xml.rels>&#65279;<?xml version="1.0" encoding="utf-8" standalone="yes"?><Relationships xmlns="http://schemas.openxmlformats.org/package/2006/relationships"><Relationship Id="rId1" Type="http://schemas.openxmlformats.org/officeDocument/2006/relationships/package" Target="../embeddings/Microsoft_Excel_Worksheet400.xlsx" /><Relationship Id="rId2" Type="http://schemas.openxmlformats.org/officeDocument/2006/relationships/themeOverride" Target="../theme/themeOverride118.xml" /></Relationships>
</file>

<file path=word/charts/_rels/chart401.xml.rels>&#65279;<?xml version="1.0" encoding="utf-8" standalone="yes"?><Relationships xmlns="http://schemas.openxmlformats.org/package/2006/relationships"><Relationship Id="rId1" Type="http://schemas.openxmlformats.org/officeDocument/2006/relationships/package" Target="../embeddings/Microsoft_Excel_Worksheet401.xlsx" /><Relationship Id="rId2" Type="http://schemas.openxmlformats.org/officeDocument/2006/relationships/themeOverride" Target="../theme/themeOverride119.xml" /></Relationships>
</file>

<file path=word/charts/_rels/chart402.xml.rels>&#65279;<?xml version="1.0" encoding="utf-8" standalone="yes"?><Relationships xmlns="http://schemas.openxmlformats.org/package/2006/relationships"><Relationship Id="rId1" Type="http://schemas.openxmlformats.org/officeDocument/2006/relationships/package" Target="../embeddings/Microsoft_Excel_Worksheet402.xlsx" /><Relationship Id="rId2" Type="http://schemas.openxmlformats.org/officeDocument/2006/relationships/themeOverride" Target="../theme/themeOverride120.xml" /></Relationships>
</file>

<file path=word/charts/_rels/chart403.xml.rels>&#65279;<?xml version="1.0" encoding="utf-8" standalone="yes"?><Relationships xmlns="http://schemas.openxmlformats.org/package/2006/relationships"><Relationship Id="rId1" Type="http://schemas.openxmlformats.org/officeDocument/2006/relationships/package" Target="../embeddings/Microsoft_Excel_Worksheet403.xlsx" /><Relationship Id="rId2" Type="http://schemas.openxmlformats.org/officeDocument/2006/relationships/themeOverride" Target="../theme/themeOverride121.xml" /></Relationships>
</file>

<file path=word/charts/_rels/chart404.xml.rels>&#65279;<?xml version="1.0" encoding="utf-8" standalone="yes"?><Relationships xmlns="http://schemas.openxmlformats.org/package/2006/relationships"><Relationship Id="rId1" Type="http://schemas.openxmlformats.org/officeDocument/2006/relationships/package" Target="../embeddings/Microsoft_Excel_Worksheet404.xlsx" /><Relationship Id="rId2" Type="http://schemas.openxmlformats.org/officeDocument/2006/relationships/themeOverride" Target="../theme/themeOverride122.xml" /></Relationships>
</file>

<file path=word/charts/_rels/chart405.xml.rels>&#65279;<?xml version="1.0" encoding="utf-8" standalone="yes"?><Relationships xmlns="http://schemas.openxmlformats.org/package/2006/relationships"><Relationship Id="rId1" Type="http://schemas.openxmlformats.org/officeDocument/2006/relationships/package" Target="../embeddings/Microsoft_Excel_Worksheet405.xlsx" /><Relationship Id="rId2" Type="http://schemas.openxmlformats.org/officeDocument/2006/relationships/themeOverride" Target="../theme/themeOverride123.xml" /></Relationships>
</file>

<file path=word/charts/_rels/chart406.xml.rels>&#65279;<?xml version="1.0" encoding="utf-8" standalone="yes"?><Relationships xmlns="http://schemas.openxmlformats.org/package/2006/relationships"><Relationship Id="rId1" Type="http://schemas.openxmlformats.org/officeDocument/2006/relationships/package" Target="../embeddings/Microsoft_Excel_Worksheet406.xlsx" /><Relationship Id="rId2" Type="http://schemas.openxmlformats.org/officeDocument/2006/relationships/themeOverride" Target="../theme/themeOverride124.xml" /></Relationships>
</file>

<file path=word/charts/_rels/chart407.xml.rels>&#65279;<?xml version="1.0" encoding="utf-8" standalone="yes"?><Relationships xmlns="http://schemas.openxmlformats.org/package/2006/relationships"><Relationship Id="rId1" Type="http://schemas.openxmlformats.org/officeDocument/2006/relationships/package" Target="../embeddings/Microsoft_Excel_Worksheet407.xlsx" /><Relationship Id="rId2" Type="http://schemas.openxmlformats.org/officeDocument/2006/relationships/themeOverride" Target="../theme/themeOverride125.xml" /></Relationships>
</file>

<file path=word/charts/_rels/chart408.xml.rels>&#65279;<?xml version="1.0" encoding="utf-8" standalone="yes"?><Relationships xmlns="http://schemas.openxmlformats.org/package/2006/relationships"><Relationship Id="rId1" Type="http://schemas.openxmlformats.org/officeDocument/2006/relationships/package" Target="../embeddings/Microsoft_Excel_Worksheet408.xlsx" /><Relationship Id="rId2" Type="http://schemas.openxmlformats.org/officeDocument/2006/relationships/themeOverride" Target="../theme/themeOverride126.xml" /></Relationships>
</file>

<file path=word/charts/_rels/chart409.xml.rels>&#65279;<?xml version="1.0" encoding="utf-8" standalone="yes"?><Relationships xmlns="http://schemas.openxmlformats.org/package/2006/relationships"><Relationship Id="rId1" Type="http://schemas.openxmlformats.org/officeDocument/2006/relationships/package" Target="../embeddings/Microsoft_Excel_Worksheet409.xlsx" /><Relationship Id="rId2" Type="http://schemas.openxmlformats.org/officeDocument/2006/relationships/themeOverride" Target="../theme/themeOverride127.xml" /></Relationships>
</file>

<file path=word/charts/_rels/chart41.xml.rels>&#65279;<?xml version="1.0" encoding="utf-8" standalone="yes"?><Relationships xmlns="http://schemas.openxmlformats.org/package/2006/relationships"><Relationship Id="rId1" Type="http://schemas.openxmlformats.org/officeDocument/2006/relationships/package" Target="../embeddings/Microsoft_Excel_Worksheet41.xlsx" /></Relationships>
</file>

<file path=word/charts/_rels/chart42.xml.rels>&#65279;<?xml version="1.0" encoding="utf-8" standalone="yes"?><Relationships xmlns="http://schemas.openxmlformats.org/package/2006/relationships"><Relationship Id="rId1" Type="http://schemas.openxmlformats.org/officeDocument/2006/relationships/package" Target="../embeddings/Microsoft_Excel_Worksheet42.xlsx" /><Relationship Id="rId2" Type="http://schemas.openxmlformats.org/officeDocument/2006/relationships/themeOverride" Target="../theme/themeOverride7.xml" /></Relationships>
</file>

<file path=word/charts/_rels/chart43.xml.rels>&#65279;<?xml version="1.0" encoding="utf-8" standalone="yes"?><Relationships xmlns="http://schemas.openxmlformats.org/package/2006/relationships"><Relationship Id="rId1" Type="http://schemas.openxmlformats.org/officeDocument/2006/relationships/package" Target="../embeddings/Microsoft_Excel_Worksheet43.xlsx" /><Relationship Id="rId2" Type="http://schemas.openxmlformats.org/officeDocument/2006/relationships/themeOverride" Target="../theme/themeOverride8.xml" /></Relationships>
</file>

<file path=word/charts/_rels/chart44.xml.rels>&#65279;<?xml version="1.0" encoding="utf-8" standalone="yes"?><Relationships xmlns="http://schemas.openxmlformats.org/package/2006/relationships"><Relationship Id="rId1" Type="http://schemas.openxmlformats.org/officeDocument/2006/relationships/package" Target="../embeddings/Microsoft_Excel_Worksheet44.xlsx" /></Relationships>
</file>

<file path=word/charts/_rels/chart45.xml.rels>&#65279;<?xml version="1.0" encoding="utf-8" standalone="yes"?><Relationships xmlns="http://schemas.openxmlformats.org/package/2006/relationships"><Relationship Id="rId1" Type="http://schemas.openxmlformats.org/officeDocument/2006/relationships/package" Target="../embeddings/Microsoft_Excel_Worksheet45.xlsx" /><Relationship Id="rId2" Type="http://schemas.openxmlformats.org/officeDocument/2006/relationships/themeOverride" Target="../theme/themeOverride9.xml" /></Relationships>
</file>

<file path=word/charts/_rels/chart46.xml.rels>&#65279;<?xml version="1.0" encoding="utf-8" standalone="yes"?><Relationships xmlns="http://schemas.openxmlformats.org/package/2006/relationships"><Relationship Id="rId1" Type="http://schemas.openxmlformats.org/officeDocument/2006/relationships/package" Target="../embeddings/Microsoft_Excel_Worksheet46.xlsx" /></Relationships>
</file>

<file path=word/charts/_rels/chart47.xml.rels>&#65279;<?xml version="1.0" encoding="utf-8" standalone="yes"?><Relationships xmlns="http://schemas.openxmlformats.org/package/2006/relationships"><Relationship Id="rId1" Type="http://schemas.openxmlformats.org/officeDocument/2006/relationships/package" Target="../embeddings/Microsoft_Excel_Worksheet47.xlsx" /></Relationships>
</file>

<file path=word/charts/_rels/chart48.xml.rels>&#65279;<?xml version="1.0" encoding="utf-8" standalone="yes"?><Relationships xmlns="http://schemas.openxmlformats.org/package/2006/relationships"><Relationship Id="rId1" Type="http://schemas.openxmlformats.org/officeDocument/2006/relationships/package" Target="../embeddings/Microsoft_Excel_Worksheet48.xlsx" /></Relationships>
</file>

<file path=word/charts/_rels/chart49.xml.rels>&#65279;<?xml version="1.0" encoding="utf-8" standalone="yes"?><Relationships xmlns="http://schemas.openxmlformats.org/package/2006/relationships"><Relationship Id="rId1" Type="http://schemas.openxmlformats.org/officeDocument/2006/relationships/package" Target="../embeddings/Microsoft_Excel_Worksheet49.xlsx" /></Relationships>
</file>

<file path=word/charts/_rels/chart5.xml.rels>&#65279;<?xml version="1.0" encoding="utf-8" standalone="yes"?><Relationships xmlns="http://schemas.openxmlformats.org/package/2006/relationships"><Relationship Id="rId1" Type="http://schemas.openxmlformats.org/officeDocument/2006/relationships/package" Target="../embeddings/Microsoft_Excel_Worksheet5.xlsx" /></Relationships>
</file>

<file path=word/charts/_rels/chart50.xml.rels>&#65279;<?xml version="1.0" encoding="utf-8" standalone="yes"?><Relationships xmlns="http://schemas.openxmlformats.org/package/2006/relationships"><Relationship Id="rId1" Type="http://schemas.openxmlformats.org/officeDocument/2006/relationships/package" Target="../embeddings/Microsoft_Excel_Worksheet50.xlsx" /></Relationships>
</file>

<file path=word/charts/_rels/chart51.xml.rels>&#65279;<?xml version="1.0" encoding="utf-8" standalone="yes"?><Relationships xmlns="http://schemas.openxmlformats.org/package/2006/relationships"><Relationship Id="rId1" Type="http://schemas.openxmlformats.org/officeDocument/2006/relationships/package" Target="../embeddings/Microsoft_Excel_Worksheet51.xlsx" /></Relationships>
</file>

<file path=word/charts/_rels/chart52.xml.rels>&#65279;<?xml version="1.0" encoding="utf-8" standalone="yes"?><Relationships xmlns="http://schemas.openxmlformats.org/package/2006/relationships"><Relationship Id="rId1" Type="http://schemas.openxmlformats.org/officeDocument/2006/relationships/package" Target="../embeddings/Microsoft_Excel_Worksheet52.xlsx" /></Relationships>
</file>

<file path=word/charts/_rels/chart53.xml.rels>&#65279;<?xml version="1.0" encoding="utf-8" standalone="yes"?><Relationships xmlns="http://schemas.openxmlformats.org/package/2006/relationships"><Relationship Id="rId1" Type="http://schemas.openxmlformats.org/officeDocument/2006/relationships/package" Target="../embeddings/Microsoft_Excel_Worksheet53.xlsx" /></Relationships>
</file>

<file path=word/charts/_rels/chart54.xml.rels>&#65279;<?xml version="1.0" encoding="utf-8" standalone="yes"?><Relationships xmlns="http://schemas.openxmlformats.org/package/2006/relationships"><Relationship Id="rId1" Type="http://schemas.openxmlformats.org/officeDocument/2006/relationships/package" Target="../embeddings/Microsoft_Excel_Worksheet54.xlsx" /><Relationship Id="rId2" Type="http://schemas.openxmlformats.org/officeDocument/2006/relationships/themeOverride" Target="../theme/themeOverride10.xml" /></Relationships>
</file>

<file path=word/charts/_rels/chart55.xml.rels>&#65279;<?xml version="1.0" encoding="utf-8" standalone="yes"?><Relationships xmlns="http://schemas.openxmlformats.org/package/2006/relationships"><Relationship Id="rId1" Type="http://schemas.openxmlformats.org/officeDocument/2006/relationships/package" Target="../embeddings/Microsoft_Excel_Worksheet55.xlsx" /></Relationships>
</file>

<file path=word/charts/_rels/chart56.xml.rels>&#65279;<?xml version="1.0" encoding="utf-8" standalone="yes"?><Relationships xmlns="http://schemas.openxmlformats.org/package/2006/relationships"><Relationship Id="rId1" Type="http://schemas.openxmlformats.org/officeDocument/2006/relationships/package" Target="../embeddings/Microsoft_Excel_Worksheet56.xlsx" /></Relationships>
</file>

<file path=word/charts/_rels/chart57.xml.rels>&#65279;<?xml version="1.0" encoding="utf-8" standalone="yes"?><Relationships xmlns="http://schemas.openxmlformats.org/package/2006/relationships"><Relationship Id="rId1" Type="http://schemas.openxmlformats.org/officeDocument/2006/relationships/package" Target="../embeddings/Microsoft_Excel_Worksheet57.xlsx" /></Relationships>
</file>

<file path=word/charts/_rels/chart58.xml.rels>&#65279;<?xml version="1.0" encoding="utf-8" standalone="yes"?><Relationships xmlns="http://schemas.openxmlformats.org/package/2006/relationships"><Relationship Id="rId1" Type="http://schemas.openxmlformats.org/officeDocument/2006/relationships/package" Target="../embeddings/Microsoft_Excel_Worksheet58.xlsx" /></Relationships>
</file>

<file path=word/charts/_rels/chart59.xml.rels>&#65279;<?xml version="1.0" encoding="utf-8" standalone="yes"?><Relationships xmlns="http://schemas.openxmlformats.org/package/2006/relationships"><Relationship Id="rId1" Type="http://schemas.openxmlformats.org/officeDocument/2006/relationships/package" Target="../embeddings/Microsoft_Excel_Worksheet59.xlsx" /><Relationship Id="rId2" Type="http://schemas.openxmlformats.org/officeDocument/2006/relationships/themeOverride" Target="../theme/themeOverride11.xml" /></Relationships>
</file>

<file path=word/charts/_rels/chart6.xml.rels>&#65279;<?xml version="1.0" encoding="utf-8" standalone="yes"?><Relationships xmlns="http://schemas.openxmlformats.org/package/2006/relationships"><Relationship Id="rId1" Type="http://schemas.openxmlformats.org/officeDocument/2006/relationships/package" Target="../embeddings/Microsoft_Excel_Worksheet6.xlsx" /></Relationships>
</file>

<file path=word/charts/_rels/chart60.xml.rels>&#65279;<?xml version="1.0" encoding="utf-8" standalone="yes"?><Relationships xmlns="http://schemas.openxmlformats.org/package/2006/relationships"><Relationship Id="rId1" Type="http://schemas.openxmlformats.org/officeDocument/2006/relationships/package" Target="../embeddings/Microsoft_Excel_Worksheet60.xlsx" /><Relationship Id="rId2" Type="http://schemas.openxmlformats.org/officeDocument/2006/relationships/themeOverride" Target="../theme/themeOverride12.xml" /></Relationships>
</file>

<file path=word/charts/_rels/chart61.xml.rels>&#65279;<?xml version="1.0" encoding="utf-8" standalone="yes"?><Relationships xmlns="http://schemas.openxmlformats.org/package/2006/relationships"><Relationship Id="rId1" Type="http://schemas.openxmlformats.org/officeDocument/2006/relationships/package" Target="../embeddings/Microsoft_Excel_Worksheet61.xlsx" /></Relationships>
</file>

<file path=word/charts/_rels/chart62.xml.rels>&#65279;<?xml version="1.0" encoding="utf-8" standalone="yes"?><Relationships xmlns="http://schemas.openxmlformats.org/package/2006/relationships"><Relationship Id="rId1" Type="http://schemas.openxmlformats.org/officeDocument/2006/relationships/package" Target="../embeddings/Microsoft_Excel_Worksheet62.xlsx" /><Relationship Id="rId2" Type="http://schemas.openxmlformats.org/officeDocument/2006/relationships/themeOverride" Target="../theme/themeOverride13.xml" /></Relationships>
</file>

<file path=word/charts/_rels/chart63.xml.rels>&#65279;<?xml version="1.0" encoding="utf-8" standalone="yes"?><Relationships xmlns="http://schemas.openxmlformats.org/package/2006/relationships"><Relationship Id="rId1" Type="http://schemas.openxmlformats.org/officeDocument/2006/relationships/package" Target="../embeddings/Microsoft_Excel_Worksheet63.xlsx" /></Relationships>
</file>

<file path=word/charts/_rels/chart64.xml.rels>&#65279;<?xml version="1.0" encoding="utf-8" standalone="yes"?><Relationships xmlns="http://schemas.openxmlformats.org/package/2006/relationships"><Relationship Id="rId1" Type="http://schemas.openxmlformats.org/officeDocument/2006/relationships/package" Target="../embeddings/Microsoft_Excel_Worksheet64.xlsx" /></Relationships>
</file>

<file path=word/charts/_rels/chart65.xml.rels>&#65279;<?xml version="1.0" encoding="utf-8" standalone="yes"?><Relationships xmlns="http://schemas.openxmlformats.org/package/2006/relationships"><Relationship Id="rId1" Type="http://schemas.openxmlformats.org/officeDocument/2006/relationships/package" Target="../embeddings/Microsoft_Excel_Worksheet65.xlsx" /></Relationships>
</file>

<file path=word/charts/_rels/chart66.xml.rels>&#65279;<?xml version="1.0" encoding="utf-8" standalone="yes"?><Relationships xmlns="http://schemas.openxmlformats.org/package/2006/relationships"><Relationship Id="rId1" Type="http://schemas.openxmlformats.org/officeDocument/2006/relationships/package" Target="../embeddings/Microsoft_Excel_Worksheet66.xlsx" /></Relationships>
</file>

<file path=word/charts/_rels/chart67.xml.rels>&#65279;<?xml version="1.0" encoding="utf-8" standalone="yes"?><Relationships xmlns="http://schemas.openxmlformats.org/package/2006/relationships"><Relationship Id="rId1" Type="http://schemas.openxmlformats.org/officeDocument/2006/relationships/package" Target="../embeddings/Microsoft_Excel_Worksheet67.xlsx" /></Relationships>
</file>

<file path=word/charts/_rels/chart68.xml.rels>&#65279;<?xml version="1.0" encoding="utf-8" standalone="yes"?><Relationships xmlns="http://schemas.openxmlformats.org/package/2006/relationships"><Relationship Id="rId1" Type="http://schemas.openxmlformats.org/officeDocument/2006/relationships/package" Target="../embeddings/Microsoft_Excel_Worksheet68.xlsx" /></Relationships>
</file>

<file path=word/charts/_rels/chart69.xml.rels>&#65279;<?xml version="1.0" encoding="utf-8" standalone="yes"?><Relationships xmlns="http://schemas.openxmlformats.org/package/2006/relationships"><Relationship Id="rId1" Type="http://schemas.openxmlformats.org/officeDocument/2006/relationships/package" Target="../embeddings/Microsoft_Excel_Worksheet69.xlsx" /></Relationships>
</file>

<file path=word/charts/_rels/chart7.xml.rels>&#65279;<?xml version="1.0" encoding="utf-8" standalone="yes"?><Relationships xmlns="http://schemas.openxmlformats.org/package/2006/relationships"><Relationship Id="rId1" Type="http://schemas.openxmlformats.org/officeDocument/2006/relationships/package" Target="../embeddings/Microsoft_Excel_Worksheet7.xlsx" /></Relationships>
</file>

<file path=word/charts/_rels/chart70.xml.rels>&#65279;<?xml version="1.0" encoding="utf-8" standalone="yes"?><Relationships xmlns="http://schemas.openxmlformats.org/package/2006/relationships"><Relationship Id="rId1" Type="http://schemas.openxmlformats.org/officeDocument/2006/relationships/package" Target="../embeddings/Microsoft_Excel_Worksheet70.xlsx" /></Relationships>
</file>

<file path=word/charts/_rels/chart71.xml.rels>&#65279;<?xml version="1.0" encoding="utf-8" standalone="yes"?><Relationships xmlns="http://schemas.openxmlformats.org/package/2006/relationships"><Relationship Id="rId1" Type="http://schemas.openxmlformats.org/officeDocument/2006/relationships/package" Target="../embeddings/Microsoft_Excel_Worksheet71.xlsx" /><Relationship Id="rId2" Type="http://schemas.openxmlformats.org/officeDocument/2006/relationships/themeOverride" Target="../theme/themeOverride14.xml" /></Relationships>
</file>

<file path=word/charts/_rels/chart72.xml.rels>&#65279;<?xml version="1.0" encoding="utf-8" standalone="yes"?><Relationships xmlns="http://schemas.openxmlformats.org/package/2006/relationships"><Relationship Id="rId1" Type="http://schemas.openxmlformats.org/officeDocument/2006/relationships/package" Target="../embeddings/Microsoft_Excel_Worksheet72.xlsx" /></Relationships>
</file>

<file path=word/charts/_rels/chart73.xml.rels>&#65279;<?xml version="1.0" encoding="utf-8" standalone="yes"?><Relationships xmlns="http://schemas.openxmlformats.org/package/2006/relationships"><Relationship Id="rId1" Type="http://schemas.openxmlformats.org/officeDocument/2006/relationships/package" Target="../embeddings/Microsoft_Excel_Worksheet73.xlsx" /></Relationships>
</file>

<file path=word/charts/_rels/chart74.xml.rels>&#65279;<?xml version="1.0" encoding="utf-8" standalone="yes"?><Relationships xmlns="http://schemas.openxmlformats.org/package/2006/relationships"><Relationship Id="rId1" Type="http://schemas.openxmlformats.org/officeDocument/2006/relationships/package" Target="../embeddings/Microsoft_Excel_Worksheet74.xlsx" /></Relationships>
</file>

<file path=word/charts/_rels/chart75.xml.rels>&#65279;<?xml version="1.0" encoding="utf-8" standalone="yes"?><Relationships xmlns="http://schemas.openxmlformats.org/package/2006/relationships"><Relationship Id="rId1" Type="http://schemas.openxmlformats.org/officeDocument/2006/relationships/package" Target="../embeddings/Microsoft_Excel_Worksheet75.xlsx" /></Relationships>
</file>

<file path=word/charts/_rels/chart76.xml.rels>&#65279;<?xml version="1.0" encoding="utf-8" standalone="yes"?><Relationships xmlns="http://schemas.openxmlformats.org/package/2006/relationships"><Relationship Id="rId1" Type="http://schemas.openxmlformats.org/officeDocument/2006/relationships/package" Target="../embeddings/Microsoft_Excel_Worksheet76.xlsx" /><Relationship Id="rId2" Type="http://schemas.openxmlformats.org/officeDocument/2006/relationships/themeOverride" Target="../theme/themeOverride15.xml" /></Relationships>
</file>

<file path=word/charts/_rels/chart77.xml.rels>&#65279;<?xml version="1.0" encoding="utf-8" standalone="yes"?><Relationships xmlns="http://schemas.openxmlformats.org/package/2006/relationships"><Relationship Id="rId1" Type="http://schemas.openxmlformats.org/officeDocument/2006/relationships/package" Target="../embeddings/Microsoft_Excel_Worksheet77.xlsx" /><Relationship Id="rId2" Type="http://schemas.openxmlformats.org/officeDocument/2006/relationships/themeOverride" Target="../theme/themeOverride16.xml" /></Relationships>
</file>

<file path=word/charts/_rels/chart78.xml.rels>&#65279;<?xml version="1.0" encoding="utf-8" standalone="yes"?><Relationships xmlns="http://schemas.openxmlformats.org/package/2006/relationships"><Relationship Id="rId1" Type="http://schemas.openxmlformats.org/officeDocument/2006/relationships/package" Target="../embeddings/Microsoft_Excel_Worksheet78.xlsx" /></Relationships>
</file>

<file path=word/charts/_rels/chart79.xml.rels>&#65279;<?xml version="1.0" encoding="utf-8" standalone="yes"?><Relationships xmlns="http://schemas.openxmlformats.org/package/2006/relationships"><Relationship Id="rId1" Type="http://schemas.openxmlformats.org/officeDocument/2006/relationships/package" Target="../embeddings/Microsoft_Excel_Worksheet79.xlsx" /><Relationship Id="rId2" Type="http://schemas.openxmlformats.org/officeDocument/2006/relationships/themeOverride" Target="../theme/themeOverride17.xml" /></Relationships>
</file>

<file path=word/charts/_rels/chart8.xml.rels>&#65279;<?xml version="1.0" encoding="utf-8" standalone="yes"?><Relationships xmlns="http://schemas.openxmlformats.org/package/2006/relationships"><Relationship Id="rId1" Type="http://schemas.openxmlformats.org/officeDocument/2006/relationships/package" Target="../embeddings/Microsoft_Excel_Worksheet8.xlsx" /></Relationships>
</file>

<file path=word/charts/_rels/chart80.xml.rels>&#65279;<?xml version="1.0" encoding="utf-8" standalone="yes"?><Relationships xmlns="http://schemas.openxmlformats.org/package/2006/relationships"><Relationship Id="rId1" Type="http://schemas.openxmlformats.org/officeDocument/2006/relationships/package" Target="../embeddings/Microsoft_Excel_Worksheet80.xlsx" /></Relationships>
</file>

<file path=word/charts/_rels/chart81.xml.rels>&#65279;<?xml version="1.0" encoding="utf-8" standalone="yes"?><Relationships xmlns="http://schemas.openxmlformats.org/package/2006/relationships"><Relationship Id="rId1" Type="http://schemas.openxmlformats.org/officeDocument/2006/relationships/package" Target="../embeddings/Microsoft_Excel_Worksheet81.xlsx" /></Relationships>
</file>

<file path=word/charts/_rels/chart82.xml.rels>&#65279;<?xml version="1.0" encoding="utf-8" standalone="yes"?><Relationships xmlns="http://schemas.openxmlformats.org/package/2006/relationships"><Relationship Id="rId1" Type="http://schemas.openxmlformats.org/officeDocument/2006/relationships/package" Target="../embeddings/Microsoft_Excel_Worksheet82.xlsx" /></Relationships>
</file>

<file path=word/charts/_rels/chart83.xml.rels>&#65279;<?xml version="1.0" encoding="utf-8" standalone="yes"?><Relationships xmlns="http://schemas.openxmlformats.org/package/2006/relationships"><Relationship Id="rId1" Type="http://schemas.openxmlformats.org/officeDocument/2006/relationships/package" Target="../embeddings/Microsoft_Excel_Worksheet83.xlsx" /></Relationships>
</file>

<file path=word/charts/_rels/chart84.xml.rels>&#65279;<?xml version="1.0" encoding="utf-8" standalone="yes"?><Relationships xmlns="http://schemas.openxmlformats.org/package/2006/relationships"><Relationship Id="rId1" Type="http://schemas.openxmlformats.org/officeDocument/2006/relationships/package" Target="../embeddings/Microsoft_Excel_Worksheet84.xlsx" /></Relationships>
</file>

<file path=word/charts/_rels/chart85.xml.rels>&#65279;<?xml version="1.0" encoding="utf-8" standalone="yes"?><Relationships xmlns="http://schemas.openxmlformats.org/package/2006/relationships"><Relationship Id="rId1" Type="http://schemas.openxmlformats.org/officeDocument/2006/relationships/package" Target="../embeddings/Microsoft_Excel_Worksheet85.xlsx" /></Relationships>
</file>

<file path=word/charts/_rels/chart86.xml.rels>&#65279;<?xml version="1.0" encoding="utf-8" standalone="yes"?><Relationships xmlns="http://schemas.openxmlformats.org/package/2006/relationships"><Relationship Id="rId1" Type="http://schemas.openxmlformats.org/officeDocument/2006/relationships/package" Target="../embeddings/Microsoft_Excel_Worksheet86.xlsx" /></Relationships>
</file>

<file path=word/charts/_rels/chart87.xml.rels>&#65279;<?xml version="1.0" encoding="utf-8" standalone="yes"?><Relationships xmlns="http://schemas.openxmlformats.org/package/2006/relationships"><Relationship Id="rId1" Type="http://schemas.openxmlformats.org/officeDocument/2006/relationships/package" Target="../embeddings/Microsoft_Excel_Worksheet87.xlsx" /></Relationships>
</file>

<file path=word/charts/_rels/chart88.xml.rels>&#65279;<?xml version="1.0" encoding="utf-8" standalone="yes"?><Relationships xmlns="http://schemas.openxmlformats.org/package/2006/relationships"><Relationship Id="rId1" Type="http://schemas.openxmlformats.org/officeDocument/2006/relationships/package" Target="../embeddings/Microsoft_Excel_Worksheet88.xlsx" /><Relationship Id="rId2" Type="http://schemas.openxmlformats.org/officeDocument/2006/relationships/themeOverride" Target="../theme/themeOverride18.xml" /></Relationships>
</file>

<file path=word/charts/_rels/chart89.xml.rels>&#65279;<?xml version="1.0" encoding="utf-8" standalone="yes"?><Relationships xmlns="http://schemas.openxmlformats.org/package/2006/relationships"><Relationship Id="rId1" Type="http://schemas.openxmlformats.org/officeDocument/2006/relationships/package" Target="../embeddings/Microsoft_Excel_Worksheet89.xlsx" /></Relationships>
</file>

<file path=word/charts/_rels/chart9.xml.rels>&#65279;<?xml version="1.0" encoding="utf-8" standalone="yes"?><Relationships xmlns="http://schemas.openxmlformats.org/package/2006/relationships"><Relationship Id="rId1" Type="http://schemas.openxmlformats.org/officeDocument/2006/relationships/package" Target="../embeddings/Microsoft_Excel_Worksheet9.xlsx" /></Relationships>
</file>

<file path=word/charts/_rels/chart90.xml.rels>&#65279;<?xml version="1.0" encoding="utf-8" standalone="yes"?><Relationships xmlns="http://schemas.openxmlformats.org/package/2006/relationships"><Relationship Id="rId1" Type="http://schemas.openxmlformats.org/officeDocument/2006/relationships/package" Target="../embeddings/Microsoft_Excel_Worksheet90.xlsx" /></Relationships>
</file>

<file path=word/charts/_rels/chart91.xml.rels>&#65279;<?xml version="1.0" encoding="utf-8" standalone="yes"?><Relationships xmlns="http://schemas.openxmlformats.org/package/2006/relationships"><Relationship Id="rId1" Type="http://schemas.openxmlformats.org/officeDocument/2006/relationships/package" Target="../embeddings/Microsoft_Excel_Worksheet91.xlsx" /></Relationships>
</file>

<file path=word/charts/_rels/chart92.xml.rels>&#65279;<?xml version="1.0" encoding="utf-8" standalone="yes"?><Relationships xmlns="http://schemas.openxmlformats.org/package/2006/relationships"><Relationship Id="rId1" Type="http://schemas.openxmlformats.org/officeDocument/2006/relationships/package" Target="../embeddings/Microsoft_Excel_Worksheet92.xlsx" /></Relationships>
</file>

<file path=word/charts/_rels/chart93.xml.rels>&#65279;<?xml version="1.0" encoding="utf-8" standalone="yes"?><Relationships xmlns="http://schemas.openxmlformats.org/package/2006/relationships"><Relationship Id="rId1" Type="http://schemas.openxmlformats.org/officeDocument/2006/relationships/package" Target="../embeddings/Microsoft_Excel_Worksheet93.xlsx" /><Relationship Id="rId2" Type="http://schemas.openxmlformats.org/officeDocument/2006/relationships/themeOverride" Target="../theme/themeOverride19.xml" /></Relationships>
</file>

<file path=word/charts/_rels/chart94.xml.rels>&#65279;<?xml version="1.0" encoding="utf-8" standalone="yes"?><Relationships xmlns="http://schemas.openxmlformats.org/package/2006/relationships"><Relationship Id="rId1" Type="http://schemas.openxmlformats.org/officeDocument/2006/relationships/package" Target="../embeddings/Microsoft_Excel_Worksheet94.xlsx" /><Relationship Id="rId2" Type="http://schemas.openxmlformats.org/officeDocument/2006/relationships/themeOverride" Target="../theme/themeOverride20.xml" /></Relationships>
</file>

<file path=word/charts/_rels/chart95.xml.rels>&#65279;<?xml version="1.0" encoding="utf-8" standalone="yes"?><Relationships xmlns="http://schemas.openxmlformats.org/package/2006/relationships"><Relationship Id="rId1" Type="http://schemas.openxmlformats.org/officeDocument/2006/relationships/package" Target="../embeddings/Microsoft_Excel_Worksheet95.xlsx" /></Relationships>
</file>

<file path=word/charts/_rels/chart96.xml.rels>&#65279;<?xml version="1.0" encoding="utf-8" standalone="yes"?><Relationships xmlns="http://schemas.openxmlformats.org/package/2006/relationships"><Relationship Id="rId1" Type="http://schemas.openxmlformats.org/officeDocument/2006/relationships/package" Target="../embeddings/Microsoft_Excel_Worksheet96.xlsx" /><Relationship Id="rId2" Type="http://schemas.openxmlformats.org/officeDocument/2006/relationships/themeOverride" Target="../theme/themeOverride21.xml" /></Relationships>
</file>

<file path=word/charts/_rels/chart97.xml.rels>&#65279;<?xml version="1.0" encoding="utf-8" standalone="yes"?><Relationships xmlns="http://schemas.openxmlformats.org/package/2006/relationships"><Relationship Id="rId1" Type="http://schemas.openxmlformats.org/officeDocument/2006/relationships/package" Target="../embeddings/Microsoft_Excel_Worksheet97.xlsx" /></Relationships>
</file>

<file path=word/charts/_rels/chart98.xml.rels>&#65279;<?xml version="1.0" encoding="utf-8" standalone="yes"?><Relationships xmlns="http://schemas.openxmlformats.org/package/2006/relationships"><Relationship Id="rId1" Type="http://schemas.openxmlformats.org/officeDocument/2006/relationships/package" Target="../embeddings/Microsoft_Excel_Worksheet98.xlsx" /></Relationships>
</file>

<file path=word/charts/_rels/chart99.xml.rels>&#65279;<?xml version="1.0" encoding="utf-8" standalone="yes"?><Relationships xmlns="http://schemas.openxmlformats.org/package/2006/relationships"><Relationship Id="rId1" Type="http://schemas.openxmlformats.org/officeDocument/2006/relationships/package" Target="../embeddings/Microsoft_Excel_Worksheet99.xlsx"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30307899251493849"/>
          <c:y val="0.038493219843582546"/>
          <c:w val="0.94252315784843266"/>
          <c:h val="0.91449828613942941"/>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Lbl>
              <c:idx val="0"/>
              <c:layout>
                <c:manualLayout>
                  <c:x val="-0.17076053728578044"/>
                  <c:y val="0"/>
                </c:manualLayout>
              </c:layout>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21F7-418C-B95F-0E334F407789}"/>
                </c:ext>
                <c:ext xmlns:c15="http://schemas.microsoft.com/office/drawing/2012/chart" uri="{CE6537A1-D6FC-4f65-9D91-7224C49458BB}"/>
              </c:extLst>
            </c:dLbl>
            <c:dLbl>
              <c:idx val="1"/>
              <c:layout>
                <c:manualLayout>
                  <c:x val="-0.16620009263547939"/>
                  <c:y val="0"/>
                </c:manualLayout>
              </c:layout>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21F7-418C-B95F-0E334F407789}"/>
                </c:ext>
                <c:ext xmlns:c15="http://schemas.microsoft.com/office/drawing/2012/chart" uri="{CE6537A1-D6FC-4f65-9D91-7224C49458BB}"/>
              </c:extLst>
            </c:dLbl>
            <c:dLbl>
              <c:idx val="2"/>
              <c:layout>
                <c:manualLayout>
                  <c:x val="-0.16885224641037516"/>
                  <c:y val="-8.08695260147719E-17"/>
                </c:manualLayout>
              </c:layout>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21F7-418C-B95F-0E334F40778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Sheet1!$A$2:$A$7</c:f>
              <c:strCache>
                <c:ptCount val="6"/>
                <c:pt idx="0">
                  <c:v>Ieguves rūpniecība</c:v>
                </c:pt>
                <c:pt idx="1">
                  <c:v>Tirdzniecība</c:v>
                </c:pt>
                <c:pt idx="2">
                  <c:v>Kokapstrāde</c:v>
                </c:pt>
                <c:pt idx="3">
                  <c:v>Izmitināšana un ēdināšanas pak.</c:v>
                </c:pt>
                <c:pt idx="4">
                  <c:v>Mašīnu un iekārtu ražošana</c:v>
                </c:pt>
                <c:pt idx="5">
                  <c:v>Elektrisko, optisko iekārtu raž.</c:v>
                </c:pt>
              </c:strCache>
            </c:strRef>
          </c:cat>
          <c:val>
            <c:numRef>
              <c:f>Sheet1!$B$2:$B$7</c:f>
              <c:numCache>
                <c:formatCode>0</c:formatCode>
                <c:ptCount val="6"/>
                <c:pt idx="0">
                  <c:v>23</c:v>
                </c:pt>
                <c:pt idx="1">
                  <c:v>25</c:v>
                </c:pt>
                <c:pt idx="2">
                  <c:v>30</c:v>
                </c:pt>
                <c:pt idx="3">
                  <c:v>36</c:v>
                </c:pt>
                <c:pt idx="4">
                  <c:v>44</c:v>
                </c:pt>
                <c:pt idx="5">
                  <c:v>164</c:v>
                </c:pt>
              </c:numCache>
            </c:numRef>
          </c:val>
          <c:extLst>
            <c:ext xmlns:c="http://schemas.openxmlformats.org/drawingml/2006/chart" xmlns:c16="http://schemas.microsoft.com/office/drawing/2014/chart" uri="{C3380CC4-5D6E-409C-BE32-E72D297353CC}">
              <c16:uniqueId val="{00000003-21F7-418C-B95F-0E334F407789}"/>
            </c:ext>
          </c:extLst>
        </c:ser>
        <c:dLbls>
          <c:showLegendKey val="0"/>
          <c:showVal val="0"/>
          <c:showCatName val="0"/>
          <c:showSerName val="0"/>
          <c:showPercent val="0"/>
          <c:showBubbleSize val="0"/>
        </c:dLbls>
        <c:gapWidth val="40"/>
        <c:axId val="629814192"/>
        <c:axId val="629812232"/>
      </c:barChart>
      <c:catAx>
        <c:axId val="629814192"/>
        <c:scaling>
          <c:orientation val="minMax"/>
        </c:scaling>
        <c:delete val="1"/>
        <c:axPos val="l"/>
        <c:numFmt formatCode="General" sourceLinked="1"/>
        <c:majorTickMark val="none"/>
        <c:minorTickMark val="none"/>
        <c:tickLblPos val="low"/>
        <c:crossAx val="629812232"/>
        <c:crosses val="autoZero"/>
        <c:auto val="1"/>
        <c:lblAlgn val="ctr"/>
        <c:lblOffset val="100"/>
        <c:noMultiLvlLbl val="0"/>
      </c:catAx>
      <c:valAx>
        <c:axId val="629812232"/>
        <c:scaling>
          <c:orientation val="minMax"/>
          <c:min val="0"/>
        </c:scaling>
        <c:delete val="1"/>
        <c:axPos val="b"/>
        <c:numFmt formatCode="0" sourceLinked="1"/>
        <c:majorTickMark val="out"/>
        <c:minorTickMark val="none"/>
        <c:tickLblPos val="nextTo"/>
        <c:crossAx val="629814192"/>
        <c:crosses val="autoZero"/>
        <c:crossBetween val="between"/>
        <c:majorUnit val="15"/>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lv-LV"/>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59412201441466"/>
          <c:y val="0.098301682877875565"/>
          <c:w val="0.77357359176256812"/>
          <c:h val="0.75212499652753129"/>
        </c:manualLayout>
      </c:layout>
      <c:barChart>
        <c:barDir val="col"/>
        <c:grouping val="clustered"/>
        <c:varyColors val="0"/>
        <c:ser>
          <c:idx val="4"/>
          <c:order val="0"/>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9785-4A78-A3F2-064BB688CA2B}"/>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9785-4A78-A3F2-064BB688CA2B}"/>
              </c:ext>
            </c:extLst>
          </c:dPt>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Sheet1!$A$3:$A$5</c:f>
              <c:strCache>
                <c:ptCount val="3"/>
                <c:pt idx="0">
                  <c:v>2005</c:v>
                </c:pt>
                <c:pt idx="1">
                  <c:v>2010</c:v>
                </c:pt>
                <c:pt idx="2">
                  <c:v>2016</c:v>
                </c:pt>
              </c:strCache>
            </c:strRef>
          </c:cat>
          <c:val>
            <c:numRef>
              <c:f>Sheet1!$B$3:$B$5</c:f>
              <c:numCache>
                <c:formatCode>0.0</c:formatCode>
                <c:ptCount val="3"/>
                <c:pt idx="0">
                  <c:v>4.284672071348357</c:v>
                </c:pt>
                <c:pt idx="1">
                  <c:v>4.4049070501137519</c:v>
                </c:pt>
                <c:pt idx="2">
                  <c:v>3.9</c:v>
                </c:pt>
              </c:numCache>
            </c:numRef>
          </c:val>
          <c:extLst>
            <c:ext xmlns:c="http://schemas.openxmlformats.org/drawingml/2006/chart" xmlns:c16="http://schemas.microsoft.com/office/drawing/2014/chart" uri="{C3380CC4-5D6E-409C-BE32-E72D297353CC}">
              <c16:uniqueId val="{00000004-9785-4A78-A3F2-064BB688CA2B}"/>
            </c:ext>
          </c:extLst>
        </c:ser>
        <c:dLbls>
          <c:showLegendKey val="0"/>
          <c:showVal val="0"/>
          <c:showCatName val="0"/>
          <c:showSerName val="0"/>
          <c:showPercent val="0"/>
          <c:showBubbleSize val="0"/>
        </c:dLbls>
        <c:gapWidth val="20"/>
        <c:axId val="629805960"/>
        <c:axId val="629816544"/>
      </c:barChart>
      <c:catAx>
        <c:axId val="629805960"/>
        <c:scaling>
          <c:orientation val="minMax"/>
        </c:scaling>
        <c:delete val="0"/>
        <c:axPos val="b"/>
        <c:numFmt formatCode="General" sourceLinked="0"/>
        <c:majorTickMark val="out"/>
        <c:minorTickMark val="none"/>
        <c:tickLblPos val="nextTo"/>
        <c:crossAx val="629816544"/>
        <c:crosses val="autoZero"/>
        <c:auto val="1"/>
        <c:lblAlgn val="ctr"/>
        <c:lblOffset val="100"/>
        <c:noMultiLvlLbl val="0"/>
      </c:catAx>
      <c:valAx>
        <c:axId val="629816544"/>
        <c:scaling>
          <c:orientation val="minMax"/>
          <c:min val="0"/>
        </c:scaling>
        <c:delete val="0"/>
        <c:axPos val="l"/>
        <c:numFmt formatCode="0" sourceLinked="0"/>
        <c:majorTickMark val="out"/>
        <c:minorTickMark val="none"/>
        <c:tickLblPos val="nextTo"/>
        <c:crossAx val="629805960"/>
        <c:crosses val="autoZero"/>
        <c:crossBetween val="between"/>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mbria Math" panose="02040503050406030204" pitchFamily="18" charset="0"/>
          <a:ea typeface="Cambria Math" panose="02040503050406030204" pitchFamily="18" charset="0"/>
          <a:cs typeface="Arial"/>
        </a:defRPr>
      </a:pPr>
      <a:endParaRPr lang="lv-LV"/>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449061330451076"/>
          <c:y val="0.15218914041994749"/>
          <c:w val="0.52181675566416263"/>
          <c:h val="0.709344652230971"/>
        </c:manualLayout>
      </c:layout>
      <c:pieChart>
        <c:varyColors val="1"/>
        <c:ser>
          <c:idx val="0"/>
          <c:order val="0"/>
          <c:tx>
            <c:strRef>
              <c:f>Sheet1!$B$1</c:f>
              <c:strCache>
                <c:ptCount val="1"/>
                <c:pt idx="0">
                  <c:v>Column1</c:v>
                </c:pt>
              </c:strCache>
            </c:strRef>
          </c:tx>
          <c:dPt>
            <c:idx val="0"/>
            <c:bubble3D val="0"/>
            <c:spPr>
              <a:solidFill>
                <a:schemeClr val="accent1"/>
              </a:solidFill>
              <a:ln>
                <a:noFill/>
              </a:ln>
              <a:effectLst/>
            </c:spPr>
            <c:extLst>
              <c:ext xmlns:c="http://schemas.openxmlformats.org/drawingml/2006/chart" xmlns:c16="http://schemas.microsoft.com/office/drawing/2014/chart" uri="{C3380CC4-5D6E-409C-BE32-E72D297353CC}">
                <c16:uniqueId val="{00000001-1143-4481-B927-EFAFD3B7CA6B}"/>
              </c:ext>
            </c:extLst>
          </c:dPt>
          <c:dPt>
            <c:idx val="1"/>
            <c:bubble3D val="0"/>
            <c:spPr>
              <a:solidFill>
                <a:schemeClr val="accent2"/>
              </a:solidFill>
              <a:ln>
                <a:noFill/>
              </a:ln>
              <a:effectLst/>
            </c:spPr>
            <c:extLst>
              <c:ext xmlns:c="http://schemas.openxmlformats.org/drawingml/2006/chart" xmlns:c16="http://schemas.microsoft.com/office/drawing/2014/chart" uri="{C3380CC4-5D6E-409C-BE32-E72D297353CC}">
                <c16:uniqueId val="{00000003-1143-4481-B927-EFAFD3B7CA6B}"/>
              </c:ext>
            </c:extLst>
          </c:dPt>
          <c:dPt>
            <c:idx val="2"/>
            <c:bubble3D val="0"/>
            <c:spPr>
              <a:solidFill>
                <a:schemeClr val="accent3"/>
              </a:solidFill>
              <a:ln>
                <a:noFill/>
              </a:ln>
              <a:effectLst/>
            </c:spPr>
            <c:extLst>
              <c:ext xmlns:c="http://schemas.openxmlformats.org/drawingml/2006/chart" xmlns:c16="http://schemas.microsoft.com/office/drawing/2014/chart" uri="{C3380CC4-5D6E-409C-BE32-E72D297353CC}">
                <c16:uniqueId val="{00000005-1143-4481-B927-EFAFD3B7CA6B}"/>
              </c:ext>
            </c:extLst>
          </c:dPt>
          <c:dPt>
            <c:idx val="3"/>
            <c:bubble3D val="0"/>
            <c:spPr>
              <a:solidFill>
                <a:schemeClr val="accent4"/>
              </a:solidFill>
              <a:ln>
                <a:noFill/>
              </a:ln>
              <a:effectLst/>
            </c:spPr>
            <c:extLst>
              <c:ext xmlns:c="http://schemas.openxmlformats.org/drawingml/2006/chart" xmlns:c16="http://schemas.microsoft.com/office/drawing/2014/chart" uri="{C3380CC4-5D6E-409C-BE32-E72D297353CC}">
                <c16:uniqueId val="{00000007-1143-4481-B927-EFAFD3B7CA6B}"/>
              </c:ext>
            </c:extLst>
          </c:dPt>
          <c:dPt>
            <c:idx val="4"/>
            <c:bubble3D val="0"/>
            <c:spPr>
              <a:solidFill>
                <a:schemeClr val="accent5"/>
              </a:solidFill>
              <a:ln>
                <a:noFill/>
              </a:ln>
              <a:effectLst/>
            </c:spPr>
            <c:extLst>
              <c:ext xmlns:c="http://schemas.openxmlformats.org/drawingml/2006/chart" xmlns:c16="http://schemas.microsoft.com/office/drawing/2014/chart" uri="{C3380CC4-5D6E-409C-BE32-E72D297353CC}">
                <c16:uniqueId val="{00000009-1143-4481-B927-EFAFD3B7CA6B}"/>
              </c:ext>
            </c:extLst>
          </c:dPt>
          <c:dPt>
            <c:idx val="5"/>
            <c:bubble3D val="0"/>
            <c:spPr>
              <a:solidFill>
                <a:schemeClr val="accent6"/>
              </a:solidFill>
              <a:ln>
                <a:noFill/>
              </a:ln>
              <a:effectLst/>
            </c:spPr>
            <c:extLst>
              <c:ext xmlns:c="http://schemas.openxmlformats.org/drawingml/2006/chart" xmlns:c16="http://schemas.microsoft.com/office/drawing/2014/chart" uri="{C3380CC4-5D6E-409C-BE32-E72D297353CC}">
                <c16:uniqueId val="{0000000B-1143-4481-B927-EFAFD3B7CA6B}"/>
              </c:ext>
            </c:extLst>
          </c:dPt>
          <c:dPt>
            <c:idx val="6"/>
            <c:bubble3D val="0"/>
            <c:spPr>
              <a:solidFill>
                <a:schemeClr val="accent1">
                  <a:lumMod val="60000"/>
                </a:schemeClr>
              </a:solidFill>
              <a:ln>
                <a:noFill/>
              </a:ln>
              <a:effectLst/>
            </c:spPr>
            <c:extLst>
              <c:ext xmlns:c="http://schemas.openxmlformats.org/drawingml/2006/chart" xmlns:c16="http://schemas.microsoft.com/office/drawing/2014/chart" uri="{C3380CC4-5D6E-409C-BE32-E72D297353CC}">
                <c16:uniqueId val="{0000000D-1143-4481-B927-EFAFD3B7CA6B}"/>
              </c:ext>
            </c:extLst>
          </c:dPt>
          <c:dLbls>
            <c:dLbl>
              <c:idx val="0"/>
              <c:layout>
                <c:manualLayout>
                  <c:x val="0.022970086436254394"/>
                  <c:y val="0"/>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1-1143-4481-B927-EFAFD3B7CA6B}"/>
                </c:ext>
                <c:ext xmlns:c15="http://schemas.microsoft.com/office/drawing/2012/chart" uri="{CE6537A1-D6FC-4f65-9D91-7224C49458BB}"/>
              </c:extLst>
            </c:dLbl>
            <c:dLbl>
              <c:idx val="1"/>
              <c:layout>
                <c:manualLayout>
                  <c:x val="-0.0078851905642984572"/>
                  <c:y val="0.01734835228929717"/>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3-1143-4481-B927-EFAFD3B7CA6B}"/>
                </c:ext>
                <c:ext xmlns:c15="http://schemas.microsoft.com/office/drawing/2012/chart" uri="{CE6537A1-D6FC-4f65-9D91-7224C49458BB}">
                  <c15:layout>
                    <c:manualLayout>
                      <c:w val="0.26091893685703083"/>
                      <c:h val="0.23486573231270882"/>
                    </c:manualLayout>
                  </c15:layout>
                </c:ext>
              </c:extLst>
            </c:dLbl>
            <c:dLbl>
              <c:idx val="2"/>
              <c:layout>
                <c:manualLayout>
                  <c:x val="0.030651340996168581"/>
                  <c:y val="-0.023096381754509013"/>
                </c:manualLayout>
              </c:layout>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5-1143-4481-B927-EFAFD3B7CA6B}"/>
                </c:ext>
                <c:ext xmlns:c15="http://schemas.microsoft.com/office/drawing/2012/chart" uri="{CE6537A1-D6FC-4f65-9D91-7224C49458BB}"/>
              </c:extLst>
            </c:dLbl>
            <c:dLbl>
              <c:idx val="3"/>
              <c:layout>
                <c:manualLayout>
                  <c:x val="-0.022926678398894541"/>
                  <c:y val="-0.0069648585593467486"/>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7-1143-4481-B927-EFAFD3B7CA6B}"/>
                </c:ext>
                <c:ext xmlns:c15="http://schemas.microsoft.com/office/drawing/2012/chart" uri="{CE6537A1-D6FC-4f65-9D91-7224C49458BB}">
                  <c15:layout>
                    <c:manualLayout>
                      <c:w val="0.28536398467432944"/>
                      <c:h val="0.24140913444315282"/>
                    </c:manualLayout>
                  </c15:layout>
                </c:ext>
              </c:extLst>
            </c:dLbl>
            <c:dLbl>
              <c:idx val="4"/>
              <c:layout>
                <c:manualLayout>
                  <c:x val="0.053528741848181592"/>
                  <c:y val="-0.0052092446777486151"/>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9-1143-4481-B927-EFAFD3B7CA6B}"/>
                </c:ext>
                <c:ext xmlns:c15="http://schemas.microsoft.com/office/drawing/2012/chart" uri="{CE6537A1-D6FC-4f65-9D91-7224C49458BB}">
                  <c15:layout>
                    <c:manualLayout>
                      <c:w val="0.26724168099677192"/>
                      <c:h val="0.24265666010498688"/>
                    </c:manualLayout>
                  </c15:layout>
                </c:ext>
              </c:extLst>
            </c:dLbl>
            <c:dLbl>
              <c:idx val="5"/>
              <c:layout>
                <c:manualLayout>
                  <c:x val="-0.065553973975675819"/>
                  <c:y val="-0.059027413240011664"/>
                </c:manualLayout>
              </c:layout>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B-1143-4481-B927-EFAFD3B7CA6B}"/>
                </c:ext>
                <c:ext xmlns:c15="http://schemas.microsoft.com/office/drawing/2012/chart" uri="{CE6537A1-D6FC-4f65-9D91-7224C49458BB}">
                  <c15:layout>
                    <c:manualLayout>
                      <c:w val="0.25226053639846741"/>
                      <c:h val="0.33640666010498688"/>
                    </c:manualLayout>
                  </c15:layout>
                </c:ext>
              </c:extLst>
            </c:dLbl>
            <c:dLbl>
              <c:idx val="6"/>
              <c:layout>
                <c:manualLayout>
                  <c:x val="0.061253563830011716"/>
                  <c:y val="-0.10185112277631962"/>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D-1143-4481-B927-EFAFD3B7CA6B}"/>
                </c:ext>
                <c:ext xmlns:c15="http://schemas.microsoft.com/office/drawing/2012/chart" uri="{CE6537A1-D6FC-4f65-9D91-7224C49458BB}">
                  <c15:layout>
                    <c:manualLayout>
                      <c:w val="0.21118773946360153"/>
                      <c:h val="0.37562499999999993"/>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outEnd"/>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Sheet1!$A$2:$A$8</c:f>
              <c:strCache>
                <c:ptCount val="7"/>
                <c:pt idx="0">
                  <c:v>Apvie-notā Kara-liste</c:v>
                </c:pt>
                <c:pt idx="1">
                  <c:v>Igaunija</c:v>
                </c:pt>
                <c:pt idx="2">
                  <c:v>Vācija</c:v>
                </c:pt>
                <c:pt idx="3">
                  <c:v>Zviedrija</c:v>
                </c:pt>
                <c:pt idx="4">
                  <c:v>Dānija</c:v>
                </c:pt>
                <c:pt idx="5">
                  <c:v>Lietuva</c:v>
                </c:pt>
                <c:pt idx="6">
                  <c:v>Citas valstis</c:v>
                </c:pt>
              </c:strCache>
            </c:strRef>
          </c:cat>
          <c:val>
            <c:numRef>
              <c:f>Sheet1!$B$2:$B$8</c:f>
              <c:numCache>
                <c:formatCode>0</c:formatCode>
                <c:ptCount val="7"/>
                <c:pt idx="0">
                  <c:v>21.5</c:v>
                </c:pt>
                <c:pt idx="1">
                  <c:v>10.6</c:v>
                </c:pt>
                <c:pt idx="2">
                  <c:v>10.1</c:v>
                </c:pt>
                <c:pt idx="3">
                  <c:v>9</c:v>
                </c:pt>
                <c:pt idx="4">
                  <c:v>6.1</c:v>
                </c:pt>
                <c:pt idx="5">
                  <c:v>5.2</c:v>
                </c:pt>
                <c:pt idx="6">
                  <c:v>37.499999999999993</c:v>
                </c:pt>
              </c:numCache>
            </c:numRef>
          </c:val>
          <c:extLst>
            <c:ext xmlns:c="http://schemas.openxmlformats.org/drawingml/2006/chart" xmlns:c16="http://schemas.microsoft.com/office/drawing/2014/chart" uri="{C3380CC4-5D6E-409C-BE32-E72D297353CC}">
              <c16:uniqueId val="{0000000E-1143-4481-B927-EFAFD3B7CA6B}"/>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noFill/>
    <a:ln w="9525">
      <a:noFill/>
      <a:round/>
    </a:ln>
    <a:effectLst/>
  </c:spPr>
  <c:txPr>
    <a:bodyPr/>
    <a:lstStyle/>
    <a:p>
      <a:pPr>
        <a:defRPr sz="800">
          <a:latin typeface="Candara" panose="020E0502030303020204" pitchFamily="34" charset="0"/>
        </a:defRPr>
      </a:pPr>
      <a:endParaRPr lang="lv-LV"/>
    </a:p>
  </c:txPr>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98553601027233415"/>
          <c:y val="0.01722532963499513"/>
          <c:w val="0.34507319571774181"/>
          <c:h val="0.920462379795931"/>
        </c:manualLayout>
      </c:layout>
      <c:barChart>
        <c:barDir val="col"/>
        <c:grouping val="percentStacked"/>
        <c:varyColors val="0"/>
        <c:ser>
          <c:idx val="0"/>
          <c:order val="0"/>
          <c:tx>
            <c:strRef>
              <c:f>Sheet1!$A$2</c:f>
              <c:strCache>
                <c:ptCount val="1"/>
                <c:pt idx="0">
                  <c:v>zāģēti kokmateriāli</c:v>
                </c:pt>
              </c:strCache>
            </c:strRef>
          </c:tx>
          <c:invertIfNegative val="0"/>
          <c:cat>
            <c:strRef>
              <c:f>Sheet1!$B$1:$F$1</c:f>
              <c:strCache>
                <c:ptCount val="5"/>
                <c:pt idx="0">
                  <c:v>2005</c:v>
                </c:pt>
                <c:pt idx="1">
                  <c:v>2010</c:v>
                </c:pt>
                <c:pt idx="2">
                  <c:v>2014</c:v>
                </c:pt>
                <c:pt idx="3">
                  <c:v>2015</c:v>
                </c:pt>
                <c:pt idx="4">
                  <c:v>2016</c:v>
                </c:pt>
              </c:strCache>
            </c:strRef>
          </c:cat>
          <c:val>
            <c:numRef>
              <c:f>Sheet1!$B$2:$F$2</c:f>
              <c:numCache>
                <c:formatCode>0</c:formatCode>
                <c:ptCount val="5"/>
                <c:pt idx="0">
                  <c:v>43.57548672582849</c:v>
                </c:pt>
                <c:pt idx="1">
                  <c:v>31.241865655481693</c:v>
                </c:pt>
                <c:pt idx="2">
                  <c:v>32.931132514461467</c:v>
                </c:pt>
                <c:pt idx="3">
                  <c:v>34.01927819485541</c:v>
                </c:pt>
                <c:pt idx="4">
                  <c:v>32.983330181137518</c:v>
                </c:pt>
              </c:numCache>
            </c:numRef>
          </c:val>
          <c:extLst>
            <c:ext xmlns:c="http://schemas.openxmlformats.org/drawingml/2006/chart" xmlns:c16="http://schemas.microsoft.com/office/drawing/2014/chart" uri="{C3380CC4-5D6E-409C-BE32-E72D297353CC}">
              <c16:uniqueId val="{00000000-92D7-402A-929B-B79B5E7A2459}"/>
            </c:ext>
          </c:extLst>
        </c:ser>
        <c:ser>
          <c:idx val="1"/>
          <c:order val="1"/>
          <c:tx>
            <c:strRef>
              <c:f>Sheet1!$A$3</c:f>
              <c:strCache>
                <c:ptCount val="1"/>
                <c:pt idx="0">
                  <c:v>malka, šķelda, skaidas</c:v>
                </c:pt>
              </c:strCache>
            </c:strRef>
          </c:tx>
          <c:invertIfNegative val="0"/>
          <c:cat>
            <c:strRef>
              <c:f>Sheet1!$B$1:$F$1</c:f>
              <c:strCache>
                <c:ptCount val="5"/>
                <c:pt idx="0">
                  <c:v>2005</c:v>
                </c:pt>
                <c:pt idx="1">
                  <c:v>2010</c:v>
                </c:pt>
                <c:pt idx="2">
                  <c:v>2014</c:v>
                </c:pt>
                <c:pt idx="3">
                  <c:v>2015</c:v>
                </c:pt>
                <c:pt idx="4">
                  <c:v>2016</c:v>
                </c:pt>
              </c:strCache>
            </c:strRef>
          </c:cat>
          <c:val>
            <c:numRef>
              <c:f>Sheet1!$B$3:$F$3</c:f>
              <c:numCache>
                <c:formatCode>0</c:formatCode>
                <c:ptCount val="5"/>
                <c:pt idx="0">
                  <c:v>9.3255869523603661</c:v>
                </c:pt>
                <c:pt idx="1">
                  <c:v>15.715144784480525</c:v>
                </c:pt>
                <c:pt idx="2">
                  <c:v>14.582005205145752</c:v>
                </c:pt>
                <c:pt idx="3">
                  <c:v>16.533977518302375</c:v>
                </c:pt>
                <c:pt idx="4">
                  <c:v>16.187884663445619</c:v>
                </c:pt>
              </c:numCache>
            </c:numRef>
          </c:val>
          <c:extLst>
            <c:ext xmlns:c="http://schemas.openxmlformats.org/drawingml/2006/chart" xmlns:c16="http://schemas.microsoft.com/office/drawing/2014/chart" uri="{C3380CC4-5D6E-409C-BE32-E72D297353CC}">
              <c16:uniqueId val="{00000001-92D7-402A-929B-B79B5E7A2459}"/>
            </c:ext>
          </c:extLst>
        </c:ser>
        <c:ser>
          <c:idx val="2"/>
          <c:order val="2"/>
          <c:tx>
            <c:strRef>
              <c:f>Sheet1!$A$4</c:f>
              <c:strCache>
                <c:ptCount val="1"/>
                <c:pt idx="0">
                  <c:v>saplāksnis</c:v>
                </c:pt>
              </c:strCache>
            </c:strRef>
          </c:tx>
          <c:invertIfNegative val="0"/>
          <c:cat>
            <c:strRef>
              <c:f>Sheet1!$B$1:$F$1</c:f>
              <c:strCache>
                <c:ptCount val="5"/>
                <c:pt idx="0">
                  <c:v>2005</c:v>
                </c:pt>
                <c:pt idx="1">
                  <c:v>2010</c:v>
                </c:pt>
                <c:pt idx="2">
                  <c:v>2014</c:v>
                </c:pt>
                <c:pt idx="3">
                  <c:v>2015</c:v>
                </c:pt>
                <c:pt idx="4">
                  <c:v>2016</c:v>
                </c:pt>
              </c:strCache>
            </c:strRef>
          </c:cat>
          <c:val>
            <c:numRef>
              <c:f>Sheet1!$B$4:$F$4</c:f>
              <c:numCache>
                <c:formatCode>0</c:formatCode>
                <c:ptCount val="5"/>
                <c:pt idx="0">
                  <c:v>9.2586922476616369</c:v>
                </c:pt>
                <c:pt idx="1">
                  <c:v>9.133592845704829</c:v>
                </c:pt>
                <c:pt idx="2">
                  <c:v>9.8056867047505971</c:v>
                </c:pt>
                <c:pt idx="3">
                  <c:v>11.03808674792969</c:v>
                </c:pt>
                <c:pt idx="4">
                  <c:v>11.363607678813127</c:v>
                </c:pt>
              </c:numCache>
            </c:numRef>
          </c:val>
          <c:extLst>
            <c:ext xmlns:c="http://schemas.openxmlformats.org/drawingml/2006/chart" xmlns:c16="http://schemas.microsoft.com/office/drawing/2014/chart" uri="{C3380CC4-5D6E-409C-BE32-E72D297353CC}">
              <c16:uniqueId val="{00000002-92D7-402A-929B-B79B5E7A2459}"/>
            </c:ext>
          </c:extLst>
        </c:ser>
        <c:ser>
          <c:idx val="3"/>
          <c:order val="3"/>
          <c:tx>
            <c:strRef>
              <c:f>Sheet1!$A$5</c:f>
              <c:strCache>
                <c:ptCount val="1"/>
                <c:pt idx="0">
                  <c:v>kokskaidu plāksnes</c:v>
                </c:pt>
              </c:strCache>
            </c:strRef>
          </c:tx>
          <c:invertIfNegative val="0"/>
          <c:cat>
            <c:strRef>
              <c:f>Sheet1!$B$1:$F$1</c:f>
              <c:strCache>
                <c:ptCount val="5"/>
                <c:pt idx="0">
                  <c:v>2005</c:v>
                </c:pt>
                <c:pt idx="1">
                  <c:v>2010</c:v>
                </c:pt>
                <c:pt idx="2">
                  <c:v>2014</c:v>
                </c:pt>
                <c:pt idx="3">
                  <c:v>2015</c:v>
                </c:pt>
                <c:pt idx="4">
                  <c:v>2016</c:v>
                </c:pt>
              </c:strCache>
            </c:strRef>
          </c:cat>
          <c:val>
            <c:numRef>
              <c:f>Sheet1!$B$5:$F$5</c:f>
              <c:numCache>
                <c:formatCode>0</c:formatCode>
                <c:ptCount val="5"/>
                <c:pt idx="0">
                  <c:v>2.1451258947308038</c:v>
                </c:pt>
                <c:pt idx="1">
                  <c:v>9.0813583804351623</c:v>
                </c:pt>
                <c:pt idx="2">
                  <c:v>8.390583611391996</c:v>
                </c:pt>
                <c:pt idx="3">
                  <c:v>8.3267107115452781</c:v>
                </c:pt>
                <c:pt idx="4">
                  <c:v>8.628892880791577</c:v>
                </c:pt>
              </c:numCache>
            </c:numRef>
          </c:val>
          <c:extLst>
            <c:ext xmlns:c="http://schemas.openxmlformats.org/drawingml/2006/chart" xmlns:c16="http://schemas.microsoft.com/office/drawing/2014/chart" uri="{C3380CC4-5D6E-409C-BE32-E72D297353CC}">
              <c16:uniqueId val="{00000003-92D7-402A-929B-B79B5E7A2459}"/>
            </c:ext>
          </c:extLst>
        </c:ser>
        <c:ser>
          <c:idx val="4"/>
          <c:order val="4"/>
          <c:tx>
            <c:strRef>
              <c:f>Sheet1!$A$6</c:f>
              <c:strCache>
                <c:ptCount val="1"/>
                <c:pt idx="0">
                  <c:v>neapstrādāti kokmateriāli</c:v>
                </c:pt>
              </c:strCache>
            </c:strRef>
          </c:tx>
          <c:invertIfNegative val="0"/>
          <c:cat>
            <c:strRef>
              <c:f>Sheet1!$B$1:$F$1</c:f>
              <c:strCache>
                <c:ptCount val="5"/>
                <c:pt idx="0">
                  <c:v>2005</c:v>
                </c:pt>
                <c:pt idx="1">
                  <c:v>2010</c:v>
                </c:pt>
                <c:pt idx="2">
                  <c:v>2014</c:v>
                </c:pt>
                <c:pt idx="3">
                  <c:v>2015</c:v>
                </c:pt>
                <c:pt idx="4">
                  <c:v>2016</c:v>
                </c:pt>
              </c:strCache>
            </c:strRef>
          </c:cat>
          <c:val>
            <c:numRef>
              <c:f>Sheet1!$B$6:$F$6</c:f>
              <c:numCache>
                <c:formatCode>0</c:formatCode>
                <c:ptCount val="5"/>
                <c:pt idx="0">
                  <c:v>14.370510949154761</c:v>
                </c:pt>
                <c:pt idx="1">
                  <c:v>15.746055230498937</c:v>
                </c:pt>
                <c:pt idx="2">
                  <c:v>11.575513952406952</c:v>
                </c:pt>
                <c:pt idx="3">
                  <c:v>8.7648192513027112</c:v>
                </c:pt>
                <c:pt idx="4">
                  <c:v>7.3999350809386213</c:v>
                </c:pt>
              </c:numCache>
            </c:numRef>
          </c:val>
          <c:extLst>
            <c:ext xmlns:c="http://schemas.openxmlformats.org/drawingml/2006/chart" xmlns:c16="http://schemas.microsoft.com/office/drawing/2014/chart" uri="{C3380CC4-5D6E-409C-BE32-E72D297353CC}">
              <c16:uniqueId val="{00000004-92D7-402A-929B-B79B5E7A2459}"/>
            </c:ext>
          </c:extLst>
        </c:ser>
        <c:ser>
          <c:idx val="5"/>
          <c:order val="5"/>
          <c:tx>
            <c:strRef>
              <c:f>Sheet1!$A$7</c:f>
              <c:strCache>
                <c:ptCount val="1"/>
                <c:pt idx="0">
                  <c:v>citi koka izstrādājumi</c:v>
                </c:pt>
              </c:strCache>
            </c:strRef>
          </c:tx>
          <c:invertIfNegative val="0"/>
          <c:cat>
            <c:strRef>
              <c:f>Sheet1!$B$1:$F$1</c:f>
              <c:strCache>
                <c:ptCount val="5"/>
                <c:pt idx="0">
                  <c:v>2005</c:v>
                </c:pt>
                <c:pt idx="1">
                  <c:v>2010</c:v>
                </c:pt>
                <c:pt idx="2">
                  <c:v>2014</c:v>
                </c:pt>
                <c:pt idx="3">
                  <c:v>2015</c:v>
                </c:pt>
                <c:pt idx="4">
                  <c:v>2016</c:v>
                </c:pt>
              </c:strCache>
            </c:strRef>
          </c:cat>
          <c:val>
            <c:numRef>
              <c:f>Sheet1!$B$7:$F$7</c:f>
              <c:numCache>
                <c:formatCode>0</c:formatCode>
                <c:ptCount val="5"/>
                <c:pt idx="0">
                  <c:v>21.324597230263937</c:v>
                </c:pt>
                <c:pt idx="1">
                  <c:v>19.081983103398862</c:v>
                </c:pt>
                <c:pt idx="2">
                  <c:v>22.715078011843239</c:v>
                </c:pt>
                <c:pt idx="3">
                  <c:v>21.317127576064532</c:v>
                </c:pt>
                <c:pt idx="4">
                  <c:v>23.436349514873534</c:v>
                </c:pt>
              </c:numCache>
            </c:numRef>
          </c:val>
          <c:extLst>
            <c:ext xmlns:c="http://schemas.openxmlformats.org/drawingml/2006/chart" xmlns:c16="http://schemas.microsoft.com/office/drawing/2014/chart" uri="{C3380CC4-5D6E-409C-BE32-E72D297353CC}">
              <c16:uniqueId val="{00000005-92D7-402A-929B-B79B5E7A2459}"/>
            </c:ext>
          </c:extLst>
        </c:ser>
        <c:dLbls>
          <c:showLegendKey val="0"/>
          <c:showVal val="0"/>
          <c:showCatName val="0"/>
          <c:showSerName val="0"/>
          <c:showPercent val="0"/>
          <c:showBubbleSize val="0"/>
        </c:dLbls>
        <c:gapWidth val="20"/>
        <c:overlap val="100"/>
        <c:axId val="629929048"/>
        <c:axId val="629923560"/>
      </c:barChart>
      <c:catAx>
        <c:axId val="629929048"/>
        <c:scaling>
          <c:orientation val="minMax"/>
        </c:scaling>
        <c:delete val="0"/>
        <c:axPos val="b"/>
        <c:numFmt formatCode="General" sourceLinked="0"/>
        <c:majorTickMark val="out"/>
        <c:minorTickMark val="none"/>
        <c:tickLblPos val="nextTo"/>
        <c:txPr>
          <a:bodyPr rot="0"/>
          <a:lstStyle/>
          <a:p>
            <a:pPr>
              <a:defRPr sz="700"/>
            </a:pPr>
            <a:endParaRPr lang="lv-LV"/>
          </a:p>
        </c:txPr>
        <c:crossAx val="629923560"/>
        <c:crosses val="autoZero"/>
        <c:auto val="1"/>
        <c:lblAlgn val="ctr"/>
        <c:lblOffset val="100"/>
        <c:noMultiLvlLbl val="0"/>
      </c:catAx>
      <c:valAx>
        <c:axId val="629923560"/>
        <c:scaling>
          <c:orientation val="minMax"/>
        </c:scaling>
        <c:delete val="0"/>
        <c:axPos val="l"/>
        <c:numFmt formatCode="0%" sourceLinked="1"/>
        <c:majorTickMark val="out"/>
        <c:minorTickMark val="none"/>
        <c:tickLblPos val="nextTo"/>
        <c:txPr>
          <a:bodyPr/>
          <a:lstStyle/>
          <a:p>
            <a:pPr>
              <a:defRPr sz="700"/>
            </a:pPr>
            <a:endParaRPr lang="lv-LV"/>
          </a:p>
        </c:txPr>
        <c:crossAx val="629929048"/>
        <c:crosses val="autoZero"/>
        <c:crossBetween val="between"/>
      </c:valAx>
    </c:plotArea>
    <c:legend>
      <c:legendPos val="r"/>
      <c:layout>
        <c:manualLayout>
          <c:xMode val="edge"/>
          <c:yMode val="edge"/>
          <c:x val="0.48187518226888304"/>
          <c:y val="0.018061189542134811"/>
          <c:w val="0.518124817731117"/>
          <c:h val="0.94785234202946478"/>
        </c:manualLayout>
      </c:layout>
      <c:overlay val="0"/>
      <c:txPr>
        <a:bodyPr/>
        <a:lstStyle/>
        <a:p>
          <a:pPr>
            <a:defRPr sz="600">
              <a:latin typeface="Arial Narrow" panose="020B0606020202030204" pitchFamily="34" charset="0"/>
            </a:defRPr>
          </a:pPr>
          <a:endParaRPr lang="lv-LV"/>
        </a:p>
      </c:txPr>
    </c:legend>
    <c:plotVisOnly val="1"/>
    <c:dispBlanksAs val="gap"/>
    <c:showDLblsOverMax val="0"/>
  </c:chart>
  <c:spPr>
    <a:ln w="9525">
      <a:noFill/>
    </a:ln>
  </c:spPr>
  <c:txPr>
    <a:bodyPr/>
    <a:lstStyle/>
    <a:p>
      <a:pPr>
        <a:defRPr sz="800"/>
      </a:pPr>
      <a:endParaRPr lang="lv-LV"/>
    </a:p>
  </c:txPr>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98553601027233415"/>
          <c:y val="0.01722532963499513"/>
          <c:w val="0.88592589806420907"/>
          <c:h val="0.920462379795931"/>
        </c:manualLayout>
      </c:layout>
      <c:barChart>
        <c:barDir val="col"/>
        <c:grouping val="percentStacked"/>
        <c:varyColors val="0"/>
        <c:ser>
          <c:idx val="0"/>
          <c:order val="0"/>
          <c:tx>
            <c:strRef>
              <c:f>Sheet1!$A$2</c:f>
              <c:strCache>
                <c:ptCount val="1"/>
                <c:pt idx="0">
                  <c:v>zāģēti kokmateriāli</c:v>
                </c:pt>
              </c:strCache>
            </c:strRef>
          </c:tx>
          <c:invertIfNegative val="0"/>
          <c:cat>
            <c:strRef>
              <c:f>Sheet1!$B$1:$F$1</c:f>
              <c:strCache>
                <c:ptCount val="5"/>
                <c:pt idx="0">
                  <c:v>2005</c:v>
                </c:pt>
                <c:pt idx="1">
                  <c:v>2010</c:v>
                </c:pt>
                <c:pt idx="2">
                  <c:v>2014</c:v>
                </c:pt>
                <c:pt idx="3">
                  <c:v>2015</c:v>
                </c:pt>
                <c:pt idx="4">
                  <c:v>2016</c:v>
                </c:pt>
              </c:strCache>
            </c:strRef>
          </c:cat>
          <c:val>
            <c:numRef>
              <c:f>Sheet1!$B$2:$F$2</c:f>
              <c:numCache>
                <c:formatCode>0</c:formatCode>
                <c:ptCount val="5"/>
                <c:pt idx="0">
                  <c:v>27.826994113995831</c:v>
                </c:pt>
                <c:pt idx="1">
                  <c:v>27.230595959925285</c:v>
                </c:pt>
                <c:pt idx="2">
                  <c:v>26.180954535194623</c:v>
                </c:pt>
                <c:pt idx="3">
                  <c:v>26.18912175616504</c:v>
                </c:pt>
                <c:pt idx="4">
                  <c:v>25.865467097923649</c:v>
                </c:pt>
              </c:numCache>
            </c:numRef>
          </c:val>
          <c:extLst>
            <c:ext xmlns:c="http://schemas.openxmlformats.org/drawingml/2006/chart" xmlns:c16="http://schemas.microsoft.com/office/drawing/2014/chart" uri="{C3380CC4-5D6E-409C-BE32-E72D297353CC}">
              <c16:uniqueId val="{00000000-9F37-4776-BCB0-D195C8982B51}"/>
            </c:ext>
          </c:extLst>
        </c:ser>
        <c:ser>
          <c:idx val="1"/>
          <c:order val="1"/>
          <c:tx>
            <c:strRef>
              <c:f>Sheet1!$A$3</c:f>
              <c:strCache>
                <c:ptCount val="1"/>
                <c:pt idx="0">
                  <c:v>malka, šķelda, skaidas</c:v>
                </c:pt>
              </c:strCache>
            </c:strRef>
          </c:tx>
          <c:invertIfNegative val="0"/>
          <c:cat>
            <c:strRef>
              <c:f>Sheet1!$B$1:$F$1</c:f>
              <c:strCache>
                <c:ptCount val="5"/>
                <c:pt idx="0">
                  <c:v>2005</c:v>
                </c:pt>
                <c:pt idx="1">
                  <c:v>2010</c:v>
                </c:pt>
                <c:pt idx="2">
                  <c:v>2014</c:v>
                </c:pt>
                <c:pt idx="3">
                  <c:v>2015</c:v>
                </c:pt>
                <c:pt idx="4">
                  <c:v>2016</c:v>
                </c:pt>
              </c:strCache>
            </c:strRef>
          </c:cat>
          <c:val>
            <c:numRef>
              <c:f>Sheet1!$B$3:$F$3</c:f>
              <c:numCache>
                <c:formatCode>0</c:formatCode>
                <c:ptCount val="5"/>
                <c:pt idx="0">
                  <c:v>2.13626617126328</c:v>
                </c:pt>
                <c:pt idx="1">
                  <c:v>4.2311257979436068</c:v>
                </c:pt>
                <c:pt idx="2">
                  <c:v>4.5231240553749474</c:v>
                </c:pt>
                <c:pt idx="3">
                  <c:v>4.9511218330930467</c:v>
                </c:pt>
                <c:pt idx="4">
                  <c:v>4.2571095752260169</c:v>
                </c:pt>
              </c:numCache>
            </c:numRef>
          </c:val>
          <c:extLst>
            <c:ext xmlns:c="http://schemas.openxmlformats.org/drawingml/2006/chart" xmlns:c16="http://schemas.microsoft.com/office/drawing/2014/chart" uri="{C3380CC4-5D6E-409C-BE32-E72D297353CC}">
              <c16:uniqueId val="{00000001-9F37-4776-BCB0-D195C8982B51}"/>
            </c:ext>
          </c:extLst>
        </c:ser>
        <c:ser>
          <c:idx val="2"/>
          <c:order val="2"/>
          <c:tx>
            <c:strRef>
              <c:f>Sheet1!$A$4</c:f>
              <c:strCache>
                <c:ptCount val="1"/>
                <c:pt idx="0">
                  <c:v>saplāksnis</c:v>
                </c:pt>
              </c:strCache>
            </c:strRef>
          </c:tx>
          <c:invertIfNegative val="0"/>
          <c:cat>
            <c:strRef>
              <c:f>Sheet1!$B$1:$F$1</c:f>
              <c:strCache>
                <c:ptCount val="5"/>
                <c:pt idx="0">
                  <c:v>2005</c:v>
                </c:pt>
                <c:pt idx="1">
                  <c:v>2010</c:v>
                </c:pt>
                <c:pt idx="2">
                  <c:v>2014</c:v>
                </c:pt>
                <c:pt idx="3">
                  <c:v>2015</c:v>
                </c:pt>
                <c:pt idx="4">
                  <c:v>2016</c:v>
                </c:pt>
              </c:strCache>
            </c:strRef>
          </c:cat>
          <c:val>
            <c:numRef>
              <c:f>Sheet1!$B$4:$F$4</c:f>
              <c:numCache>
                <c:formatCode>0</c:formatCode>
                <c:ptCount val="5"/>
                <c:pt idx="0">
                  <c:v>6.102846226060282</c:v>
                </c:pt>
                <c:pt idx="1">
                  <c:v>5.35145878054578</c:v>
                </c:pt>
                <c:pt idx="2">
                  <c:v>5.390945251681277</c:v>
                </c:pt>
                <c:pt idx="3">
                  <c:v>5.7181320416492518</c:v>
                </c:pt>
                <c:pt idx="4">
                  <c:v>5.7570393459798241</c:v>
                </c:pt>
              </c:numCache>
            </c:numRef>
          </c:val>
          <c:extLst>
            <c:ext xmlns:c="http://schemas.openxmlformats.org/drawingml/2006/chart" xmlns:c16="http://schemas.microsoft.com/office/drawing/2014/chart" uri="{C3380CC4-5D6E-409C-BE32-E72D297353CC}">
              <c16:uniqueId val="{00000002-9F37-4776-BCB0-D195C8982B51}"/>
            </c:ext>
          </c:extLst>
        </c:ser>
        <c:ser>
          <c:idx val="3"/>
          <c:order val="3"/>
          <c:tx>
            <c:strRef>
              <c:f>Sheet1!$A$5</c:f>
              <c:strCache>
                <c:ptCount val="1"/>
                <c:pt idx="0">
                  <c:v>kokskaidu plāksnes</c:v>
                </c:pt>
              </c:strCache>
            </c:strRef>
          </c:tx>
          <c:invertIfNegative val="0"/>
          <c:cat>
            <c:strRef>
              <c:f>Sheet1!$B$1:$F$1</c:f>
              <c:strCache>
                <c:ptCount val="5"/>
                <c:pt idx="0">
                  <c:v>2005</c:v>
                </c:pt>
                <c:pt idx="1">
                  <c:v>2010</c:v>
                </c:pt>
                <c:pt idx="2">
                  <c:v>2014</c:v>
                </c:pt>
                <c:pt idx="3">
                  <c:v>2015</c:v>
                </c:pt>
                <c:pt idx="4">
                  <c:v>2016</c:v>
                </c:pt>
              </c:strCache>
            </c:strRef>
          </c:cat>
          <c:val>
            <c:numRef>
              <c:f>Sheet1!$B$5:$F$5</c:f>
              <c:numCache>
                <c:formatCode>0</c:formatCode>
                <c:ptCount val="5"/>
                <c:pt idx="0">
                  <c:v>8.602212275031345</c:v>
                </c:pt>
                <c:pt idx="1">
                  <c:v>8.67341173235324</c:v>
                </c:pt>
                <c:pt idx="2">
                  <c:v>9.1844870806090047</c:v>
                </c:pt>
                <c:pt idx="3">
                  <c:v>8.1782961158793661</c:v>
                </c:pt>
                <c:pt idx="4">
                  <c:v>8.0354831429260276</c:v>
                </c:pt>
              </c:numCache>
            </c:numRef>
          </c:val>
          <c:extLst>
            <c:ext xmlns:c="http://schemas.openxmlformats.org/drawingml/2006/chart" xmlns:c16="http://schemas.microsoft.com/office/drawing/2014/chart" uri="{C3380CC4-5D6E-409C-BE32-E72D297353CC}">
              <c16:uniqueId val="{00000003-9F37-4776-BCB0-D195C8982B51}"/>
            </c:ext>
          </c:extLst>
        </c:ser>
        <c:ser>
          <c:idx val="4"/>
          <c:order val="4"/>
          <c:tx>
            <c:strRef>
              <c:f>Sheet1!$A$6</c:f>
              <c:strCache>
                <c:ptCount val="1"/>
                <c:pt idx="0">
                  <c:v>neapstrādāti kokmateriāli</c:v>
                </c:pt>
              </c:strCache>
            </c:strRef>
          </c:tx>
          <c:invertIfNegative val="0"/>
          <c:cat>
            <c:strRef>
              <c:f>Sheet1!$B$1:$F$1</c:f>
              <c:strCache>
                <c:ptCount val="5"/>
                <c:pt idx="0">
                  <c:v>2005</c:v>
                </c:pt>
                <c:pt idx="1">
                  <c:v>2010</c:v>
                </c:pt>
                <c:pt idx="2">
                  <c:v>2014</c:v>
                </c:pt>
                <c:pt idx="3">
                  <c:v>2015</c:v>
                </c:pt>
                <c:pt idx="4">
                  <c:v>2016</c:v>
                </c:pt>
              </c:strCache>
            </c:strRef>
          </c:cat>
          <c:val>
            <c:numRef>
              <c:f>Sheet1!$B$6:$F$6</c:f>
              <c:numCache>
                <c:formatCode>0</c:formatCode>
                <c:ptCount val="5"/>
                <c:pt idx="0">
                  <c:v>5.6464533296240695</c:v>
                </c:pt>
                <c:pt idx="1">
                  <c:v>6.5264039748912666</c:v>
                </c:pt>
                <c:pt idx="2">
                  <c:v>6.5517146335369665</c:v>
                </c:pt>
                <c:pt idx="3">
                  <c:v>6.0652130748818509</c:v>
                </c:pt>
                <c:pt idx="4">
                  <c:v>5.755380853221185</c:v>
                </c:pt>
              </c:numCache>
            </c:numRef>
          </c:val>
          <c:extLst>
            <c:ext xmlns:c="http://schemas.openxmlformats.org/drawingml/2006/chart" xmlns:c16="http://schemas.microsoft.com/office/drawing/2014/chart" uri="{C3380CC4-5D6E-409C-BE32-E72D297353CC}">
              <c16:uniqueId val="{00000004-9F37-4776-BCB0-D195C8982B51}"/>
            </c:ext>
          </c:extLst>
        </c:ser>
        <c:ser>
          <c:idx val="5"/>
          <c:order val="5"/>
          <c:tx>
            <c:strRef>
              <c:f>Sheet1!$A$7</c:f>
              <c:strCache>
                <c:ptCount val="1"/>
                <c:pt idx="0">
                  <c:v>citi koka izstrādājumi</c:v>
                </c:pt>
              </c:strCache>
            </c:strRef>
          </c:tx>
          <c:invertIfNegative val="0"/>
          <c:cat>
            <c:strRef>
              <c:f>Sheet1!$B$1:$F$1</c:f>
              <c:strCache>
                <c:ptCount val="5"/>
                <c:pt idx="0">
                  <c:v>2005</c:v>
                </c:pt>
                <c:pt idx="1">
                  <c:v>2010</c:v>
                </c:pt>
                <c:pt idx="2">
                  <c:v>2014</c:v>
                </c:pt>
                <c:pt idx="3">
                  <c:v>2015</c:v>
                </c:pt>
                <c:pt idx="4">
                  <c:v>2016</c:v>
                </c:pt>
              </c:strCache>
            </c:strRef>
          </c:cat>
          <c:val>
            <c:numRef>
              <c:f>Sheet1!$B$7:$F$7</c:f>
              <c:numCache>
                <c:formatCode>0</c:formatCode>
                <c:ptCount val="5"/>
                <c:pt idx="0">
                  <c:v>49.685227884025188</c:v>
                </c:pt>
                <c:pt idx="1">
                  <c:v>47.987003754340819</c:v>
                </c:pt>
                <c:pt idx="2">
                  <c:v>48.168774443603176</c:v>
                </c:pt>
                <c:pt idx="3">
                  <c:v>48.898115178331444</c:v>
                </c:pt>
                <c:pt idx="4">
                  <c:v>50.329519984723305</c:v>
                </c:pt>
              </c:numCache>
            </c:numRef>
          </c:val>
          <c:extLst>
            <c:ext xmlns:c="http://schemas.openxmlformats.org/drawingml/2006/chart" xmlns:c16="http://schemas.microsoft.com/office/drawing/2014/chart" uri="{C3380CC4-5D6E-409C-BE32-E72D297353CC}">
              <c16:uniqueId val="{00000005-9F37-4776-BCB0-D195C8982B51}"/>
            </c:ext>
          </c:extLst>
        </c:ser>
        <c:dLbls>
          <c:showLegendKey val="0"/>
          <c:showVal val="0"/>
          <c:showCatName val="0"/>
          <c:showSerName val="0"/>
          <c:showPercent val="0"/>
          <c:showBubbleSize val="0"/>
        </c:dLbls>
        <c:gapWidth val="20"/>
        <c:overlap val="100"/>
        <c:axId val="629925520"/>
        <c:axId val="629919640"/>
      </c:barChart>
      <c:catAx>
        <c:axId val="629925520"/>
        <c:scaling>
          <c:orientation val="minMax"/>
        </c:scaling>
        <c:delete val="0"/>
        <c:axPos val="b"/>
        <c:numFmt formatCode="General" sourceLinked="0"/>
        <c:majorTickMark val="out"/>
        <c:minorTickMark val="none"/>
        <c:tickLblPos val="nextTo"/>
        <c:txPr>
          <a:bodyPr/>
          <a:lstStyle/>
          <a:p>
            <a:pPr>
              <a:defRPr sz="700"/>
            </a:pPr>
            <a:endParaRPr lang="lv-LV"/>
          </a:p>
        </c:txPr>
        <c:crossAx val="629919640"/>
        <c:crosses val="autoZero"/>
        <c:auto val="1"/>
        <c:lblAlgn val="ctr"/>
        <c:lblOffset val="100"/>
        <c:noMultiLvlLbl val="0"/>
      </c:catAx>
      <c:valAx>
        <c:axId val="629919640"/>
        <c:scaling>
          <c:orientation val="minMax"/>
        </c:scaling>
        <c:delete val="0"/>
        <c:axPos val="l"/>
        <c:numFmt formatCode="0%" sourceLinked="1"/>
        <c:majorTickMark val="out"/>
        <c:minorTickMark val="none"/>
        <c:tickLblPos val="nextTo"/>
        <c:txPr>
          <a:bodyPr/>
          <a:lstStyle/>
          <a:p>
            <a:pPr>
              <a:defRPr sz="700"/>
            </a:pPr>
            <a:endParaRPr lang="lv-LV"/>
          </a:p>
        </c:txPr>
        <c:crossAx val="629925520"/>
        <c:crosses val="autoZero"/>
        <c:crossBetween val="between"/>
      </c:valAx>
    </c:plotArea>
    <c:plotVisOnly val="1"/>
    <c:dispBlanksAs val="gap"/>
    <c:showDLblsOverMax val="0"/>
  </c:chart>
  <c:spPr>
    <a:ln w="9525">
      <a:noFill/>
    </a:ln>
  </c:spPr>
  <c:txPr>
    <a:bodyPr/>
    <a:lstStyle/>
    <a:p>
      <a:pPr>
        <a:defRPr sz="800"/>
      </a:pPr>
      <a:endParaRPr lang="lv-LV"/>
    </a:p>
  </c:txPr>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0602-407D-9CC5-1B8300BCD815}"/>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0602-407D-9CC5-1B8300BCD815}"/>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Sheet1!$B$2:$M$2</c:f>
              <c:numCache>
                <c:formatCode>0</c:formatCode>
                <c:ptCount val="12"/>
                <c:pt idx="0">
                  <c:v>2004</c:v>
                </c:pt>
                <c:pt idx="1">
                  <c:v>2005</c:v>
                </c:pt>
                <c:pt idx="2">
                  <c:v>2006</c:v>
                </c:pt>
                <c:pt idx="3">
                  <c:v>2007</c:v>
                </c:pt>
                <c:pt idx="4">
                  <c:v>2008</c:v>
                </c:pt>
                <c:pt idx="5">
                  <c:v>2009</c:v>
                </c:pt>
                <c:pt idx="6">
                  <c:v>2010</c:v>
                </c:pt>
                <c:pt idx="7">
                  <c:v>2011</c:v>
                </c:pt>
                <c:pt idx="8">
                  <c:v>2012</c:v>
                </c:pt>
                <c:pt idx="9">
                  <c:v>2013</c:v>
                </c:pt>
                <c:pt idx="10" formatCode="General">
                  <c:v>2014</c:v>
                </c:pt>
                <c:pt idx="11">
                  <c:v>2015</c:v>
                </c:pt>
              </c:numCache>
            </c:numRef>
          </c:cat>
          <c:val>
            <c:numRef>
              <c:f>Sheet1!$B$3:$M$3</c:f>
              <c:numCache>
                <c:formatCode>0.0</c:formatCode>
                <c:ptCount val="12"/>
                <c:pt idx="0">
                  <c:v>4.3077873918417806</c:v>
                </c:pt>
                <c:pt idx="1">
                  <c:v>5.2010547132498353</c:v>
                </c:pt>
                <c:pt idx="2">
                  <c:v>4.88617617947872</c:v>
                </c:pt>
                <c:pt idx="3">
                  <c:v>7.8889674681753883</c:v>
                </c:pt>
                <c:pt idx="4">
                  <c:v>9.2935206869633085</c:v>
                </c:pt>
                <c:pt idx="5">
                  <c:v>8.4757757212847018</c:v>
                </c:pt>
                <c:pt idx="6">
                  <c:v>8.3243243243243246</c:v>
                </c:pt>
                <c:pt idx="7">
                  <c:v>8.8273615635179148</c:v>
                </c:pt>
                <c:pt idx="8">
                  <c:v>9.09828674481515</c:v>
                </c:pt>
                <c:pt idx="9">
                  <c:v>9.3777976723366159</c:v>
                </c:pt>
                <c:pt idx="10">
                  <c:v>10.63858695652174</c:v>
                </c:pt>
                <c:pt idx="11" formatCode="General">
                  <c:v>12.013953488372094</c:v>
                </c:pt>
              </c:numCache>
            </c:numRef>
          </c:val>
          <c:extLst>
            <c:ext xmlns:c="http://schemas.openxmlformats.org/drawingml/2006/chart" xmlns:c16="http://schemas.microsoft.com/office/drawing/2014/chart" uri="{C3380CC4-5D6E-409C-BE32-E72D297353CC}">
              <c16:uniqueId val="{00000004-0602-407D-9CC5-1B8300BCD815}"/>
            </c:ext>
          </c:extLst>
        </c:ser>
        <c:dLbls>
          <c:showLegendKey val="0"/>
          <c:showVal val="0"/>
          <c:showCatName val="0"/>
          <c:showSerName val="0"/>
          <c:showPercent val="0"/>
          <c:showBubbleSize val="0"/>
        </c:dLbls>
        <c:gapWidth val="20"/>
        <c:axId val="629921992"/>
        <c:axId val="629927088"/>
      </c:barChart>
      <c:catAx>
        <c:axId val="629921992"/>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29927088"/>
        <c:crosses val="autoZero"/>
        <c:auto val="1"/>
        <c:lblAlgn val="ctr"/>
        <c:lblOffset val="100"/>
        <c:noMultiLvlLbl val="0"/>
      </c:catAx>
      <c:valAx>
        <c:axId val="629927088"/>
        <c:scaling>
          <c:orientation val="minMax"/>
          <c:max val="15"/>
          <c:min val="0"/>
        </c:scaling>
        <c:delete val="0"/>
        <c:axPos val="l"/>
        <c:numFmt formatCode="0" sourceLinked="0"/>
        <c:majorTickMark val="out"/>
        <c:minorTickMark val="none"/>
        <c:tickLblPos val="nextTo"/>
        <c:crossAx val="629921992"/>
        <c:crosses val="autoZero"/>
        <c:crossBetween val="between"/>
        <c:majorUnit val="3"/>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45BD-4E63-B852-5DF7DB304F00}"/>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45BD-4E63-B852-5DF7DB304F00}"/>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Sheet1!$B$2:$M$2</c:f>
              <c:numCache>
                <c:formatCode>0</c:formatCode>
                <c:ptCount val="12"/>
                <c:pt idx="0">
                  <c:v>2004</c:v>
                </c:pt>
                <c:pt idx="1">
                  <c:v>2005</c:v>
                </c:pt>
                <c:pt idx="2">
                  <c:v>2006</c:v>
                </c:pt>
                <c:pt idx="3">
                  <c:v>2007</c:v>
                </c:pt>
                <c:pt idx="4">
                  <c:v>2008</c:v>
                </c:pt>
                <c:pt idx="5">
                  <c:v>2009</c:v>
                </c:pt>
                <c:pt idx="6">
                  <c:v>2010</c:v>
                </c:pt>
                <c:pt idx="7">
                  <c:v>2011</c:v>
                </c:pt>
                <c:pt idx="8">
                  <c:v>2012</c:v>
                </c:pt>
                <c:pt idx="9">
                  <c:v>2013</c:v>
                </c:pt>
                <c:pt idx="10" formatCode="General">
                  <c:v>2014</c:v>
                </c:pt>
                <c:pt idx="11">
                  <c:v>2015</c:v>
                </c:pt>
              </c:numCache>
            </c:numRef>
          </c:cat>
          <c:val>
            <c:numRef>
              <c:f>Sheet1!$B$3:$M$3</c:f>
              <c:numCache>
                <c:formatCode>0.0</c:formatCode>
                <c:ptCount val="12"/>
                <c:pt idx="0">
                  <c:v>11.981020166073547</c:v>
                </c:pt>
                <c:pt idx="1">
                  <c:v>13.54015748031496</c:v>
                </c:pt>
                <c:pt idx="2">
                  <c:v>12.399117276166457</c:v>
                </c:pt>
                <c:pt idx="3">
                  <c:v>15.685415964971369</c:v>
                </c:pt>
                <c:pt idx="4">
                  <c:v>12.142068457857929</c:v>
                </c:pt>
                <c:pt idx="5">
                  <c:v>16.644398766700924</c:v>
                </c:pt>
                <c:pt idx="6">
                  <c:v>21.040221914008324</c:v>
                </c:pt>
                <c:pt idx="7">
                  <c:v>21.563318777292579</c:v>
                </c:pt>
                <c:pt idx="8">
                  <c:v>22.31450252951096</c:v>
                </c:pt>
                <c:pt idx="9">
                  <c:v>20.338409475465312</c:v>
                </c:pt>
                <c:pt idx="10">
                  <c:v>21.777683495969452</c:v>
                </c:pt>
                <c:pt idx="11" formatCode="General">
                  <c:v>21.718213058419245</c:v>
                </c:pt>
              </c:numCache>
            </c:numRef>
          </c:val>
          <c:extLst>
            <c:ext xmlns:c="http://schemas.openxmlformats.org/drawingml/2006/chart" xmlns:c16="http://schemas.microsoft.com/office/drawing/2014/chart" uri="{C3380CC4-5D6E-409C-BE32-E72D297353CC}">
              <c16:uniqueId val="{00000004-45BD-4E63-B852-5DF7DB304F00}"/>
            </c:ext>
          </c:extLst>
        </c:ser>
        <c:dLbls>
          <c:showLegendKey val="0"/>
          <c:showVal val="0"/>
          <c:showCatName val="0"/>
          <c:showSerName val="0"/>
          <c:showPercent val="0"/>
          <c:showBubbleSize val="0"/>
        </c:dLbls>
        <c:gapWidth val="20"/>
        <c:axId val="629927480"/>
        <c:axId val="629927872"/>
      </c:barChart>
      <c:catAx>
        <c:axId val="629927480"/>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29927872"/>
        <c:crosses val="autoZero"/>
        <c:auto val="1"/>
        <c:lblAlgn val="ctr"/>
        <c:lblOffset val="100"/>
        <c:noMultiLvlLbl val="0"/>
      </c:catAx>
      <c:valAx>
        <c:axId val="629927872"/>
        <c:scaling>
          <c:orientation val="minMax"/>
        </c:scaling>
        <c:delete val="0"/>
        <c:axPos val="l"/>
        <c:numFmt formatCode="0" sourceLinked="0"/>
        <c:majorTickMark val="out"/>
        <c:minorTickMark val="none"/>
        <c:tickLblPos val="nextTo"/>
        <c:crossAx val="629927480"/>
        <c:crosses val="autoZero"/>
        <c:crossBetween val="between"/>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72841410287632"/>
          <c:y val="0.057971014492753624"/>
          <c:w val="0.69294856184214082"/>
          <c:h val="0.726718711443121"/>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marker>
              <c:spPr>
                <a:solidFill>
                  <a:srgbClr val="002060"/>
                </a:solidFill>
                <a:ln w="6350">
                  <a:solidFill>
                    <a:sysClr val="windowText" lastClr="000000"/>
                  </a:solidFill>
                </a:ln>
              </c:spPr>
            </c:marker>
            <c:extLst>
              <c:ext xmlns:c="http://schemas.openxmlformats.org/drawingml/2006/chart" xmlns:c16="http://schemas.microsoft.com/office/drawing/2014/chart" uri="{C3380CC4-5D6E-409C-BE32-E72D297353CC}">
                <c16:uniqueId val="{00000000-5532-4300-937C-D5ECA2DD2C25}"/>
              </c:ext>
            </c:extLst>
          </c:dPt>
          <c:dLbls>
            <c:dLbl>
              <c:idx val="0"/>
              <c:layout>
                <c:manualLayout>
                  <c:x val="-0.071738020015512965"/>
                  <c:y val="0.045145704769313656"/>
                </c:manualLayout>
              </c:layout>
              <c:tx>
                <c:rich>
                  <a:bodyPr vertOverflow="clip"/>
                  <a:lstStyle/>
                  <a:p>
                    <a:r>
                      <a:rPr lang="en-US"/>
                      <a:t>2005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5532-4300-937C-D5ECA2DD2C25}"/>
                </c:ext>
                <c:ext xmlns:c15="http://schemas.microsoft.com/office/drawing/2012/chart" uri="{CE6537A1-D6FC-4f65-9D91-7224C49458BB}"/>
              </c:extLst>
            </c:dLbl>
            <c:dLbl>
              <c:idx val="1"/>
              <c:layout>
                <c:manualLayout>
                  <c:x val="-0.171725858280655"/>
                  <c:y val="-0.1597134049641778"/>
                </c:manualLayout>
              </c:layout>
              <c:tx>
                <c:rich>
                  <a:bodyPr vertOverflow="clip"/>
                  <a:lstStyle/>
                  <a:p>
                    <a:r>
                      <a:rPr lang="en-US"/>
                      <a:t>2007</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5532-4300-937C-D5ECA2DD2C25}"/>
                </c:ext>
                <c:ext xmlns:c15="http://schemas.microsoft.com/office/drawing/2012/chart" uri="{CE6537A1-D6FC-4f65-9D91-7224C49458BB}"/>
              </c:extLst>
            </c:dLbl>
            <c:dLbl>
              <c:idx val="2"/>
              <c:layout>
                <c:manualLayout>
                  <c:x val="0.078732368862715632"/>
                  <c:y val="0.21156224122047423"/>
                </c:manualLayout>
              </c:layout>
              <c:tx>
                <c:rich>
                  <a:bodyPr vertOverflow="clip"/>
                  <a:lstStyle/>
                  <a:p>
                    <a:r>
                      <a:rPr lang="en-US"/>
                      <a:t>2010</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5532-4300-937C-D5ECA2DD2C25}"/>
                </c:ext>
                <c:ext xmlns:c15="http://schemas.microsoft.com/office/drawing/2012/chart" uri="{CE6537A1-D6FC-4f65-9D91-7224C49458BB}"/>
              </c:extLst>
            </c:dLbl>
            <c:dLbl>
              <c:idx val="3"/>
              <c:layout>
                <c:manualLayout>
                  <c:x val="0.0065738230818917177"/>
                  <c:y val="-0.013664678612903674"/>
                </c:manualLayout>
              </c:layout>
              <c:tx>
                <c:rich>
                  <a:bodyPr vertOverflow="clip"/>
                  <a:lstStyle/>
                  <a:p>
                    <a:r>
                      <a:rPr lang="en-US"/>
                      <a:t>2008</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5532-4300-937C-D5ECA2DD2C25}"/>
                </c:ext>
                <c:ext xmlns:c15="http://schemas.microsoft.com/office/drawing/2012/chart" uri="{CE6537A1-D6FC-4f65-9D91-7224C49458BB}"/>
              </c:extLst>
            </c:dLbl>
            <c:dLbl>
              <c:idx val="4"/>
              <c:delete val="1"/>
              <c:extLst>
                <c:ext xmlns:c="http://schemas.openxmlformats.org/drawingml/2006/chart" xmlns:c16="http://schemas.microsoft.com/office/drawing/2014/chart" uri="{C3380CC4-5D6E-409C-BE32-E72D297353CC}">
                  <c16:uniqueId val="{00000005-5532-4300-937C-D5ECA2DD2C25}"/>
                </c:ext>
                <c:ext xmlns:c15="http://schemas.microsoft.com/office/drawing/2012/chart" uri="{CE6537A1-D6FC-4f65-9D91-7224C49458BB}"/>
              </c:extLst>
            </c:dLbl>
            <c:dLbl>
              <c:idx val="5"/>
              <c:delete val="1"/>
              <c:extLst>
                <c:ext xmlns:c="http://schemas.openxmlformats.org/drawingml/2006/chart" xmlns:c16="http://schemas.microsoft.com/office/drawing/2014/chart" uri="{C3380CC4-5D6E-409C-BE32-E72D297353CC}">
                  <c16:uniqueId val="{00000000-5532-4300-937C-D5ECA2DD2C25}"/>
                </c:ext>
                <c:ext xmlns:c15="http://schemas.microsoft.com/office/drawing/2012/chart" uri="{CE6537A1-D6FC-4f65-9D91-7224C49458BB}"/>
              </c:extLst>
            </c:dLbl>
            <c:dLbl>
              <c:idx val="6"/>
              <c:delete val="1"/>
              <c:extLst>
                <c:ext xmlns:c="http://schemas.openxmlformats.org/drawingml/2006/chart" xmlns:c16="http://schemas.microsoft.com/office/drawing/2014/chart" uri="{C3380CC4-5D6E-409C-BE32-E72D297353CC}">
                  <c16:uniqueId val="{00000006-5532-4300-937C-D5ECA2DD2C25}"/>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7-5532-4300-937C-D5ECA2DD2C25}"/>
                </c:ext>
                <c:ext xmlns:c15="http://schemas.microsoft.com/office/drawing/2012/chart" uri="{CE6537A1-D6FC-4f65-9D91-7224C49458BB}"/>
              </c:extLst>
            </c:dLbl>
            <c:dLbl>
              <c:idx val="8"/>
              <c:delete val="1"/>
              <c:extLst>
                <c:ext xmlns:c="http://schemas.openxmlformats.org/drawingml/2006/chart" xmlns:c16="http://schemas.microsoft.com/office/drawing/2014/chart" uri="{C3380CC4-5D6E-409C-BE32-E72D297353CC}">
                  <c16:uniqueId val="{00000008-5532-4300-937C-D5ECA2DD2C25}"/>
                </c:ext>
                <c:ext xmlns:c15="http://schemas.microsoft.com/office/drawing/2012/chart" uri="{CE6537A1-D6FC-4f65-9D91-7224C49458BB}"/>
              </c:extLst>
            </c:dLbl>
            <c:dLbl>
              <c:idx val="9"/>
              <c:layout>
                <c:manualLayout>
                  <c:x val="-0.041616916162405107"/>
                  <c:y val="-0.03072817227589833"/>
                </c:manualLayout>
              </c:layout>
              <c:tx>
                <c:rich>
                  <a:bodyPr vertOverflow="clip"/>
                  <a:lstStyle/>
                  <a:p>
                    <a:r>
                      <a:rPr lang="en-US"/>
                      <a:t>2014</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5532-4300-937C-D5ECA2DD2C25}"/>
                </c:ext>
                <c:ext xmlns:c15="http://schemas.microsoft.com/office/drawing/2012/chart" uri="{CE6537A1-D6FC-4f65-9D91-7224C49458BB}"/>
              </c:extLst>
            </c:dLbl>
            <c:dLbl>
              <c:idx val="10"/>
              <c:layout>
                <c:manualLayout>
                  <c:x val="-0.048682691305879967"/>
                  <c:y val="-0.05288250515989211"/>
                </c:manualLayout>
              </c:layout>
              <c:tx>
                <c:rich>
                  <a:bodyPr vertOverflow="clip"/>
                  <a:lstStyle/>
                  <a:p>
                    <a:r>
                      <a:rPr lang="en-US"/>
                      <a:t>2015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5532-4300-937C-D5ECA2DD2C25}"/>
                </c:ext>
                <c:ext xmlns:c15="http://schemas.microsoft.com/office/drawing/2012/chart" uri="{CE6537A1-D6FC-4f65-9D91-7224C49458BB}"/>
              </c:extLst>
            </c:dLbl>
            <c:dLbl>
              <c:idx val="11"/>
              <c:layout>
                <c:manualLayout>
                  <c:x val="-0.045473776802943768"/>
                  <c:y val="-0.029435967255112244"/>
                </c:manualLayout>
              </c:layout>
              <c:tx>
                <c:rich>
                  <a:bodyPr/>
                  <a:lstStyle/>
                  <a:p>
                    <a:r>
                      <a:rPr lang="lv-LV"/>
                      <a:t>SK</a:t>
                    </a:r>
                    <a:endParaRPr lang="en-US"/>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5532-4300-937C-D5ECA2DD2C25}"/>
                </c:ext>
                <c:ext xmlns:c15="http://schemas.microsoft.com/office/drawing/2012/chart" uri="{CE6537A1-D6FC-4f65-9D91-7224C49458BB}"/>
              </c:extLst>
            </c:dLbl>
            <c:dLbl>
              <c:idx val="12"/>
              <c:tx>
                <c:rich>
                  <a:bodyPr/>
                  <a:lstStyle/>
                  <a:p>
                    <a:r>
                      <a:rPr lang="lv-LV"/>
                      <a:t>FI</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5532-4300-937C-D5ECA2DD2C25}"/>
                </c:ext>
                <c:ext xmlns:c15="http://schemas.microsoft.com/office/drawing/2012/chart" uri="{CE6537A1-D6FC-4f65-9D91-7224C49458BB}"/>
              </c:extLst>
            </c:dLbl>
            <c:dLbl>
              <c:idx val="13"/>
              <c:tx>
                <c:rich>
                  <a:bodyPr/>
                  <a:lstStyle/>
                  <a:p>
                    <a:r>
                      <a:rPr lang="lv-LV" b="0"/>
                      <a:t>SE</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5532-4300-937C-D5ECA2DD2C25}"/>
                </c:ext>
                <c:ext xmlns:c15="http://schemas.microsoft.com/office/drawing/2012/chart" uri="{CE6537A1-D6FC-4f65-9D91-7224C49458BB}"/>
              </c:extLst>
            </c:dLbl>
            <c:spPr>
              <a:noFill/>
              <a:ln>
                <a:noFill/>
              </a:ln>
              <a:effectLst/>
            </c:spPr>
            <c:txPr>
              <a:bodyPr/>
              <a:lstStyle/>
              <a:p>
                <a:pPr>
                  <a:defRPr b="0"/>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Sheet1!$B$3:$B$13</c:f>
              <c:numCache>
                <c:formatCode>0.0</c:formatCode>
                <c:ptCount val="11"/>
                <c:pt idx="0">
                  <c:v>13.54015748031496</c:v>
                </c:pt>
                <c:pt idx="1">
                  <c:v>12.399117276166457</c:v>
                </c:pt>
                <c:pt idx="2">
                  <c:v>15.685415964971369</c:v>
                </c:pt>
                <c:pt idx="3">
                  <c:v>12.142068457857929</c:v>
                </c:pt>
                <c:pt idx="4">
                  <c:v>16.644398766700924</c:v>
                </c:pt>
                <c:pt idx="5">
                  <c:v>21.040221914008324</c:v>
                </c:pt>
                <c:pt idx="6">
                  <c:v>21.563318777292579</c:v>
                </c:pt>
                <c:pt idx="7">
                  <c:v>22.31450252951096</c:v>
                </c:pt>
                <c:pt idx="8">
                  <c:v>20.338409475465312</c:v>
                </c:pt>
                <c:pt idx="9">
                  <c:v>21.777683495969452</c:v>
                </c:pt>
                <c:pt idx="10">
                  <c:v>21.718213058419245</c:v>
                </c:pt>
              </c:numCache>
            </c:numRef>
          </c:xVal>
          <c:yVal>
            <c:numRef>
              <c:f>Sheet1!$C$3:$C$13</c:f>
              <c:numCache>
                <c:formatCode>0.0</c:formatCode>
                <c:ptCount val="11"/>
                <c:pt idx="0">
                  <c:v>0.38412069584945868</c:v>
                </c:pt>
                <c:pt idx="1">
                  <c:v>0.39407451922976094</c:v>
                </c:pt>
                <c:pt idx="2">
                  <c:v>0.502949203629219</c:v>
                </c:pt>
                <c:pt idx="3">
                  <c:v>0.76539847549194651</c:v>
                </c:pt>
                <c:pt idx="4">
                  <c:v>0.509226908108059</c:v>
                </c:pt>
                <c:pt idx="5">
                  <c:v>0.39563861818311385</c:v>
                </c:pt>
                <c:pt idx="6">
                  <c:v>0.40936933941790243</c:v>
                </c:pt>
                <c:pt idx="7">
                  <c:v>0.40772975928021038</c:v>
                </c:pt>
                <c:pt idx="8">
                  <c:v>0.46108805527046093</c:v>
                </c:pt>
                <c:pt idx="9">
                  <c:v>0.48850865880619021</c:v>
                </c:pt>
                <c:pt idx="10">
                  <c:v>0.55317412422725931</c:v>
                </c:pt>
              </c:numCache>
            </c:numRef>
          </c:yVal>
          <c:smooth val="1"/>
          <c:extLst>
            <c:ext xmlns:c="http://schemas.openxmlformats.org/drawingml/2006/chart" xmlns:c16="http://schemas.microsoft.com/office/drawing/2014/chart" uri="{C3380CC4-5D6E-409C-BE32-E72D297353CC}">
              <c16:uniqueId val="{0000000E-5532-4300-937C-D5ECA2DD2C25}"/>
            </c:ext>
          </c:extLst>
        </c:ser>
        <c:dLbls>
          <c:showLegendKey val="0"/>
          <c:showVal val="0"/>
          <c:showCatName val="0"/>
          <c:showSerName val="0"/>
          <c:showPercent val="0"/>
          <c:showBubbleSize val="0"/>
        </c:dLbls>
        <c:axId val="629918856"/>
        <c:axId val="629928656"/>
      </c:scatterChart>
      <c:valAx>
        <c:axId val="629918856"/>
        <c:scaling>
          <c:orientation val="minMax"/>
        </c:scaling>
        <c:delete val="0"/>
        <c:axPos val="b"/>
        <c:title>
          <c:tx>
            <c:rich>
              <a:bodyPr vertOverflow="clip"/>
              <a:lstStyle/>
              <a:p>
                <a:pPr>
                  <a:defRPr sz="700" b="0">
                    <a:latin typeface="Arial Narrow" pitchFamily="34" charset="0"/>
                  </a:defRPr>
                </a:pPr>
                <a:r>
                  <a:rPr lang="lv-LV" sz="700" b="0">
                    <a:latin typeface="Arial Narrow" pitchFamily="34" charset="0"/>
                  </a:rPr>
                  <a:t>Produktivitāte (pievienotā vērtība </a:t>
                </a:r>
                <a:br>
                  <a:rPr lang="lv-LV" sz="700" b="0">
                    <a:latin typeface="Arial Narrow" pitchFamily="34" charset="0"/>
                  </a:rPr>
                </a:br>
                <a:r>
                  <a:rPr lang="lv-LV" sz="700" b="0">
                    <a:latin typeface="Arial Narrow" pitchFamily="34" charset="0"/>
                  </a:rPr>
                  <a:t>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29928656"/>
        <c:crosses val="autoZero"/>
        <c:crossBetween val="midCat"/>
        <c:majorUnit val="10"/>
      </c:valAx>
      <c:valAx>
        <c:axId val="629928656"/>
        <c:scaling>
          <c:orientation val="minMax"/>
          <c:min val="0.30000000000000004"/>
        </c:scaling>
        <c:delete val="0"/>
        <c:axPos val="l"/>
        <c:title>
          <c:tx>
            <c:rich>
              <a:bodyPr vertOverflow="clip"/>
              <a:lstStyle/>
              <a:p>
                <a:pPr>
                  <a:defRPr sz="700" b="0"/>
                </a:pPr>
                <a:r>
                  <a:rPr lang="lv-LV" sz="700" b="0">
                    <a:latin typeface="Arial Narrow" pitchFamily="34" charset="0"/>
                  </a:rPr>
                  <a:t>Darbaspēka izmaksas </a:t>
                </a:r>
                <a:br>
                  <a:rPr lang="lv-LV" sz="700" b="0">
                    <a:latin typeface="Arial Narrow" pitchFamily="34" charset="0"/>
                  </a:rPr>
                </a:br>
                <a:r>
                  <a:rPr lang="lv-LV" sz="700" b="0">
                    <a:latin typeface="Arial Narrow" pitchFamily="34" charset="0"/>
                  </a:rPr>
                  <a:t>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29918856"/>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8"/>
          <c:y val="0.046005165816941182"/>
          <c:w val="0.85762258292899962"/>
          <c:h val="0.831279863372076"/>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Sheet1!$B$1:$J$1</c:f>
              <c:strCache>
                <c:ptCount val="9"/>
                <c:pt idx="0">
                  <c:v>2007</c:v>
                </c:pt>
                <c:pt idx="1">
                  <c:v>2008</c:v>
                </c:pt>
                <c:pt idx="2">
                  <c:v>2009</c:v>
                </c:pt>
                <c:pt idx="3">
                  <c:v>2010</c:v>
                </c:pt>
                <c:pt idx="4">
                  <c:v>2011</c:v>
                </c:pt>
                <c:pt idx="5">
                  <c:v>2012</c:v>
                </c:pt>
                <c:pt idx="6">
                  <c:v>2013</c:v>
                </c:pt>
                <c:pt idx="7">
                  <c:v>2014</c:v>
                </c:pt>
                <c:pt idx="8">
                  <c:v>2015</c:v>
                </c:pt>
              </c:strCache>
            </c:strRef>
          </c:cat>
          <c:val>
            <c:numRef>
              <c:f>Sheet1!$B$2:$J$2</c:f>
              <c:numCache>
                <c:formatCode>0</c:formatCode>
                <c:ptCount val="9"/>
                <c:pt idx="0">
                  <c:v>33.733810364325855</c:v>
                </c:pt>
                <c:pt idx="1">
                  <c:v>39.366062694556014</c:v>
                </c:pt>
                <c:pt idx="2">
                  <c:v>35.265739314535836</c:v>
                </c:pt>
                <c:pt idx="3">
                  <c:v>31.598932010849889</c:v>
                </c:pt>
                <c:pt idx="4">
                  <c:v>31.869900214985641</c:v>
                </c:pt>
                <c:pt idx="5">
                  <c:v>33.801329812213076</c:v>
                </c:pt>
                <c:pt idx="6">
                  <c:v>35.118191713592282</c:v>
                </c:pt>
                <c:pt idx="7">
                  <c:v>37.375186420479331</c:v>
                </c:pt>
                <c:pt idx="8">
                  <c:v>39.02724647709001</c:v>
                </c:pt>
              </c:numCache>
            </c:numRef>
          </c:val>
          <c:extLst>
            <c:ext xmlns:c="http://schemas.openxmlformats.org/drawingml/2006/chart" xmlns:c16="http://schemas.microsoft.com/office/drawing/2014/chart" uri="{C3380CC4-5D6E-409C-BE32-E72D297353CC}">
              <c16:uniqueId val="{00000000-ED26-4BAC-86BA-CF207FD6EF51}"/>
            </c:ext>
          </c:extLst>
        </c:ser>
        <c:ser>
          <c:idx val="1"/>
          <c:order val="1"/>
          <c:tx>
            <c:strRef>
              <c:f>Sheet1!$A$3</c:f>
              <c:strCache>
                <c:ptCount val="1"/>
                <c:pt idx="0">
                  <c:v>Kokapstrādē</c:v>
                </c:pt>
              </c:strCache>
            </c:strRef>
          </c:tx>
          <c:spPr>
            <a:ln>
              <a:solidFill>
                <a:sysClr val="windowText" lastClr="000000"/>
              </a:solidFill>
            </a:ln>
          </c:spPr>
          <c:invertIfNegative val="0"/>
          <c:dLbls>
            <c:numFmt formatCode="#,##0" sourceLinked="0"/>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2007</c:v>
                </c:pt>
                <c:pt idx="1">
                  <c:v>2008</c:v>
                </c:pt>
                <c:pt idx="2">
                  <c:v>2009</c:v>
                </c:pt>
                <c:pt idx="3">
                  <c:v>2010</c:v>
                </c:pt>
                <c:pt idx="4">
                  <c:v>2011</c:v>
                </c:pt>
                <c:pt idx="5">
                  <c:v>2012</c:v>
                </c:pt>
                <c:pt idx="6">
                  <c:v>2013</c:v>
                </c:pt>
                <c:pt idx="7">
                  <c:v>2014</c:v>
                </c:pt>
                <c:pt idx="8">
                  <c:v>2015</c:v>
                </c:pt>
              </c:strCache>
            </c:strRef>
          </c:cat>
          <c:val>
            <c:numRef>
              <c:f>Sheet1!$B$3:$J$3</c:f>
              <c:numCache>
                <c:formatCode>0</c:formatCode>
                <c:ptCount val="9"/>
                <c:pt idx="0">
                  <c:v>37.583763453147412</c:v>
                </c:pt>
                <c:pt idx="1">
                  <c:v>42.848944059364982</c:v>
                </c:pt>
                <c:pt idx="2">
                  <c:v>40.278707158320017</c:v>
                </c:pt>
                <c:pt idx="3">
                  <c:v>38.049655651368717</c:v>
                </c:pt>
                <c:pt idx="4">
                  <c:v>39.476842825648234</c:v>
                </c:pt>
                <c:pt idx="5">
                  <c:v>40.150832266323064</c:v>
                </c:pt>
                <c:pt idx="6">
                  <c:v>40.817176603339504</c:v>
                </c:pt>
                <c:pt idx="7">
                  <c:v>46.121354901633332</c:v>
                </c:pt>
                <c:pt idx="8">
                  <c:v>50.602557880917217</c:v>
                </c:pt>
              </c:numCache>
            </c:numRef>
          </c:val>
          <c:extLst>
            <c:ext xmlns:c="http://schemas.openxmlformats.org/drawingml/2006/chart" xmlns:c16="http://schemas.microsoft.com/office/drawing/2014/chart" uri="{C3380CC4-5D6E-409C-BE32-E72D297353CC}">
              <c16:uniqueId val="{00000001-ED26-4BAC-86BA-CF207FD6EF51}"/>
            </c:ext>
          </c:extLst>
        </c:ser>
        <c:dLbls>
          <c:showLegendKey val="0"/>
          <c:showVal val="0"/>
          <c:showCatName val="0"/>
          <c:showSerName val="0"/>
          <c:showPercent val="0"/>
          <c:showBubbleSize val="0"/>
        </c:dLbls>
        <c:gapWidth val="50"/>
        <c:overlap val="52"/>
        <c:axId val="629922776"/>
        <c:axId val="629923952"/>
      </c:barChart>
      <c:catAx>
        <c:axId val="629922776"/>
        <c:scaling>
          <c:orientation val="minMax"/>
        </c:scaling>
        <c:delete val="0"/>
        <c:axPos val="b"/>
        <c:numFmt formatCode="General" sourceLinked="0"/>
        <c:majorTickMark val="out"/>
        <c:minorTickMark val="none"/>
        <c:tickLblPos val="nextTo"/>
        <c:txPr>
          <a:bodyPr/>
          <a:lstStyle/>
          <a:p>
            <a:pPr>
              <a:defRPr sz="700"/>
            </a:pPr>
            <a:endParaRPr lang="lv-LV"/>
          </a:p>
        </c:txPr>
        <c:crossAx val="629923952"/>
        <c:crosses val="autoZero"/>
        <c:auto val="1"/>
        <c:lblAlgn val="ctr"/>
        <c:lblOffset val="100"/>
        <c:noMultiLvlLbl val="0"/>
      </c:catAx>
      <c:valAx>
        <c:axId val="629923952"/>
        <c:scaling>
          <c:orientation val="minMax"/>
          <c:max val="100"/>
        </c:scaling>
        <c:delete val="0"/>
        <c:axPos val="l"/>
        <c:numFmt formatCode="0" sourceLinked="0"/>
        <c:majorTickMark val="out"/>
        <c:minorTickMark val="none"/>
        <c:tickLblPos val="nextTo"/>
        <c:txPr>
          <a:bodyPr/>
          <a:lstStyle/>
          <a:p>
            <a:pPr>
              <a:defRPr sz="800"/>
            </a:pPr>
            <a:endParaRPr lang="lv-LV"/>
          </a:p>
        </c:txPr>
        <c:crossAx val="629922776"/>
        <c:crosses val="autoZero"/>
        <c:crossBetween val="between"/>
        <c:majorUnit val="20"/>
      </c:valAx>
      <c:spPr>
        <a:ln>
          <a:noFill/>
        </a:ln>
      </c:spPr>
    </c:plotArea>
    <c:legend>
      <c:legendPos val="r"/>
      <c:layout>
        <c:manualLayout>
          <c:xMode val="edge"/>
          <c:yMode val="edge"/>
          <c:x val="0.1972511805244323"/>
          <c:y val="0.049528317790409886"/>
          <c:w val="0.53767545872909384"/>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738"/>
          <c:y val="0.046005165816941182"/>
          <c:w val="0.85762258292899962"/>
          <c:h val="0.83127986337207582"/>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Sheet1!$B$1:$I$1</c:f>
              <c:strCache>
                <c:ptCount val="8"/>
                <c:pt idx="0">
                  <c:v>2007</c:v>
                </c:pt>
                <c:pt idx="1">
                  <c:v>2008</c:v>
                </c:pt>
                <c:pt idx="2">
                  <c:v>2009</c:v>
                </c:pt>
                <c:pt idx="3">
                  <c:v>2010</c:v>
                </c:pt>
                <c:pt idx="4">
                  <c:v>2011</c:v>
                </c:pt>
                <c:pt idx="5">
                  <c:v>2012</c:v>
                </c:pt>
                <c:pt idx="6">
                  <c:v>2013</c:v>
                </c:pt>
                <c:pt idx="7">
                  <c:v>2014</c:v>
                </c:pt>
              </c:strCache>
            </c:strRef>
          </c:cat>
          <c:val>
            <c:numRef>
              <c:f>Sheet1!$B$2:$I$2</c:f>
              <c:numCache>
                <c:formatCode>0</c:formatCode>
                <c:ptCount val="8"/>
                <c:pt idx="0">
                  <c:v>37.571008081742491</c:v>
                </c:pt>
                <c:pt idx="1">
                  <c:v>40.886874357448278</c:v>
                </c:pt>
                <c:pt idx="2">
                  <c:v>38.340696631750923</c:v>
                </c:pt>
                <c:pt idx="3">
                  <c:v>37.13786218879887</c:v>
                </c:pt>
                <c:pt idx="4">
                  <c:v>40.358416265069444</c:v>
                </c:pt>
                <c:pt idx="5">
                  <c:v>42.444824679460964</c:v>
                </c:pt>
                <c:pt idx="6">
                  <c:v>42.534590211759</c:v>
                </c:pt>
                <c:pt idx="7">
                  <c:v>43.637999214462909</c:v>
                </c:pt>
              </c:numCache>
            </c:numRef>
          </c:val>
          <c:extLst>
            <c:ext xmlns:c="http://schemas.openxmlformats.org/drawingml/2006/chart" xmlns:c16="http://schemas.microsoft.com/office/drawing/2014/chart" uri="{C3380CC4-5D6E-409C-BE32-E72D297353CC}">
              <c16:uniqueId val="{00000000-AF71-4602-8512-B2398FD25542}"/>
            </c:ext>
          </c:extLst>
        </c:ser>
        <c:ser>
          <c:idx val="1"/>
          <c:order val="1"/>
          <c:tx>
            <c:strRef>
              <c:f>Sheet1!$A$3</c:f>
              <c:strCache>
                <c:ptCount val="1"/>
                <c:pt idx="0">
                  <c:v>Kokapstrādē</c:v>
                </c:pt>
              </c:strCache>
            </c:strRef>
          </c:tx>
          <c:spPr>
            <a:ln>
              <a:solidFill>
                <a:sysClr val="windowText" lastClr="000000"/>
              </a:solidFill>
            </a:ln>
          </c:spPr>
          <c:invertIfNegative val="0"/>
          <c:dLbls>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2007</c:v>
                </c:pt>
                <c:pt idx="1">
                  <c:v>2008</c:v>
                </c:pt>
                <c:pt idx="2">
                  <c:v>2009</c:v>
                </c:pt>
                <c:pt idx="3">
                  <c:v>2010</c:v>
                </c:pt>
                <c:pt idx="4">
                  <c:v>2011</c:v>
                </c:pt>
                <c:pt idx="5">
                  <c:v>2012</c:v>
                </c:pt>
                <c:pt idx="6">
                  <c:v>2013</c:v>
                </c:pt>
                <c:pt idx="7">
                  <c:v>2014</c:v>
                </c:pt>
              </c:strCache>
            </c:strRef>
          </c:cat>
          <c:val>
            <c:numRef>
              <c:f>Sheet1!$B$3:$I$3</c:f>
              <c:numCache>
                <c:formatCode>0</c:formatCode>
                <c:ptCount val="8"/>
                <c:pt idx="0">
                  <c:v>53.121497905079316</c:v>
                </c:pt>
                <c:pt idx="1">
                  <c:v>48.608596592211143</c:v>
                </c:pt>
                <c:pt idx="2">
                  <c:v>57.383738432719724</c:v>
                </c:pt>
                <c:pt idx="3">
                  <c:v>70.8031301296458</c:v>
                </c:pt>
                <c:pt idx="4">
                  <c:v>74.489591037947008</c:v>
                </c:pt>
                <c:pt idx="5">
                  <c:v>78.8936302443538</c:v>
                </c:pt>
                <c:pt idx="6">
                  <c:v>72.089654798577641</c:v>
                </c:pt>
                <c:pt idx="7">
                  <c:v>76.950387121685822</c:v>
                </c:pt>
              </c:numCache>
            </c:numRef>
          </c:val>
          <c:extLst>
            <c:ext xmlns:c="http://schemas.openxmlformats.org/drawingml/2006/chart" xmlns:c16="http://schemas.microsoft.com/office/drawing/2014/chart" uri="{C3380CC4-5D6E-409C-BE32-E72D297353CC}">
              <c16:uniqueId val="{00000001-AF71-4602-8512-B2398FD25542}"/>
            </c:ext>
          </c:extLst>
        </c:ser>
        <c:dLbls>
          <c:showLegendKey val="0"/>
          <c:showVal val="0"/>
          <c:showCatName val="0"/>
          <c:showSerName val="0"/>
          <c:showPercent val="0"/>
          <c:showBubbleSize val="0"/>
        </c:dLbls>
        <c:gapWidth val="50"/>
        <c:overlap val="52"/>
        <c:axId val="629925128"/>
        <c:axId val="629925912"/>
      </c:barChart>
      <c:catAx>
        <c:axId val="629925128"/>
        <c:scaling>
          <c:orientation val="minMax"/>
        </c:scaling>
        <c:delete val="0"/>
        <c:axPos val="b"/>
        <c:numFmt formatCode="General" sourceLinked="0"/>
        <c:majorTickMark val="out"/>
        <c:minorTickMark val="none"/>
        <c:tickLblPos val="nextTo"/>
        <c:txPr>
          <a:bodyPr/>
          <a:lstStyle/>
          <a:p>
            <a:pPr>
              <a:defRPr sz="700"/>
            </a:pPr>
            <a:endParaRPr lang="lv-LV"/>
          </a:p>
        </c:txPr>
        <c:crossAx val="629925912"/>
        <c:crosses val="autoZero"/>
        <c:auto val="1"/>
        <c:lblAlgn val="ctr"/>
        <c:lblOffset val="100"/>
        <c:noMultiLvlLbl val="0"/>
      </c:catAx>
      <c:valAx>
        <c:axId val="629925912"/>
        <c:scaling>
          <c:orientation val="minMax"/>
          <c:max val="100"/>
        </c:scaling>
        <c:delete val="0"/>
        <c:axPos val="l"/>
        <c:numFmt formatCode="0" sourceLinked="1"/>
        <c:majorTickMark val="out"/>
        <c:minorTickMark val="none"/>
        <c:tickLblPos val="nextTo"/>
        <c:txPr>
          <a:bodyPr/>
          <a:lstStyle/>
          <a:p>
            <a:pPr>
              <a:defRPr sz="800"/>
            </a:pPr>
            <a:endParaRPr lang="lv-LV"/>
          </a:p>
        </c:txPr>
        <c:crossAx val="629925128"/>
        <c:crosses val="autoZero"/>
        <c:crossBetween val="between"/>
        <c:majorUnit val="20"/>
      </c:valAx>
      <c:spPr>
        <a:ln>
          <a:noFill/>
        </a:ln>
      </c:spPr>
    </c:plotArea>
    <c:legend>
      <c:legendPos val="r"/>
      <c:layout>
        <c:manualLayout>
          <c:xMode val="edge"/>
          <c:yMode val="edge"/>
          <c:x val="0.15149966548299107"/>
          <c:y val="0.04952826842590622"/>
          <c:w val="0.58747156605424322"/>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46717244654"/>
          <c:y val="0.044057617797775277"/>
          <c:w val="0.9310540474739486"/>
          <c:h val="0.5056995924289952"/>
        </c:manualLayout>
      </c:layout>
      <c:barChart>
        <c:barDir val="col"/>
        <c:grouping val="clustered"/>
        <c:varyColors val="0"/>
        <c:ser>
          <c:idx val="1"/>
          <c:order val="0"/>
          <c:tx>
            <c:strRef>
              <c:f>Sheet1!$B$3</c:f>
              <c:strCache>
                <c:ptCount val="1"/>
                <c:pt idx="0">
                  <c:v>Compensation per employees 1000 of euro</c:v>
                </c:pt>
              </c:strCache>
            </c:strRef>
          </c:tx>
          <c:spPr>
            <a:solidFill>
              <a:schemeClr val="accent3">
                <a:lumMod val="50000"/>
              </a:schemeClr>
            </a:solidFill>
            <a:ln w="19050"/>
          </c:spPr>
          <c:invertIfNegative val="0"/>
          <c:dPt>
            <c:idx val="13"/>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4-CAEE-47BF-A73A-E73855A9AA1C}"/>
              </c:ext>
            </c:extLst>
          </c:dPt>
          <c:dPt>
            <c:idx val="18"/>
            <c:invertIfNegative val="0"/>
            <c:bubble3D val="0"/>
            <c:spPr>
              <a:solidFill>
                <a:srgbClr val="C00000"/>
              </a:solidFill>
              <a:ln w="19050"/>
            </c:spPr>
            <c:extLst>
              <c:ext xmlns:c="http://schemas.openxmlformats.org/drawingml/2006/chart" xmlns:c16="http://schemas.microsoft.com/office/drawing/2014/chart" uri="{C3380CC4-5D6E-409C-BE32-E72D297353CC}">
                <c16:uniqueId val="{00000006-B386-4ED3-965A-E412EBA8CBE7}"/>
              </c:ext>
            </c:extLst>
          </c:dPt>
          <c:dPt>
            <c:idx val="19"/>
            <c:invertIfNegative val="0"/>
            <c:bubble3D val="0"/>
            <c:extLst>
              <c:ext xmlns:c="http://schemas.openxmlformats.org/drawingml/2006/chart" xmlns:c16="http://schemas.microsoft.com/office/drawing/2014/chart" uri="{C3380CC4-5D6E-409C-BE32-E72D297353CC}">
                <c16:uniqueId val="{00000003-67FE-44A3-9697-4FD1DA2B1102}"/>
              </c:ext>
            </c:extLst>
          </c:dPt>
          <c:dPt>
            <c:idx val="20"/>
            <c:invertIfNegative val="0"/>
            <c:bubble3D val="0"/>
            <c:extLst>
              <c:ext xmlns:c="http://schemas.openxmlformats.org/drawingml/2006/chart" xmlns:c16="http://schemas.microsoft.com/office/drawing/2014/chart" uri="{C3380CC4-5D6E-409C-BE32-E72D297353CC}">
                <c16:uniqueId val="{00000001-8955-4BD3-9740-C05DFC0715F9}"/>
              </c:ext>
            </c:extLst>
          </c:dPt>
          <c:dPt>
            <c:idx val="25"/>
            <c:invertIfNegative val="0"/>
            <c:bubble3D val="0"/>
            <c:extLst>
              <c:ext xmlns:c="http://schemas.openxmlformats.org/drawingml/2006/chart" xmlns:c16="http://schemas.microsoft.com/office/drawing/2014/chart" uri="{C3380CC4-5D6E-409C-BE32-E72D297353CC}">
                <c16:uniqueId val="{00000002-8955-4BD3-9740-C05DFC0715F9}"/>
              </c:ext>
            </c:extLst>
          </c:dPt>
          <c:dLbls>
            <c:dLbl>
              <c:idx val="13"/>
              <c:numFmt formatCode="#,##0" sourceLinked="0"/>
              <c:spPr>
                <a:noFill/>
                <a:ln>
                  <a:noFill/>
                </a:ln>
                <a:effectLst/>
              </c:spPr>
              <c:txPr>
                <a:bodyPr/>
                <a:lstStyle/>
                <a:p>
                  <a:pPr>
                    <a:defRPr sz="600" b="0"/>
                  </a:pPr>
                  <a:endParaRPr lang="lv-LV"/>
                </a:p>
              </c:txPr>
              <c:showLegendKey val="0"/>
              <c:showVal val="1"/>
              <c:showCatName val="0"/>
              <c:showSerName val="0"/>
              <c:showPercent val="0"/>
              <c:showBubbleSize val="0"/>
            </c:dLbl>
            <c:dLbl>
              <c:idx val="18"/>
              <c:numFmt formatCode="#,##0" sourceLinked="0"/>
              <c:spPr>
                <a:noFill/>
                <a:ln>
                  <a:noFill/>
                </a:ln>
                <a:effectLst/>
              </c:spPr>
              <c:txPr>
                <a:bodyPr/>
                <a:lstStyle/>
                <a:p>
                  <a:pPr>
                    <a:defRPr sz="600" b="1"/>
                  </a:pPr>
                  <a:endParaRPr lang="lv-LV"/>
                </a:p>
              </c:txPr>
              <c:showLegendKey val="0"/>
              <c:showVal val="1"/>
              <c:showCatName val="0"/>
              <c:showSerName val="0"/>
              <c:showPercent val="0"/>
              <c:showBubbleSize val="0"/>
            </c:dLbl>
            <c:dLbl>
              <c:idx val="19"/>
              <c:layout>
                <c:manualLayout>
                  <c:x val="0"/>
                  <c:y val="-4.9683256226419487E-17"/>
                </c:manualLayout>
              </c:layout>
              <c:numFmt formatCode="#,##0" sourceLinked="0"/>
              <c:spPr>
                <a:noFill/>
                <a:ln>
                  <a:noFill/>
                </a:ln>
                <a:effectLst/>
              </c:spPr>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67FE-44A3-9697-4FD1DA2B1102}"/>
                </c:ext>
                <c:ext xmlns:c15="http://schemas.microsoft.com/office/drawing/2012/chart" uri="{CE6537A1-D6FC-4f65-9D91-7224C49458BB}"/>
              </c:extLst>
            </c:dLbl>
            <c:dLbl>
              <c:idx val="20"/>
              <c:layout>
                <c:manualLayout>
                  <c:x val="0"/>
                  <c:y val="-3.6702729232016727E-05"/>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8955-4BD3-9740-C05DFC0715F9}"/>
                </c:ext>
                <c:ext xmlns:c15="http://schemas.microsoft.com/office/drawing/2012/chart" uri="{CE6537A1-D6FC-4f65-9D91-7224C49458BB}"/>
              </c:extLst>
            </c:dLbl>
            <c:dLbl>
              <c:idx val="25"/>
              <c:layout>
                <c:manualLayout>
                  <c:x val="-1.4769886443141018E-16"/>
                  <c:y val="-0.0061788617886178367"/>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8955-4BD3-9740-C05DFC0715F9}"/>
                </c:ext>
                <c:ext xmlns:c15="http://schemas.microsoft.com/office/drawing/2012/chart" uri="{CE6537A1-D6FC-4f65-9D91-7224C49458BB}"/>
              </c:extLst>
            </c:dLbl>
            <c:numFmt formatCode="#,##0" sourceLinked="0"/>
            <c:spPr>
              <a:noFill/>
              <a:ln>
                <a:noFill/>
              </a:ln>
              <a:effectLst/>
            </c:spPr>
            <c:txPr>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Sheet1!$A$4:$A$31</c:f>
              <c:strCache>
                <c:ptCount val="28"/>
                <c:pt idx="0">
                  <c:v>Dānija</c:v>
                </c:pt>
                <c:pt idx="1">
                  <c:v>Luksemburga</c:v>
                </c:pt>
                <c:pt idx="2">
                  <c:v>Beļģija</c:v>
                </c:pt>
                <c:pt idx="3">
                  <c:v>Nīderlande</c:v>
                </c:pt>
                <c:pt idx="4">
                  <c:v>Zviedrija</c:v>
                </c:pt>
                <c:pt idx="5">
                  <c:v>Somija</c:v>
                </c:pt>
                <c:pt idx="6">
                  <c:v>Austrija</c:v>
                </c:pt>
                <c:pt idx="7">
                  <c:v>Francija</c:v>
                </c:pt>
                <c:pt idx="8">
                  <c:v>Vācija</c:v>
                </c:pt>
                <c:pt idx="9">
                  <c:v>Īrija</c:v>
                </c:pt>
                <c:pt idx="10">
                  <c:v>Apv. Karaliste</c:v>
                </c:pt>
                <c:pt idx="11">
                  <c:v>Itālija</c:v>
                </c:pt>
                <c:pt idx="12">
                  <c:v>Spānija</c:v>
                </c:pt>
                <c:pt idx="13">
                  <c:v>ES-28</c:v>
                </c:pt>
                <c:pt idx="14">
                  <c:v>Slovēnija</c:v>
                </c:pt>
                <c:pt idx="15">
                  <c:v>Kipra</c:v>
                </c:pt>
                <c:pt idx="16">
                  <c:v>Portugāle</c:v>
                </c:pt>
                <c:pt idx="17">
                  <c:v>Igaunija</c:v>
                </c:pt>
                <c:pt idx="18">
                  <c:v>Latvija</c:v>
                </c:pt>
                <c:pt idx="19">
                  <c:v>Slovākija</c:v>
                </c:pt>
                <c:pt idx="20">
                  <c:v>Lietuva</c:v>
                </c:pt>
                <c:pt idx="21">
                  <c:v>Horvātija</c:v>
                </c:pt>
                <c:pt idx="22">
                  <c:v>Čehija</c:v>
                </c:pt>
                <c:pt idx="23">
                  <c:v>Ungārija</c:v>
                </c:pt>
                <c:pt idx="24">
                  <c:v>Polija</c:v>
                </c:pt>
                <c:pt idx="25">
                  <c:v>Grieķija</c:v>
                </c:pt>
                <c:pt idx="26">
                  <c:v>Rumānija</c:v>
                </c:pt>
                <c:pt idx="27">
                  <c:v>Bulgārija</c:v>
                </c:pt>
              </c:strCache>
            </c:strRef>
          </c:cat>
          <c:val>
            <c:numRef>
              <c:f>Sheet1!$B$4:$B$31</c:f>
              <c:numCache>
                <c:formatCode>#,##0.0</c:formatCode>
                <c:ptCount val="28"/>
                <c:pt idx="0">
                  <c:v>49.025</c:v>
                </c:pt>
                <c:pt idx="1">
                  <c:v>48.96551724137931</c:v>
                </c:pt>
                <c:pt idx="2">
                  <c:v>45.547826086956519</c:v>
                </c:pt>
                <c:pt idx="3">
                  <c:v>45.363636363636367</c:v>
                </c:pt>
                <c:pt idx="4">
                  <c:v>44.866666666666667</c:v>
                </c:pt>
                <c:pt idx="5">
                  <c:v>43.1958762886598</c:v>
                </c:pt>
                <c:pt idx="6">
                  <c:v>42.3753280839895</c:v>
                </c:pt>
                <c:pt idx="7">
                  <c:v>39.553571428571431</c:v>
                </c:pt>
                <c:pt idx="8">
                  <c:v>38.438016528925623</c:v>
                </c:pt>
                <c:pt idx="9">
                  <c:v>37.591463414634148</c:v>
                </c:pt>
                <c:pt idx="10">
                  <c:v>33.41335946431488</c:v>
                </c:pt>
                <c:pt idx="11">
                  <c:v>29.322077922077924</c:v>
                </c:pt>
                <c:pt idx="12">
                  <c:v>28.104166666666668</c:v>
                </c:pt>
                <c:pt idx="13">
                  <c:v>23.741790912318066</c:v>
                </c:pt>
                <c:pt idx="14">
                  <c:v>20.885072655217964</c:v>
                </c:pt>
                <c:pt idx="15">
                  <c:v>16.666666666666668</c:v>
                </c:pt>
                <c:pt idx="16">
                  <c:v>15.782520325203251</c:v>
                </c:pt>
                <c:pt idx="17">
                  <c:v>15.629213483146065</c:v>
                </c:pt>
                <c:pt idx="18">
                  <c:v>12.013953488372094</c:v>
                </c:pt>
                <c:pt idx="19">
                  <c:v>11.66760247052218</c:v>
                </c:pt>
                <c:pt idx="20">
                  <c:v>11.345962113659024</c:v>
                </c:pt>
                <c:pt idx="21">
                  <c:v>10.896551724137931</c:v>
                </c:pt>
                <c:pt idx="22">
                  <c:v>10.03477795612627</c:v>
                </c:pt>
                <c:pt idx="23">
                  <c:v>8.0126364158529579</c:v>
                </c:pt>
                <c:pt idx="24">
                  <c:v>7.4791376912378293</c:v>
                </c:pt>
                <c:pt idx="25">
                  <c:v>7.2017673048600885</c:v>
                </c:pt>
                <c:pt idx="26">
                  <c:v>4.751753155680225</c:v>
                </c:pt>
                <c:pt idx="27">
                  <c:v>3.5085007727975266</c:v>
                </c:pt>
              </c:numCache>
            </c:numRef>
          </c:val>
          <c:extLst>
            <c:ext xmlns:c="http://schemas.openxmlformats.org/drawingml/2006/chart" xmlns:c16="http://schemas.microsoft.com/office/drawing/2014/chart" uri="{C3380CC4-5D6E-409C-BE32-E72D297353CC}">
              <c16:uniqueId val="{00000003-8955-4BD3-9740-C05DFC0715F9}"/>
            </c:ext>
          </c:extLst>
        </c:ser>
        <c:dLbls>
          <c:showLegendKey val="0"/>
          <c:showVal val="0"/>
          <c:showCatName val="0"/>
          <c:showSerName val="0"/>
          <c:showPercent val="0"/>
          <c:showBubbleSize val="0"/>
        </c:dLbls>
        <c:gapWidth val="20"/>
        <c:axId val="629921600"/>
        <c:axId val="629929832"/>
      </c:barChart>
      <c:catAx>
        <c:axId val="629921600"/>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29929832"/>
        <c:crosses val="autoZero"/>
        <c:auto val="1"/>
        <c:lblAlgn val="ctr"/>
        <c:lblOffset val="100"/>
        <c:tickLblSkip val="1"/>
        <c:noMultiLvlLbl val="0"/>
      </c:catAx>
      <c:valAx>
        <c:axId val="629929832"/>
        <c:scaling>
          <c:orientation val="minMax"/>
        </c:scaling>
        <c:delete val="0"/>
        <c:axPos val="l"/>
        <c:numFmt formatCode="0" sourceLinked="0"/>
        <c:majorTickMark val="out"/>
        <c:minorTickMark val="none"/>
        <c:tickLblPos val="nextTo"/>
        <c:txPr>
          <a:bodyPr/>
          <a:lstStyle/>
          <a:p>
            <a:pPr>
              <a:defRPr sz="600"/>
            </a:pPr>
            <a:endParaRPr lang="lv-LV"/>
          </a:p>
        </c:txPr>
        <c:crossAx val="629921600"/>
        <c:crosses val="autoZero"/>
        <c:crossBetween val="between"/>
      </c:valAx>
    </c:plotArea>
    <c:plotVisOnly val="1"/>
    <c:dispBlanksAs val="gap"/>
    <c:showDLblsOverMax val="0"/>
  </c:chart>
  <c:spPr>
    <a:ln w="9525">
      <a:noFill/>
    </a:ln>
  </c:spPr>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46717244654"/>
          <c:y val="0.044057617797775277"/>
          <c:w val="0.9310540474739486"/>
          <c:h val="0.5056995924289952"/>
        </c:manualLayout>
      </c:layout>
      <c:barChart>
        <c:barDir val="col"/>
        <c:grouping val="clustered"/>
        <c:varyColors val="0"/>
        <c:ser>
          <c:idx val="1"/>
          <c:order val="0"/>
          <c:tx>
            <c:strRef>
              <c:f>Sheet1!$B$3</c:f>
              <c:strCache>
                <c:ptCount val="1"/>
                <c:pt idx="0">
                  <c:v>Resource productivity</c:v>
                </c:pt>
              </c:strCache>
            </c:strRef>
          </c:tx>
          <c:spPr>
            <a:solidFill>
              <a:schemeClr val="accent3">
                <a:lumMod val="50000"/>
              </a:schemeClr>
            </a:solidFill>
            <a:ln w="19050"/>
          </c:spPr>
          <c:invertIfNegative val="0"/>
          <c:dPt>
            <c:idx val="14"/>
            <c:invertIfNegative val="0"/>
            <c:bubble3D val="0"/>
            <c:extLst>
              <c:ext xmlns:c="http://schemas.openxmlformats.org/drawingml/2006/chart" xmlns:c16="http://schemas.microsoft.com/office/drawing/2014/chart" uri="{C3380CC4-5D6E-409C-BE32-E72D297353CC}">
                <c16:uniqueId val="{00000004-2081-433A-BD62-8311E991902B}"/>
              </c:ext>
            </c:extLst>
          </c:dPt>
          <c:dPt>
            <c:idx val="16"/>
            <c:invertIfNegative val="0"/>
            <c:bubble3D val="0"/>
            <c:spPr>
              <a:solidFill>
                <a:srgbClr val="C00000"/>
              </a:solidFill>
              <a:ln w="19050"/>
            </c:spPr>
            <c:extLst>
              <c:ext xmlns:c="http://schemas.openxmlformats.org/drawingml/2006/chart" xmlns:c16="http://schemas.microsoft.com/office/drawing/2014/chart" uri="{C3380CC4-5D6E-409C-BE32-E72D297353CC}">
                <c16:uniqueId val="{00000000-0D78-4E4A-A28E-D16A74684FF8}"/>
              </c:ext>
            </c:extLst>
          </c:dPt>
          <c:dPt>
            <c:idx val="17"/>
            <c:invertIfNegative val="0"/>
            <c:bubble3D val="0"/>
            <c:extLst>
              <c:ext xmlns:c="http://schemas.openxmlformats.org/drawingml/2006/chart" xmlns:c16="http://schemas.microsoft.com/office/drawing/2014/chart" uri="{C3380CC4-5D6E-409C-BE32-E72D297353CC}">
                <c16:uniqueId val="{00000002-0D78-4E4A-A28E-D16A74684FF8}"/>
              </c:ext>
            </c:extLst>
          </c:dPt>
          <c:dPt>
            <c:idx val="25"/>
            <c:invertIfNegative val="0"/>
            <c:bubble3D val="0"/>
            <c:extLst>
              <c:ext xmlns:c="http://schemas.openxmlformats.org/drawingml/2006/chart" xmlns:c16="http://schemas.microsoft.com/office/drawing/2014/chart" uri="{C3380CC4-5D6E-409C-BE32-E72D297353CC}">
                <c16:uniqueId val="{00000003-0D78-4E4A-A28E-D16A74684FF8}"/>
              </c:ext>
            </c:extLst>
          </c:dPt>
          <c:dLbls>
            <c:dLbl>
              <c:idx val="16"/>
              <c:numFmt formatCode="#,##0" sourceLinked="0"/>
              <c:spPr>
                <a:noFill/>
                <a:ln>
                  <a:noFill/>
                </a:ln>
                <a:effectLst/>
              </c:spPr>
              <c:txPr>
                <a:bodyPr/>
                <a:lstStyle/>
                <a:p>
                  <a:pPr>
                    <a:defRPr sz="600" b="1"/>
                  </a:pPr>
                  <a:endParaRPr lang="lv-LV"/>
                </a:p>
              </c:txPr>
              <c:showLegendKey val="0"/>
              <c:showVal val="1"/>
              <c:showCatName val="0"/>
              <c:showSerName val="0"/>
              <c:showPercent val="0"/>
              <c:showBubbleSize val="0"/>
            </c:dLbl>
            <c:dLbl>
              <c:idx val="17"/>
              <c:layout>
                <c:manualLayout>
                  <c:x val="0"/>
                  <c:y val="0.010803405671851944"/>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0D78-4E4A-A28E-D16A74684FF8}"/>
                </c:ext>
                <c:ext xmlns:c15="http://schemas.microsoft.com/office/drawing/2012/chart" uri="{CE6537A1-D6FC-4f65-9D91-7224C49458BB}"/>
              </c:extLst>
            </c:dLbl>
            <c:dLbl>
              <c:idx val="25"/>
              <c:layout>
                <c:manualLayout>
                  <c:x val="0"/>
                  <c:y val="-0.017018970189701946"/>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0D78-4E4A-A28E-D16A74684FF8}"/>
                </c:ext>
                <c:ext xmlns:c15="http://schemas.microsoft.com/office/drawing/2012/chart" uri="{CE6537A1-D6FC-4f65-9D91-7224C49458BB}"/>
              </c:extLst>
            </c:dLbl>
            <c:numFmt formatCode="#,##0" sourceLinked="0"/>
            <c:spPr>
              <a:noFill/>
              <a:ln>
                <a:noFill/>
              </a:ln>
              <a:effectLst/>
            </c:spPr>
            <c:txPr>
              <a:bodyPr/>
              <a:lstStyle/>
              <a:p>
                <a:pPr>
                  <a:defRPr sz="600" b="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Sheet1!$A$4:$A$30</c:f>
              <c:strCache>
                <c:ptCount val="27"/>
                <c:pt idx="0">
                  <c:v>Austrija</c:v>
                </c:pt>
                <c:pt idx="1">
                  <c:v>Zviedrija</c:v>
                </c:pt>
                <c:pt idx="2">
                  <c:v>Nīderlande</c:v>
                </c:pt>
                <c:pt idx="3">
                  <c:v>Dānija</c:v>
                </c:pt>
                <c:pt idx="4">
                  <c:v>Luksemburga</c:v>
                </c:pt>
                <c:pt idx="5">
                  <c:v>Beļģija</c:v>
                </c:pt>
                <c:pt idx="6">
                  <c:v>Somija</c:v>
                </c:pt>
                <c:pt idx="7">
                  <c:v>Vācija</c:v>
                </c:pt>
                <c:pt idx="8">
                  <c:v>Francija</c:v>
                </c:pt>
                <c:pt idx="9">
                  <c:v>Īrija</c:v>
                </c:pt>
                <c:pt idx="10">
                  <c:v>Itālija</c:v>
                </c:pt>
                <c:pt idx="11">
                  <c:v>Spānija</c:v>
                </c:pt>
                <c:pt idx="12">
                  <c:v>Slovākija</c:v>
                </c:pt>
                <c:pt idx="13">
                  <c:v>Apv. Karaliste</c:v>
                </c:pt>
                <c:pt idx="14">
                  <c:v>Portugāle</c:v>
                </c:pt>
                <c:pt idx="15">
                  <c:v>Igaunija</c:v>
                </c:pt>
                <c:pt idx="16">
                  <c:v>Latvija</c:v>
                </c:pt>
                <c:pt idx="17">
                  <c:v>Slovēnija</c:v>
                </c:pt>
                <c:pt idx="18">
                  <c:v>Lietuva</c:v>
                </c:pt>
                <c:pt idx="19">
                  <c:v>Kipra</c:v>
                </c:pt>
                <c:pt idx="20">
                  <c:v>Polija</c:v>
                </c:pt>
                <c:pt idx="21">
                  <c:v>Čehija</c:v>
                </c:pt>
                <c:pt idx="22">
                  <c:v>Horvātija</c:v>
                </c:pt>
                <c:pt idx="23">
                  <c:v>Rumānija</c:v>
                </c:pt>
                <c:pt idx="24">
                  <c:v>Ungārija</c:v>
                </c:pt>
                <c:pt idx="25">
                  <c:v>Bulgārija</c:v>
                </c:pt>
                <c:pt idx="26">
                  <c:v>Grieķija</c:v>
                </c:pt>
              </c:strCache>
            </c:strRef>
          </c:cat>
          <c:val>
            <c:numRef>
              <c:f>Sheet1!$B$4:$B$30</c:f>
              <c:numCache>
                <c:formatCode>#,##0.0</c:formatCode>
                <c:ptCount val="27"/>
                <c:pt idx="0">
                  <c:v>71.233766233766218</c:v>
                </c:pt>
                <c:pt idx="1">
                  <c:v>68.74375</c:v>
                </c:pt>
                <c:pt idx="2">
                  <c:v>67.07692307692308</c:v>
                </c:pt>
                <c:pt idx="3">
                  <c:v>60.4625</c:v>
                </c:pt>
                <c:pt idx="4">
                  <c:v>59.016393442622949</c:v>
                </c:pt>
                <c:pt idx="5">
                  <c:v>54.852713178294572</c:v>
                </c:pt>
                <c:pt idx="6">
                  <c:v>54.672897196261687</c:v>
                </c:pt>
                <c:pt idx="7">
                  <c:v>46.318518518518516</c:v>
                </c:pt>
                <c:pt idx="8">
                  <c:v>44.873015873015873</c:v>
                </c:pt>
                <c:pt idx="9">
                  <c:v>40.706521739130437</c:v>
                </c:pt>
                <c:pt idx="10">
                  <c:v>37.112521150592215</c:v>
                </c:pt>
                <c:pt idx="11">
                  <c:v>33.5045871559633</c:v>
                </c:pt>
                <c:pt idx="12">
                  <c:v>31.854627201198952</c:v>
                </c:pt>
                <c:pt idx="13">
                  <c:v>30.771925434755406</c:v>
                </c:pt>
                <c:pt idx="14">
                  <c:v>28.119293974437007</c:v>
                </c:pt>
                <c:pt idx="15">
                  <c:v>23.157894736842106</c:v>
                </c:pt>
                <c:pt idx="16">
                  <c:v>21.718213058419245</c:v>
                </c:pt>
                <c:pt idx="17">
                  <c:v>20.873362445414845</c:v>
                </c:pt>
                <c:pt idx="18">
                  <c:v>20.348837209302324</c:v>
                </c:pt>
                <c:pt idx="19">
                  <c:v>17.954545454545457</c:v>
                </c:pt>
                <c:pt idx="20">
                  <c:v>15.531153608883406</c:v>
                </c:pt>
                <c:pt idx="21">
                  <c:v>12.766540966746655</c:v>
                </c:pt>
                <c:pt idx="22">
                  <c:v>12.024615384615386</c:v>
                </c:pt>
                <c:pt idx="23">
                  <c:v>11.183186951066498</c:v>
                </c:pt>
                <c:pt idx="24">
                  <c:v>10.602988260405549</c:v>
                </c:pt>
                <c:pt idx="25">
                  <c:v>5.6722689075630246</c:v>
                </c:pt>
                <c:pt idx="26">
                  <c:v>4.3415463041631268</c:v>
                </c:pt>
              </c:numCache>
            </c:numRef>
          </c:val>
          <c:extLst>
            <c:ext xmlns:c="http://schemas.openxmlformats.org/drawingml/2006/chart" xmlns:c16="http://schemas.microsoft.com/office/drawing/2014/chart" uri="{C3380CC4-5D6E-409C-BE32-E72D297353CC}">
              <c16:uniqueId val="{00000004-0D78-4E4A-A28E-D16A74684FF8}"/>
            </c:ext>
          </c:extLst>
        </c:ser>
        <c:dLbls>
          <c:showLegendKey val="0"/>
          <c:showVal val="0"/>
          <c:showCatName val="0"/>
          <c:showSerName val="0"/>
          <c:showPercent val="0"/>
          <c:showBubbleSize val="0"/>
        </c:dLbls>
        <c:gapWidth val="20"/>
        <c:axId val="629928264"/>
        <c:axId val="629929440"/>
      </c:barChart>
      <c:catAx>
        <c:axId val="629928264"/>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29929440"/>
        <c:crosses val="autoZero"/>
        <c:auto val="1"/>
        <c:lblAlgn val="ctr"/>
        <c:lblOffset val="100"/>
        <c:tickLblSkip val="1"/>
        <c:noMultiLvlLbl val="0"/>
      </c:catAx>
      <c:valAx>
        <c:axId val="629929440"/>
        <c:scaling>
          <c:orientation val="minMax"/>
        </c:scaling>
        <c:delete val="0"/>
        <c:axPos val="l"/>
        <c:numFmt formatCode="0" sourceLinked="0"/>
        <c:majorTickMark val="out"/>
        <c:minorTickMark val="none"/>
        <c:tickLblPos val="nextTo"/>
        <c:txPr>
          <a:bodyPr/>
          <a:lstStyle/>
          <a:p>
            <a:pPr>
              <a:defRPr sz="600"/>
            </a:pPr>
            <a:endParaRPr lang="lv-LV"/>
          </a:p>
        </c:txPr>
        <c:crossAx val="629928264"/>
        <c:crosses val="autoZero"/>
        <c:crossBetween val="between"/>
      </c:valAx>
    </c:plotArea>
    <c:plotVisOnly val="1"/>
    <c:dispBlanksAs val="gap"/>
    <c:showDLblsOverMax val="0"/>
  </c:chart>
  <c:spPr>
    <a:ln w="9525">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73546128124922"/>
          <c:y val="0.048706240487062395"/>
          <c:w val="0.84631315184653555"/>
          <c:h val="0.73779794474843186"/>
        </c:manualLayout>
      </c:layout>
      <c:lineChart>
        <c:grouping val="standard"/>
        <c:varyColors val="0"/>
        <c:ser>
          <c:idx val="0"/>
          <c:order val="0"/>
          <c:tx>
            <c:strRef>
              <c:f>Sheet1!$A$2</c:f>
              <c:strCache>
                <c:ptCount val="1"/>
                <c:pt idx="0">
                  <c:v>Nodarbinātie</c:v>
                </c:pt>
              </c:strCache>
            </c:strRef>
          </c:tx>
          <c:spPr>
            <a:ln w="19050">
              <a:solidFill>
                <a:srgbClr val="0070C0"/>
              </a:solidFill>
              <a:prstDash val="dash"/>
            </a:ln>
          </c:spPr>
          <c:marker>
            <c:symbol val="none"/>
          </c:marker>
          <c:cat>
            <c:numRef>
              <c:f>Sheet1!$B$1:$L$1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Sheet1!$B$2:$L$2</c:f>
              <c:numCache>
                <c:formatCode>#,##0.0</c:formatCode>
                <c:ptCount val="11"/>
                <c:pt idx="0">
                  <c:v>102.5417189157905</c:v>
                </c:pt>
                <c:pt idx="1">
                  <c:v>103.27963731069742</c:v>
                </c:pt>
                <c:pt idx="2">
                  <c:v>100.13504388926403</c:v>
                </c:pt>
                <c:pt idx="3">
                  <c:v>86.495611073598937</c:v>
                </c:pt>
                <c:pt idx="4">
                  <c:v>84.257740908652465</c:v>
                </c:pt>
                <c:pt idx="5">
                  <c:v>91.4102440435999</c:v>
                </c:pt>
                <c:pt idx="6">
                  <c:v>99.19455966046111</c:v>
                </c:pt>
                <c:pt idx="7">
                  <c:v>102.09800327963734</c:v>
                </c:pt>
                <c:pt idx="8">
                  <c:v>103.68476897848947</c:v>
                </c:pt>
                <c:pt idx="9">
                  <c:v>104.30211247226782</c:v>
                </c:pt>
                <c:pt idx="10">
                  <c:v>103.11083244911745</c:v>
                </c:pt>
              </c:numCache>
            </c:numRef>
          </c:val>
          <c:smooth val="0"/>
          <c:extLst>
            <c:ext xmlns:c="http://schemas.openxmlformats.org/drawingml/2006/chart" xmlns:c16="http://schemas.microsoft.com/office/drawing/2014/chart" uri="{C3380CC4-5D6E-409C-BE32-E72D297353CC}">
              <c16:uniqueId val="{00000000-9E02-408F-97D2-52CD6DC9EE06}"/>
            </c:ext>
          </c:extLst>
        </c:ser>
        <c:ser>
          <c:idx val="1"/>
          <c:order val="1"/>
          <c:tx>
            <c:strRef>
              <c:f>Sheet1!$A$3</c:f>
              <c:strCache>
                <c:ptCount val="1"/>
                <c:pt idx="0">
                  <c:v>Ražošanas apjomi</c:v>
                </c:pt>
              </c:strCache>
            </c:strRef>
          </c:tx>
          <c:marker>
            <c:symbol val="none"/>
          </c:marker>
          <c:cat>
            <c:numRef>
              <c:f>Sheet1!$B$1:$L$1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Sheet1!$B$3:$L$3</c:f>
              <c:numCache>
                <c:formatCode>#,##0.0</c:formatCode>
                <c:ptCount val="11"/>
                <c:pt idx="0">
                  <c:v>95.882000598981733</c:v>
                </c:pt>
                <c:pt idx="1">
                  <c:v>103.75861036238395</c:v>
                </c:pt>
                <c:pt idx="2">
                  <c:v>96.930218628331829</c:v>
                </c:pt>
                <c:pt idx="3">
                  <c:v>109.26924228811022</c:v>
                </c:pt>
                <c:pt idx="4">
                  <c:v>104.95657382449835</c:v>
                </c:pt>
                <c:pt idx="5">
                  <c:v>103.15962863132674</c:v>
                </c:pt>
                <c:pt idx="6">
                  <c:v>110.78167115902963</c:v>
                </c:pt>
                <c:pt idx="7">
                  <c:v>115.78316861335728</c:v>
                </c:pt>
                <c:pt idx="8">
                  <c:v>115.96286313267443</c:v>
                </c:pt>
                <c:pt idx="9">
                  <c:v>130.48817011081161</c:v>
                </c:pt>
                <c:pt idx="10">
                  <c:v>129.70949386043725</c:v>
                </c:pt>
              </c:numCache>
            </c:numRef>
          </c:val>
          <c:smooth val="0"/>
          <c:extLst>
            <c:ext xmlns:c="http://schemas.openxmlformats.org/drawingml/2006/chart" xmlns:c16="http://schemas.microsoft.com/office/drawing/2014/chart" uri="{C3380CC4-5D6E-409C-BE32-E72D297353CC}">
              <c16:uniqueId val="{00000001-9E02-408F-97D2-52CD6DC9EE06}"/>
            </c:ext>
          </c:extLst>
        </c:ser>
        <c:dLbls>
          <c:showLegendKey val="0"/>
          <c:showVal val="0"/>
          <c:showCatName val="0"/>
          <c:showSerName val="0"/>
          <c:showPercent val="0"/>
          <c:showBubbleSize val="0"/>
        </c:dLbls>
        <c:smooth val="0"/>
        <c:axId val="629824384"/>
        <c:axId val="629825952"/>
      </c:lineChart>
      <c:catAx>
        <c:axId val="629824384"/>
        <c:scaling>
          <c:orientation val="minMax"/>
        </c:scaling>
        <c:delete val="0"/>
        <c:axPos val="b"/>
        <c:numFmt formatCode="General" sourceLinked="1"/>
        <c:majorTickMark val="cross"/>
        <c:minorTickMark val="none"/>
        <c:tickLblPos val="nextTo"/>
        <c:spPr>
          <a:ln w="6350">
            <a:solidFill>
              <a:srgbClr val="000000"/>
            </a:solidFill>
          </a:ln>
        </c:spPr>
        <c:txPr>
          <a:bodyPr rot="-5400000" vert="horz"/>
          <a:lstStyle/>
          <a:p>
            <a:pPr>
              <a:defRPr sz="700" b="0" i="0" u="none" strike="noStrike" baseline="0">
                <a:solidFill>
                  <a:srgbClr val="000000"/>
                </a:solidFill>
                <a:latin typeface="Arial Narrow" pitchFamily="34" charset="0"/>
                <a:ea typeface="Times New Roman"/>
                <a:cs typeface="Times New Roman" pitchFamily="18" charset="0"/>
              </a:defRPr>
            </a:pPr>
            <a:endParaRPr lang="lv-LV"/>
          </a:p>
        </c:txPr>
        <c:crossAx val="629825952"/>
        <c:crosses val="autoZero"/>
        <c:auto val="1"/>
        <c:lblAlgn val="ctr"/>
        <c:lblOffset val="0"/>
        <c:noMultiLvlLbl val="0"/>
      </c:catAx>
      <c:valAx>
        <c:axId val="629825952"/>
        <c:scaling>
          <c:orientation val="minMax"/>
          <c:min val="75"/>
        </c:scaling>
        <c:delete val="0"/>
        <c:axPos val="l"/>
        <c:numFmt formatCode="0" sourceLinked="0"/>
        <c:majorTickMark val="cross"/>
        <c:minorTickMark val="none"/>
        <c:tickLblPos val="nextTo"/>
        <c:spPr>
          <a:ln w="6350">
            <a:solidFill>
              <a:sysClr val="windowText" lastClr="000000"/>
            </a:solidFill>
          </a:ln>
        </c:spPr>
        <c:txPr>
          <a:bodyPr rot="0" vert="horz"/>
          <a:lstStyle/>
          <a:p>
            <a:pPr>
              <a:defRPr sz="700" b="0" i="0" u="none" strike="noStrike" baseline="0">
                <a:solidFill>
                  <a:srgbClr val="000000"/>
                </a:solidFill>
                <a:latin typeface="Arial Narrow" pitchFamily="34" charset="0"/>
                <a:ea typeface="Times New Roman"/>
                <a:cs typeface="Times New Roman"/>
              </a:defRPr>
            </a:pPr>
            <a:endParaRPr lang="lv-LV"/>
          </a:p>
        </c:txPr>
        <c:crossAx val="629824384"/>
        <c:crosses val="autoZero"/>
        <c:crossBetween val="between"/>
        <c:majorUnit val="10"/>
      </c:valAx>
      <c:spPr>
        <a:solidFill>
          <a:sysClr val="window" lastClr="FFFFFF"/>
        </a:solidFill>
        <a:ln w="6350">
          <a:noFill/>
        </a:ln>
      </c:spPr>
    </c:plotArea>
    <c:legend>
      <c:legendPos val="t"/>
      <c:layout>
        <c:manualLayout>
          <c:xMode val="edge"/>
          <c:yMode val="edge"/>
          <c:x val="0.04476712469764809"/>
          <c:y val="0.031201565905956671"/>
          <c:w val="0.65805884790716951"/>
          <c:h val="0.19964223582144541"/>
        </c:manualLayout>
      </c:layout>
      <c:overlay val="0"/>
      <c:txPr>
        <a:bodyPr/>
        <a:lstStyle/>
        <a:p>
          <a:pPr>
            <a:defRPr sz="700" b="0">
              <a:latin typeface="Arial Narrow" pitchFamily="34" charset="0"/>
            </a:defRPr>
          </a:pPr>
          <a:endParaRPr lang="lv-LV"/>
        </a:p>
      </c:txPr>
    </c:legend>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3524559430071246"/>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marker>
              <c:spPr>
                <a:solidFill>
                  <a:srgbClr val="002060"/>
                </a:solidFill>
                <a:ln w="6350">
                  <a:solidFill>
                    <a:sysClr val="windowText" lastClr="000000"/>
                  </a:solidFill>
                </a:ln>
              </c:spPr>
            </c:marker>
            <c:extLst>
              <c:ext xmlns:c="http://schemas.openxmlformats.org/drawingml/2006/chart" xmlns:c16="http://schemas.microsoft.com/office/drawing/2014/chart" uri="{C3380CC4-5D6E-409C-BE32-E72D297353CC}">
                <c16:uniqueId val="{00000000-24CD-4250-B829-16A41FB9C062}"/>
              </c:ext>
            </c:extLst>
          </c:dPt>
          <c:dPt>
            <c:idx val="5"/>
            <c:bubble3D val="0"/>
            <c:marker>
              <c:spPr>
                <a:solidFill>
                  <a:srgbClr val="002060"/>
                </a:solidFill>
                <a:ln w="6350">
                  <a:solidFill>
                    <a:sysClr val="windowText" lastClr="000000"/>
                  </a:solidFill>
                </a:ln>
              </c:spPr>
            </c:marker>
            <c:extLst>
              <c:ext xmlns:c="http://schemas.openxmlformats.org/drawingml/2006/chart" xmlns:c16="http://schemas.microsoft.com/office/drawing/2014/chart" uri="{C3380CC4-5D6E-409C-BE32-E72D297353CC}">
                <c16:uniqueId val="{00000001-24CD-4250-B829-16A41FB9C062}"/>
              </c:ext>
            </c:extLst>
          </c:dPt>
          <c:dPt>
            <c:idx val="11"/>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2-24CD-4250-B829-16A41FB9C062}"/>
              </c:ext>
            </c:extLst>
          </c:dPt>
          <c:dPt>
            <c:idx val="12"/>
            <c:bubble3D val="0"/>
            <c:marker>
              <c:spPr>
                <a:solidFill>
                  <a:srgbClr val="002060"/>
                </a:solidFill>
                <a:ln w="6350">
                  <a:solidFill>
                    <a:sysClr val="windowText" lastClr="000000"/>
                  </a:solidFill>
                </a:ln>
              </c:spPr>
            </c:marker>
            <c:extLst>
              <c:ext xmlns:c="http://schemas.openxmlformats.org/drawingml/2006/chart" xmlns:c16="http://schemas.microsoft.com/office/drawing/2014/chart" uri="{C3380CC4-5D6E-409C-BE32-E72D297353CC}">
                <c16:uniqueId val="{00000003-24CD-4250-B829-16A41FB9C062}"/>
              </c:ext>
            </c:extLst>
          </c:dPt>
          <c:dLbls>
            <c:dLbl>
              <c:idx val="0"/>
              <c:layout>
                <c:manualLayout>
                  <c:x val="-0.073332142459433272"/>
                  <c:y val="-0.074344466431414444"/>
                </c:manualLayout>
              </c:layout>
              <c:tx>
                <c:rich>
                  <a:bodyPr vertOverflow="clip"/>
                  <a:lstStyle/>
                  <a:p>
                    <a:r>
                      <a:rPr lang="en-US"/>
                      <a:t>EU-28</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24CD-4250-B829-16A41FB9C062}"/>
                </c:ext>
                <c:ext xmlns:c15="http://schemas.microsoft.com/office/drawing/2012/chart" uri="{CE6537A1-D6FC-4f65-9D91-7224C49458BB}"/>
              </c:extLst>
            </c:dLbl>
            <c:dLbl>
              <c:idx val="1"/>
              <c:layout>
                <c:manualLayout>
                  <c:x val="-0.0096924508282832771"/>
                  <c:y val="-0.027540310141678015"/>
                </c:manualLayout>
              </c:layout>
              <c:tx>
                <c:rich>
                  <a:bodyPr vertOverflow="clip"/>
                  <a:lstStyle/>
                  <a:p>
                    <a:r>
                      <a:rPr lang="en-US"/>
                      <a:t>BE</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24CD-4250-B829-16A41FB9C062}"/>
                </c:ext>
                <c:ext xmlns:c15="http://schemas.microsoft.com/office/drawing/2012/chart" uri="{CE6537A1-D6FC-4f65-9D91-7224C49458BB}"/>
              </c:extLst>
            </c:dLbl>
            <c:dLbl>
              <c:idx val="2"/>
              <c:layout>
                <c:manualLayout>
                  <c:x val="-0.05541939607018144"/>
                  <c:y val="0.086239250001881013"/>
                </c:manualLayout>
              </c:layout>
              <c:tx>
                <c:rich>
                  <a:bodyPr vertOverflow="clip"/>
                  <a:lstStyle/>
                  <a:p>
                    <a:r>
                      <a:rPr lang="en-US"/>
                      <a:t>BG</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24CD-4250-B829-16A41FB9C062}"/>
                </c:ext>
                <c:ext xmlns:c15="http://schemas.microsoft.com/office/drawing/2012/chart" uri="{CE6537A1-D6FC-4f65-9D91-7224C49458BB}"/>
              </c:extLst>
            </c:dLbl>
            <c:dLbl>
              <c:idx val="3"/>
              <c:layout>
                <c:manualLayout>
                  <c:x val="-0.038829891283227627"/>
                  <c:y val="-0.066649612134801028"/>
                </c:manualLayout>
              </c:layout>
              <c:tx>
                <c:rich>
                  <a:bodyPr vertOverflow="clip"/>
                  <a:lstStyle/>
                  <a:p>
                    <a:r>
                      <a:rPr lang="en-US"/>
                      <a:t>CZ</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24CD-4250-B829-16A41FB9C062}"/>
                </c:ext>
                <c:ext xmlns:c15="http://schemas.microsoft.com/office/drawing/2012/chart" uri="{CE6537A1-D6FC-4f65-9D91-7224C49458BB}"/>
              </c:extLst>
            </c:dLbl>
            <c:dLbl>
              <c:idx val="4"/>
              <c:layout>
                <c:manualLayout>
                  <c:x val="-0.083459904505846658"/>
                  <c:y val="-0.058610155973725986"/>
                </c:manualLayout>
              </c:layout>
              <c:tx>
                <c:rich>
                  <a:bodyPr vertOverflow="clip"/>
                  <a:lstStyle/>
                  <a:p>
                    <a:r>
                      <a:rPr lang="en-US"/>
                      <a:t>NL</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24CD-4250-B829-16A41FB9C062}"/>
                </c:ext>
                <c:ext xmlns:c15="http://schemas.microsoft.com/office/drawing/2012/chart" uri="{CE6537A1-D6FC-4f65-9D91-7224C49458BB}"/>
              </c:extLst>
            </c:dLbl>
            <c:dLbl>
              <c:idx val="5"/>
              <c:layout>
                <c:manualLayout>
                  <c:x val="-0.055255786977695932"/>
                  <c:y val="0.092838601428066242"/>
                </c:manualLayout>
              </c:layout>
              <c:tx>
                <c:rich>
                  <a:bodyPr vertOverflow="clip"/>
                  <a:lstStyle/>
                  <a:p>
                    <a:r>
                      <a:rPr lang="en-US"/>
                      <a:t>DE</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24CD-4250-B829-16A41FB9C062}"/>
                </c:ext>
                <c:ext xmlns:c15="http://schemas.microsoft.com/office/drawing/2012/chart" uri="{CE6537A1-D6FC-4f65-9D91-7224C49458BB}"/>
              </c:extLst>
            </c:dLbl>
            <c:dLbl>
              <c:idx val="6"/>
              <c:layout>
                <c:manualLayout>
                  <c:x val="-0.087691207921684472"/>
                  <c:y val="0.028819400031601043"/>
                </c:manualLayout>
              </c:layout>
              <c:tx>
                <c:rich>
                  <a:bodyPr vertOverflow="clip"/>
                  <a:lstStyle/>
                  <a:p>
                    <a:r>
                      <a:rPr lang="en-US"/>
                      <a:t>SK</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24CD-4250-B829-16A41FB9C062}"/>
                </c:ext>
                <c:ext xmlns:c15="http://schemas.microsoft.com/office/drawing/2012/chart" uri="{CE6537A1-D6FC-4f65-9D91-7224C49458BB}"/>
              </c:extLst>
            </c:dLbl>
            <c:dLbl>
              <c:idx val="7"/>
              <c:layout>
                <c:manualLayout>
                  <c:x val="0.17981292394267215"/>
                  <c:y val="0.022132769530574012"/>
                </c:manualLayout>
              </c:layout>
              <c:tx>
                <c:rich>
                  <a:bodyPr vertOverflow="clip"/>
                  <a:lstStyle/>
                  <a:p>
                    <a:r>
                      <a:rPr lang="en-US"/>
                      <a:t>DK</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24CD-4250-B829-16A41FB9C062}"/>
                </c:ext>
                <c:ext xmlns:c15="http://schemas.microsoft.com/office/drawing/2012/chart" uri="{CE6537A1-D6FC-4f65-9D91-7224C49458BB}"/>
              </c:extLst>
            </c:dLbl>
            <c:dLbl>
              <c:idx val="8"/>
              <c:layout>
                <c:manualLayout>
                  <c:x val="0.24713104435177979"/>
                  <c:y val="0.17502087926143844"/>
                </c:manualLayout>
              </c:layout>
              <c:tx>
                <c:rich>
                  <a:bodyPr vertOverflow="clip"/>
                  <a:lstStyle/>
                  <a:p>
                    <a:r>
                      <a:rPr lang="en-US"/>
                      <a:t>IT</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24CD-4250-B829-16A41FB9C062}"/>
                </c:ext>
                <c:ext xmlns:c15="http://schemas.microsoft.com/office/drawing/2012/chart" uri="{CE6537A1-D6FC-4f65-9D91-7224C49458BB}"/>
              </c:extLst>
            </c:dLbl>
            <c:dLbl>
              <c:idx val="9"/>
              <c:layout>
                <c:manualLayout>
                  <c:x val="-0.32945711498714797"/>
                  <c:y val="-0.19851550332187168"/>
                </c:manualLayout>
              </c:layout>
              <c:tx>
                <c:rich>
                  <a:bodyPr vertOverflow="clip"/>
                  <a:lstStyle/>
                  <a:p>
                    <a:r>
                      <a:rPr lang="en-US"/>
                      <a:t>HR</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24CD-4250-B829-16A41FB9C062}"/>
                </c:ext>
                <c:ext xmlns:c15="http://schemas.microsoft.com/office/drawing/2012/chart" uri="{CE6537A1-D6FC-4f65-9D91-7224C49458BB}"/>
              </c:extLst>
            </c:dLbl>
            <c:dLbl>
              <c:idx val="10"/>
              <c:layout>
                <c:manualLayout>
                  <c:x val="0.13794924329978314"/>
                  <c:y val="-0.062439149179501455"/>
                </c:manualLayout>
              </c:layout>
              <c:tx>
                <c:rich>
                  <a:bodyPr vertOverflow="clip"/>
                  <a:lstStyle/>
                  <a:p>
                    <a:r>
                      <a:rPr lang="en-US"/>
                      <a:t>FR</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24CD-4250-B829-16A41FB9C062}"/>
                </c:ext>
                <c:ext xmlns:c15="http://schemas.microsoft.com/office/drawing/2012/chart" uri="{CE6537A1-D6FC-4f65-9D91-7224C49458BB}"/>
              </c:extLst>
            </c:dLbl>
            <c:dLbl>
              <c:idx val="11"/>
              <c:layout>
                <c:manualLayout>
                  <c:x val="-0.057915985914596055"/>
                  <c:y val="-0.40210222185437938"/>
                </c:manualLayout>
              </c:layout>
              <c:tx>
                <c:rich>
                  <a:bodyPr vertOverflow="clip"/>
                  <a:lstStyle/>
                  <a:p>
                    <a:r>
                      <a:rPr lang="en-US"/>
                      <a:t>CY</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24CD-4250-B829-16A41FB9C062}"/>
                </c:ext>
                <c:ext xmlns:c15="http://schemas.microsoft.com/office/drawing/2012/chart" uri="{CE6537A1-D6FC-4f65-9D91-7224C49458BB}"/>
              </c:extLst>
            </c:dLbl>
            <c:dLbl>
              <c:idx val="12"/>
              <c:layout>
                <c:manualLayout>
                  <c:x val="-0.048151037644133567"/>
                  <c:y val="0.07668369611833839"/>
                </c:manualLayout>
              </c:layout>
              <c:tx>
                <c:rich>
                  <a:bodyPr vertOverflow="clip"/>
                  <a:lstStyle/>
                  <a:p>
                    <a:pPr>
                      <a:defRPr sz="700"/>
                    </a:pPr>
                    <a:r>
                      <a:rPr lang="en-US" sz="700"/>
                      <a:t>LT</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24CD-4250-B829-16A41FB9C062}"/>
                </c:ext>
                <c:ext xmlns:c15="http://schemas.microsoft.com/office/drawing/2012/chart" uri="{CE6537A1-D6FC-4f65-9D91-7224C49458BB}"/>
              </c:extLst>
            </c:dLbl>
            <c:dLbl>
              <c:idx val="13"/>
              <c:layout>
                <c:manualLayout>
                  <c:x val="-0.091947330281691747"/>
                  <c:y val="-0.0093162888335452179"/>
                </c:manualLayout>
              </c:layout>
              <c:tx>
                <c:rich>
                  <a:bodyPr vertOverflow="clip"/>
                  <a:lstStyle/>
                  <a:p>
                    <a:r>
                      <a:rPr lang="en-US" b="0"/>
                      <a:t>HU</a:t>
                    </a:r>
                    <a:endParaRPr lang="en-US"/>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24CD-4250-B829-16A41FB9C062}"/>
                </c:ext>
                <c:ext xmlns:c15="http://schemas.microsoft.com/office/drawing/2012/chart" uri="{CE6537A1-D6FC-4f65-9D91-7224C49458BB}"/>
              </c:extLst>
            </c:dLbl>
            <c:dLbl>
              <c:idx val="14"/>
              <c:layout>
                <c:manualLayout>
                  <c:x val="-0.41211464915320051"/>
                  <c:y val="0.31557254320690409"/>
                </c:manualLayout>
              </c:layout>
              <c:tx>
                <c:rich>
                  <a:bodyPr vertOverflow="clip"/>
                  <a:lstStyle/>
                  <a:p>
                    <a:r>
                      <a:rPr lang="en-US"/>
                      <a:t>LV</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E-24CD-4250-B829-16A41FB9C062}"/>
                </c:ext>
                <c:ext xmlns:c15="http://schemas.microsoft.com/office/drawing/2012/chart" uri="{CE6537A1-D6FC-4f65-9D91-7224C49458BB}"/>
              </c:extLst>
            </c:dLbl>
            <c:dLbl>
              <c:idx val="15"/>
              <c:layout>
                <c:manualLayout>
                  <c:x val="-0.33331450141516972"/>
                  <c:y val="-0.19087181262085517"/>
                </c:manualLayout>
              </c:layout>
              <c:tx>
                <c:rich>
                  <a:bodyPr vertOverflow="clip"/>
                  <a:lstStyle/>
                  <a:p>
                    <a:r>
                      <a:rPr lang="en-US"/>
                      <a:t>UK</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F-24CD-4250-B829-16A41FB9C062}"/>
                </c:ext>
                <c:ext xmlns:c15="http://schemas.microsoft.com/office/drawing/2012/chart" uri="{CE6537A1-D6FC-4f65-9D91-7224C49458BB}"/>
              </c:extLst>
            </c:dLbl>
            <c:dLbl>
              <c:idx val="16"/>
              <c:layout>
                <c:manualLayout>
                  <c:x val="-0.0056717818728309957"/>
                  <c:y val="-0.085760719901886287"/>
                </c:manualLayout>
              </c:layout>
              <c:tx>
                <c:rich>
                  <a:bodyPr vertOverflow="clip"/>
                  <a:lstStyle/>
                  <a:p>
                    <a:r>
                      <a:rPr lang="en-US"/>
                      <a:t>DK</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0-24CD-4250-B829-16A41FB9C062}"/>
                </c:ext>
                <c:ext xmlns:c15="http://schemas.microsoft.com/office/drawing/2012/chart" uri="{CE6537A1-D6FC-4f65-9D91-7224C49458BB}"/>
              </c:extLst>
            </c:dLbl>
            <c:dLbl>
              <c:idx val="17"/>
              <c:layout>
                <c:manualLayout>
                  <c:x val="0.34685519484993849"/>
                  <c:y val="0.07668369611833839"/>
                </c:manualLayout>
              </c:layout>
              <c:tx>
                <c:rich>
                  <a:bodyPr vertOverflow="clip"/>
                  <a:lstStyle/>
                  <a:p>
                    <a:r>
                      <a:rPr lang="en-US"/>
                      <a:t>AT</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1-24CD-4250-B829-16A41FB9C062}"/>
                </c:ext>
                <c:ext xmlns:c15="http://schemas.microsoft.com/office/drawing/2012/chart" uri="{CE6537A1-D6FC-4f65-9D91-7224C49458BB}"/>
              </c:extLst>
            </c:dLbl>
            <c:dLbl>
              <c:idx val="18"/>
              <c:layout>
                <c:manualLayout>
                  <c:x val="-0.121798315381508"/>
                  <c:y val="-0.18131701114313015"/>
                </c:manualLayout>
              </c:layout>
              <c:tx>
                <c:rich>
                  <a:bodyPr vertOverflow="clip"/>
                  <a:lstStyle/>
                  <a:p>
                    <a:r>
                      <a:rPr lang="en-US"/>
                      <a:t>PL</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2-24CD-4250-B829-16A41FB9C062}"/>
                </c:ext>
                <c:ext xmlns:c15="http://schemas.microsoft.com/office/drawing/2012/chart" uri="{CE6537A1-D6FC-4f65-9D91-7224C49458BB}"/>
              </c:extLst>
            </c:dLbl>
            <c:dLbl>
              <c:idx val="19"/>
              <c:layout>
                <c:manualLayout>
                  <c:x val="0.023359851504338253"/>
                  <c:y val="0.21046145048793516"/>
                </c:manualLayout>
              </c:layout>
              <c:tx>
                <c:rich>
                  <a:bodyPr vertOverflow="clip"/>
                  <a:lstStyle/>
                  <a:p>
                    <a:r>
                      <a:rPr lang="en-US"/>
                      <a:t>PT</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3-24CD-4250-B829-16A41FB9C062}"/>
                </c:ext>
                <c:ext xmlns:c15="http://schemas.microsoft.com/office/drawing/2012/chart" uri="{CE6537A1-D6FC-4f65-9D91-7224C49458BB}"/>
              </c:extLst>
            </c:dLbl>
            <c:dLbl>
              <c:idx val="20"/>
              <c:layout>
                <c:manualLayout>
                  <c:x val="-0.105209137159609"/>
                  <c:y val="0.21045994567629997"/>
                </c:manualLayout>
              </c:layout>
              <c:tx>
                <c:rich>
                  <a:bodyPr vertOverflow="clip"/>
                  <a:lstStyle/>
                  <a:p>
                    <a:r>
                      <a:rPr lang="en-US"/>
                      <a:t>RO</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4-24CD-4250-B829-16A41FB9C062}"/>
                </c:ext>
                <c:ext xmlns:c15="http://schemas.microsoft.com/office/drawing/2012/chart" uri="{CE6537A1-D6FC-4f65-9D91-7224C49458BB}"/>
              </c:extLst>
            </c:dLbl>
            <c:dLbl>
              <c:idx val="21"/>
              <c:layout>
                <c:manualLayout>
                  <c:x val="-0.33331450141516966"/>
                  <c:y val="0.01934962041126502"/>
                </c:manualLayout>
              </c:layout>
              <c:tx>
                <c:rich>
                  <a:bodyPr vertOverflow="clip"/>
                  <a:lstStyle/>
                  <a:p>
                    <a:r>
                      <a:rPr lang="en-US"/>
                      <a:t>SI</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5-24CD-4250-B829-16A41FB9C062}"/>
                </c:ext>
                <c:ext xmlns:c15="http://schemas.microsoft.com/office/drawing/2012/chart" uri="{CE6537A1-D6FC-4f65-9D91-7224C49458BB}"/>
              </c:extLst>
            </c:dLbl>
            <c:dLbl>
              <c:idx val="22"/>
              <c:layout>
                <c:manualLayout>
                  <c:x val="-0.43699890633363125"/>
                  <c:y val="-0.0093170412393628627"/>
                </c:manualLayout>
              </c:layout>
              <c:tx>
                <c:rich>
                  <a:bodyPr vertOverflow="clip"/>
                  <a:lstStyle/>
                  <a:p>
                    <a:r>
                      <a:rPr lang="en-US"/>
                      <a:t>EE</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6-24CD-4250-B829-16A41FB9C062}"/>
                </c:ext>
                <c:ext xmlns:c15="http://schemas.microsoft.com/office/drawing/2012/chart" uri="{CE6537A1-D6FC-4f65-9D91-7224C49458BB}"/>
              </c:extLst>
            </c:dLbl>
            <c:dLbl>
              <c:idx val="23"/>
              <c:layout>
                <c:manualLayout>
                  <c:x val="0.0980122964805759"/>
                  <c:y val="-0.076205918424161273"/>
                </c:manualLayout>
              </c:layout>
              <c:tx>
                <c:rich>
                  <a:bodyPr vertOverflow="clip"/>
                  <a:lstStyle/>
                  <a:p>
                    <a:r>
                      <a:rPr lang="en-US"/>
                      <a:t>FI</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7-24CD-4250-B829-16A41FB9C062}"/>
                </c:ext>
                <c:ext xmlns:c15="http://schemas.microsoft.com/office/drawing/2012/chart" uri="{CE6537A1-D6FC-4f65-9D91-7224C49458BB}"/>
              </c:extLst>
            </c:dLbl>
            <c:dLbl>
              <c:idx val="24"/>
              <c:layout>
                <c:manualLayout>
                  <c:x val="-0.076177177217384887"/>
                  <c:y val="0.057572588351253132"/>
                </c:manualLayout>
              </c:layout>
              <c:tx>
                <c:rich>
                  <a:bodyPr/>
                  <a:lstStyle/>
                  <a:p>
                    <a:r>
                      <a:rPr lang="lv-LV"/>
                      <a:t>SE</a:t>
                    </a:r>
                    <a:endParaRPr lang="en-US"/>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8-24CD-4250-B829-16A41FB9C062}"/>
                </c:ext>
                <c:ext xmlns:c15="http://schemas.microsoft.com/office/drawing/2012/chart" uri="{CE6537A1-D6FC-4f65-9D91-7224C49458BB}"/>
              </c:extLst>
            </c:dLbl>
            <c:dLbl>
              <c:idx val="25"/>
              <c:layout>
                <c:manualLayout>
                  <c:x val="-0.07202980102064642"/>
                  <c:y val="-0.0570940582512584"/>
                </c:manualLayout>
              </c:layout>
              <c:tx>
                <c:rich>
                  <a:bodyPr/>
                  <a:lstStyle/>
                  <a:p>
                    <a:r>
                      <a:rPr lang="lv-LV"/>
                      <a:t>UK</a:t>
                    </a:r>
                    <a:endParaRPr lang="en-US"/>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9-24CD-4250-B829-16A41FB9C062}"/>
                </c:ext>
                <c:ext xmlns:c15="http://schemas.microsoft.com/office/drawing/2012/chart" uri="{CE6537A1-D6FC-4f65-9D91-7224C49458BB}"/>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Sheet1!$B$3:$B$26</c:f>
              <c:numCache>
                <c:formatCode>0.0</c:formatCode>
                <c:ptCount val="24"/>
                <c:pt idx="0">
                  <c:v>29.716513769210643</c:v>
                </c:pt>
                <c:pt idx="1">
                  <c:v>58.535714285714285</c:v>
                </c:pt>
                <c:pt idx="2">
                  <c:v>4.1323400525854508</c:v>
                </c:pt>
                <c:pt idx="3">
                  <c:v>13.541289933694998</c:v>
                </c:pt>
                <c:pt idx="4">
                  <c:v>58.155555555555551</c:v>
                </c:pt>
                <c:pt idx="5">
                  <c:v>45.419117647058826</c:v>
                </c:pt>
                <c:pt idx="6">
                  <c:v>23.243902439024389</c:v>
                </c:pt>
                <c:pt idx="7">
                  <c:v>37.885714285714286</c:v>
                </c:pt>
                <c:pt idx="8">
                  <c:v>10.744810744810746</c:v>
                </c:pt>
                <c:pt idx="9">
                  <c:v>36.226804123711339</c:v>
                </c:pt>
                <c:pt idx="10">
                  <c:v>20.75</c:v>
                </c:pt>
                <c:pt idx="11">
                  <c:v>21.040221914008324</c:v>
                </c:pt>
                <c:pt idx="12">
                  <c:v>13.443456162642947</c:v>
                </c:pt>
                <c:pt idx="13">
                  <c:v>9.5193534666099531</c:v>
                </c:pt>
                <c:pt idx="14">
                  <c:v>54.875</c:v>
                </c:pt>
                <c:pt idx="15">
                  <c:v>60.696987595983458</c:v>
                </c:pt>
                <c:pt idx="16">
                  <c:v>12.725987035945787</c:v>
                </c:pt>
                <c:pt idx="17">
                  <c:v>25.014615997874035</c:v>
                </c:pt>
                <c:pt idx="18">
                  <c:v>16.777929155313352</c:v>
                </c:pt>
                <c:pt idx="19">
                  <c:v>21.103017689906348</c:v>
                </c:pt>
                <c:pt idx="20">
                  <c:v>22.350681103737337</c:v>
                </c:pt>
                <c:pt idx="21">
                  <c:v>48.431372549019606</c:v>
                </c:pt>
                <c:pt idx="22">
                  <c:v>58.169444444444444</c:v>
                </c:pt>
                <c:pt idx="23">
                  <c:v>35.218543046357617</c:v>
                </c:pt>
              </c:numCache>
            </c:numRef>
          </c:xVal>
          <c:yVal>
            <c:numRef>
              <c:f>Sheet1!$C$3:$C$26</c:f>
              <c:numCache>
                <c:formatCode>0.0</c:formatCode>
                <c:ptCount val="24"/>
                <c:pt idx="0">
                  <c:v>0.73262177397101957</c:v>
                </c:pt>
                <c:pt idx="1">
                  <c:v>0.70298290199997127</c:v>
                </c:pt>
                <c:pt idx="2">
                  <c:v>0.53401179916753672</c:v>
                </c:pt>
                <c:pt idx="3">
                  <c:v>0.71314117243150577</c:v>
                </c:pt>
                <c:pt idx="4">
                  <c:v>0.79174627435995415</c:v>
                </c:pt>
                <c:pt idx="5">
                  <c:v>0.76124332200097133</c:v>
                </c:pt>
                <c:pt idx="6">
                  <c:v>0.5733798892788653</c:v>
                </c:pt>
                <c:pt idx="7">
                  <c:v>0.956412613122172</c:v>
                </c:pt>
                <c:pt idx="8">
                  <c:v>0.93653516295025718</c:v>
                </c:pt>
                <c:pt idx="9">
                  <c:v>0.77179466571753341</c:v>
                </c:pt>
                <c:pt idx="10" formatCode="0.00">
                  <c:v>0.94723722476111338</c:v>
                </c:pt>
                <c:pt idx="11">
                  <c:v>0.39563861818311385</c:v>
                </c:pt>
                <c:pt idx="12">
                  <c:v>0.48420211861625029</c:v>
                </c:pt>
                <c:pt idx="13">
                  <c:v>0.68379633358519321</c:v>
                </c:pt>
                <c:pt idx="14">
                  <c:v>0.765375854214123</c:v>
                </c:pt>
                <c:pt idx="15">
                  <c:v>0.579025612342256</c:v>
                </c:pt>
                <c:pt idx="16">
                  <c:v>0.50442012616565757</c:v>
                </c:pt>
                <c:pt idx="17">
                  <c:v>0.58613891303652332</c:v>
                </c:pt>
                <c:pt idx="18">
                  <c:v>0.25619877213056258</c:v>
                </c:pt>
                <c:pt idx="19" formatCode="0.00">
                  <c:v>0.85647289619961686</c:v>
                </c:pt>
                <c:pt idx="20">
                  <c:v>0.463631759925089</c:v>
                </c:pt>
                <c:pt idx="21">
                  <c:v>0.78355652444721269</c:v>
                </c:pt>
                <c:pt idx="22">
                  <c:v>0.63248285800161241</c:v>
                </c:pt>
                <c:pt idx="23">
                  <c:v>0.81923317281270014</c:v>
                </c:pt>
              </c:numCache>
            </c:numRef>
          </c:yVal>
          <c:smooth val="0"/>
          <c:extLst>
            <c:ext xmlns:c="http://schemas.openxmlformats.org/drawingml/2006/chart" xmlns:c16="http://schemas.microsoft.com/office/drawing/2014/chart" uri="{C3380CC4-5D6E-409C-BE32-E72D297353CC}">
              <c16:uniqueId val="{0000001A-24CD-4250-B829-16A41FB9C062}"/>
            </c:ext>
          </c:extLst>
        </c:ser>
        <c:dLbls>
          <c:showLegendKey val="0"/>
          <c:showVal val="0"/>
          <c:showCatName val="0"/>
          <c:showSerName val="0"/>
          <c:showPercent val="0"/>
          <c:showBubbleSize val="0"/>
        </c:dLbls>
        <c:axId val="629937672"/>
        <c:axId val="629943552"/>
      </c:scatterChart>
      <c:valAx>
        <c:axId val="629937672"/>
        <c:scaling>
          <c:orientation val="minMax"/>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29943552"/>
        <c:crosses val="autoZero"/>
        <c:crossBetween val="midCat"/>
        <c:majorUnit val="10"/>
      </c:valAx>
      <c:valAx>
        <c:axId val="629943552"/>
        <c:scaling>
          <c:orientation val="minMax"/>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29937672"/>
        <c:crosses val="autoZero"/>
        <c:crossBetween val="midCat"/>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1619797525309326"/>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A7C4-4966-A95D-DFC4CF9A47DF}"/>
              </c:ext>
            </c:extLst>
          </c:dPt>
          <c:dPt>
            <c:idx val="5"/>
            <c:bubble3D val="0"/>
            <c:extLst>
              <c:ext xmlns:c="http://schemas.openxmlformats.org/drawingml/2006/chart" xmlns:c16="http://schemas.microsoft.com/office/drawing/2014/chart" uri="{C3380CC4-5D6E-409C-BE32-E72D297353CC}">
                <c16:uniqueId val="{00000001-A7C4-4966-A95D-DFC4CF9A47DF}"/>
              </c:ext>
            </c:extLst>
          </c:dPt>
          <c:dPt>
            <c:idx val="11"/>
            <c:bubble3D val="0"/>
            <c:extLst>
              <c:ext xmlns:c="http://schemas.openxmlformats.org/drawingml/2006/chart" xmlns:c16="http://schemas.microsoft.com/office/drawing/2014/chart" uri="{C3380CC4-5D6E-409C-BE32-E72D297353CC}">
                <c16:uniqueId val="{00000002-A7C4-4966-A95D-DFC4CF9A47DF}"/>
              </c:ext>
            </c:extLst>
          </c:dPt>
          <c:dPt>
            <c:idx val="12"/>
            <c:bubble3D val="0"/>
            <c:extLst>
              <c:ext xmlns:c="http://schemas.openxmlformats.org/drawingml/2006/chart" xmlns:c16="http://schemas.microsoft.com/office/drawing/2014/chart" uri="{C3380CC4-5D6E-409C-BE32-E72D297353CC}">
                <c16:uniqueId val="{00000003-A7C4-4966-A95D-DFC4CF9A47DF}"/>
              </c:ext>
            </c:extLst>
          </c:dPt>
          <c:dPt>
            <c:idx val="14"/>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E-A7C4-4966-A95D-DFC4CF9A47DF}"/>
              </c:ext>
            </c:extLst>
          </c:dPt>
          <c:dLbls>
            <c:dLbl>
              <c:idx val="0"/>
              <c:layout>
                <c:manualLayout>
                  <c:x val="-0.033229491173416406"/>
                  <c:y val="-0.03809523809523814"/>
                </c:manualLayout>
              </c:layout>
              <c:tx>
                <c:rich>
                  <a:bodyPr vertOverflow="clip"/>
                  <a:lstStyle/>
                  <a:p>
                    <a:fld id="{93e01b4b-671c-4421-9b3c-4401857a30d3}" type="CELLRANGE">
                      <a:rPr lang="en-US"/>
                      <a:t>BE</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0-A7C4-4966-A95D-DFC4CF9A47DF}"/>
                </c:ext>
                <c:ext xmlns:c15="http://schemas.microsoft.com/office/drawing/2012/chart" uri="{CE6537A1-D6FC-4f65-9D91-7224C49458BB}">
                  <c15:showDataLabelsRange val="1"/>
                </c:ext>
              </c:extLst>
            </c:dLbl>
            <c:dLbl>
              <c:idx val="1"/>
              <c:tx>
                <c:rich>
                  <a:bodyPr vertOverflow="clip"/>
                  <a:lstStyle/>
                  <a:p>
                    <a:fld id="{bfff8829-a90b-4fe0-9890-d7089740c763}" type="CELLRANGE">
                      <a:rPr lang="en-US"/>
                      <a:t>BG</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4-A7C4-4966-A95D-DFC4CF9A47DF}"/>
                </c:ext>
                <c:ext xmlns:c15="http://schemas.microsoft.com/office/drawing/2012/chart" uri="{CE6537A1-D6FC-4f65-9D91-7224C49458BB}">
                  <c15:showDataLabelsRange val="1"/>
                </c:ext>
              </c:extLst>
            </c:dLbl>
            <c:dLbl>
              <c:idx val="2"/>
              <c:tx>
                <c:rich>
                  <a:bodyPr vertOverflow="clip"/>
                  <a:lstStyle/>
                  <a:p>
                    <a:fld id="{c958153d-3b10-40ca-9a6b-760e21445e3a}" type="CELLRANGE">
                      <a:rPr lang="lv-LV"/>
                      <a:t>CZ</a:t>
                    </a:fld>
                    <a:endParaRPr lang="lv-LV"/>
                  </a:p>
                </c:rich>
              </c:tx>
              <c:dLblPos val="r"/>
              <c:showLegendKey val="0"/>
              <c:showVal val="0"/>
              <c:showCatName val="0"/>
              <c:showSerName val="0"/>
              <c:showPercent val="0"/>
              <c:showBubbleSize val="0"/>
              <c:extLst>
                <c:ext xmlns:c15="http://schemas.microsoft.com/office/drawing/2012/chart" uri="{CE6537A1-D6FC-4f65-9D91-7224C49458BB}">
                  <c15:showDataLabelsRange val="1"/>
                </c:ext>
              </c:extLst>
            </c:dLbl>
            <c:dLbl>
              <c:idx val="3"/>
              <c:tx>
                <c:rich>
                  <a:bodyPr vertOverflow="clip"/>
                  <a:lstStyle/>
                  <a:p>
                    <a:fld id="{1b380075-6d51-4453-a2fe-55beba0a70bd}" type="CELLRANGE">
                      <a:rPr lang="lv-LV"/>
                      <a:t>DK</a:t>
                    </a:fld>
                    <a:endParaRPr lang="lv-LV"/>
                  </a:p>
                </c:rich>
              </c:tx>
              <c:dLblPos val="r"/>
              <c:showLegendKey val="0"/>
              <c:showVal val="0"/>
              <c:showCatName val="0"/>
              <c:showSerName val="0"/>
              <c:showPercent val="0"/>
              <c:showBubbleSize val="0"/>
              <c:extLst>
                <c:ext xmlns:c15="http://schemas.microsoft.com/office/drawing/2012/chart" uri="{CE6537A1-D6FC-4f65-9D91-7224C49458BB}">
                  <c15:showDataLabelsRange val="1"/>
                </c:ext>
              </c:extLst>
            </c:dLbl>
            <c:dLbl>
              <c:idx val="4"/>
              <c:layout>
                <c:manualLayout>
                  <c:x val="-0.053997923156801582"/>
                  <c:y val="0.066666666666666582"/>
                </c:manualLayout>
              </c:layout>
              <c:tx>
                <c:rich>
                  <a:bodyPr vertOverflow="clip"/>
                  <a:lstStyle/>
                  <a:p>
                    <a:fld id="{b1c36bd9-71c3-4010-aedc-5660071c0c46}" type="CELLRANGE">
                      <a:rPr lang="en-US"/>
                      <a:t>DE</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7-A7C4-4966-A95D-DFC4CF9A47DF}"/>
                </c:ext>
                <c:ext xmlns:c15="http://schemas.microsoft.com/office/drawing/2012/chart" uri="{CE6537A1-D6FC-4f65-9D91-7224C49458BB}">
                  <c15:showDataLabelsRange val="1"/>
                </c:ext>
              </c:extLst>
            </c:dLbl>
            <c:dLbl>
              <c:idx val="5"/>
              <c:layout>
                <c:manualLayout>
                  <c:x val="-0.071318795430945034"/>
                  <c:y val="-0.11452343457067866"/>
                </c:manualLayout>
              </c:layout>
              <c:tx>
                <c:rich>
                  <a:bodyPr vertOverflow="clip"/>
                  <a:lstStyle/>
                  <a:p>
                    <a:fld id="{93e8c8af-8b5b-4ff0-bc47-aa4f093cd28a}" type="CELLRANGE">
                      <a:rPr lang="en-US"/>
                      <a:t>EE</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1-A7C4-4966-A95D-DFC4CF9A47DF}"/>
                </c:ext>
                <c:ext xmlns:c15="http://schemas.microsoft.com/office/drawing/2012/chart" uri="{CE6537A1-D6FC-4f65-9D91-7224C49458BB}">
                  <c15:showDataLabelsRange val="1"/>
                </c:ext>
              </c:extLst>
            </c:dLbl>
            <c:dLbl>
              <c:idx val="6"/>
              <c:tx>
                <c:rich>
                  <a:bodyPr vertOverflow="clip"/>
                  <a:lstStyle/>
                  <a:p>
                    <a:fld id="{50ea8352-21da-4c3d-bd98-f56dcf217121}" type="CELLRANGE">
                      <a:rPr lang="en-US"/>
                      <a:t>IE</a:t>
                    </a:fld>
                    <a:endParaRPr lang="lv-LV"/>
                  </a:p>
                </c:rich>
              </c:tx>
              <c:dLblPos val="l"/>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8-A7C4-4966-A95D-DFC4CF9A47DF}"/>
                </c:ext>
                <c:ext xmlns:c15="http://schemas.microsoft.com/office/drawing/2012/chart" uri="{CE6537A1-D6FC-4f65-9D91-7224C49458BB}">
                  <c15:showDataLabelsRange val="1"/>
                </c:ext>
              </c:extLst>
            </c:dLbl>
            <c:dLbl>
              <c:idx val="7"/>
              <c:tx>
                <c:rich>
                  <a:bodyPr vertOverflow="clip"/>
                  <a:lstStyle/>
                  <a:p>
                    <a:fld id="{52549e59-85cc-406c-a7a9-99badaf97fbb}" type="CELLRANGE">
                      <a:rPr lang="lv-LV"/>
                      <a:t>EL</a:t>
                    </a:fld>
                    <a:endParaRPr lang="lv-LV"/>
                  </a:p>
                </c:rich>
              </c:tx>
              <c:dLblPos val="r"/>
              <c:showLegendKey val="0"/>
              <c:showVal val="0"/>
              <c:showCatName val="0"/>
              <c:showSerName val="0"/>
              <c:showPercent val="0"/>
              <c:showBubbleSize val="0"/>
              <c:extLst>
                <c:ext xmlns:c15="http://schemas.microsoft.com/office/drawing/2012/chart" uri="{CE6537A1-D6FC-4f65-9D91-7224C49458BB}">
                  <c15:showDataLabelsRange val="1"/>
                </c:ext>
              </c:extLst>
            </c:dLbl>
            <c:dLbl>
              <c:idx val="8"/>
              <c:layout>
                <c:manualLayout>
                  <c:x val="-0.049844236760124686"/>
                  <c:y val="-0.066666666666666707"/>
                </c:manualLayout>
              </c:layout>
              <c:tx>
                <c:rich>
                  <a:bodyPr vertOverflow="clip"/>
                  <a:lstStyle/>
                  <a:p>
                    <a:fld id="{c69b5757-3294-4b8d-8da9-545dfb93fcc6}" type="CELLRANGE">
                      <a:rPr lang="en-US"/>
                      <a:t>ES</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A-A7C4-4966-A95D-DFC4CF9A47DF}"/>
                </c:ext>
                <c:ext xmlns:c15="http://schemas.microsoft.com/office/drawing/2012/chart" uri="{CE6537A1-D6FC-4f65-9D91-7224C49458BB}">
                  <c15:showDataLabelsRange val="1"/>
                </c:ext>
              </c:extLst>
            </c:dLbl>
            <c:dLbl>
              <c:idx val="9"/>
              <c:tx>
                <c:rich>
                  <a:bodyPr vertOverflow="clip"/>
                  <a:lstStyle/>
                  <a:p>
                    <a:fld id="{49984927-05dd-47db-a037-abad8642c07a}" type="CELLRANGE">
                      <a:rPr lang="en-US"/>
                      <a:t>FR</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B-A7C4-4966-A95D-DFC4CF9A47DF}"/>
                </c:ext>
                <c:ext xmlns:c15="http://schemas.microsoft.com/office/drawing/2012/chart" uri="{CE6537A1-D6FC-4f65-9D91-7224C49458BB}">
                  <c15:showDataLabelsRange val="1"/>
                </c:ext>
              </c:extLst>
            </c:dLbl>
            <c:dLbl>
              <c:idx val="10"/>
              <c:tx>
                <c:rich>
                  <a:bodyPr vertOverflow="clip"/>
                  <a:lstStyle/>
                  <a:p>
                    <a:fld id="{e14d7f6c-6ce4-42bd-9e0a-83c0f0f44676}" type="CELLRANGE">
                      <a:rPr lang="en-US"/>
                      <a:t>HR</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C-A7C4-4966-A95D-DFC4CF9A47DF}"/>
                </c:ext>
                <c:ext xmlns:c15="http://schemas.microsoft.com/office/drawing/2012/chart" uri="{CE6537A1-D6FC-4f65-9D91-7224C49458BB}">
                  <c15:showDataLabelsRange val="1"/>
                </c:ext>
              </c:extLst>
            </c:dLbl>
            <c:dLbl>
              <c:idx val="11"/>
              <c:tx>
                <c:rich>
                  <a:bodyPr vertOverflow="clip"/>
                  <a:lstStyle/>
                  <a:p>
                    <a:fld id="{3fad9b8f-6265-4f0b-ac36-1d113145725c}" type="CELLRANGE">
                      <a:rPr lang="en-US"/>
                      <a:t>IT</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2-A7C4-4966-A95D-DFC4CF9A47DF}"/>
                </c:ext>
                <c:ext xmlns:c15="http://schemas.microsoft.com/office/drawing/2012/chart" uri="{CE6537A1-D6FC-4f65-9D91-7224C49458BB}">
                  <c15:showDataLabelsRange val="1"/>
                </c:ext>
              </c:extLst>
            </c:dLbl>
            <c:dLbl>
              <c:idx val="12"/>
              <c:layout>
                <c:manualLayout>
                  <c:x val="-0.016614745586708279"/>
                  <c:y val="0.019047619047619049"/>
                </c:manualLayout>
              </c:layout>
              <c:tx>
                <c:rich>
                  <a:bodyPr vertOverflow="clip"/>
                  <a:lstStyle/>
                  <a:p>
                    <a:fld id="{a7aeff44-682b-4dfa-9236-addb1926485e}" type="CELLRANGE">
                      <a:rPr lang="en-US"/>
                      <a:t>CY</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3-A7C4-4966-A95D-DFC4CF9A47DF}"/>
                </c:ext>
                <c:ext xmlns:c15="http://schemas.microsoft.com/office/drawing/2012/chart" uri="{CE6537A1-D6FC-4f65-9D91-7224C49458BB}">
                  <c15:showDataLabelsRange val="1"/>
                </c:ext>
              </c:extLst>
            </c:dLbl>
            <c:dLbl>
              <c:idx val="13"/>
              <c:layout>
                <c:manualLayout>
                  <c:x val="-0.0872274143302181"/>
                  <c:y val="-0.0095238095238095247"/>
                </c:manualLayout>
              </c:layout>
              <c:tx>
                <c:rich>
                  <a:bodyPr vertOverflow="clip"/>
                  <a:lstStyle/>
                  <a:p>
                    <a:fld id="{9dc579e4-6c3d-4b5f-8af4-ae3540553b9f}" type="CELLRANGE">
                      <a:rPr lang="en-US"/>
                      <a:t>LV</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D-A7C4-4966-A95D-DFC4CF9A47DF}"/>
                </c:ext>
                <c:ext xmlns:c15="http://schemas.microsoft.com/office/drawing/2012/chart" uri="{CE6537A1-D6FC-4f65-9D91-7224C49458BB}">
                  <c15:showDataLabelsRange val="1"/>
                </c:ext>
              </c:extLst>
            </c:dLbl>
            <c:dLbl>
              <c:idx val="14"/>
              <c:layout>
                <c:manualLayout>
                  <c:x val="0.024922118380062305"/>
                  <c:y val="-0.028571428571428571"/>
                </c:manualLayout>
              </c:layout>
              <c:tx>
                <c:rich>
                  <a:bodyPr vertOverflow="clip"/>
                  <a:lstStyle/>
                  <a:p>
                    <a:fld id="{6f6ee16b-1fab-47a0-841b-f1e19f20f9a5}" type="CELLRANGE">
                      <a:rPr lang="en-US"/>
                      <a:t>LT</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E-A7C4-4966-A95D-DFC4CF9A47DF}"/>
                </c:ext>
                <c:ext xmlns:c15="http://schemas.microsoft.com/office/drawing/2012/chart" uri="{CE6537A1-D6FC-4f65-9D91-7224C49458BB}">
                  <c15:showDataLabelsRange val="1"/>
                </c:ext>
              </c:extLst>
            </c:dLbl>
            <c:dLbl>
              <c:idx val="15"/>
              <c:tx>
                <c:rich>
                  <a:bodyPr vertOverflow="clip"/>
                  <a:lstStyle/>
                  <a:p>
                    <a:fld id="{e9ac7d73-50ee-460c-8396-2952f80a30da}" type="CELLRANGE">
                      <a:rPr lang="en-US"/>
                      <a:t>LU</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F-A7C4-4966-A95D-DFC4CF9A47DF}"/>
                </c:ext>
                <c:ext xmlns:c15="http://schemas.microsoft.com/office/drawing/2012/chart" uri="{CE6537A1-D6FC-4f65-9D91-7224C49458BB}">
                  <c15:showDataLabelsRange val="1"/>
                </c:ext>
              </c:extLst>
            </c:dLbl>
            <c:dLbl>
              <c:idx val="16"/>
              <c:tx>
                <c:rich>
                  <a:bodyPr vertOverflow="clip"/>
                  <a:lstStyle/>
                  <a:p>
                    <a:fld id="{edc53f60-5def-4b2b-b389-d69a52f93da2}" type="CELLRANGE">
                      <a:rPr lang="en-US"/>
                      <a:t>HU</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0-A7C4-4966-A95D-DFC4CF9A47DF}"/>
                </c:ext>
                <c:ext xmlns:c15="http://schemas.microsoft.com/office/drawing/2012/chart" uri="{CE6537A1-D6FC-4f65-9D91-7224C49458BB}">
                  <c15:showDataLabelsRange val="1"/>
                </c:ext>
              </c:extLst>
            </c:dLbl>
            <c:dLbl>
              <c:idx val="17"/>
              <c:layout>
                <c:manualLayout>
                  <c:x val="-0.0083073727933542542"/>
                  <c:y val="0.028571428571428484"/>
                </c:manualLayout>
              </c:layout>
              <c:tx>
                <c:rich>
                  <a:bodyPr vertOverflow="clip"/>
                  <a:lstStyle/>
                  <a:p>
                    <a:fld id="{cb9da876-5161-4662-8a30-e942da0e1900}" type="CELLRANGE">
                      <a:rPr lang="en-US"/>
                      <a:t>NL</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1-A7C4-4966-A95D-DFC4CF9A47DF}"/>
                </c:ext>
                <c:ext xmlns:c15="http://schemas.microsoft.com/office/drawing/2012/chart" uri="{CE6537A1-D6FC-4f65-9D91-7224C49458BB}">
                  <c15:showDataLabelsRange val="1"/>
                </c:ext>
              </c:extLst>
            </c:dLbl>
            <c:dLbl>
              <c:idx val="18"/>
              <c:layout>
                <c:manualLayout>
                  <c:x val="-0.062191151339727392"/>
                  <c:y val="0.095476565429321342"/>
                </c:manualLayout>
              </c:layout>
              <c:tx>
                <c:rich>
                  <a:bodyPr vertOverflow="clip"/>
                  <a:lstStyle/>
                  <a:p>
                    <a:fld id="{4bc95804-c6d5-4fdc-818b-9280cd9404bb}" type="CELLRANGE">
                      <a:rPr lang="en-US"/>
                      <a:t>AT</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2-A7C4-4966-A95D-DFC4CF9A47DF}"/>
                </c:ext>
                <c:ext xmlns:c15="http://schemas.microsoft.com/office/drawing/2012/chart" uri="{CE6537A1-D6FC-4f65-9D91-7224C49458BB}">
                  <c15:showDataLabelsRange val="1"/>
                </c:ext>
              </c:extLst>
            </c:dLbl>
            <c:dLbl>
              <c:idx val="19"/>
              <c:layout>
                <c:manualLayout>
                  <c:x val="-0.12695758824539455"/>
                  <c:y val="-8.7300578797851381E-17"/>
                </c:manualLayout>
              </c:layout>
              <c:tx>
                <c:rich>
                  <a:bodyPr vertOverflow="clip"/>
                  <a:lstStyle/>
                  <a:p>
                    <a:fld id="{cdf1a5da-6884-439e-969e-c6b17ab86f77}" type="CELLRANGE">
                      <a:rPr lang="en-US"/>
                      <a:t>PL</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3-A7C4-4966-A95D-DFC4CF9A47DF}"/>
                </c:ext>
                <c:ext xmlns:c15="http://schemas.microsoft.com/office/drawing/2012/chart" uri="{CE6537A1-D6FC-4f65-9D91-7224C49458BB}">
                  <c15:showDataLabelsRange val="1"/>
                </c:ext>
              </c:extLst>
            </c:dLbl>
            <c:dLbl>
              <c:idx val="20"/>
              <c:tx>
                <c:rich>
                  <a:bodyPr vertOverflow="clip"/>
                  <a:lstStyle/>
                  <a:p>
                    <a:fld id="{4c888241-6679-47ae-ba75-1c746ae75092}" type="CELLRANGE">
                      <a:rPr lang="en-US"/>
                      <a:t>PT</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4-A7C4-4966-A95D-DFC4CF9A47DF}"/>
                </c:ext>
                <c:ext xmlns:c15="http://schemas.microsoft.com/office/drawing/2012/chart" uri="{CE6537A1-D6FC-4f65-9D91-7224C49458BB}">
                  <c15:showDataLabelsRange val="1"/>
                </c:ext>
              </c:extLst>
            </c:dLbl>
            <c:dLbl>
              <c:idx val="21"/>
              <c:layout>
                <c:manualLayout>
                  <c:x val="-0.045690550363447595"/>
                  <c:y val="0.066666666666666666"/>
                </c:manualLayout>
              </c:layout>
              <c:tx>
                <c:rich>
                  <a:bodyPr vertOverflow="clip"/>
                  <a:lstStyle/>
                  <a:p>
                    <a:fld id="{f6d72e5c-d36e-4190-bb91-6a985d190cc6}" type="CELLRANGE">
                      <a:rPr lang="en-US"/>
                      <a:t>RO</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5-A7C4-4966-A95D-DFC4CF9A47DF}"/>
                </c:ext>
                <c:ext xmlns:c15="http://schemas.microsoft.com/office/drawing/2012/chart" uri="{CE6537A1-D6FC-4f65-9D91-7224C49458BB}">
                  <c15:showDataLabelsRange val="1"/>
                </c:ext>
              </c:extLst>
            </c:dLbl>
            <c:dLbl>
              <c:idx val="22"/>
              <c:tx>
                <c:rich>
                  <a:bodyPr vertOverflow="clip"/>
                  <a:lstStyle/>
                  <a:p>
                    <a:fld id="{379405e0-25d3-4270-b596-eeb47d953d05}" type="CELLRANGE">
                      <a:rPr lang="lv-LV"/>
                      <a:t>SI</a:t>
                    </a:fld>
                    <a:endParaRPr lang="lv-LV"/>
                  </a:p>
                </c:rich>
              </c:tx>
              <c:dLblPos val="r"/>
              <c:showLegendKey val="0"/>
              <c:showVal val="0"/>
              <c:showCatName val="0"/>
              <c:showSerName val="0"/>
              <c:showPercent val="0"/>
              <c:showBubbleSize val="0"/>
              <c:extLst>
                <c:ext xmlns:c15="http://schemas.microsoft.com/office/drawing/2012/chart" uri="{CE6537A1-D6FC-4f65-9D91-7224C49458BB}">
                  <c15:showDataLabelsRange val="1"/>
                </c:ext>
              </c:extLst>
            </c:dLbl>
            <c:dLbl>
              <c:idx val="23"/>
              <c:layout>
                <c:manualLayout>
                  <c:x val="-0.054704049844236761"/>
                  <c:y val="0.076428946381702292"/>
                </c:manualLayout>
              </c:layout>
              <c:tx>
                <c:rich>
                  <a:bodyPr vertOverflow="clip"/>
                  <a:lstStyle/>
                  <a:p>
                    <a:fld id="{56e9aa93-8da0-4834-8a32-fa7261edb669}" type="CELLRANGE">
                      <a:rPr lang="en-US"/>
                      <a:t>SK</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7-A7C4-4966-A95D-DFC4CF9A47DF}"/>
                </c:ext>
                <c:ext xmlns:c15="http://schemas.microsoft.com/office/drawing/2012/chart" uri="{CE6537A1-D6FC-4f65-9D91-7224C49458BB}">
                  <c15:showDataLabelsRange val="1"/>
                </c:ext>
              </c:extLst>
            </c:dLbl>
            <c:dLbl>
              <c:idx val="24"/>
              <c:layout>
                <c:manualLayout>
                  <c:x val="-0.037383177570093455"/>
                  <c:y val="-0.066666666666666749"/>
                </c:manualLayout>
              </c:layout>
              <c:tx>
                <c:rich>
                  <a:bodyPr vertOverflow="clip"/>
                  <a:lstStyle/>
                  <a:p>
                    <a:fld id="{1673f839-36a3-4108-9add-a6b1a7e035b5}" type="CELLRANGE">
                      <a:rPr lang="en-US"/>
                      <a:t>FI</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8-A7C4-4966-A95D-DFC4CF9A47DF}"/>
                </c:ext>
                <c:ext xmlns:c15="http://schemas.microsoft.com/office/drawing/2012/chart" uri="{CE6537A1-D6FC-4f65-9D91-7224C49458BB}">
                  <c15:showDataLabelsRange val="1"/>
                </c:ext>
              </c:extLst>
            </c:dLbl>
            <c:dLbl>
              <c:idx val="25"/>
              <c:tx>
                <c:rich>
                  <a:bodyPr vertOverflow="clip"/>
                  <a:lstStyle/>
                  <a:p>
                    <a:fld id="{ed790fb1-b4e9-4d5a-be59-1ec8b1e1379c}" type="CELLRANGE">
                      <a:rPr lang="en-US"/>
                      <a:t>SE</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9-A7C4-4966-A95D-DFC4CF9A47DF}"/>
                </c:ext>
                <c:ext xmlns:c15="http://schemas.microsoft.com/office/drawing/2012/chart" uri="{CE6537A1-D6FC-4f65-9D91-7224C49458BB}">
                  <c15:showDataLabelsRange val="1"/>
                </c:ext>
              </c:extLst>
            </c:dLbl>
            <c:dLbl>
              <c:idx val="26"/>
              <c:tx>
                <c:rich>
                  <a:bodyPr vertOverflow="clip"/>
                  <a:lstStyle/>
                  <a:p>
                    <a:fld id="{2719e9a2-6cbb-431c-af5b-f3c67f719fb3}" type="CELLRANGE">
                      <a:rPr lang="en-US"/>
                      <a:t>UK</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4-0FE9-4551-AF36-702836DB602A}"/>
                </c:ext>
                <c:ext xmlns:c15="http://schemas.microsoft.com/office/drawing/2012/chart" uri="{CE6537A1-D6FC-4f65-9D91-7224C49458BB}">
                  <c15:showDataLabelsRange val="1"/>
                </c:ext>
              </c:extLst>
            </c:dLbl>
            <c:spPr>
              <a:noFill/>
              <a:ln>
                <a:noFill/>
              </a:ln>
              <a:effectLst/>
            </c:sp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Sheet1!$B$3:$B$29</c:f>
              <c:numCache>
                <c:formatCode>#,##0.0</c:formatCode>
                <c:ptCount val="27"/>
                <c:pt idx="0">
                  <c:v>45.547826086956519</c:v>
                </c:pt>
                <c:pt idx="1">
                  <c:v>3.5085007727975266</c:v>
                </c:pt>
                <c:pt idx="2">
                  <c:v>10.03477795612627</c:v>
                </c:pt>
                <c:pt idx="3">
                  <c:v>49.025</c:v>
                </c:pt>
                <c:pt idx="4">
                  <c:v>38.438016528925623</c:v>
                </c:pt>
                <c:pt idx="5">
                  <c:v>15.629213483146065</c:v>
                </c:pt>
                <c:pt idx="6">
                  <c:v>37.591463414634148</c:v>
                </c:pt>
                <c:pt idx="7">
                  <c:v>7.2017673048600885</c:v>
                </c:pt>
                <c:pt idx="8">
                  <c:v>28.104166666666668</c:v>
                </c:pt>
                <c:pt idx="9">
                  <c:v>39.553571428571431</c:v>
                </c:pt>
                <c:pt idx="10">
                  <c:v>10.896551724137931</c:v>
                </c:pt>
                <c:pt idx="11">
                  <c:v>29.322077922077924</c:v>
                </c:pt>
                <c:pt idx="12">
                  <c:v>16.666666666666668</c:v>
                </c:pt>
                <c:pt idx="13">
                  <c:v>12.013953488372094</c:v>
                </c:pt>
                <c:pt idx="14">
                  <c:v>11.345962113659024</c:v>
                </c:pt>
                <c:pt idx="15">
                  <c:v>48.96551724137931</c:v>
                </c:pt>
                <c:pt idx="16">
                  <c:v>8.0126364158529579</c:v>
                </c:pt>
                <c:pt idx="17">
                  <c:v>45.363636363636367</c:v>
                </c:pt>
                <c:pt idx="18">
                  <c:v>42.3753280839895</c:v>
                </c:pt>
                <c:pt idx="19">
                  <c:v>7.4791376912378293</c:v>
                </c:pt>
                <c:pt idx="20">
                  <c:v>15.782520325203251</c:v>
                </c:pt>
                <c:pt idx="21">
                  <c:v>4.751753155680225</c:v>
                </c:pt>
                <c:pt idx="22">
                  <c:v>20.885072655217964</c:v>
                </c:pt>
                <c:pt idx="23">
                  <c:v>11.66760247052218</c:v>
                </c:pt>
                <c:pt idx="24">
                  <c:v>43.1958762886598</c:v>
                </c:pt>
                <c:pt idx="25">
                  <c:v>44.866666666666667</c:v>
                </c:pt>
                <c:pt idx="26">
                  <c:v>33.41335946431488</c:v>
                </c:pt>
              </c:numCache>
            </c:numRef>
          </c:xVal>
          <c:yVal>
            <c:numRef>
              <c:f>Sheet1!$C$3:$C$29</c:f>
              <c:numCache>
                <c:formatCode>#,##0.0</c:formatCode>
                <c:ptCount val="27"/>
                <c:pt idx="0">
                  <c:v>0.83036596455870426</c:v>
                </c:pt>
                <c:pt idx="1">
                  <c:v>0.61853569179689738</c:v>
                </c:pt>
                <c:pt idx="2">
                  <c:v>0.78602167824974045</c:v>
                </c:pt>
                <c:pt idx="3">
                  <c:v>0.81083316105023773</c:v>
                </c:pt>
                <c:pt idx="4">
                  <c:v>0.82986282286981594</c:v>
                </c:pt>
                <c:pt idx="5">
                  <c:v>0.67489785495403465</c:v>
                </c:pt>
                <c:pt idx="6">
                  <c:v>0.9234752027093035</c:v>
                </c:pt>
                <c:pt idx="7">
                  <c:v>1.6588023713934097</c:v>
                </c:pt>
                <c:pt idx="8">
                  <c:v>0.838815489229646</c:v>
                </c:pt>
                <c:pt idx="9">
                  <c:v>0.88145560665015921</c:v>
                </c:pt>
                <c:pt idx="10">
                  <c:v>0.906187131613313</c:v>
                </c:pt>
                <c:pt idx="11">
                  <c:v>0.79008585277990528</c:v>
                </c:pt>
                <c:pt idx="12">
                  <c:v>0.92827004219409281</c:v>
                </c:pt>
                <c:pt idx="13">
                  <c:v>0.55317412422725931</c:v>
                </c:pt>
                <c:pt idx="14">
                  <c:v>0.55757299529981486</c:v>
                </c:pt>
                <c:pt idx="15">
                  <c:v>0.82969348659003828</c:v>
                </c:pt>
                <c:pt idx="16">
                  <c:v>0.755696056532886</c:v>
                </c:pt>
                <c:pt idx="17">
                  <c:v>0.67629274395329442</c:v>
                </c:pt>
                <c:pt idx="18">
                  <c:v>0.59487698495299768</c:v>
                </c:pt>
                <c:pt idx="19">
                  <c:v>0.48155712573468862</c:v>
                </c:pt>
                <c:pt idx="20">
                  <c:v>0.56127014922746621</c:v>
                </c:pt>
                <c:pt idx="21">
                  <c:v>0.42490152194290809</c:v>
                </c:pt>
                <c:pt idx="22">
                  <c:v>1.0005610121432875</c:v>
                </c:pt>
                <c:pt idx="23">
                  <c:v>0.36627653486031164</c:v>
                </c:pt>
                <c:pt idx="24">
                  <c:v>0.790078421006256</c:v>
                </c:pt>
                <c:pt idx="25">
                  <c:v>0.65266539382368094</c:v>
                </c:pt>
                <c:pt idx="26">
                  <c:v>1.0858390884626317</c:v>
                </c:pt>
              </c:numCache>
            </c:numRef>
          </c:yVal>
          <c:smooth val="0"/>
          <c:extLst>
            <c:ext xmlns:c="http://schemas.openxmlformats.org/drawingml/2006/chart" xmlns:c16="http://schemas.microsoft.com/office/drawing/2014/chart" uri="{C3380CC4-5D6E-409C-BE32-E72D297353CC}">
              <c16:uniqueId val="{0000001A-A7C4-4966-A95D-DFC4CF9A47DF}"/>
            </c:ext>
            <c:ext xmlns:c15="http://schemas.microsoft.com/office/drawing/2012/chart" uri="{02D57815-91ED-43cb-92C2-25804820EDAC}">
              <c15:datalabelsRange>
                <c15:f>Sheet1!$A$3:$A$29</c15:f>
                <c15:dlblRangeCache>
                  <c:ptCount val="27"/>
                  <c:pt idx="0">
                    <c:v>BE</c:v>
                  </c:pt>
                  <c:pt idx="1">
                    <c:v>BG</c:v>
                  </c:pt>
                  <c:pt idx="2">
                    <c:v>CZ</c:v>
                  </c:pt>
                  <c:pt idx="3">
                    <c:v>DK</c:v>
                  </c:pt>
                  <c:pt idx="4">
                    <c:v>DE</c:v>
                  </c:pt>
                  <c:pt idx="5">
                    <c:v>EE</c:v>
                  </c:pt>
                  <c:pt idx="6">
                    <c:v>IE</c:v>
                  </c:pt>
                  <c:pt idx="7">
                    <c:v>EL</c:v>
                  </c:pt>
                  <c:pt idx="8">
                    <c:v>ES</c:v>
                  </c:pt>
                  <c:pt idx="9">
                    <c:v>FR</c:v>
                  </c:pt>
                  <c:pt idx="10">
                    <c:v>HR</c:v>
                  </c:pt>
                  <c:pt idx="11">
                    <c:v>IT</c:v>
                  </c:pt>
                  <c:pt idx="12">
                    <c:v>CY</c:v>
                  </c:pt>
                  <c:pt idx="13">
                    <c:v>LV</c:v>
                  </c:pt>
                  <c:pt idx="14">
                    <c:v>LT</c:v>
                  </c:pt>
                  <c:pt idx="15">
                    <c:v>LU</c:v>
                  </c:pt>
                  <c:pt idx="16">
                    <c:v>HU</c:v>
                  </c:pt>
                  <c:pt idx="17">
                    <c:v>NL</c:v>
                  </c:pt>
                  <c:pt idx="18">
                    <c:v>AT</c:v>
                  </c:pt>
                  <c:pt idx="19">
                    <c:v>PL</c:v>
                  </c:pt>
                  <c:pt idx="20">
                    <c:v>PT</c:v>
                  </c:pt>
                  <c:pt idx="21">
                    <c:v>RO</c:v>
                  </c:pt>
                  <c:pt idx="22">
                    <c:v>SI</c:v>
                  </c:pt>
                  <c:pt idx="23">
                    <c:v>SK</c:v>
                  </c:pt>
                  <c:pt idx="24">
                    <c:v>FI</c:v>
                  </c:pt>
                  <c:pt idx="25">
                    <c:v>SE</c:v>
                  </c:pt>
                  <c:pt idx="26">
                    <c:v>UK</c:v>
                  </c:pt>
                </c15:dlblRangeCache>
              </c15:datalabelsRange>
            </c:ext>
          </c:extLst>
        </c:ser>
        <c:dLbls>
          <c:showLegendKey val="0"/>
          <c:showVal val="0"/>
          <c:showCatName val="0"/>
          <c:showSerName val="0"/>
          <c:showPercent val="0"/>
          <c:showBubbleSize val="0"/>
        </c:dLbls>
        <c:axId val="629921208"/>
        <c:axId val="629940808"/>
      </c:scatterChart>
      <c:valAx>
        <c:axId val="629921208"/>
        <c:scaling>
          <c:orientation val="minMax"/>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29940808"/>
        <c:crosses val="autoZero"/>
        <c:crossBetween val="midCat"/>
        <c:majorUnit val="10"/>
      </c:valAx>
      <c:valAx>
        <c:axId val="629940808"/>
        <c:scaling>
          <c:orientation val="minMax"/>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29921208"/>
        <c:crosses val="autoZero"/>
        <c:crossBetween val="midCat"/>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59412201441466"/>
          <c:y val="0.098301682877875565"/>
          <c:w val="0.77357359176256812"/>
          <c:h val="0.70304526351383989"/>
        </c:manualLayout>
      </c:layout>
      <c:barChart>
        <c:barDir val="col"/>
        <c:grouping val="clustered"/>
        <c:varyColors val="0"/>
        <c:ser>
          <c:idx val="4"/>
          <c:order val="0"/>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559C-4A85-A70F-B8C0BF8D2F9B}"/>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559C-4A85-A70F-B8C0BF8D2F9B}"/>
              </c:ext>
            </c:extLst>
          </c:dPt>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Sheet1!$A$3:$A$5</c:f>
              <c:strCache>
                <c:ptCount val="3"/>
                <c:pt idx="0">
                  <c:v>2005</c:v>
                </c:pt>
                <c:pt idx="1">
                  <c:v>2010</c:v>
                </c:pt>
                <c:pt idx="2">
                  <c:v>2014</c:v>
                </c:pt>
              </c:strCache>
            </c:strRef>
          </c:cat>
          <c:val>
            <c:numRef>
              <c:f>Sheet1!$B$3:$B$5</c:f>
              <c:numCache>
                <c:formatCode>0.0</c:formatCode>
                <c:ptCount val="3"/>
                <c:pt idx="0">
                  <c:v>0.6598739271925439</c:v>
                </c:pt>
                <c:pt idx="1">
                  <c:v>0.523586695333249</c:v>
                </c:pt>
                <c:pt idx="2">
                  <c:v>0.50183506853419224</c:v>
                </c:pt>
              </c:numCache>
            </c:numRef>
          </c:val>
          <c:extLst>
            <c:ext xmlns:c="http://schemas.openxmlformats.org/drawingml/2006/chart" xmlns:c16="http://schemas.microsoft.com/office/drawing/2014/chart" uri="{C3380CC4-5D6E-409C-BE32-E72D297353CC}">
              <c16:uniqueId val="{00000004-559C-4A85-A70F-B8C0BF8D2F9B}"/>
            </c:ext>
          </c:extLst>
        </c:ser>
        <c:dLbls>
          <c:showLegendKey val="0"/>
          <c:showVal val="0"/>
          <c:showCatName val="0"/>
          <c:showSerName val="0"/>
          <c:showPercent val="0"/>
          <c:showBubbleSize val="0"/>
        </c:dLbls>
        <c:gapWidth val="20"/>
        <c:axId val="629934144"/>
        <c:axId val="629941200"/>
      </c:barChart>
      <c:catAx>
        <c:axId val="629934144"/>
        <c:scaling>
          <c:orientation val="minMax"/>
        </c:scaling>
        <c:delete val="0"/>
        <c:axPos val="b"/>
        <c:numFmt formatCode="General" sourceLinked="0"/>
        <c:majorTickMark val="out"/>
        <c:minorTickMark val="none"/>
        <c:tickLblPos val="nextTo"/>
        <c:crossAx val="629941200"/>
        <c:crosses val="autoZero"/>
        <c:auto val="1"/>
        <c:lblAlgn val="ctr"/>
        <c:lblOffset val="100"/>
        <c:noMultiLvlLbl val="0"/>
      </c:catAx>
      <c:valAx>
        <c:axId val="629941200"/>
        <c:scaling>
          <c:orientation val="minMax"/>
          <c:min val="0"/>
        </c:scaling>
        <c:delete val="0"/>
        <c:axPos val="l"/>
        <c:numFmt formatCode="0.0" sourceLinked="0"/>
        <c:majorTickMark val="out"/>
        <c:minorTickMark val="none"/>
        <c:tickLblPos val="nextTo"/>
        <c:crossAx val="629934144"/>
        <c:crosses val="autoZero"/>
        <c:crossBetween val="between"/>
        <c:majorUnit val="1"/>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mbria Math" panose="02040503050406030204" pitchFamily="18" charset="0"/>
          <a:ea typeface="Cambria Math" panose="02040503050406030204" pitchFamily="18" charset="0"/>
          <a:cs typeface="Arial"/>
        </a:defRPr>
      </a:pPr>
      <a:endParaRPr lang="lv-LV"/>
    </a:p>
  </c:txPr>
  <c:externalData r:id="rId1">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73546128124922"/>
          <c:y val="0.048706240487062395"/>
          <c:w val="0.84631315184653555"/>
          <c:h val="0.73779794474843186"/>
        </c:manualLayout>
      </c:layout>
      <c:lineChart>
        <c:grouping val="standard"/>
        <c:varyColors val="0"/>
        <c:ser>
          <c:idx val="0"/>
          <c:order val="0"/>
          <c:tx>
            <c:strRef>
              <c:f>Sheet1!$A$2</c:f>
              <c:strCache>
                <c:ptCount val="1"/>
                <c:pt idx="0">
                  <c:v>Nodarbinātie</c:v>
                </c:pt>
              </c:strCache>
            </c:strRef>
          </c:tx>
          <c:spPr>
            <a:ln w="19050">
              <a:solidFill>
                <a:srgbClr val="0070C0"/>
              </a:solidFill>
              <a:prstDash val="dash"/>
            </a:ln>
          </c:spPr>
          <c:marker>
            <c:symbol val="none"/>
          </c:marker>
          <c:cat>
            <c:numRef>
              <c:f>Sheet1!$B$1:$K$1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Sheet1!$B$2:$K$2</c:f>
              <c:numCache>
                <c:formatCode>0.0</c:formatCode>
                <c:ptCount val="10"/>
                <c:pt idx="0">
                  <c:v>105.37893108781577</c:v>
                </c:pt>
                <c:pt idx="1">
                  <c:v>114.60732084550609</c:v>
                </c:pt>
                <c:pt idx="2">
                  <c:v>101.34043650111703</c:v>
                </c:pt>
                <c:pt idx="3">
                  <c:v>76.0783639800653</c:v>
                </c:pt>
                <c:pt idx="4">
                  <c:v>68.29352122357794</c:v>
                </c:pt>
                <c:pt idx="5">
                  <c:v>71.26654064272212</c:v>
                </c:pt>
                <c:pt idx="6">
                  <c:v>76.387695480323075</c:v>
                </c:pt>
                <c:pt idx="7">
                  <c:v>79.154493899295417</c:v>
                </c:pt>
                <c:pt idx="8">
                  <c:v>79.532565732943823</c:v>
                </c:pt>
                <c:pt idx="9">
                  <c:v>78.690496648908763</c:v>
                </c:pt>
              </c:numCache>
            </c:numRef>
          </c:val>
          <c:smooth val="0"/>
          <c:extLst>
            <c:ext xmlns:c="http://schemas.openxmlformats.org/drawingml/2006/chart" xmlns:c16="http://schemas.microsoft.com/office/drawing/2014/chart" uri="{C3380CC4-5D6E-409C-BE32-E72D297353CC}">
              <c16:uniqueId val="{00000000-A6F6-4F69-A9DA-C320E3E2B38D}"/>
            </c:ext>
          </c:extLst>
        </c:ser>
        <c:ser>
          <c:idx val="1"/>
          <c:order val="1"/>
          <c:tx>
            <c:strRef>
              <c:f>Sheet1!$A$3</c:f>
              <c:strCache>
                <c:ptCount val="1"/>
                <c:pt idx="0">
                  <c:v>Ražošanas apjomi</c:v>
                </c:pt>
              </c:strCache>
            </c:strRef>
          </c:tx>
          <c:marker>
            <c:symbol val="none"/>
          </c:marker>
          <c:cat>
            <c:numRef>
              <c:f>Sheet1!$B$1:$K$1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Sheet1!$B$3:$K$3</c:f>
              <c:numCache>
                <c:formatCode>0.0</c:formatCode>
                <c:ptCount val="10"/>
                <c:pt idx="0">
                  <c:v>120.03499562554678</c:v>
                </c:pt>
                <c:pt idx="1">
                  <c:v>94.050743657042858</c:v>
                </c:pt>
                <c:pt idx="2">
                  <c:v>95.450568678915133</c:v>
                </c:pt>
                <c:pt idx="3">
                  <c:v>70.5161854768154</c:v>
                </c:pt>
                <c:pt idx="4">
                  <c:v>72.440944881889777</c:v>
                </c:pt>
                <c:pt idx="5">
                  <c:v>65.1793525809274</c:v>
                </c:pt>
                <c:pt idx="6">
                  <c:v>73.228346456692933</c:v>
                </c:pt>
                <c:pt idx="7">
                  <c:v>74.278215223097149</c:v>
                </c:pt>
                <c:pt idx="8">
                  <c:v>79.877515310586219</c:v>
                </c:pt>
                <c:pt idx="9" formatCode="General">
                  <c:v>78.2152230971129</c:v>
                </c:pt>
              </c:numCache>
            </c:numRef>
          </c:val>
          <c:smooth val="0"/>
          <c:extLst>
            <c:ext xmlns:c="http://schemas.openxmlformats.org/drawingml/2006/chart" xmlns:c16="http://schemas.microsoft.com/office/drawing/2014/chart" uri="{C3380CC4-5D6E-409C-BE32-E72D297353CC}">
              <c16:uniqueId val="{00000001-A6F6-4F69-A9DA-C320E3E2B38D}"/>
            </c:ext>
          </c:extLst>
        </c:ser>
        <c:dLbls>
          <c:showLegendKey val="0"/>
          <c:showVal val="0"/>
          <c:showCatName val="0"/>
          <c:showSerName val="0"/>
          <c:showPercent val="0"/>
          <c:showBubbleSize val="0"/>
        </c:dLbls>
        <c:smooth val="0"/>
        <c:axId val="629932576"/>
        <c:axId val="629941592"/>
      </c:lineChart>
      <c:catAx>
        <c:axId val="629932576"/>
        <c:scaling>
          <c:orientation val="minMax"/>
        </c:scaling>
        <c:delete val="0"/>
        <c:axPos val="b"/>
        <c:numFmt formatCode="General" sourceLinked="1"/>
        <c:majorTickMark val="cross"/>
        <c:minorTickMark val="none"/>
        <c:tickLblPos val="nextTo"/>
        <c:spPr>
          <a:ln w="6350">
            <a:solidFill>
              <a:srgbClr val="000000"/>
            </a:solidFill>
          </a:ln>
        </c:spPr>
        <c:txPr>
          <a:bodyPr rot="-5400000" vert="horz"/>
          <a:lstStyle/>
          <a:p>
            <a:pPr>
              <a:defRPr sz="700" b="0" i="0" u="none" strike="noStrike" baseline="0">
                <a:solidFill>
                  <a:srgbClr val="000000"/>
                </a:solidFill>
                <a:latin typeface="Arial Narrow" pitchFamily="34" charset="0"/>
                <a:ea typeface="Times New Roman"/>
                <a:cs typeface="Times New Roman" pitchFamily="18" charset="0"/>
              </a:defRPr>
            </a:pPr>
            <a:endParaRPr lang="lv-LV"/>
          </a:p>
        </c:txPr>
        <c:crossAx val="629941592"/>
        <c:crosses val="autoZero"/>
        <c:auto val="1"/>
        <c:lblAlgn val="ctr"/>
        <c:lblOffset val="0"/>
        <c:noMultiLvlLbl val="0"/>
      </c:catAx>
      <c:valAx>
        <c:axId val="629941592"/>
        <c:scaling>
          <c:orientation val="minMax"/>
          <c:max val="150"/>
          <c:min val="50"/>
        </c:scaling>
        <c:delete val="0"/>
        <c:axPos val="l"/>
        <c:numFmt formatCode="0" sourceLinked="0"/>
        <c:majorTickMark val="cross"/>
        <c:minorTickMark val="none"/>
        <c:tickLblPos val="nextTo"/>
        <c:spPr>
          <a:ln w="6350">
            <a:solidFill>
              <a:sysClr val="windowText" lastClr="000000"/>
            </a:solidFill>
          </a:ln>
        </c:spPr>
        <c:txPr>
          <a:bodyPr rot="0" vert="horz"/>
          <a:lstStyle/>
          <a:p>
            <a:pPr>
              <a:defRPr sz="700" b="0" i="0" u="none" strike="noStrike" baseline="0">
                <a:solidFill>
                  <a:srgbClr val="000000"/>
                </a:solidFill>
                <a:latin typeface="Arial Narrow" pitchFamily="34" charset="0"/>
                <a:ea typeface="Times New Roman"/>
                <a:cs typeface="Times New Roman"/>
              </a:defRPr>
            </a:pPr>
            <a:endParaRPr lang="lv-LV"/>
          </a:p>
        </c:txPr>
        <c:crossAx val="629932576"/>
        <c:crosses val="autoZero"/>
        <c:crossBetween val="between"/>
        <c:majorUnit val="25"/>
      </c:valAx>
      <c:spPr>
        <a:solidFill>
          <a:sysClr val="window" lastClr="FFFFFF"/>
        </a:solidFill>
        <a:ln w="6350">
          <a:noFill/>
        </a:ln>
      </c:spPr>
    </c:plotArea>
    <c:legend>
      <c:legendPos val="t"/>
      <c:layout>
        <c:manualLayout>
          <c:xMode val="edge"/>
          <c:yMode val="edge"/>
          <c:x val="0.14280650412978177"/>
          <c:y val="0.031201248049921998"/>
          <c:w val="0.65805884790716951"/>
          <c:h val="0.19964223582144541"/>
        </c:manualLayout>
      </c:layout>
      <c:overlay val="0"/>
      <c:txPr>
        <a:bodyPr/>
        <a:lstStyle/>
        <a:p>
          <a:pPr>
            <a:defRPr sz="700" b="0">
              <a:latin typeface="Arial Narrow" pitchFamily="34" charset="0"/>
            </a:defRPr>
          </a:pPr>
          <a:endParaRPr lang="lv-LV"/>
        </a:p>
      </c:txPr>
    </c:legend>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7354822834645707"/>
          <c:y val="0.054187037037040774"/>
          <c:w val="0.8789631193571017"/>
          <c:h val="0.66360805409156343"/>
        </c:manualLayout>
      </c:layout>
      <c:lineChart>
        <c:grouping val="standard"/>
        <c:varyColors val="0"/>
        <c:ser>
          <c:idx val="9"/>
          <c:order val="0"/>
          <c:tx>
            <c:strRef>
              <c:f>Sheet1!$A$3</c:f>
              <c:strCache>
                <c:ptCount val="1"/>
                <c:pt idx="0">
                  <c:v>Eksports, kopā</c:v>
                </c:pt>
              </c:strCache>
            </c:strRef>
          </c:tx>
          <c:spPr>
            <a:ln w="25400">
              <a:solidFill>
                <a:schemeClr val="accent5">
                  <a:lumMod val="75000"/>
                </a:schemeClr>
              </a:solidFill>
            </a:ln>
            <a:effectLst/>
          </c:spPr>
          <c:marker>
            <c:symbol val="none"/>
          </c:marker>
          <c:cat>
            <c:numRef>
              <c:f>Sheet1!$B$2:$M$2</c:f>
              <c:numCache>
                <c:formatCode>0</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Sheet1!$B$3:$M$3</c:f>
              <c:numCache>
                <c:formatCode>0.0</c:formatCode>
                <c:ptCount val="12"/>
                <c:pt idx="0">
                  <c:v>90.611828</c:v>
                </c:pt>
                <c:pt idx="1">
                  <c:v>80.250365</c:v>
                </c:pt>
                <c:pt idx="2">
                  <c:v>98.821283</c:v>
                </c:pt>
                <c:pt idx="3">
                  <c:v>99.492126</c:v>
                </c:pt>
                <c:pt idx="4">
                  <c:v>91.46965800000001</c:v>
                </c:pt>
                <c:pt idx="5">
                  <c:v>137.337624</c:v>
                </c:pt>
                <c:pt idx="6">
                  <c:v>182.828908</c:v>
                </c:pt>
                <c:pt idx="7">
                  <c:v>197.022134</c:v>
                </c:pt>
                <c:pt idx="8">
                  <c:v>218.884709</c:v>
                </c:pt>
                <c:pt idx="9">
                  <c:v>214.185114</c:v>
                </c:pt>
                <c:pt idx="10">
                  <c:v>231.96769799999998</c:v>
                </c:pt>
                <c:pt idx="11" formatCode="0">
                  <c:v>230.413666</c:v>
                </c:pt>
              </c:numCache>
            </c:numRef>
          </c:val>
          <c:smooth val="0"/>
          <c:extLst>
            <c:ext xmlns:c="http://schemas.openxmlformats.org/drawingml/2006/chart" xmlns:c16="http://schemas.microsoft.com/office/drawing/2014/chart" uri="{C3380CC4-5D6E-409C-BE32-E72D297353CC}">
              <c16:uniqueId val="{00000000-FC04-4B4B-8DE7-405A9C5DBF63}"/>
            </c:ext>
          </c:extLst>
        </c:ser>
        <c:dLbls>
          <c:showLegendKey val="0"/>
          <c:showVal val="0"/>
          <c:showCatName val="0"/>
          <c:showSerName val="0"/>
          <c:showPercent val="0"/>
          <c:showBubbleSize val="0"/>
        </c:dLbls>
        <c:smooth val="0"/>
        <c:axId val="629941984"/>
        <c:axId val="629935320"/>
      </c:lineChart>
      <c:catAx>
        <c:axId val="629941984"/>
        <c:scaling>
          <c:orientation val="minMax"/>
        </c:scaling>
        <c:delete val="0"/>
        <c:axPos val="b"/>
        <c:numFmt formatCode="0" sourceLinked="1"/>
        <c:majorTickMark val="out"/>
        <c:minorTickMark val="none"/>
        <c:tickLblPos val="low"/>
        <c:spPr>
          <a:noFill/>
          <a:ln w="3175">
            <a:solidFill>
              <a:sysClr val="window" lastClr="FFFFFF">
                <a:lumMod val="50000"/>
              </a:sysClr>
            </a:solidFill>
            <a:round/>
          </a:ln>
          <a:effectLst/>
        </c:spPr>
        <c:txPr>
          <a:bodyPr rot="-5400000" vert="horz"/>
          <a:lstStyle/>
          <a:p>
            <a:pPr>
              <a:defRPr sz="700"/>
            </a:pPr>
            <a:endParaRPr lang="lv-LV"/>
          </a:p>
        </c:txPr>
        <c:crossAx val="629935320"/>
        <c:crosses val="autoZero"/>
        <c:lblAlgn val="ctr"/>
        <c:lblOffset val="100"/>
        <c:noMultiLvlLbl val="0"/>
      </c:catAx>
      <c:valAx>
        <c:axId val="629935320"/>
        <c:scaling>
          <c:orientation val="minMax"/>
          <c:max val="250"/>
          <c:min val="0"/>
        </c:scaling>
        <c:delete val="0"/>
        <c:axPos val="l"/>
        <c:numFmt formatCode="0" sourceLinked="0"/>
        <c:majorTickMark val="out"/>
        <c:minorTickMark val="none"/>
        <c:tickLblPos val="nextTo"/>
        <c:spPr>
          <a:noFill/>
          <a:ln w="3175">
            <a:solidFill>
              <a:sysClr val="window" lastClr="FFFFFF">
                <a:lumMod val="50000"/>
              </a:sysClr>
            </a:solidFill>
            <a:round/>
          </a:ln>
          <a:effectLst/>
        </c:spPr>
        <c:txPr>
          <a:bodyPr rot="0"/>
          <a:lstStyle/>
          <a:p>
            <a:pPr>
              <a:defRPr/>
            </a:pPr>
            <a:endParaRPr lang="lv-LV"/>
          </a:p>
        </c:txPr>
        <c:crossAx val="629941984"/>
        <c:crosses val="autoZero"/>
        <c:crossBetween val="between"/>
      </c:valAx>
      <c:spPr>
        <a:noFill/>
        <a:ln w="24631">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Arial Narrow" panose="020B0606020202030204" pitchFamily="34" charset="0"/>
          <a:ea typeface="Arial"/>
          <a:cs typeface="Arial"/>
        </a:defRPr>
      </a:pPr>
      <a:endParaRPr lang="lv-LV"/>
    </a:p>
  </c:txPr>
  <c:externalData r:id="rId1">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5939056398438"/>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329A-41B9-8F03-20F001A70BC2}"/>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329A-41B9-8F03-20F001A70BC2}"/>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Sheet1!$B$2:$L$2</c:f>
              <c:numCache>
                <c:formatCode>0</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Sheet1!$B$3:$L$3</c:f>
              <c:numCache>
                <c:formatCode>0</c:formatCode>
                <c:ptCount val="11"/>
                <c:pt idx="0">
                  <c:v>15.357936949152542</c:v>
                </c:pt>
                <c:pt idx="1">
                  <c:v>12.657786277602524</c:v>
                </c:pt>
                <c:pt idx="2">
                  <c:v>14.618532988165681</c:v>
                </c:pt>
                <c:pt idx="3">
                  <c:v>15.143398173515981</c:v>
                </c:pt>
                <c:pt idx="4">
                  <c:v>18.221047410358569</c:v>
                </c:pt>
                <c:pt idx="5">
                  <c:v>30.587444097995544</c:v>
                </c:pt>
                <c:pt idx="6">
                  <c:v>39.402781896551723</c:v>
                </c:pt>
                <c:pt idx="7">
                  <c:v>39.722204435483867</c:v>
                </c:pt>
                <c:pt idx="8">
                  <c:v>43.602531673306771</c:v>
                </c:pt>
                <c:pt idx="9">
                  <c:v>42.922868537074145</c:v>
                </c:pt>
                <c:pt idx="10">
                  <c:v>46.3935396</c:v>
                </c:pt>
              </c:numCache>
            </c:numRef>
          </c:val>
          <c:extLst>
            <c:ext xmlns:c="http://schemas.openxmlformats.org/drawingml/2006/chart" xmlns:c16="http://schemas.microsoft.com/office/drawing/2014/chart" uri="{C3380CC4-5D6E-409C-BE32-E72D297353CC}">
              <c16:uniqueId val="{00000004-329A-41B9-8F03-20F001A70BC2}"/>
            </c:ext>
          </c:extLst>
        </c:ser>
        <c:dLbls>
          <c:showLegendKey val="0"/>
          <c:showVal val="0"/>
          <c:showCatName val="0"/>
          <c:showSerName val="0"/>
          <c:showPercent val="0"/>
          <c:showBubbleSize val="0"/>
        </c:dLbls>
        <c:gapWidth val="20"/>
        <c:axId val="629936496"/>
        <c:axId val="629936104"/>
      </c:barChart>
      <c:catAx>
        <c:axId val="629936496"/>
        <c:scaling>
          <c:orientation val="minMax"/>
        </c:scaling>
        <c:delete val="0"/>
        <c:axPos val="b"/>
        <c:numFmt formatCode="0" sourceLinked="1"/>
        <c:majorTickMark val="out"/>
        <c:minorTickMark val="none"/>
        <c:tickLblPos val="low"/>
        <c:txPr>
          <a:bodyPr rot="-5400000" vert="horz"/>
          <a:lstStyle/>
          <a:p>
            <a:pPr>
              <a:defRPr/>
            </a:pPr>
            <a:endParaRPr lang="lv-LV"/>
          </a:p>
        </c:txPr>
        <c:crossAx val="629936104"/>
        <c:crosses val="autoZero"/>
        <c:auto val="1"/>
        <c:lblAlgn val="ctr"/>
        <c:lblOffset val="100"/>
        <c:noMultiLvlLbl val="0"/>
      </c:catAx>
      <c:valAx>
        <c:axId val="629936104"/>
        <c:scaling>
          <c:orientation val="minMax"/>
        </c:scaling>
        <c:delete val="0"/>
        <c:axPos val="l"/>
        <c:numFmt formatCode="0" sourceLinked="0"/>
        <c:majorTickMark val="out"/>
        <c:minorTickMark val="none"/>
        <c:tickLblPos val="nextTo"/>
        <c:crossAx val="629936496"/>
        <c:crosses val="autoZero"/>
        <c:crossBetween val="between"/>
        <c:majorUnit val="10"/>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572372897835"/>
          <c:y val="0.044057785459744363"/>
          <c:w val="0.9310540474739486"/>
          <c:h val="0.72250176045067538"/>
        </c:manualLayout>
      </c:layout>
      <c:barChart>
        <c:barDir val="col"/>
        <c:grouping val="clustered"/>
        <c:varyColors val="0"/>
        <c:ser>
          <c:idx val="1"/>
          <c:order val="0"/>
          <c:tx>
            <c:strRef>
              <c:f>Sheet1!$B$3</c:f>
              <c:strCache>
                <c:ptCount val="1"/>
              </c:strCache>
            </c:strRef>
          </c:tx>
          <c:spPr>
            <a:solidFill>
              <a:schemeClr val="accent3">
                <a:lumMod val="50000"/>
              </a:schemeClr>
            </a:solidFill>
            <a:ln w="19050"/>
          </c:spPr>
          <c:invertIfNegative val="0"/>
          <c:dPt>
            <c:idx val="9"/>
            <c:invertIfNegative val="0"/>
            <c:bubble3D val="0"/>
            <c:extLst>
              <c:ext xmlns:c="http://schemas.openxmlformats.org/drawingml/2006/chart" xmlns:c16="http://schemas.microsoft.com/office/drawing/2014/chart" uri="{C3380CC4-5D6E-409C-BE32-E72D297353CC}">
                <c16:uniqueId val="{00000000-6F72-4FEC-9DB1-3DBF6FDB7E96}"/>
              </c:ext>
            </c:extLst>
          </c:dPt>
          <c:dPt>
            <c:idx val="10"/>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2-6F72-4FEC-9DB1-3DBF6FDB7E96}"/>
              </c:ext>
            </c:extLst>
          </c:dPt>
          <c:dPt>
            <c:idx val="16"/>
            <c:invertIfNegative val="0"/>
            <c:bubble3D val="0"/>
            <c:spPr>
              <a:ln w="19050"/>
            </c:spPr>
            <c:extLst>
              <c:ext xmlns:c="http://schemas.openxmlformats.org/drawingml/2006/chart" xmlns:c16="http://schemas.microsoft.com/office/drawing/2014/chart" uri="{C3380CC4-5D6E-409C-BE32-E72D297353CC}">
                <c16:uniqueId val="{00000004-6F72-4FEC-9DB1-3DBF6FDB7E96}"/>
              </c:ext>
            </c:extLst>
          </c:dPt>
          <c:dPt>
            <c:idx val="18"/>
            <c:invertIfNegative val="0"/>
            <c:bubble3D val="0"/>
            <c:extLst>
              <c:ext xmlns:c="http://schemas.openxmlformats.org/drawingml/2006/chart" xmlns:c16="http://schemas.microsoft.com/office/drawing/2014/chart" uri="{C3380CC4-5D6E-409C-BE32-E72D297353CC}">
                <c16:uniqueId val="{00000005-6F72-4FEC-9DB1-3DBF6FDB7E96}"/>
              </c:ext>
            </c:extLst>
          </c:dPt>
          <c:dPt>
            <c:idx val="25"/>
            <c:invertIfNegative val="0"/>
            <c:bubble3D val="0"/>
            <c:extLst>
              <c:ext xmlns:c="http://schemas.openxmlformats.org/drawingml/2006/chart" xmlns:c16="http://schemas.microsoft.com/office/drawing/2014/chart" uri="{C3380CC4-5D6E-409C-BE32-E72D297353CC}">
                <c16:uniqueId val="{00000006-6F72-4FEC-9DB1-3DBF6FDB7E96}"/>
              </c:ext>
            </c:extLst>
          </c:dPt>
          <c:dLbls>
            <c:dLbl>
              <c:idx val="10"/>
              <c:spPr>
                <a:noFill/>
                <a:ln>
                  <a:noFill/>
                </a:ln>
                <a:effectLst/>
              </c:spPr>
              <c:txPr>
                <a:bodyPr wrap="square" lIns="38100" tIns="19050" rIns="38100" bIns="19050" anchor="ctr">
                  <a:spAutoFit/>
                </a:bodyPr>
                <a:lstStyle/>
                <a:p>
                  <a:pPr>
                    <a:defRPr sz="600" b="0"/>
                  </a:pPr>
                  <a:endParaRPr lang="lv-LV"/>
                </a:p>
              </c:txPr>
              <c:showLegendKey val="0"/>
              <c:showVal val="1"/>
              <c:showCatName val="0"/>
              <c:showSerName val="0"/>
              <c:showPercent val="0"/>
              <c:showBubbleSize val="0"/>
            </c:dLbl>
            <c:dLbl>
              <c:idx val="16"/>
              <c:spPr>
                <a:noFill/>
                <a:ln>
                  <a:noFill/>
                </a:ln>
                <a:effectLst/>
              </c:spPr>
              <c:txPr>
                <a:bodyPr wrap="square" lIns="38100" tIns="19050" rIns="38100" bIns="19050" anchor="ctr">
                  <a:spAutoFit/>
                </a:bodyPr>
                <a:lstStyle/>
                <a:p>
                  <a:pPr>
                    <a:defRPr sz="600" b="1"/>
                  </a:pPr>
                  <a:endParaRPr lang="lv-LV"/>
                </a:p>
              </c:txPr>
              <c:showLegendKey val="0"/>
              <c:showVal val="1"/>
              <c:showCatName val="0"/>
              <c:showSerName val="0"/>
              <c:showPercent val="0"/>
              <c:showBubbleSize val="0"/>
            </c:dLbl>
            <c:dLbl>
              <c:idx val="18"/>
              <c:spPr>
                <a:noFill/>
                <a:ln>
                  <a:noFill/>
                </a:ln>
                <a:effectLst/>
              </c:spPr>
              <c:txPr>
                <a:bodyPr wrap="square" lIns="38100" tIns="19050" rIns="38100" bIns="19050" anchor="ctr">
                  <a:spAutoFit/>
                </a:bodyPr>
                <a:lstStyle/>
                <a:p>
                  <a:pPr>
                    <a:defRPr sz="600" b="0"/>
                  </a:pPr>
                  <a:endParaRPr lang="lv-LV"/>
                </a:p>
              </c:txPr>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Sheet1!$A$4:$A$31</c:f>
              <c:strCache>
                <c:ptCount val="28"/>
                <c:pt idx="0">
                  <c:v>FI</c:v>
                </c:pt>
                <c:pt idx="1">
                  <c:v>SE</c:v>
                </c:pt>
                <c:pt idx="2">
                  <c:v>NL</c:v>
                </c:pt>
                <c:pt idx="3">
                  <c:v>BE</c:v>
                </c:pt>
                <c:pt idx="4">
                  <c:v>AT</c:v>
                </c:pt>
                <c:pt idx="5">
                  <c:v>SI</c:v>
                </c:pt>
                <c:pt idx="6">
                  <c:v>PT</c:v>
                </c:pt>
                <c:pt idx="7">
                  <c:v>DK</c:v>
                </c:pt>
                <c:pt idx="8">
                  <c:v>MT</c:v>
                </c:pt>
                <c:pt idx="9">
                  <c:v>SK</c:v>
                </c:pt>
                <c:pt idx="10">
                  <c:v>EU-28</c:v>
                </c:pt>
                <c:pt idx="11">
                  <c:v>DE</c:v>
                </c:pt>
                <c:pt idx="12">
                  <c:v>FR</c:v>
                </c:pt>
                <c:pt idx="13">
                  <c:v>EE</c:v>
                </c:pt>
                <c:pt idx="14">
                  <c:v>CZ</c:v>
                </c:pt>
                <c:pt idx="15">
                  <c:v>IT</c:v>
                </c:pt>
                <c:pt idx="16">
                  <c:v>LV</c:v>
                </c:pt>
                <c:pt idx="17">
                  <c:v>ES</c:v>
                </c:pt>
                <c:pt idx="18">
                  <c:v>UK</c:v>
                </c:pt>
                <c:pt idx="19">
                  <c:v>IE</c:v>
                </c:pt>
                <c:pt idx="20">
                  <c:v>LT</c:v>
                </c:pt>
                <c:pt idx="21">
                  <c:v>PL</c:v>
                </c:pt>
                <c:pt idx="22">
                  <c:v>HU</c:v>
                </c:pt>
                <c:pt idx="23">
                  <c:v>HR</c:v>
                </c:pt>
                <c:pt idx="24">
                  <c:v>RO</c:v>
                </c:pt>
                <c:pt idx="25">
                  <c:v>EL</c:v>
                </c:pt>
                <c:pt idx="26">
                  <c:v>BG</c:v>
                </c:pt>
                <c:pt idx="27">
                  <c:v>CY</c:v>
                </c:pt>
              </c:strCache>
            </c:strRef>
          </c:cat>
          <c:val>
            <c:numRef>
              <c:f>Sheet1!$B$4:$B$31</c:f>
              <c:numCache>
                <c:formatCode>0</c:formatCode>
                <c:ptCount val="28"/>
                <c:pt idx="0">
                  <c:v>321.96007665529015</c:v>
                </c:pt>
                <c:pt idx="1">
                  <c:v>244.98989907317073</c:v>
                </c:pt>
                <c:pt idx="2">
                  <c:v>198.37420284615385</c:v>
                </c:pt>
                <c:pt idx="3">
                  <c:v>194.9337984981685</c:v>
                </c:pt>
                <c:pt idx="4">
                  <c:v>165.10926321917808</c:v>
                </c:pt>
                <c:pt idx="5">
                  <c:v>114.05021153846154</c:v>
                </c:pt>
                <c:pt idx="6">
                  <c:v>92.733257364048342</c:v>
                </c:pt>
                <c:pt idx="7">
                  <c:v>86.442023666666671</c:v>
                </c:pt>
                <c:pt idx="8">
                  <c:v>85.236869620253159</c:v>
                </c:pt>
                <c:pt idx="9">
                  <c:v>79.970117613636361</c:v>
                </c:pt>
                <c:pt idx="10">
                  <c:v>73.885659967213584</c:v>
                </c:pt>
                <c:pt idx="11">
                  <c:v>72.43129812218649</c:v>
                </c:pt>
                <c:pt idx="12">
                  <c:v>60.040681376923075</c:v>
                </c:pt>
                <c:pt idx="13">
                  <c:v>56.573372807017542</c:v>
                </c:pt>
                <c:pt idx="14">
                  <c:v>52.908120918697442</c:v>
                </c:pt>
                <c:pt idx="15">
                  <c:v>47.2561433060968</c:v>
                </c:pt>
                <c:pt idx="16">
                  <c:v>46</c:v>
                </c:pt>
                <c:pt idx="17">
                  <c:v>43.742910633147112</c:v>
                </c:pt>
                <c:pt idx="18">
                  <c:v>43.590714187754116</c:v>
                </c:pt>
                <c:pt idx="19">
                  <c:v>43.107807383966247</c:v>
                </c:pt>
                <c:pt idx="20">
                  <c:v>41.678205849268842</c:v>
                </c:pt>
                <c:pt idx="21">
                  <c:v>35.806759116788321</c:v>
                </c:pt>
                <c:pt idx="22">
                  <c:v>35.331931170614482</c:v>
                </c:pt>
                <c:pt idx="23">
                  <c:v>23.847072692673645</c:v>
                </c:pt>
                <c:pt idx="24">
                  <c:v>21.308566214689264</c:v>
                </c:pt>
                <c:pt idx="25">
                  <c:v>18.596727592267133</c:v>
                </c:pt>
                <c:pt idx="26">
                  <c:v>15.524475717884131</c:v>
                </c:pt>
                <c:pt idx="27">
                  <c:v>3.9744006535947718</c:v>
                </c:pt>
              </c:numCache>
            </c:numRef>
          </c:val>
          <c:extLst>
            <c:ext xmlns:c="http://schemas.openxmlformats.org/drawingml/2006/chart" xmlns:c16="http://schemas.microsoft.com/office/drawing/2014/chart" uri="{C3380CC4-5D6E-409C-BE32-E72D297353CC}">
              <c16:uniqueId val="{00000007-6F72-4FEC-9DB1-3DBF6FDB7E96}"/>
            </c:ext>
          </c:extLst>
        </c:ser>
        <c:dLbls>
          <c:showLegendKey val="0"/>
          <c:showVal val="0"/>
          <c:showCatName val="0"/>
          <c:showSerName val="0"/>
          <c:showPercent val="0"/>
          <c:showBubbleSize val="0"/>
        </c:dLbls>
        <c:gapWidth val="20"/>
        <c:axId val="629942376"/>
        <c:axId val="629932968"/>
      </c:barChart>
      <c:catAx>
        <c:axId val="629942376"/>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29932968"/>
        <c:crosses val="autoZero"/>
        <c:auto val="1"/>
        <c:lblAlgn val="ctr"/>
        <c:lblOffset val="100"/>
        <c:tickLblSkip val="1"/>
        <c:noMultiLvlLbl val="0"/>
      </c:catAx>
      <c:valAx>
        <c:axId val="629932968"/>
        <c:scaling>
          <c:orientation val="minMax"/>
        </c:scaling>
        <c:delete val="0"/>
        <c:axPos val="l"/>
        <c:numFmt formatCode="0" sourceLinked="0"/>
        <c:majorTickMark val="out"/>
        <c:minorTickMark val="none"/>
        <c:tickLblPos val="nextTo"/>
        <c:txPr>
          <a:bodyPr/>
          <a:lstStyle/>
          <a:p>
            <a:pPr>
              <a:defRPr sz="600"/>
            </a:pPr>
            <a:endParaRPr lang="lv-LV"/>
          </a:p>
        </c:txPr>
        <c:crossAx val="629942376"/>
        <c:crosses val="autoZero"/>
        <c:crossBetween val="between"/>
        <c:majorUnit val="70"/>
      </c:valAx>
    </c:plotArea>
    <c:plotVisOnly val="1"/>
    <c:dispBlanksAs val="gap"/>
    <c:showDLblsOverMax val="0"/>
  </c:chart>
  <c:spPr>
    <a:ln w="9525">
      <a:noFill/>
    </a:ln>
  </c:spPr>
  <c:externalData r:id="rId1">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449061330451076"/>
          <c:y val="0.15218914041994749"/>
          <c:w val="0.52181675566416263"/>
          <c:h val="0.709344652230971"/>
        </c:manualLayout>
      </c:layout>
      <c:pieChart>
        <c:varyColors val="1"/>
        <c:ser>
          <c:idx val="0"/>
          <c:order val="0"/>
          <c:tx>
            <c:strRef>
              <c:f>Sheet1!$B$1</c:f>
              <c:strCache>
                <c:ptCount val="1"/>
                <c:pt idx="0">
                  <c:v>Column1</c:v>
                </c:pt>
              </c:strCache>
            </c:strRef>
          </c:tx>
          <c:dPt>
            <c:idx val="0"/>
            <c:bubble3D val="0"/>
            <c:spPr>
              <a:solidFill>
                <a:schemeClr val="accent1"/>
              </a:solidFill>
              <a:ln>
                <a:noFill/>
              </a:ln>
              <a:effectLst/>
            </c:spPr>
            <c:extLst>
              <c:ext xmlns:c="http://schemas.openxmlformats.org/drawingml/2006/chart" xmlns:c16="http://schemas.microsoft.com/office/drawing/2014/chart" uri="{C3380CC4-5D6E-409C-BE32-E72D297353CC}">
                <c16:uniqueId val="{00000001-D8AE-4BAF-8283-B503AB4D2A47}"/>
              </c:ext>
            </c:extLst>
          </c:dPt>
          <c:dPt>
            <c:idx val="1"/>
            <c:bubble3D val="0"/>
            <c:spPr>
              <a:solidFill>
                <a:schemeClr val="accent2"/>
              </a:solidFill>
              <a:ln>
                <a:noFill/>
              </a:ln>
              <a:effectLst/>
            </c:spPr>
            <c:extLst>
              <c:ext xmlns:c="http://schemas.openxmlformats.org/drawingml/2006/chart" xmlns:c16="http://schemas.microsoft.com/office/drawing/2014/chart" uri="{C3380CC4-5D6E-409C-BE32-E72D297353CC}">
                <c16:uniqueId val="{00000003-D8AE-4BAF-8283-B503AB4D2A47}"/>
              </c:ext>
            </c:extLst>
          </c:dPt>
          <c:dPt>
            <c:idx val="2"/>
            <c:bubble3D val="0"/>
            <c:spPr>
              <a:solidFill>
                <a:schemeClr val="accent3"/>
              </a:solidFill>
              <a:ln>
                <a:noFill/>
              </a:ln>
              <a:effectLst/>
            </c:spPr>
            <c:extLst>
              <c:ext xmlns:c="http://schemas.openxmlformats.org/drawingml/2006/chart" xmlns:c16="http://schemas.microsoft.com/office/drawing/2014/chart" uri="{C3380CC4-5D6E-409C-BE32-E72D297353CC}">
                <c16:uniqueId val="{00000005-D8AE-4BAF-8283-B503AB4D2A47}"/>
              </c:ext>
            </c:extLst>
          </c:dPt>
          <c:dPt>
            <c:idx val="3"/>
            <c:bubble3D val="0"/>
            <c:spPr>
              <a:solidFill>
                <a:schemeClr val="accent4"/>
              </a:solidFill>
              <a:ln>
                <a:noFill/>
              </a:ln>
              <a:effectLst/>
            </c:spPr>
            <c:extLst>
              <c:ext xmlns:c="http://schemas.openxmlformats.org/drawingml/2006/chart" xmlns:c16="http://schemas.microsoft.com/office/drawing/2014/chart" uri="{C3380CC4-5D6E-409C-BE32-E72D297353CC}">
                <c16:uniqueId val="{00000007-D8AE-4BAF-8283-B503AB4D2A47}"/>
              </c:ext>
            </c:extLst>
          </c:dPt>
          <c:dPt>
            <c:idx val="4"/>
            <c:bubble3D val="0"/>
            <c:spPr>
              <a:solidFill>
                <a:schemeClr val="accent5"/>
              </a:solidFill>
              <a:ln>
                <a:noFill/>
              </a:ln>
              <a:effectLst/>
            </c:spPr>
            <c:extLst>
              <c:ext xmlns:c="http://schemas.openxmlformats.org/drawingml/2006/chart" xmlns:c16="http://schemas.microsoft.com/office/drawing/2014/chart" uri="{C3380CC4-5D6E-409C-BE32-E72D297353CC}">
                <c16:uniqueId val="{00000009-D8AE-4BAF-8283-B503AB4D2A47}"/>
              </c:ext>
            </c:extLst>
          </c:dPt>
          <c:dPt>
            <c:idx val="5"/>
            <c:bubble3D val="0"/>
            <c:spPr>
              <a:solidFill>
                <a:schemeClr val="accent6"/>
              </a:solidFill>
              <a:ln>
                <a:noFill/>
              </a:ln>
              <a:effectLst/>
            </c:spPr>
            <c:extLst>
              <c:ext xmlns:c="http://schemas.openxmlformats.org/drawingml/2006/chart" xmlns:c16="http://schemas.microsoft.com/office/drawing/2014/chart" uri="{C3380CC4-5D6E-409C-BE32-E72D297353CC}">
                <c16:uniqueId val="{0000000B-D8AE-4BAF-8283-B503AB4D2A47}"/>
              </c:ext>
            </c:extLst>
          </c:dPt>
          <c:dPt>
            <c:idx val="6"/>
            <c:bubble3D val="0"/>
            <c:spPr>
              <a:solidFill>
                <a:schemeClr val="accent1">
                  <a:lumMod val="60000"/>
                </a:schemeClr>
              </a:solidFill>
              <a:ln>
                <a:noFill/>
              </a:ln>
              <a:effectLst/>
            </c:spPr>
            <c:extLst>
              <c:ext xmlns:c="http://schemas.openxmlformats.org/drawingml/2006/chart" xmlns:c16="http://schemas.microsoft.com/office/drawing/2014/chart" uri="{C3380CC4-5D6E-409C-BE32-E72D297353CC}">
                <c16:uniqueId val="{0000000D-D8AE-4BAF-8283-B503AB4D2A47}"/>
              </c:ext>
            </c:extLst>
          </c:dPt>
          <c:dLbls>
            <c:dLbl>
              <c:idx val="0"/>
              <c:layout>
                <c:manualLayout>
                  <c:x val="0.053621427432422986"/>
                  <c:y val="0"/>
                </c:manualLayout>
              </c:layout>
              <c:spPr>
                <a:noFill/>
                <a:ln>
                  <a:noFill/>
                </a:ln>
                <a:effectLst/>
              </c:spPr>
              <c:txPr>
                <a:bodyPr rot="0" spcFirstLastPara="1" vertOverflow="ellipsis" vert="horz" wrap="square" lIns="38100" tIns="19050" rIns="38100" bIns="19050" anchor="ctr" anchorCtr="1"/>
                <a:lstStyle/>
                <a:p>
                  <a:pPr>
                    <a:defRPr sz="7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1-D8AE-4BAF-8283-B503AB4D2A47}"/>
                </c:ext>
                <c:ext xmlns:c15="http://schemas.microsoft.com/office/drawing/2012/chart" uri="{CE6537A1-D6FC-4f65-9D91-7224C49458BB}">
                  <c15:layout>
                    <c:manualLayout>
                      <c:w val="0.24651340996168583"/>
                      <c:h val="0.26587780287909696"/>
                    </c:manualLayout>
                  </c15:layout>
                </c:ext>
              </c:extLst>
            </c:dLbl>
            <c:dLbl>
              <c:idx val="1"/>
              <c:layout>
                <c:manualLayout>
                  <c:x val="-0.0078851905642984572"/>
                  <c:y val="0.01734835228929717"/>
                </c:manualLayout>
              </c:layout>
              <c:spPr>
                <a:noFill/>
                <a:ln>
                  <a:noFill/>
                </a:ln>
                <a:effectLst/>
              </c:spPr>
              <c:txPr>
                <a:bodyPr rot="0" spcFirstLastPara="1" vertOverflow="ellipsis" vert="horz" wrap="square" lIns="38100" tIns="19050" rIns="38100" bIns="19050" anchor="ctr" anchorCtr="1"/>
                <a:lstStyle/>
                <a:p>
                  <a:pPr>
                    <a:defRPr sz="7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3-D8AE-4BAF-8283-B503AB4D2A47}"/>
                </c:ext>
                <c:ext xmlns:c15="http://schemas.microsoft.com/office/drawing/2012/chart" uri="{CE6537A1-D6FC-4f65-9D91-7224C49458BB}">
                  <c15:layout>
                    <c:manualLayout>
                      <c:w val="0.26091893685703083"/>
                      <c:h val="0.23486573231270882"/>
                    </c:manualLayout>
                  </c15:layout>
                </c:ext>
              </c:extLst>
            </c:dLbl>
            <c:dLbl>
              <c:idx val="2"/>
              <c:layout>
                <c:manualLayout>
                  <c:x val="0.053639846743295014"/>
                  <c:y val="-0.023096381754509013"/>
                </c:manualLayout>
              </c:layout>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5-D8AE-4BAF-8283-B503AB4D2A47}"/>
                </c:ext>
                <c:ext xmlns:c15="http://schemas.microsoft.com/office/drawing/2012/chart" uri="{CE6537A1-D6FC-4f65-9D91-7224C49458BB}">
                  <c15:layout>
                    <c:manualLayout>
                      <c:w val="0.24494222704920507"/>
                      <c:h val="0.26587780287909696"/>
                    </c:manualLayout>
                  </c15:layout>
                </c:ext>
              </c:extLst>
            </c:dLbl>
            <c:dLbl>
              <c:idx val="3"/>
              <c:layout>
                <c:manualLayout>
                  <c:x val="0.053701692460856189"/>
                  <c:y val="-0.0023219938733285081"/>
                </c:manualLayout>
              </c:layout>
              <c:spPr>
                <a:noFill/>
                <a:ln>
                  <a:noFill/>
                </a:ln>
                <a:effectLst/>
              </c:spPr>
              <c:txPr>
                <a:bodyPr rot="0" spcFirstLastPara="1" vertOverflow="ellipsis" vert="horz" wrap="square" lIns="38100" tIns="19050" rIns="38100" bIns="19050" anchor="ctr" anchorCtr="1"/>
                <a:lstStyle/>
                <a:p>
                  <a:pPr>
                    <a:defRPr sz="7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7-D8AE-4BAF-8283-B503AB4D2A47}"/>
                </c:ext>
                <c:ext xmlns:c15="http://schemas.microsoft.com/office/drawing/2012/chart" uri="{CE6537A1-D6FC-4f65-9D91-7224C49458BB}">
                  <c15:layout>
                    <c:manualLayout>
                      <c:w val="0.28536398467432944"/>
                      <c:h val="0.19498387910424847"/>
                    </c:manualLayout>
                  </c15:layout>
                </c:ext>
              </c:extLst>
            </c:dLbl>
            <c:dLbl>
              <c:idx val="4"/>
              <c:layout>
                <c:manualLayout>
                  <c:x val="0.053528741848181592"/>
                  <c:y val="-0.0052092446777486151"/>
                </c:manualLayout>
              </c:layout>
              <c:spPr>
                <a:noFill/>
                <a:ln>
                  <a:noFill/>
                </a:ln>
                <a:effectLst/>
              </c:spPr>
              <c:txPr>
                <a:bodyPr rot="0" spcFirstLastPara="1" vertOverflow="ellipsis" vert="horz" wrap="square" lIns="38100" tIns="19050" rIns="38100" bIns="19050" anchor="ctr" anchorCtr="1"/>
                <a:lstStyle/>
                <a:p>
                  <a:pPr>
                    <a:defRPr sz="7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9-D8AE-4BAF-8283-B503AB4D2A47}"/>
                </c:ext>
                <c:ext xmlns:c15="http://schemas.microsoft.com/office/drawing/2012/chart" uri="{CE6537A1-D6FC-4f65-9D91-7224C49458BB}">
                  <c15:layout>
                    <c:manualLayout>
                      <c:w val="0.26724168099677192"/>
                      <c:h val="0.24265666010498688"/>
                    </c:manualLayout>
                  </c15:layout>
                </c:ext>
              </c:extLst>
            </c:dLbl>
            <c:dLbl>
              <c:idx val="5"/>
              <c:layout>
                <c:manualLayout>
                  <c:x val="-0.065553973975675819"/>
                  <c:y val="-0.059027413240011664"/>
                </c:manualLayout>
              </c:layout>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B-D8AE-4BAF-8283-B503AB4D2A47}"/>
                </c:ext>
                <c:ext xmlns:c15="http://schemas.microsoft.com/office/drawing/2012/chart" uri="{CE6537A1-D6FC-4f65-9D91-7224C49458BB}">
                  <c15:layout>
                    <c:manualLayout>
                      <c:w val="0.25226053639846741"/>
                      <c:h val="0.33640666010498688"/>
                    </c:manualLayout>
                  </c15:layout>
                </c:ext>
              </c:extLst>
            </c:dLbl>
            <c:dLbl>
              <c:idx val="6"/>
              <c:layout>
                <c:manualLayout>
                  <c:x val="0.061253563830011716"/>
                  <c:y val="-0.10185112277631962"/>
                </c:manualLayout>
              </c:layout>
              <c:spPr>
                <a:noFill/>
                <a:ln>
                  <a:noFill/>
                </a:ln>
                <a:effectLst/>
              </c:spPr>
              <c:txPr>
                <a:bodyPr rot="0" spcFirstLastPara="1" vertOverflow="ellipsis" vert="horz" wrap="square" lIns="38100" tIns="19050" rIns="38100" bIns="19050" anchor="ctr" anchorCtr="1"/>
                <a:lstStyle/>
                <a:p>
                  <a:pPr>
                    <a:defRPr sz="7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D-D8AE-4BAF-8283-B503AB4D2A47}"/>
                </c:ext>
                <c:ext xmlns:c15="http://schemas.microsoft.com/office/drawing/2012/chart" uri="{CE6537A1-D6FC-4f65-9D91-7224C49458BB}">
                  <c15:layout>
                    <c:manualLayout>
                      <c:w val="0.21118773946360153"/>
                      <c:h val="0.37562499999999993"/>
                    </c:manualLayout>
                  </c15:layout>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Candara" panose="020E0502030303020204" pitchFamily="34" charset="0"/>
                    <a:ea typeface="+mn-ea"/>
                    <a:cs typeface="+mn-cs"/>
                  </a:defRPr>
                </a:pPr>
                <a:endParaRPr lang="lv-LV"/>
              </a:p>
            </c:txPr>
            <c:dLblPos val="outEnd"/>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Sheet1!$A$2:$A$8</c:f>
              <c:strCache>
                <c:ptCount val="7"/>
                <c:pt idx="0">
                  <c:v>Lietuva</c:v>
                </c:pt>
                <c:pt idx="1">
                  <c:v>Igaunija</c:v>
                </c:pt>
                <c:pt idx="2">
                  <c:v>Zviedrija</c:v>
                </c:pt>
                <c:pt idx="3">
                  <c:v>Norvēģija</c:v>
                </c:pt>
                <c:pt idx="4">
                  <c:v>Krievija</c:v>
                </c:pt>
                <c:pt idx="5">
                  <c:v>Dānija</c:v>
                </c:pt>
                <c:pt idx="6">
                  <c:v>Citas valstis</c:v>
                </c:pt>
              </c:strCache>
            </c:strRef>
          </c:cat>
          <c:val>
            <c:numRef>
              <c:f>Sheet1!$B$2:$B$8</c:f>
              <c:numCache>
                <c:formatCode>0</c:formatCode>
                <c:ptCount val="7"/>
                <c:pt idx="0">
                  <c:v>0.20842037239167671</c:v>
                </c:pt>
                <c:pt idx="1">
                  <c:v>0.14310992127878081</c:v>
                </c:pt>
                <c:pt idx="2">
                  <c:v>0.11390210890483553</c:v>
                </c:pt>
                <c:pt idx="3">
                  <c:v>0.10295920598392971</c:v>
                </c:pt>
                <c:pt idx="4">
                  <c:v>0.097311148037516851</c:v>
                </c:pt>
                <c:pt idx="5">
                  <c:v>0.0818999548807869</c:v>
                </c:pt>
                <c:pt idx="6">
                  <c:v>0.25239728852247345</c:v>
                </c:pt>
              </c:numCache>
            </c:numRef>
          </c:val>
          <c:extLst>
            <c:ext xmlns:c="http://schemas.openxmlformats.org/drawingml/2006/chart" xmlns:c16="http://schemas.microsoft.com/office/drawing/2014/chart" uri="{C3380CC4-5D6E-409C-BE32-E72D297353CC}">
              <c16:uniqueId val="{0000000E-D8AE-4BAF-8283-B503AB4D2A47}"/>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noFill/>
    <a:ln w="9525">
      <a:noFill/>
      <a:round/>
    </a:ln>
    <a:effectLst/>
  </c:spPr>
  <c:txPr>
    <a:bodyPr/>
    <a:lstStyle/>
    <a:p>
      <a:pPr>
        <a:defRPr sz="800">
          <a:latin typeface="Candara" panose="020E0502030303020204" pitchFamily="34" charset="0"/>
        </a:defRPr>
      </a:pPr>
      <a:endParaRPr lang="lv-LV"/>
    </a:p>
  </c:txPr>
  <c:externalData r:id="rId1">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98553601027233415"/>
          <c:y val="0.01722532963499513"/>
          <c:w val="0.34507319571774181"/>
          <c:h val="0.920462379795931"/>
        </c:manualLayout>
      </c:layout>
      <c:barChart>
        <c:barDir val="col"/>
        <c:grouping val="percentStacked"/>
        <c:varyColors val="0"/>
        <c:ser>
          <c:idx val="0"/>
          <c:order val="0"/>
          <c:tx>
            <c:strRef>
              <c:f>Sheet1!$A$2</c:f>
              <c:strCache>
                <c:ptCount val="1"/>
                <c:pt idx="0">
                  <c:v>papīrs un kartons, to izstrādājumi</c:v>
                </c:pt>
              </c:strCache>
            </c:strRef>
          </c:tx>
          <c:invertIfNegative val="0"/>
          <c:cat>
            <c:strRef>
              <c:f>Sheet1!$B$1:$F$1</c:f>
              <c:strCache>
                <c:ptCount val="5"/>
                <c:pt idx="0">
                  <c:v>2005</c:v>
                </c:pt>
                <c:pt idx="1">
                  <c:v>2010</c:v>
                </c:pt>
                <c:pt idx="2">
                  <c:v>2014</c:v>
                </c:pt>
                <c:pt idx="3">
                  <c:v>2015</c:v>
                </c:pt>
                <c:pt idx="4">
                  <c:v>2016</c:v>
                </c:pt>
              </c:strCache>
            </c:strRef>
          </c:cat>
          <c:val>
            <c:numRef>
              <c:f>Sheet1!$B$2:$F$2</c:f>
              <c:numCache>
                <c:formatCode>0</c:formatCode>
                <c:ptCount val="5"/>
                <c:pt idx="0">
                  <c:v>80.991775075537547</c:v>
                </c:pt>
                <c:pt idx="1">
                  <c:v>58.108806721087923</c:v>
                </c:pt>
                <c:pt idx="2">
                  <c:v>50.590917350119859</c:v>
                </c:pt>
                <c:pt idx="3">
                  <c:v>49.998980461495115</c:v>
                </c:pt>
                <c:pt idx="4">
                  <c:v>46.604534115748564</c:v>
                </c:pt>
              </c:numCache>
            </c:numRef>
          </c:val>
          <c:extLst>
            <c:ext xmlns:c="http://schemas.openxmlformats.org/drawingml/2006/chart" xmlns:c16="http://schemas.microsoft.com/office/drawing/2014/chart" uri="{C3380CC4-5D6E-409C-BE32-E72D297353CC}">
              <c16:uniqueId val="{00000000-8A4D-45A8-9638-C357BA27450C}"/>
            </c:ext>
          </c:extLst>
        </c:ser>
        <c:ser>
          <c:idx val="1"/>
          <c:order val="1"/>
          <c:tx>
            <c:strRef>
              <c:f>Sheet1!$A$3</c:f>
              <c:strCache>
                <c:ptCount val="1"/>
                <c:pt idx="0">
                  <c:v>poligrāfijas rūpniecības izstrādājumi</c:v>
                </c:pt>
              </c:strCache>
            </c:strRef>
          </c:tx>
          <c:invertIfNegative val="0"/>
          <c:cat>
            <c:strRef>
              <c:f>Sheet1!$B$1:$F$1</c:f>
              <c:strCache>
                <c:ptCount val="5"/>
                <c:pt idx="0">
                  <c:v>2005</c:v>
                </c:pt>
                <c:pt idx="1">
                  <c:v>2010</c:v>
                </c:pt>
                <c:pt idx="2">
                  <c:v>2014</c:v>
                </c:pt>
                <c:pt idx="3">
                  <c:v>2015</c:v>
                </c:pt>
                <c:pt idx="4">
                  <c:v>2016</c:v>
                </c:pt>
              </c:strCache>
            </c:strRef>
          </c:cat>
          <c:val>
            <c:numRef>
              <c:f>Sheet1!$B$3:$F$3</c:f>
              <c:numCache>
                <c:formatCode>0</c:formatCode>
                <c:ptCount val="5"/>
                <c:pt idx="0">
                  <c:v>15.744054180259068</c:v>
                </c:pt>
                <c:pt idx="1">
                  <c:v>37.616915947212952</c:v>
                </c:pt>
                <c:pt idx="2">
                  <c:v>44.889088790736409</c:v>
                </c:pt>
                <c:pt idx="3">
                  <c:v>44.089933590667442</c:v>
                </c:pt>
                <c:pt idx="4">
                  <c:v>47.38960330009845</c:v>
                </c:pt>
              </c:numCache>
            </c:numRef>
          </c:val>
          <c:extLst>
            <c:ext xmlns:c="http://schemas.openxmlformats.org/drawingml/2006/chart" xmlns:c16="http://schemas.microsoft.com/office/drawing/2014/chart" uri="{C3380CC4-5D6E-409C-BE32-E72D297353CC}">
              <c16:uniqueId val="{00000001-8A4D-45A8-9638-C357BA27450C}"/>
            </c:ext>
          </c:extLst>
        </c:ser>
        <c:ser>
          <c:idx val="2"/>
          <c:order val="2"/>
          <c:tx>
            <c:strRef>
              <c:f>Sheet1!$A$4</c:f>
              <c:strCache>
                <c:ptCount val="1"/>
                <c:pt idx="0">
                  <c:v>koksnes papīra masa</c:v>
                </c:pt>
              </c:strCache>
            </c:strRef>
          </c:tx>
          <c:invertIfNegative val="0"/>
          <c:cat>
            <c:strRef>
              <c:f>Sheet1!$B$1:$F$1</c:f>
              <c:strCache>
                <c:ptCount val="5"/>
                <c:pt idx="0">
                  <c:v>2005</c:v>
                </c:pt>
                <c:pt idx="1">
                  <c:v>2010</c:v>
                </c:pt>
                <c:pt idx="2">
                  <c:v>2014</c:v>
                </c:pt>
                <c:pt idx="3">
                  <c:v>2015</c:v>
                </c:pt>
                <c:pt idx="4">
                  <c:v>2016</c:v>
                </c:pt>
              </c:strCache>
            </c:strRef>
          </c:cat>
          <c:val>
            <c:numRef>
              <c:f>Sheet1!$B$4:$F$4</c:f>
              <c:numCache>
                <c:formatCode>0</c:formatCode>
                <c:ptCount val="5"/>
                <c:pt idx="0">
                  <c:v>3.2641707442033883</c:v>
                </c:pt>
                <c:pt idx="1">
                  <c:v>4.2742773316991345</c:v>
                </c:pt>
                <c:pt idx="2">
                  <c:v>4.5199938591437308</c:v>
                </c:pt>
                <c:pt idx="3">
                  <c:v>5.9110859478374449</c:v>
                </c:pt>
                <c:pt idx="4">
                  <c:v>6.0058625841529834</c:v>
                </c:pt>
              </c:numCache>
            </c:numRef>
          </c:val>
          <c:extLst>
            <c:ext xmlns:c="http://schemas.openxmlformats.org/drawingml/2006/chart" xmlns:c16="http://schemas.microsoft.com/office/drawing/2014/chart" uri="{C3380CC4-5D6E-409C-BE32-E72D297353CC}">
              <c16:uniqueId val="{00000002-8A4D-45A8-9638-C357BA27450C}"/>
            </c:ext>
          </c:extLst>
        </c:ser>
        <c:dLbls>
          <c:showLegendKey val="0"/>
          <c:showVal val="0"/>
          <c:showCatName val="0"/>
          <c:showSerName val="0"/>
          <c:showPercent val="0"/>
          <c:showBubbleSize val="0"/>
        </c:dLbls>
        <c:gapWidth val="20"/>
        <c:overlap val="100"/>
        <c:axId val="629937280"/>
        <c:axId val="629938064"/>
      </c:barChart>
      <c:catAx>
        <c:axId val="629937280"/>
        <c:scaling>
          <c:orientation val="minMax"/>
        </c:scaling>
        <c:delete val="0"/>
        <c:axPos val="b"/>
        <c:numFmt formatCode="General" sourceLinked="0"/>
        <c:majorTickMark val="out"/>
        <c:minorTickMark val="none"/>
        <c:tickLblPos val="nextTo"/>
        <c:txPr>
          <a:bodyPr/>
          <a:lstStyle/>
          <a:p>
            <a:pPr>
              <a:defRPr sz="700"/>
            </a:pPr>
            <a:endParaRPr lang="lv-LV"/>
          </a:p>
        </c:txPr>
        <c:crossAx val="629938064"/>
        <c:crosses val="autoZero"/>
        <c:auto val="1"/>
        <c:lblAlgn val="ctr"/>
        <c:lblOffset val="100"/>
        <c:noMultiLvlLbl val="0"/>
      </c:catAx>
      <c:valAx>
        <c:axId val="629938064"/>
        <c:scaling>
          <c:orientation val="minMax"/>
        </c:scaling>
        <c:delete val="0"/>
        <c:axPos val="l"/>
        <c:numFmt formatCode="0%" sourceLinked="1"/>
        <c:majorTickMark val="out"/>
        <c:minorTickMark val="none"/>
        <c:tickLblPos val="nextTo"/>
        <c:txPr>
          <a:bodyPr/>
          <a:lstStyle/>
          <a:p>
            <a:pPr>
              <a:defRPr sz="700"/>
            </a:pPr>
            <a:endParaRPr lang="lv-LV"/>
          </a:p>
        </c:txPr>
        <c:crossAx val="629937280"/>
        <c:crosses val="autoZero"/>
        <c:crossBetween val="between"/>
      </c:valAx>
    </c:plotArea>
    <c:legend>
      <c:legendPos val="r"/>
      <c:layout>
        <c:manualLayout>
          <c:xMode val="edge"/>
          <c:yMode val="edge"/>
          <c:x val="0.48187518226888304"/>
          <c:y val="0.018061189542134811"/>
          <c:w val="0.518124817731117"/>
          <c:h val="0.65148004940874482"/>
        </c:manualLayout>
      </c:layout>
      <c:overlay val="0"/>
      <c:txPr>
        <a:bodyPr/>
        <a:lstStyle/>
        <a:p>
          <a:pPr>
            <a:defRPr sz="600">
              <a:latin typeface="Arial Narrow" panose="020B0606020202030204" pitchFamily="34" charset="0"/>
            </a:defRPr>
          </a:pPr>
          <a:endParaRPr lang="lv-LV"/>
        </a:p>
      </c:txPr>
    </c:legend>
    <c:plotVisOnly val="1"/>
    <c:dispBlanksAs val="gap"/>
    <c:showDLblsOverMax val="0"/>
  </c:chart>
  <c:spPr>
    <a:ln w="9525">
      <a:noFill/>
    </a:ln>
  </c:spPr>
  <c:txPr>
    <a:bodyPr/>
    <a:lstStyle/>
    <a:p>
      <a:pPr>
        <a:defRPr sz="800"/>
      </a:pPr>
      <a:endParaRPr lang="lv-LV"/>
    </a:p>
  </c:txPr>
  <c:externalData r:id="rId1">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98553601027233415"/>
          <c:y val="0.01722532963499513"/>
          <c:w val="0.88592589806420907"/>
          <c:h val="0.920462379795931"/>
        </c:manualLayout>
      </c:layout>
      <c:barChart>
        <c:barDir val="col"/>
        <c:grouping val="percentStacked"/>
        <c:varyColors val="0"/>
        <c:ser>
          <c:idx val="0"/>
          <c:order val="0"/>
          <c:tx>
            <c:strRef>
              <c:f>Sheet1!$A$2</c:f>
              <c:strCache>
                <c:ptCount val="1"/>
                <c:pt idx="0">
                  <c:v>papīrs un kartons, to izstrādājumi</c:v>
                </c:pt>
              </c:strCache>
            </c:strRef>
          </c:tx>
          <c:invertIfNegative val="0"/>
          <c:cat>
            <c:strRef>
              <c:f>Sheet1!$B$1:$F$1</c:f>
              <c:strCache>
                <c:ptCount val="5"/>
                <c:pt idx="0">
                  <c:v>2005</c:v>
                </c:pt>
                <c:pt idx="1">
                  <c:v>2010</c:v>
                </c:pt>
                <c:pt idx="2">
                  <c:v>2014</c:v>
                </c:pt>
                <c:pt idx="3">
                  <c:v>2015</c:v>
                </c:pt>
                <c:pt idx="4">
                  <c:v>2016</c:v>
                </c:pt>
              </c:strCache>
            </c:strRef>
          </c:cat>
          <c:val>
            <c:numRef>
              <c:f>Sheet1!$B$2:$F$2</c:f>
              <c:numCache>
                <c:formatCode>0</c:formatCode>
                <c:ptCount val="5"/>
                <c:pt idx="0">
                  <c:v>73.249979044957414</c:v>
                </c:pt>
                <c:pt idx="1">
                  <c:v>72.102507686185987</c:v>
                </c:pt>
                <c:pt idx="2">
                  <c:v>71.886485316763967</c:v>
                </c:pt>
                <c:pt idx="3">
                  <c:v>70.780831835488257</c:v>
                </c:pt>
                <c:pt idx="4">
                  <c:v>71.479839131770191</c:v>
                </c:pt>
              </c:numCache>
            </c:numRef>
          </c:val>
          <c:extLst>
            <c:ext xmlns:c="http://schemas.openxmlformats.org/drawingml/2006/chart" xmlns:c16="http://schemas.microsoft.com/office/drawing/2014/chart" uri="{C3380CC4-5D6E-409C-BE32-E72D297353CC}">
              <c16:uniqueId val="{00000000-61AB-4131-91DC-85744FEE1F79}"/>
            </c:ext>
          </c:extLst>
        </c:ser>
        <c:ser>
          <c:idx val="1"/>
          <c:order val="1"/>
          <c:tx>
            <c:strRef>
              <c:f>Sheet1!$A$3</c:f>
              <c:strCache>
                <c:ptCount val="1"/>
                <c:pt idx="0">
                  <c:v>poligrāfijas rūpniecības izstrādājumi</c:v>
                </c:pt>
              </c:strCache>
            </c:strRef>
          </c:tx>
          <c:invertIfNegative val="0"/>
          <c:cat>
            <c:strRef>
              <c:f>Sheet1!$B$1:$F$1</c:f>
              <c:strCache>
                <c:ptCount val="5"/>
                <c:pt idx="0">
                  <c:v>2005</c:v>
                </c:pt>
                <c:pt idx="1">
                  <c:v>2010</c:v>
                </c:pt>
                <c:pt idx="2">
                  <c:v>2014</c:v>
                </c:pt>
                <c:pt idx="3">
                  <c:v>2015</c:v>
                </c:pt>
                <c:pt idx="4">
                  <c:v>2016</c:v>
                </c:pt>
              </c:strCache>
            </c:strRef>
          </c:cat>
          <c:val>
            <c:numRef>
              <c:f>Sheet1!$B$3:$F$3</c:f>
              <c:numCache>
                <c:formatCode>0</c:formatCode>
                <c:ptCount val="5"/>
                <c:pt idx="0">
                  <c:v>18.944277134974779</c:v>
                </c:pt>
                <c:pt idx="1">
                  <c:v>16.906779613639319</c:v>
                </c:pt>
                <c:pt idx="2">
                  <c:v>17.144732428132631</c:v>
                </c:pt>
                <c:pt idx="3">
                  <c:v>17.568182515070145</c:v>
                </c:pt>
                <c:pt idx="4">
                  <c:v>17.039971964258687</c:v>
                </c:pt>
              </c:numCache>
            </c:numRef>
          </c:val>
          <c:extLst>
            <c:ext xmlns:c="http://schemas.openxmlformats.org/drawingml/2006/chart" xmlns:c16="http://schemas.microsoft.com/office/drawing/2014/chart" uri="{C3380CC4-5D6E-409C-BE32-E72D297353CC}">
              <c16:uniqueId val="{00000001-61AB-4131-91DC-85744FEE1F79}"/>
            </c:ext>
          </c:extLst>
        </c:ser>
        <c:ser>
          <c:idx val="2"/>
          <c:order val="2"/>
          <c:tx>
            <c:strRef>
              <c:f>Sheet1!$A$4</c:f>
              <c:strCache>
                <c:ptCount val="1"/>
                <c:pt idx="0">
                  <c:v>koksnes papīra masa</c:v>
                </c:pt>
              </c:strCache>
            </c:strRef>
          </c:tx>
          <c:invertIfNegative val="0"/>
          <c:cat>
            <c:strRef>
              <c:f>Sheet1!$B$1:$F$1</c:f>
              <c:strCache>
                <c:ptCount val="5"/>
                <c:pt idx="0">
                  <c:v>2005</c:v>
                </c:pt>
                <c:pt idx="1">
                  <c:v>2010</c:v>
                </c:pt>
                <c:pt idx="2">
                  <c:v>2014</c:v>
                </c:pt>
                <c:pt idx="3">
                  <c:v>2015</c:v>
                </c:pt>
                <c:pt idx="4">
                  <c:v>2016</c:v>
                </c:pt>
              </c:strCache>
            </c:strRef>
          </c:cat>
          <c:val>
            <c:numRef>
              <c:f>Sheet1!$B$4:$F$4</c:f>
              <c:numCache>
                <c:formatCode>0</c:formatCode>
                <c:ptCount val="5"/>
                <c:pt idx="0">
                  <c:v>7.8057438200678133</c:v>
                </c:pt>
                <c:pt idx="1">
                  <c:v>10.990712700174688</c:v>
                </c:pt>
                <c:pt idx="2">
                  <c:v>10.968782255103399</c:v>
                </c:pt>
                <c:pt idx="3">
                  <c:v>11.650985649441594</c:v>
                </c:pt>
                <c:pt idx="4">
                  <c:v>11.480188903971115</c:v>
                </c:pt>
              </c:numCache>
            </c:numRef>
          </c:val>
          <c:extLst>
            <c:ext xmlns:c="http://schemas.openxmlformats.org/drawingml/2006/chart" xmlns:c16="http://schemas.microsoft.com/office/drawing/2014/chart" uri="{C3380CC4-5D6E-409C-BE32-E72D297353CC}">
              <c16:uniqueId val="{00000002-61AB-4131-91DC-85744FEE1F79}"/>
            </c:ext>
          </c:extLst>
        </c:ser>
        <c:dLbls>
          <c:showLegendKey val="0"/>
          <c:showVal val="0"/>
          <c:showCatName val="0"/>
          <c:showSerName val="0"/>
          <c:showPercent val="0"/>
          <c:showBubbleSize val="0"/>
        </c:dLbls>
        <c:gapWidth val="20"/>
        <c:overlap val="100"/>
        <c:axId val="629931792"/>
        <c:axId val="629933752"/>
      </c:barChart>
      <c:catAx>
        <c:axId val="629931792"/>
        <c:scaling>
          <c:orientation val="minMax"/>
        </c:scaling>
        <c:delete val="0"/>
        <c:axPos val="b"/>
        <c:numFmt formatCode="General" sourceLinked="0"/>
        <c:majorTickMark val="out"/>
        <c:minorTickMark val="none"/>
        <c:tickLblPos val="nextTo"/>
        <c:txPr>
          <a:bodyPr/>
          <a:lstStyle/>
          <a:p>
            <a:pPr>
              <a:defRPr sz="700"/>
            </a:pPr>
            <a:endParaRPr lang="lv-LV"/>
          </a:p>
        </c:txPr>
        <c:crossAx val="629933752"/>
        <c:crosses val="autoZero"/>
        <c:auto val="1"/>
        <c:lblAlgn val="ctr"/>
        <c:lblOffset val="100"/>
        <c:noMultiLvlLbl val="0"/>
      </c:catAx>
      <c:valAx>
        <c:axId val="629933752"/>
        <c:scaling>
          <c:orientation val="minMax"/>
        </c:scaling>
        <c:delete val="0"/>
        <c:axPos val="l"/>
        <c:numFmt formatCode="0%" sourceLinked="1"/>
        <c:majorTickMark val="out"/>
        <c:minorTickMark val="none"/>
        <c:tickLblPos val="nextTo"/>
        <c:txPr>
          <a:bodyPr/>
          <a:lstStyle/>
          <a:p>
            <a:pPr>
              <a:defRPr sz="700"/>
            </a:pPr>
            <a:endParaRPr lang="lv-LV"/>
          </a:p>
        </c:txPr>
        <c:crossAx val="629931792"/>
        <c:crosses val="autoZero"/>
        <c:crossBetween val="between"/>
      </c:valAx>
    </c:plotArea>
    <c:plotVisOnly val="1"/>
    <c:dispBlanksAs val="gap"/>
    <c:showDLblsOverMax val="0"/>
  </c:chart>
  <c:spPr>
    <a:ln w="9525">
      <a:noFill/>
    </a:ln>
  </c:spPr>
  <c:txPr>
    <a:bodyPr/>
    <a:lstStyle/>
    <a:p>
      <a:pPr>
        <a:defRPr sz="800"/>
      </a:pPr>
      <a:endParaRPr lang="lv-LV"/>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7354822834645707"/>
          <c:y val="0.054187037037040774"/>
          <c:w val="0.8789631193571017"/>
          <c:h val="0.73408252539861085"/>
        </c:manualLayout>
      </c:layout>
      <c:lineChart>
        <c:grouping val="standard"/>
        <c:varyColors val="0"/>
        <c:ser>
          <c:idx val="9"/>
          <c:order val="0"/>
          <c:tx>
            <c:strRef>
              <c:f>Sheet1!$A$3</c:f>
              <c:strCache>
                <c:ptCount val="1"/>
                <c:pt idx="0">
                  <c:v>Eksports, kopā</c:v>
                </c:pt>
              </c:strCache>
            </c:strRef>
          </c:tx>
          <c:spPr>
            <a:ln w="25400">
              <a:solidFill>
                <a:schemeClr val="accent5">
                  <a:lumMod val="75000"/>
                </a:schemeClr>
              </a:solidFill>
            </a:ln>
            <a:effectLst/>
          </c:spPr>
          <c:marker>
            <c:symbol val="none"/>
          </c:marker>
          <c:cat>
            <c:numRef>
              <c:f>Sheet1!$B$2:$M$2</c:f>
              <c:numCache>
                <c:formatCode>0</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Sheet1!$B$3:$M$3</c:f>
              <c:numCache>
                <c:formatCode>0.0</c:formatCode>
                <c:ptCount val="12"/>
                <c:pt idx="0">
                  <c:v>122.88624399999999</c:v>
                </c:pt>
                <c:pt idx="1">
                  <c:v>123.98560499999999</c:v>
                </c:pt>
                <c:pt idx="2">
                  <c:v>192.22474300000002</c:v>
                </c:pt>
                <c:pt idx="3">
                  <c:v>362.391896</c:v>
                </c:pt>
                <c:pt idx="4">
                  <c:v>367.408263</c:v>
                </c:pt>
                <c:pt idx="5">
                  <c:v>446.346861</c:v>
                </c:pt>
                <c:pt idx="6">
                  <c:v>450.770577</c:v>
                </c:pt>
                <c:pt idx="7">
                  <c:v>808.96453299999985</c:v>
                </c:pt>
                <c:pt idx="8">
                  <c:v>682.62367999999992</c:v>
                </c:pt>
                <c:pt idx="9">
                  <c:v>615.93670900000006</c:v>
                </c:pt>
                <c:pt idx="10">
                  <c:v>778.48146399999985</c:v>
                </c:pt>
                <c:pt idx="11" formatCode="0">
                  <c:v>807.64086900000007</c:v>
                </c:pt>
              </c:numCache>
            </c:numRef>
          </c:val>
          <c:smooth val="0"/>
          <c:extLst>
            <c:ext xmlns:c="http://schemas.openxmlformats.org/drawingml/2006/chart" xmlns:c16="http://schemas.microsoft.com/office/drawing/2014/chart" uri="{C3380CC4-5D6E-409C-BE32-E72D297353CC}">
              <c16:uniqueId val="{00000000-9AD3-4600-985E-7674628460F9}"/>
            </c:ext>
          </c:extLst>
        </c:ser>
        <c:dLbls>
          <c:showLegendKey val="0"/>
          <c:showVal val="0"/>
          <c:showCatName val="0"/>
          <c:showSerName val="0"/>
          <c:showPercent val="0"/>
          <c:showBubbleSize val="0"/>
        </c:dLbls>
        <c:smooth val="0"/>
        <c:axId val="629829088"/>
        <c:axId val="629829872"/>
      </c:lineChart>
      <c:catAx>
        <c:axId val="629829088"/>
        <c:scaling>
          <c:orientation val="minMax"/>
        </c:scaling>
        <c:delete val="0"/>
        <c:axPos val="b"/>
        <c:numFmt formatCode="0" sourceLinked="1"/>
        <c:majorTickMark val="out"/>
        <c:minorTickMark val="none"/>
        <c:tickLblPos val="low"/>
        <c:spPr>
          <a:noFill/>
          <a:ln w="3175">
            <a:solidFill>
              <a:sysClr val="window" lastClr="FFFFFF">
                <a:lumMod val="50000"/>
              </a:sysClr>
            </a:solidFill>
            <a:round/>
          </a:ln>
          <a:effectLst/>
        </c:spPr>
        <c:txPr>
          <a:bodyPr rot="-5400000" vert="horz"/>
          <a:lstStyle/>
          <a:p>
            <a:pPr>
              <a:defRPr sz="700"/>
            </a:pPr>
            <a:endParaRPr lang="lv-LV"/>
          </a:p>
        </c:txPr>
        <c:crossAx val="629829872"/>
        <c:crosses val="autoZero"/>
        <c:lblAlgn val="ctr"/>
        <c:lblOffset val="100"/>
        <c:noMultiLvlLbl val="0"/>
      </c:catAx>
      <c:valAx>
        <c:axId val="629829872"/>
        <c:scaling>
          <c:orientation val="minMax"/>
          <c:min val="80"/>
        </c:scaling>
        <c:delete val="0"/>
        <c:axPos val="l"/>
        <c:numFmt formatCode="0" sourceLinked="0"/>
        <c:majorTickMark val="out"/>
        <c:minorTickMark val="none"/>
        <c:tickLblPos val="nextTo"/>
        <c:spPr>
          <a:noFill/>
          <a:ln w="3175">
            <a:solidFill>
              <a:sysClr val="window" lastClr="FFFFFF">
                <a:lumMod val="50000"/>
              </a:sysClr>
            </a:solidFill>
            <a:round/>
          </a:ln>
          <a:effectLst/>
        </c:spPr>
        <c:txPr>
          <a:bodyPr rot="0"/>
          <a:lstStyle/>
          <a:p>
            <a:pPr>
              <a:defRPr/>
            </a:pPr>
            <a:endParaRPr lang="lv-LV"/>
          </a:p>
        </c:txPr>
        <c:crossAx val="629829088"/>
        <c:crosses val="autoZero"/>
        <c:crossBetween val="between"/>
      </c:valAx>
      <c:spPr>
        <a:noFill/>
        <a:ln w="24631">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Arial Narrow" panose="020B0606020202030204" pitchFamily="34" charset="0"/>
          <a:ea typeface="Arial"/>
          <a:cs typeface="Arial"/>
        </a:defRPr>
      </a:pPr>
      <a:endParaRPr lang="lv-LV"/>
    </a:p>
  </c:txPr>
  <c:externalData r:id="rId1">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ECBC-4984-821C-40CCA48B87B5}"/>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ECBC-4984-821C-40CCA48B87B5}"/>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Sheet1!$B$2:$M$2</c:f>
              <c:numCache>
                <c:formatCode>0</c:formatCode>
                <c:ptCount val="12"/>
                <c:pt idx="0">
                  <c:v>2004</c:v>
                </c:pt>
                <c:pt idx="1">
                  <c:v>2005</c:v>
                </c:pt>
                <c:pt idx="2">
                  <c:v>2006</c:v>
                </c:pt>
                <c:pt idx="3">
                  <c:v>2007</c:v>
                </c:pt>
                <c:pt idx="4">
                  <c:v>2008</c:v>
                </c:pt>
                <c:pt idx="5">
                  <c:v>2009</c:v>
                </c:pt>
                <c:pt idx="6">
                  <c:v>2010</c:v>
                </c:pt>
                <c:pt idx="7">
                  <c:v>2011</c:v>
                </c:pt>
                <c:pt idx="8">
                  <c:v>2012</c:v>
                </c:pt>
                <c:pt idx="9">
                  <c:v>2013</c:v>
                </c:pt>
                <c:pt idx="10" formatCode="General">
                  <c:v>2014</c:v>
                </c:pt>
                <c:pt idx="11">
                  <c:v>2015</c:v>
                </c:pt>
              </c:numCache>
            </c:numRef>
          </c:cat>
          <c:val>
            <c:numRef>
              <c:f>Sheet1!$B$3:$M$3</c:f>
              <c:numCache>
                <c:formatCode>0.0</c:formatCode>
                <c:ptCount val="12"/>
                <c:pt idx="0">
                  <c:v>6.507936507936507</c:v>
                </c:pt>
                <c:pt idx="1">
                  <c:v>6.8439716312056733</c:v>
                </c:pt>
                <c:pt idx="2">
                  <c:v>8.58085808580858</c:v>
                </c:pt>
                <c:pt idx="3">
                  <c:v>9.17573872472784</c:v>
                </c:pt>
                <c:pt idx="4">
                  <c:v>10.467741935483872</c:v>
                </c:pt>
                <c:pt idx="5">
                  <c:v>9.0105263157894733</c:v>
                </c:pt>
                <c:pt idx="6">
                  <c:v>9.0543735224586275</c:v>
                </c:pt>
                <c:pt idx="7">
                  <c:v>10.344827586206897</c:v>
                </c:pt>
                <c:pt idx="8">
                  <c:v>10.818965517241381</c:v>
                </c:pt>
                <c:pt idx="9">
                  <c:v>11.729957805907171</c:v>
                </c:pt>
                <c:pt idx="10">
                  <c:v>12.612419700214133</c:v>
                </c:pt>
                <c:pt idx="11" formatCode="General">
                  <c:v>13.658008658008658</c:v>
                </c:pt>
              </c:numCache>
            </c:numRef>
          </c:val>
          <c:extLst>
            <c:ext xmlns:c="http://schemas.openxmlformats.org/drawingml/2006/chart" xmlns:c16="http://schemas.microsoft.com/office/drawing/2014/chart" uri="{C3380CC4-5D6E-409C-BE32-E72D297353CC}">
              <c16:uniqueId val="{00000004-ECBC-4984-821C-40CCA48B87B5}"/>
            </c:ext>
          </c:extLst>
        </c:ser>
        <c:dLbls>
          <c:showLegendKey val="0"/>
          <c:showVal val="0"/>
          <c:showCatName val="0"/>
          <c:showSerName val="0"/>
          <c:showPercent val="0"/>
          <c:showBubbleSize val="0"/>
        </c:dLbls>
        <c:gapWidth val="20"/>
        <c:axId val="629934536"/>
        <c:axId val="629935712"/>
      </c:barChart>
      <c:catAx>
        <c:axId val="629934536"/>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29935712"/>
        <c:crosses val="autoZero"/>
        <c:auto val="1"/>
        <c:lblAlgn val="ctr"/>
        <c:lblOffset val="100"/>
        <c:noMultiLvlLbl val="0"/>
      </c:catAx>
      <c:valAx>
        <c:axId val="629935712"/>
        <c:scaling>
          <c:orientation val="minMax"/>
          <c:max val="15"/>
          <c:min val="0"/>
        </c:scaling>
        <c:delete val="0"/>
        <c:axPos val="l"/>
        <c:numFmt formatCode="0" sourceLinked="0"/>
        <c:majorTickMark val="out"/>
        <c:minorTickMark val="none"/>
        <c:tickLblPos val="nextTo"/>
        <c:crossAx val="629934536"/>
        <c:crosses val="autoZero"/>
        <c:crossBetween val="between"/>
        <c:majorUnit val="3"/>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05B6-4425-8797-2A0D75DA81CC}"/>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05B6-4425-8797-2A0D75DA81CC}"/>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Sheet1!$B$2:$M$2</c:f>
              <c:numCache>
                <c:formatCode>0</c:formatCode>
                <c:ptCount val="12"/>
                <c:pt idx="0">
                  <c:v>2004</c:v>
                </c:pt>
                <c:pt idx="1">
                  <c:v>2005</c:v>
                </c:pt>
                <c:pt idx="2">
                  <c:v>2006</c:v>
                </c:pt>
                <c:pt idx="3">
                  <c:v>2007</c:v>
                </c:pt>
                <c:pt idx="4">
                  <c:v>2008</c:v>
                </c:pt>
                <c:pt idx="5">
                  <c:v>2009</c:v>
                </c:pt>
                <c:pt idx="6">
                  <c:v>2010</c:v>
                </c:pt>
                <c:pt idx="7">
                  <c:v>2011</c:v>
                </c:pt>
                <c:pt idx="8">
                  <c:v>2012</c:v>
                </c:pt>
                <c:pt idx="9">
                  <c:v>2013</c:v>
                </c:pt>
                <c:pt idx="10" formatCode="General">
                  <c:v>2014</c:v>
                </c:pt>
                <c:pt idx="11">
                  <c:v>2015</c:v>
                </c:pt>
              </c:numCache>
            </c:numRef>
          </c:cat>
          <c:val>
            <c:numRef>
              <c:f>Sheet1!$B$3:$M$3</c:f>
              <c:numCache>
                <c:formatCode>0.0</c:formatCode>
                <c:ptCount val="12"/>
                <c:pt idx="0">
                  <c:v>20.342857142857142</c:v>
                </c:pt>
                <c:pt idx="1">
                  <c:v>19.372881355932204</c:v>
                </c:pt>
                <c:pt idx="2">
                  <c:v>21.6403785488959</c:v>
                </c:pt>
                <c:pt idx="3">
                  <c:v>15.902366863905327</c:v>
                </c:pt>
                <c:pt idx="4">
                  <c:v>16.605783866057838</c:v>
                </c:pt>
                <c:pt idx="5">
                  <c:v>16.055776892430281</c:v>
                </c:pt>
                <c:pt idx="6">
                  <c:v>18.440979955456569</c:v>
                </c:pt>
                <c:pt idx="7">
                  <c:v>16.056034482758619</c:v>
                </c:pt>
                <c:pt idx="8">
                  <c:v>16.875</c:v>
                </c:pt>
                <c:pt idx="9">
                  <c:v>16.912350597609564</c:v>
                </c:pt>
                <c:pt idx="10">
                  <c:v>18.296593186372746</c:v>
                </c:pt>
                <c:pt idx="11" formatCode="General">
                  <c:v>17.880000000000003</c:v>
                </c:pt>
              </c:numCache>
            </c:numRef>
          </c:val>
          <c:extLst>
            <c:ext xmlns:c="http://schemas.openxmlformats.org/drawingml/2006/chart" xmlns:c16="http://schemas.microsoft.com/office/drawing/2014/chart" uri="{C3380CC4-5D6E-409C-BE32-E72D297353CC}">
              <c16:uniqueId val="{00000004-05B6-4425-8797-2A0D75DA81CC}"/>
            </c:ext>
          </c:extLst>
        </c:ser>
        <c:dLbls>
          <c:showLegendKey val="0"/>
          <c:showVal val="0"/>
          <c:showCatName val="0"/>
          <c:showSerName val="0"/>
          <c:showPercent val="0"/>
          <c:showBubbleSize val="0"/>
        </c:dLbls>
        <c:gapWidth val="20"/>
        <c:axId val="629938848"/>
        <c:axId val="629939632"/>
      </c:barChart>
      <c:catAx>
        <c:axId val="629938848"/>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29939632"/>
        <c:crosses val="autoZero"/>
        <c:auto val="1"/>
        <c:lblAlgn val="ctr"/>
        <c:lblOffset val="100"/>
        <c:noMultiLvlLbl val="0"/>
      </c:catAx>
      <c:valAx>
        <c:axId val="629939632"/>
        <c:scaling>
          <c:orientation val="minMax"/>
        </c:scaling>
        <c:delete val="0"/>
        <c:axPos val="l"/>
        <c:numFmt formatCode="0" sourceLinked="0"/>
        <c:majorTickMark val="out"/>
        <c:minorTickMark val="none"/>
        <c:tickLblPos val="nextTo"/>
        <c:crossAx val="629938848"/>
        <c:crosses val="autoZero"/>
        <c:crossBetween val="between"/>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72841410287632"/>
          <c:y val="0.057971014492753624"/>
          <c:w val="0.69294856184214082"/>
          <c:h val="0.726718711443121"/>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marker>
              <c:spPr>
                <a:solidFill>
                  <a:srgbClr val="002060"/>
                </a:solidFill>
                <a:ln w="6350">
                  <a:solidFill>
                    <a:sysClr val="windowText" lastClr="000000"/>
                  </a:solidFill>
                </a:ln>
              </c:spPr>
            </c:marker>
            <c:extLst>
              <c:ext xmlns:c="http://schemas.openxmlformats.org/drawingml/2006/chart" xmlns:c16="http://schemas.microsoft.com/office/drawing/2014/chart" uri="{C3380CC4-5D6E-409C-BE32-E72D297353CC}">
                <c16:uniqueId val="{00000000-3251-4BD0-876D-5AD9C36615C5}"/>
              </c:ext>
            </c:extLst>
          </c:dPt>
          <c:dLbls>
            <c:dLbl>
              <c:idx val="0"/>
              <c:layout>
                <c:manualLayout>
                  <c:x val="-0.24335361190012242"/>
                  <c:y val="-0.01173260744066853"/>
                </c:manualLayout>
              </c:layout>
              <c:tx>
                <c:rich>
                  <a:bodyPr vertOverflow="clip"/>
                  <a:lstStyle/>
                  <a:p>
                    <a:r>
                      <a:rPr lang="en-US"/>
                      <a:t>2005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3251-4BD0-876D-5AD9C36615C5}"/>
                </c:ext>
                <c:ext xmlns:c15="http://schemas.microsoft.com/office/drawing/2012/chart" uri="{CE6537A1-D6FC-4f65-9D91-7224C49458BB}"/>
              </c:extLst>
            </c:dLbl>
            <c:dLbl>
              <c:idx val="1"/>
              <c:layout>
                <c:manualLayout>
                  <c:x val="-0.33660037340693244"/>
                  <c:y val="-0.2623491935302959"/>
                </c:manualLayout>
              </c:layout>
              <c:tx>
                <c:rich>
                  <a:bodyPr vertOverflow="clip"/>
                  <a:lstStyle/>
                  <a:p>
                    <a:r>
                      <a:rPr lang="en-US"/>
                      <a:t>2007</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3251-4BD0-876D-5AD9C36615C5}"/>
                </c:ext>
                <c:ext xmlns:c15="http://schemas.microsoft.com/office/drawing/2012/chart" uri="{CE6537A1-D6FC-4f65-9D91-7224C49458BB}"/>
              </c:extLst>
            </c:dLbl>
            <c:dLbl>
              <c:idx val="2"/>
              <c:layout>
                <c:manualLayout>
                  <c:x val="0.048025002029385505"/>
                  <c:y val="0.10393072660789196"/>
                </c:manualLayout>
              </c:layout>
              <c:tx>
                <c:rich>
                  <a:bodyPr vertOverflow="clip"/>
                  <a:lstStyle/>
                  <a:p>
                    <a:r>
                      <a:rPr lang="en-US"/>
                      <a:t>2010</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3251-4BD0-876D-5AD9C36615C5}"/>
                </c:ext>
                <c:ext xmlns:c15="http://schemas.microsoft.com/office/drawing/2012/chart" uri="{CE6537A1-D6FC-4f65-9D91-7224C49458BB}"/>
              </c:extLst>
            </c:dLbl>
            <c:dLbl>
              <c:idx val="3"/>
              <c:layout>
                <c:manualLayout>
                  <c:x val="-0.22706226154720352"/>
                  <c:y val="-0.013644704668326716"/>
                </c:manualLayout>
              </c:layout>
              <c:tx>
                <c:rich>
                  <a:bodyPr vertOverflow="clip"/>
                  <a:lstStyle/>
                  <a:p>
                    <a:r>
                      <a:rPr lang="en-US"/>
                      <a:t>2008</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3251-4BD0-876D-5AD9C36615C5}"/>
                </c:ext>
                <c:ext xmlns:c15="http://schemas.microsoft.com/office/drawing/2012/chart" uri="{CE6537A1-D6FC-4f65-9D91-7224C49458BB}"/>
              </c:extLst>
            </c:dLbl>
            <c:dLbl>
              <c:idx val="4"/>
              <c:delete val="1"/>
              <c:extLst>
                <c:ext xmlns:c="http://schemas.openxmlformats.org/drawingml/2006/chart" xmlns:c16="http://schemas.microsoft.com/office/drawing/2014/chart" uri="{C3380CC4-5D6E-409C-BE32-E72D297353CC}">
                  <c16:uniqueId val="{00000005-3251-4BD0-876D-5AD9C36615C5}"/>
                </c:ext>
                <c:ext xmlns:c15="http://schemas.microsoft.com/office/drawing/2012/chart" uri="{CE6537A1-D6FC-4f65-9D91-7224C49458BB}"/>
              </c:extLst>
            </c:dLbl>
            <c:dLbl>
              <c:idx val="5"/>
              <c:delete val="1"/>
              <c:extLst>
                <c:ext xmlns:c="http://schemas.openxmlformats.org/drawingml/2006/chart" xmlns:c16="http://schemas.microsoft.com/office/drawing/2014/chart" uri="{C3380CC4-5D6E-409C-BE32-E72D297353CC}">
                  <c16:uniqueId val="{00000000-3251-4BD0-876D-5AD9C36615C5}"/>
                </c:ext>
                <c:ext xmlns:c15="http://schemas.microsoft.com/office/drawing/2012/chart" uri="{CE6537A1-D6FC-4f65-9D91-7224C49458BB}"/>
              </c:extLst>
            </c:dLbl>
            <c:dLbl>
              <c:idx val="6"/>
              <c:delete val="1"/>
              <c:extLst>
                <c:ext xmlns:c="http://schemas.openxmlformats.org/drawingml/2006/chart" xmlns:c16="http://schemas.microsoft.com/office/drawing/2014/chart" uri="{C3380CC4-5D6E-409C-BE32-E72D297353CC}">
                  <c16:uniqueId val="{00000006-3251-4BD0-876D-5AD9C36615C5}"/>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7-3251-4BD0-876D-5AD9C36615C5}"/>
                </c:ext>
                <c:ext xmlns:c15="http://schemas.microsoft.com/office/drawing/2012/chart" uri="{CE6537A1-D6FC-4f65-9D91-7224C49458BB}"/>
              </c:extLst>
            </c:dLbl>
            <c:dLbl>
              <c:idx val="8"/>
              <c:delete val="1"/>
              <c:extLst>
                <c:ext xmlns:c="http://schemas.openxmlformats.org/drawingml/2006/chart" xmlns:c16="http://schemas.microsoft.com/office/drawing/2014/chart" uri="{C3380CC4-5D6E-409C-BE32-E72D297353CC}">
                  <c16:uniqueId val="{00000008-3251-4BD0-876D-5AD9C36615C5}"/>
                </c:ext>
                <c:ext xmlns:c15="http://schemas.microsoft.com/office/drawing/2012/chart" uri="{CE6537A1-D6FC-4f65-9D91-7224C49458BB}"/>
              </c:extLst>
            </c:dLbl>
            <c:dLbl>
              <c:idx val="9"/>
              <c:layout>
                <c:manualLayout>
                  <c:x val="-0.027871309900695404"/>
                  <c:y val="-0.013633936783543082"/>
                </c:manualLayout>
              </c:layout>
              <c:tx>
                <c:rich>
                  <a:bodyPr vertOverflow="clip"/>
                  <a:lstStyle/>
                  <a:p>
                    <a:r>
                      <a:rPr lang="en-US"/>
                      <a:t>2014</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3251-4BD0-876D-5AD9C36615C5}"/>
                </c:ext>
                <c:ext xmlns:c15="http://schemas.microsoft.com/office/drawing/2012/chart" uri="{CE6537A1-D6FC-4f65-9D91-7224C49458BB}"/>
              </c:extLst>
            </c:dLbl>
            <c:dLbl>
              <c:idx val="10"/>
              <c:layout>
                <c:manualLayout>
                  <c:x val="-0.048682691305879967"/>
                  <c:y val="-0.05288250515989211"/>
                </c:manualLayout>
              </c:layout>
              <c:tx>
                <c:rich>
                  <a:bodyPr vertOverflow="clip"/>
                  <a:lstStyle/>
                  <a:p>
                    <a:r>
                      <a:rPr lang="en-US"/>
                      <a:t>2015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3251-4BD0-876D-5AD9C36615C5}"/>
                </c:ext>
                <c:ext xmlns:c15="http://schemas.microsoft.com/office/drawing/2012/chart" uri="{CE6537A1-D6FC-4f65-9D91-7224C49458BB}"/>
              </c:extLst>
            </c:dLbl>
            <c:dLbl>
              <c:idx val="11"/>
              <c:layout>
                <c:manualLayout>
                  <c:x val="-0.045473776802943768"/>
                  <c:y val="-0.029435967255112244"/>
                </c:manualLayout>
              </c:layout>
              <c:tx>
                <c:rich>
                  <a:bodyPr/>
                  <a:lstStyle/>
                  <a:p>
                    <a:r>
                      <a:rPr lang="lv-LV"/>
                      <a:t>SK</a:t>
                    </a:r>
                    <a:endParaRPr lang="en-US"/>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3251-4BD0-876D-5AD9C36615C5}"/>
                </c:ext>
                <c:ext xmlns:c15="http://schemas.microsoft.com/office/drawing/2012/chart" uri="{CE6537A1-D6FC-4f65-9D91-7224C49458BB}"/>
              </c:extLst>
            </c:dLbl>
            <c:dLbl>
              <c:idx val="12"/>
              <c:tx>
                <c:rich>
                  <a:bodyPr/>
                  <a:lstStyle/>
                  <a:p>
                    <a:r>
                      <a:rPr lang="lv-LV"/>
                      <a:t>FI</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3251-4BD0-876D-5AD9C36615C5}"/>
                </c:ext>
                <c:ext xmlns:c15="http://schemas.microsoft.com/office/drawing/2012/chart" uri="{CE6537A1-D6FC-4f65-9D91-7224C49458BB}"/>
              </c:extLst>
            </c:dLbl>
            <c:dLbl>
              <c:idx val="13"/>
              <c:tx>
                <c:rich>
                  <a:bodyPr/>
                  <a:lstStyle/>
                  <a:p>
                    <a:r>
                      <a:rPr lang="lv-LV" b="0"/>
                      <a:t>SE</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3251-4BD0-876D-5AD9C36615C5}"/>
                </c:ext>
                <c:ext xmlns:c15="http://schemas.microsoft.com/office/drawing/2012/chart" uri="{CE6537A1-D6FC-4f65-9D91-7224C49458BB}"/>
              </c:extLst>
            </c:dLbl>
            <c:spPr>
              <a:noFill/>
              <a:ln>
                <a:noFill/>
              </a:ln>
              <a:effectLst/>
            </c:spPr>
            <c:txPr>
              <a:bodyPr/>
              <a:lstStyle/>
              <a:p>
                <a:pPr>
                  <a:defRPr b="0"/>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Sheet1!$B$3:$B$13</c:f>
              <c:numCache>
                <c:formatCode>0.0</c:formatCode>
                <c:ptCount val="11"/>
                <c:pt idx="0">
                  <c:v>19.372881355932204</c:v>
                </c:pt>
                <c:pt idx="1">
                  <c:v>21.6403785488959</c:v>
                </c:pt>
                <c:pt idx="2">
                  <c:v>15.902366863905327</c:v>
                </c:pt>
                <c:pt idx="3">
                  <c:v>16.605783866057838</c:v>
                </c:pt>
                <c:pt idx="4">
                  <c:v>16.055776892430281</c:v>
                </c:pt>
                <c:pt idx="5">
                  <c:v>18.440979955456569</c:v>
                </c:pt>
                <c:pt idx="6">
                  <c:v>16.056034482758619</c:v>
                </c:pt>
                <c:pt idx="7">
                  <c:v>16.875</c:v>
                </c:pt>
                <c:pt idx="8">
                  <c:v>16.912350597609564</c:v>
                </c:pt>
                <c:pt idx="9">
                  <c:v>18.296593186372746</c:v>
                </c:pt>
                <c:pt idx="10">
                  <c:v>17.880000000000003</c:v>
                </c:pt>
              </c:numCache>
            </c:numRef>
          </c:xVal>
          <c:yVal>
            <c:numRef>
              <c:f>Sheet1!$C$3:$C$13</c:f>
              <c:numCache>
                <c:formatCode>0.0</c:formatCode>
                <c:ptCount val="11"/>
                <c:pt idx="0">
                  <c:v>0.35327587597649579</c:v>
                </c:pt>
                <c:pt idx="1">
                  <c:v>0.39652070163284547</c:v>
                </c:pt>
                <c:pt idx="2">
                  <c:v>0.57700459329451337</c:v>
                </c:pt>
                <c:pt idx="3">
                  <c:v>0.63036722746222773</c:v>
                </c:pt>
                <c:pt idx="4">
                  <c:v>0.56120151495363713</c:v>
                </c:pt>
                <c:pt idx="5">
                  <c:v>0.49099199415264783</c:v>
                </c:pt>
                <c:pt idx="6">
                  <c:v>0.64429530201342289</c:v>
                </c:pt>
                <c:pt idx="7">
                  <c:v>0.641123882503193</c:v>
                </c:pt>
                <c:pt idx="8">
                  <c:v>0.69357347686282678</c:v>
                </c:pt>
                <c:pt idx="9">
                  <c:v>0.68933159150129819</c:v>
                </c:pt>
                <c:pt idx="10">
                  <c:v>0.76387073031368324</c:v>
                </c:pt>
              </c:numCache>
            </c:numRef>
          </c:yVal>
          <c:smooth val="1"/>
          <c:extLst>
            <c:ext xmlns:c="http://schemas.openxmlformats.org/drawingml/2006/chart" xmlns:c16="http://schemas.microsoft.com/office/drawing/2014/chart" uri="{C3380CC4-5D6E-409C-BE32-E72D297353CC}">
              <c16:uniqueId val="{0000000E-3251-4BD0-876D-5AD9C36615C5}"/>
            </c:ext>
          </c:extLst>
        </c:ser>
        <c:dLbls>
          <c:showLegendKey val="0"/>
          <c:showVal val="0"/>
          <c:showCatName val="0"/>
          <c:showSerName val="0"/>
          <c:showPercent val="0"/>
          <c:showBubbleSize val="0"/>
        </c:dLbls>
        <c:axId val="629945512"/>
        <c:axId val="629951000"/>
      </c:scatterChart>
      <c:valAx>
        <c:axId val="629945512"/>
        <c:scaling>
          <c:orientation val="minMax"/>
        </c:scaling>
        <c:delete val="0"/>
        <c:axPos val="b"/>
        <c:title>
          <c:tx>
            <c:rich>
              <a:bodyPr vertOverflow="clip"/>
              <a:lstStyle/>
              <a:p>
                <a:pPr>
                  <a:defRPr sz="700" b="0">
                    <a:latin typeface="Arial Narrow" pitchFamily="34" charset="0"/>
                  </a:defRPr>
                </a:pPr>
                <a:r>
                  <a:rPr lang="lv-LV" sz="700" b="0">
                    <a:latin typeface="Arial Narrow" pitchFamily="34" charset="0"/>
                  </a:rPr>
                  <a:t>Produktivitāte (pievienotā vērtība </a:t>
                </a:r>
                <a:br>
                  <a:rPr lang="lv-LV" sz="700" b="0">
                    <a:latin typeface="Arial Narrow" pitchFamily="34" charset="0"/>
                  </a:rPr>
                </a:br>
                <a:r>
                  <a:rPr lang="lv-LV" sz="700" b="0">
                    <a:latin typeface="Arial Narrow" pitchFamily="34" charset="0"/>
                  </a:rPr>
                  <a:t>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29951000"/>
        <c:crosses val="autoZero"/>
        <c:crossBetween val="midCat"/>
        <c:majorUnit val="10"/>
      </c:valAx>
      <c:valAx>
        <c:axId val="629951000"/>
        <c:scaling>
          <c:orientation val="minMax"/>
          <c:min val="0.30000000000000004"/>
        </c:scaling>
        <c:delete val="0"/>
        <c:axPos val="l"/>
        <c:title>
          <c:tx>
            <c:rich>
              <a:bodyPr vertOverflow="clip"/>
              <a:lstStyle/>
              <a:p>
                <a:pPr>
                  <a:defRPr sz="700" b="0"/>
                </a:pPr>
                <a:r>
                  <a:rPr lang="lv-LV" sz="700" b="0">
                    <a:latin typeface="Arial Narrow" pitchFamily="34" charset="0"/>
                  </a:rPr>
                  <a:t>Darbaspēka izmaksas </a:t>
                </a:r>
                <a:br>
                  <a:rPr lang="lv-LV" sz="700" b="0">
                    <a:latin typeface="Arial Narrow" pitchFamily="34" charset="0"/>
                  </a:rPr>
                </a:br>
                <a:r>
                  <a:rPr lang="lv-LV" sz="700" b="0">
                    <a:latin typeface="Arial Narrow" pitchFamily="34" charset="0"/>
                  </a:rPr>
                  <a:t>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29945512"/>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8"/>
          <c:y val="0.046005165816941182"/>
          <c:w val="0.85762258292899962"/>
          <c:h val="0.831279863372076"/>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Sheet1!$B$1:$J$1</c:f>
              <c:strCache>
                <c:ptCount val="9"/>
                <c:pt idx="0">
                  <c:v>2007</c:v>
                </c:pt>
                <c:pt idx="1">
                  <c:v>2008</c:v>
                </c:pt>
                <c:pt idx="2">
                  <c:v>2009</c:v>
                </c:pt>
                <c:pt idx="3">
                  <c:v>2010</c:v>
                </c:pt>
                <c:pt idx="4">
                  <c:v>2011</c:v>
                </c:pt>
                <c:pt idx="5">
                  <c:v>2012</c:v>
                </c:pt>
                <c:pt idx="6">
                  <c:v>2013</c:v>
                </c:pt>
                <c:pt idx="7">
                  <c:v>2014</c:v>
                </c:pt>
                <c:pt idx="8">
                  <c:v>2015</c:v>
                </c:pt>
              </c:strCache>
            </c:strRef>
          </c:cat>
          <c:val>
            <c:numRef>
              <c:f>Sheet1!$B$2:$J$2</c:f>
              <c:numCache>
                <c:formatCode>0</c:formatCode>
                <c:ptCount val="9"/>
                <c:pt idx="0">
                  <c:v>33.733810364325855</c:v>
                </c:pt>
                <c:pt idx="1">
                  <c:v>39.366062694556014</c:v>
                </c:pt>
                <c:pt idx="2">
                  <c:v>35.265739314535836</c:v>
                </c:pt>
                <c:pt idx="3">
                  <c:v>31.598932010849889</c:v>
                </c:pt>
                <c:pt idx="4">
                  <c:v>31.869900214985641</c:v>
                </c:pt>
                <c:pt idx="5">
                  <c:v>33.801329812213076</c:v>
                </c:pt>
                <c:pt idx="6">
                  <c:v>35.118191713592282</c:v>
                </c:pt>
                <c:pt idx="7">
                  <c:v>37.375186420479331</c:v>
                </c:pt>
                <c:pt idx="8">
                  <c:v>39.02724647709001</c:v>
                </c:pt>
              </c:numCache>
            </c:numRef>
          </c:val>
          <c:extLst>
            <c:ext xmlns:c="http://schemas.openxmlformats.org/drawingml/2006/chart" xmlns:c16="http://schemas.microsoft.com/office/drawing/2014/chart" uri="{C3380CC4-5D6E-409C-BE32-E72D297353CC}">
              <c16:uniqueId val="{00000000-41C7-44C2-ADDB-449257D35317}"/>
            </c:ext>
          </c:extLst>
        </c:ser>
        <c:ser>
          <c:idx val="1"/>
          <c:order val="1"/>
          <c:tx>
            <c:strRef>
              <c:f>Sheet1!$A$3</c:f>
              <c:strCache>
                <c:ptCount val="1"/>
                <c:pt idx="0">
                  <c:v>Papīra ražošana un poligrāfija</c:v>
                </c:pt>
              </c:strCache>
            </c:strRef>
          </c:tx>
          <c:spPr>
            <a:ln>
              <a:solidFill>
                <a:sysClr val="windowText" lastClr="000000"/>
              </a:solidFill>
            </a:ln>
          </c:spPr>
          <c:invertIfNegative val="0"/>
          <c:dLbls>
            <c:numFmt formatCode="#,##0" sourceLinked="0"/>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2007</c:v>
                </c:pt>
                <c:pt idx="1">
                  <c:v>2008</c:v>
                </c:pt>
                <c:pt idx="2">
                  <c:v>2009</c:v>
                </c:pt>
                <c:pt idx="3">
                  <c:v>2010</c:v>
                </c:pt>
                <c:pt idx="4">
                  <c:v>2011</c:v>
                </c:pt>
                <c:pt idx="5">
                  <c:v>2012</c:v>
                </c:pt>
                <c:pt idx="6">
                  <c:v>2013</c:v>
                </c:pt>
                <c:pt idx="7">
                  <c:v>2014</c:v>
                </c:pt>
                <c:pt idx="8">
                  <c:v>2015</c:v>
                </c:pt>
              </c:strCache>
            </c:strRef>
          </c:cat>
          <c:val>
            <c:numRef>
              <c:f>Sheet1!$B$3:$J$3</c:f>
              <c:numCache>
                <c:formatCode>0</c:formatCode>
                <c:ptCount val="9"/>
                <c:pt idx="0">
                  <c:v>26.837640966207871</c:v>
                </c:pt>
                <c:pt idx="1">
                  <c:v>31.239246469220657</c:v>
                </c:pt>
                <c:pt idx="2">
                  <c:v>27.18305859178869</c:v>
                </c:pt>
                <c:pt idx="3">
                  <c:v>26.425819754798681</c:v>
                </c:pt>
                <c:pt idx="4">
                  <c:v>29.584809333862594</c:v>
                </c:pt>
                <c:pt idx="5">
                  <c:v>29.980873588567441</c:v>
                </c:pt>
                <c:pt idx="6">
                  <c:v>32.007499012304692</c:v>
                </c:pt>
                <c:pt idx="7">
                  <c:v>34.206927343827495</c:v>
                </c:pt>
                <c:pt idx="8">
                  <c:v>36.185005657008915</c:v>
                </c:pt>
              </c:numCache>
            </c:numRef>
          </c:val>
          <c:extLst>
            <c:ext xmlns:c="http://schemas.openxmlformats.org/drawingml/2006/chart" xmlns:c16="http://schemas.microsoft.com/office/drawing/2014/chart" uri="{C3380CC4-5D6E-409C-BE32-E72D297353CC}">
              <c16:uniqueId val="{00000001-41C7-44C2-ADDB-449257D35317}"/>
            </c:ext>
          </c:extLst>
        </c:ser>
        <c:dLbls>
          <c:showLegendKey val="0"/>
          <c:showVal val="0"/>
          <c:showCatName val="0"/>
          <c:showSerName val="0"/>
          <c:showPercent val="0"/>
          <c:showBubbleSize val="0"/>
        </c:dLbls>
        <c:gapWidth val="50"/>
        <c:overlap val="52"/>
        <c:axId val="629955704"/>
        <c:axId val="629956096"/>
      </c:barChart>
      <c:catAx>
        <c:axId val="629955704"/>
        <c:scaling>
          <c:orientation val="minMax"/>
        </c:scaling>
        <c:delete val="0"/>
        <c:axPos val="b"/>
        <c:numFmt formatCode="General" sourceLinked="0"/>
        <c:majorTickMark val="out"/>
        <c:minorTickMark val="none"/>
        <c:tickLblPos val="nextTo"/>
        <c:txPr>
          <a:bodyPr/>
          <a:lstStyle/>
          <a:p>
            <a:pPr>
              <a:defRPr sz="700"/>
            </a:pPr>
            <a:endParaRPr lang="lv-LV"/>
          </a:p>
        </c:txPr>
        <c:crossAx val="629956096"/>
        <c:crosses val="autoZero"/>
        <c:auto val="1"/>
        <c:lblAlgn val="ctr"/>
        <c:lblOffset val="100"/>
        <c:noMultiLvlLbl val="0"/>
      </c:catAx>
      <c:valAx>
        <c:axId val="629956096"/>
        <c:scaling>
          <c:orientation val="minMax"/>
          <c:max val="80"/>
        </c:scaling>
        <c:delete val="0"/>
        <c:axPos val="l"/>
        <c:numFmt formatCode="0" sourceLinked="0"/>
        <c:majorTickMark val="out"/>
        <c:minorTickMark val="none"/>
        <c:tickLblPos val="nextTo"/>
        <c:txPr>
          <a:bodyPr/>
          <a:lstStyle/>
          <a:p>
            <a:pPr>
              <a:defRPr sz="800"/>
            </a:pPr>
            <a:endParaRPr lang="lv-LV"/>
          </a:p>
        </c:txPr>
        <c:crossAx val="629955704"/>
        <c:crosses val="autoZero"/>
        <c:crossBetween val="between"/>
        <c:majorUnit val="20"/>
      </c:valAx>
      <c:spPr>
        <a:ln>
          <a:noFill/>
        </a:ln>
      </c:spPr>
    </c:plotArea>
    <c:legend>
      <c:legendPos val="r"/>
      <c:layout>
        <c:manualLayout>
          <c:xMode val="edge"/>
          <c:yMode val="edge"/>
          <c:x val="0.10756494003272012"/>
          <c:y val="0.085564304461942256"/>
          <c:w val="0.82467097442416115"/>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738"/>
          <c:y val="0.046005165816941182"/>
          <c:w val="0.85762258292899962"/>
          <c:h val="0.83127986337207582"/>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Sheet1!$B$1:$I$1</c:f>
              <c:strCache>
                <c:ptCount val="8"/>
                <c:pt idx="0">
                  <c:v>2007</c:v>
                </c:pt>
                <c:pt idx="1">
                  <c:v>2008</c:v>
                </c:pt>
                <c:pt idx="2">
                  <c:v>2009</c:v>
                </c:pt>
                <c:pt idx="3">
                  <c:v>2010</c:v>
                </c:pt>
                <c:pt idx="4">
                  <c:v>2011</c:v>
                </c:pt>
                <c:pt idx="5">
                  <c:v>2012</c:v>
                </c:pt>
                <c:pt idx="6">
                  <c:v>2013</c:v>
                </c:pt>
                <c:pt idx="7">
                  <c:v>2014</c:v>
                </c:pt>
              </c:strCache>
            </c:strRef>
          </c:cat>
          <c:val>
            <c:numRef>
              <c:f>Sheet1!$B$2:$I$2</c:f>
              <c:numCache>
                <c:formatCode>0</c:formatCode>
                <c:ptCount val="8"/>
                <c:pt idx="0">
                  <c:v>37.543267740570116</c:v>
                </c:pt>
                <c:pt idx="1">
                  <c:v>40.842057643741676</c:v>
                </c:pt>
                <c:pt idx="2">
                  <c:v>38.288707041966028</c:v>
                </c:pt>
                <c:pt idx="3">
                  <c:v>37.097778599507883</c:v>
                </c:pt>
                <c:pt idx="4">
                  <c:v>40.389766440010831</c:v>
                </c:pt>
                <c:pt idx="5">
                  <c:v>42.46259667259212</c:v>
                </c:pt>
                <c:pt idx="6">
                  <c:v>42.568476309606638</c:v>
                </c:pt>
                <c:pt idx="7">
                  <c:v>43.635115226322327</c:v>
                </c:pt>
              </c:numCache>
            </c:numRef>
          </c:val>
          <c:extLst>
            <c:ext xmlns:c="http://schemas.openxmlformats.org/drawingml/2006/chart" xmlns:c16="http://schemas.microsoft.com/office/drawing/2014/chart" uri="{C3380CC4-5D6E-409C-BE32-E72D297353CC}">
              <c16:uniqueId val="{00000000-0693-4D90-ACA6-07D22B1C82DD}"/>
            </c:ext>
          </c:extLst>
        </c:ser>
        <c:ser>
          <c:idx val="1"/>
          <c:order val="1"/>
          <c:tx>
            <c:strRef>
              <c:f>Sheet1!$A$3</c:f>
              <c:strCache>
                <c:ptCount val="1"/>
                <c:pt idx="0">
                  <c:v>Papīra ražošana un poligrāfija</c:v>
                </c:pt>
              </c:strCache>
            </c:strRef>
          </c:tx>
          <c:spPr>
            <a:ln>
              <a:solidFill>
                <a:sysClr val="windowText" lastClr="000000"/>
              </a:solidFill>
            </a:ln>
          </c:spPr>
          <c:invertIfNegative val="0"/>
          <c:dLbls>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2007</c:v>
                </c:pt>
                <c:pt idx="1">
                  <c:v>2008</c:v>
                </c:pt>
                <c:pt idx="2">
                  <c:v>2009</c:v>
                </c:pt>
                <c:pt idx="3">
                  <c:v>2010</c:v>
                </c:pt>
                <c:pt idx="4">
                  <c:v>2011</c:v>
                </c:pt>
                <c:pt idx="5">
                  <c:v>2012</c:v>
                </c:pt>
                <c:pt idx="6">
                  <c:v>2013</c:v>
                </c:pt>
                <c:pt idx="7">
                  <c:v>2014</c:v>
                </c:pt>
              </c:strCache>
            </c:strRef>
          </c:cat>
          <c:val>
            <c:numRef>
              <c:f>Sheet1!$B$3:$I$3</c:f>
              <c:numCache>
                <c:formatCode>0</c:formatCode>
                <c:ptCount val="8"/>
                <c:pt idx="0">
                  <c:v>28.744187979538406</c:v>
                </c:pt>
                <c:pt idx="1">
                  <c:v>34.838171482218179</c:v>
                </c:pt>
                <c:pt idx="2">
                  <c:v>33.128257835045829</c:v>
                </c:pt>
                <c:pt idx="3">
                  <c:v>35.9179459623323</c:v>
                </c:pt>
                <c:pt idx="4">
                  <c:v>34.422422473499857</c:v>
                </c:pt>
                <c:pt idx="5">
                  <c:v>35.470950244490894</c:v>
                </c:pt>
                <c:pt idx="6">
                  <c:v>36.811946617761784</c:v>
                </c:pt>
                <c:pt idx="7">
                  <c:v>38.973095490203526</c:v>
                </c:pt>
              </c:numCache>
            </c:numRef>
          </c:val>
          <c:extLst>
            <c:ext xmlns:c="http://schemas.openxmlformats.org/drawingml/2006/chart" xmlns:c16="http://schemas.microsoft.com/office/drawing/2014/chart" uri="{C3380CC4-5D6E-409C-BE32-E72D297353CC}">
              <c16:uniqueId val="{00000001-0693-4D90-ACA6-07D22B1C82DD}"/>
            </c:ext>
          </c:extLst>
        </c:ser>
        <c:dLbls>
          <c:showLegendKey val="0"/>
          <c:showVal val="0"/>
          <c:showCatName val="0"/>
          <c:showSerName val="0"/>
          <c:showPercent val="0"/>
          <c:showBubbleSize val="0"/>
        </c:dLbls>
        <c:gapWidth val="50"/>
        <c:overlap val="52"/>
        <c:axId val="629945904"/>
        <c:axId val="629949040"/>
      </c:barChart>
      <c:catAx>
        <c:axId val="629945904"/>
        <c:scaling>
          <c:orientation val="minMax"/>
        </c:scaling>
        <c:delete val="0"/>
        <c:axPos val="b"/>
        <c:numFmt formatCode="General" sourceLinked="0"/>
        <c:majorTickMark val="out"/>
        <c:minorTickMark val="none"/>
        <c:tickLblPos val="nextTo"/>
        <c:txPr>
          <a:bodyPr/>
          <a:lstStyle/>
          <a:p>
            <a:pPr>
              <a:defRPr sz="700"/>
            </a:pPr>
            <a:endParaRPr lang="lv-LV"/>
          </a:p>
        </c:txPr>
        <c:crossAx val="629949040"/>
        <c:crosses val="autoZero"/>
        <c:auto val="1"/>
        <c:lblAlgn val="ctr"/>
        <c:lblOffset val="100"/>
        <c:noMultiLvlLbl val="0"/>
      </c:catAx>
      <c:valAx>
        <c:axId val="629949040"/>
        <c:scaling>
          <c:orientation val="minMax"/>
          <c:max val="80"/>
        </c:scaling>
        <c:delete val="0"/>
        <c:axPos val="l"/>
        <c:numFmt formatCode="0" sourceLinked="1"/>
        <c:majorTickMark val="out"/>
        <c:minorTickMark val="none"/>
        <c:tickLblPos val="nextTo"/>
        <c:txPr>
          <a:bodyPr/>
          <a:lstStyle/>
          <a:p>
            <a:pPr>
              <a:defRPr sz="800"/>
            </a:pPr>
            <a:endParaRPr lang="lv-LV"/>
          </a:p>
        </c:txPr>
        <c:crossAx val="629945904"/>
        <c:crosses val="autoZero"/>
        <c:crossBetween val="between"/>
        <c:majorUnit val="20"/>
      </c:valAx>
      <c:spPr>
        <a:ln>
          <a:noFill/>
        </a:ln>
      </c:spPr>
    </c:plotArea>
    <c:legend>
      <c:legendPos val="r"/>
      <c:layout>
        <c:manualLayout>
          <c:xMode val="edge"/>
          <c:yMode val="edge"/>
          <c:x val="0.14496371777057279"/>
          <c:y val="0.085564304461942256"/>
          <c:w val="0.77047810200195566"/>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46717244654"/>
          <c:y val="0.044057617797775277"/>
          <c:w val="0.9310540474739486"/>
          <c:h val="0.5056995924289952"/>
        </c:manualLayout>
      </c:layout>
      <c:barChart>
        <c:barDir val="col"/>
        <c:grouping val="clustered"/>
        <c:varyColors val="0"/>
        <c:ser>
          <c:idx val="1"/>
          <c:order val="0"/>
          <c:tx>
            <c:strRef>
              <c:f>Sheet1!$B$3</c:f>
              <c:strCache>
                <c:ptCount val="1"/>
                <c:pt idx="0">
                  <c:v>Compensation per employees 1000 of euro</c:v>
                </c:pt>
              </c:strCache>
            </c:strRef>
          </c:tx>
          <c:spPr>
            <a:solidFill>
              <a:schemeClr val="accent3">
                <a:lumMod val="50000"/>
              </a:schemeClr>
            </a:solidFill>
            <a:ln w="19050"/>
          </c:spPr>
          <c:invertIfNegative val="0"/>
          <c:dPt>
            <c:idx val="11"/>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7-E26E-4203-A258-1B37A7F48024}"/>
              </c:ext>
            </c:extLst>
          </c:dPt>
          <c:dPt>
            <c:idx val="20"/>
            <c:invertIfNegative val="0"/>
            <c:bubble3D val="0"/>
            <c:spPr>
              <a:solidFill>
                <a:srgbClr val="C00000"/>
              </a:solidFill>
              <a:ln w="19050"/>
            </c:spPr>
            <c:extLst>
              <c:ext xmlns:c="http://schemas.openxmlformats.org/drawingml/2006/chart" xmlns:c16="http://schemas.microsoft.com/office/drawing/2014/chart" uri="{C3380CC4-5D6E-409C-BE32-E72D297353CC}">
                <c16:uniqueId val="{00000000-1A64-4EF4-A9F7-420C6F9550A8}"/>
              </c:ext>
            </c:extLst>
          </c:dPt>
          <c:dPt>
            <c:idx val="21"/>
            <c:invertIfNegative val="0"/>
            <c:bubble3D val="0"/>
            <c:extLst>
              <c:ext xmlns:c="http://schemas.openxmlformats.org/drawingml/2006/chart" xmlns:c16="http://schemas.microsoft.com/office/drawing/2014/chart" uri="{C3380CC4-5D6E-409C-BE32-E72D297353CC}">
                <c16:uniqueId val="{00000005-AA32-414E-8B7C-B3DD6391886F}"/>
              </c:ext>
            </c:extLst>
          </c:dPt>
          <c:dPt>
            <c:idx val="22"/>
            <c:invertIfNegative val="0"/>
            <c:bubble3D val="0"/>
            <c:spPr>
              <a:solidFill>
                <a:schemeClr val="accent3">
                  <a:lumMod val="50000"/>
                </a:schemeClr>
              </a:solidFill>
              <a:ln w="19050">
                <a:noFill/>
              </a:ln>
            </c:spPr>
            <c:extLst>
              <c:ext xmlns:c="http://schemas.openxmlformats.org/drawingml/2006/chart" xmlns:c16="http://schemas.microsoft.com/office/drawing/2014/chart" uri="{C3380CC4-5D6E-409C-BE32-E72D297353CC}">
                <c16:uniqueId val="{00000002-1A64-4EF4-A9F7-420C6F9550A8}"/>
              </c:ext>
            </c:extLst>
          </c:dPt>
          <c:dPt>
            <c:idx val="24"/>
            <c:invertIfNegative val="0"/>
            <c:bubble3D val="0"/>
            <c:extLst>
              <c:ext xmlns:c="http://schemas.openxmlformats.org/drawingml/2006/chart" xmlns:c16="http://schemas.microsoft.com/office/drawing/2014/chart" uri="{C3380CC4-5D6E-409C-BE32-E72D297353CC}">
                <c16:uniqueId val="{00000003-1A64-4EF4-A9F7-420C6F9550A8}"/>
              </c:ext>
            </c:extLst>
          </c:dPt>
          <c:dPt>
            <c:idx val="25"/>
            <c:invertIfNegative val="0"/>
            <c:bubble3D val="0"/>
            <c:extLst>
              <c:ext xmlns:c="http://schemas.openxmlformats.org/drawingml/2006/chart" xmlns:c16="http://schemas.microsoft.com/office/drawing/2014/chart" uri="{C3380CC4-5D6E-409C-BE32-E72D297353CC}">
                <c16:uniqueId val="{00000004-1A64-4EF4-A9F7-420C6F9550A8}"/>
              </c:ext>
            </c:extLst>
          </c:dPt>
          <c:dLbls>
            <c:dLbl>
              <c:idx val="11"/>
              <c:numFmt formatCode="#,##0" sourceLinked="0"/>
              <c:spPr>
                <a:noFill/>
                <a:ln>
                  <a:noFill/>
                </a:ln>
                <a:effectLst/>
              </c:spPr>
              <c:txPr>
                <a:bodyPr/>
                <a:lstStyle/>
                <a:p>
                  <a:pPr>
                    <a:defRPr sz="600" b="0"/>
                  </a:pPr>
                  <a:endParaRPr lang="lv-LV"/>
                </a:p>
              </c:txPr>
              <c:showLegendKey val="0"/>
              <c:showVal val="1"/>
              <c:showCatName val="0"/>
              <c:showSerName val="0"/>
              <c:showPercent val="0"/>
              <c:showBubbleSize val="0"/>
            </c:dLbl>
            <c:dLbl>
              <c:idx val="20"/>
              <c:numFmt formatCode="#,##0" sourceLinked="0"/>
              <c:spPr>
                <a:noFill/>
                <a:ln>
                  <a:noFill/>
                </a:ln>
                <a:effectLst/>
              </c:spPr>
              <c:txPr>
                <a:bodyPr/>
                <a:lstStyle/>
                <a:p>
                  <a:pPr>
                    <a:defRPr sz="600" b="1"/>
                  </a:pPr>
                  <a:endParaRPr lang="lv-LV"/>
                </a:p>
              </c:txPr>
              <c:showLegendKey val="0"/>
              <c:showVal val="1"/>
              <c:showCatName val="0"/>
              <c:showSerName val="0"/>
              <c:showPercent val="0"/>
              <c:showBubbleSize val="0"/>
            </c:dLbl>
            <c:dLbl>
              <c:idx val="21"/>
              <c:layout>
                <c:manualLayout>
                  <c:x val="1.4769886443141018E-16"/>
                  <c:y val="0"/>
                </c:manualLayout>
              </c:layout>
              <c:numFmt formatCode="#,##0" sourceLinked="0"/>
              <c:spPr>
                <a:noFill/>
                <a:ln>
                  <a:noFill/>
                </a:ln>
                <a:effectLst/>
              </c:spPr>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AA32-414E-8B7C-B3DD6391886F}"/>
                </c:ext>
                <c:ext xmlns:c15="http://schemas.microsoft.com/office/drawing/2012/chart" uri="{CE6537A1-D6FC-4f65-9D91-7224C49458BB}"/>
              </c:extLst>
            </c:dLbl>
            <c:dLbl>
              <c:idx val="22"/>
              <c:layout>
                <c:manualLayout>
                  <c:x val="-1.4769886443141018E-16"/>
                  <c:y val="0"/>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1A64-4EF4-A9F7-420C6F9550A8}"/>
                </c:ext>
                <c:ext xmlns:c15="http://schemas.microsoft.com/office/drawing/2012/chart" uri="{CE6537A1-D6FC-4f65-9D91-7224C49458BB}"/>
              </c:extLst>
            </c:dLbl>
            <c:dLbl>
              <c:idx val="24"/>
              <c:layout>
                <c:manualLayout>
                  <c:x val="-0.0040281973816717019"/>
                  <c:y val="-3.6702729232016727E-05"/>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1A64-4EF4-A9F7-420C6F9550A8}"/>
                </c:ext>
                <c:ext xmlns:c15="http://schemas.microsoft.com/office/drawing/2012/chart" uri="{CE6537A1-D6FC-4f65-9D91-7224C49458BB}"/>
              </c:extLst>
            </c:dLbl>
            <c:dLbl>
              <c:idx val="25"/>
              <c:layout>
                <c:manualLayout>
                  <c:x val="0"/>
                  <c:y val="0.0047350290403144375"/>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1A64-4EF4-A9F7-420C6F9550A8}"/>
                </c:ext>
                <c:ext xmlns:c15="http://schemas.microsoft.com/office/drawing/2012/chart" uri="{CE6537A1-D6FC-4f65-9D91-7224C49458BB}"/>
              </c:extLst>
            </c:dLbl>
            <c:numFmt formatCode="#,##0" sourceLinked="0"/>
            <c:spPr>
              <a:noFill/>
              <a:ln>
                <a:noFill/>
              </a:ln>
              <a:effectLst/>
            </c:spPr>
            <c:txPr>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Sheet1!$A$4:$A$30</c:f>
              <c:strCache>
                <c:ptCount val="27"/>
                <c:pt idx="0">
                  <c:v>Somija</c:v>
                </c:pt>
                <c:pt idx="1">
                  <c:v>Zviedrija</c:v>
                </c:pt>
                <c:pt idx="2">
                  <c:v>Apv. Karaliste</c:v>
                </c:pt>
                <c:pt idx="3">
                  <c:v>Austrija</c:v>
                </c:pt>
                <c:pt idx="4">
                  <c:v>Beļģija</c:v>
                </c:pt>
                <c:pt idx="5">
                  <c:v>Dānija</c:v>
                </c:pt>
                <c:pt idx="6">
                  <c:v>Nīderlande</c:v>
                </c:pt>
                <c:pt idx="7">
                  <c:v>Francija</c:v>
                </c:pt>
                <c:pt idx="8">
                  <c:v>Īrija</c:v>
                </c:pt>
                <c:pt idx="9">
                  <c:v>Itālija</c:v>
                </c:pt>
                <c:pt idx="10">
                  <c:v>Vācija</c:v>
                </c:pt>
                <c:pt idx="11">
                  <c:v>ES-28</c:v>
                </c:pt>
                <c:pt idx="12">
                  <c:v>Spānija</c:v>
                </c:pt>
                <c:pt idx="13">
                  <c:v>Slovēnija</c:v>
                </c:pt>
                <c:pt idx="14">
                  <c:v>Grieķija</c:v>
                </c:pt>
                <c:pt idx="15">
                  <c:v>Portugāle</c:v>
                </c:pt>
                <c:pt idx="16">
                  <c:v>Kipra</c:v>
                </c:pt>
                <c:pt idx="17">
                  <c:v>Horvātija</c:v>
                </c:pt>
                <c:pt idx="18">
                  <c:v>Slovākija</c:v>
                </c:pt>
                <c:pt idx="19">
                  <c:v>Lietuva</c:v>
                </c:pt>
                <c:pt idx="20">
                  <c:v>Latvija</c:v>
                </c:pt>
                <c:pt idx="21">
                  <c:v>Čehija</c:v>
                </c:pt>
                <c:pt idx="22">
                  <c:v>Igaunija</c:v>
                </c:pt>
                <c:pt idx="23">
                  <c:v>Polija</c:v>
                </c:pt>
                <c:pt idx="24">
                  <c:v>Rumānija</c:v>
                </c:pt>
                <c:pt idx="25">
                  <c:v>Ungārija</c:v>
                </c:pt>
                <c:pt idx="26">
                  <c:v>Bulgārija</c:v>
                </c:pt>
              </c:strCache>
            </c:strRef>
          </c:cat>
          <c:val>
            <c:numRef>
              <c:f>Sheet1!$B$4:$B$30</c:f>
              <c:numCache>
                <c:formatCode>#,##0.0</c:formatCode>
                <c:ptCount val="27"/>
                <c:pt idx="0">
                  <c:v>60.359712230215827</c:v>
                </c:pt>
                <c:pt idx="1">
                  <c:v>58.1625</c:v>
                </c:pt>
                <c:pt idx="2">
                  <c:v>57.942257568669383</c:v>
                </c:pt>
                <c:pt idx="3">
                  <c:v>56.948555320648339</c:v>
                </c:pt>
                <c:pt idx="4">
                  <c:v>56.118143459915615</c:v>
                </c:pt>
                <c:pt idx="5">
                  <c:v>52.533333333333339</c:v>
                </c:pt>
                <c:pt idx="6">
                  <c:v>52.194444444444443</c:v>
                </c:pt>
                <c:pt idx="7">
                  <c:v>50.092436974789919</c:v>
                </c:pt>
                <c:pt idx="8">
                  <c:v>45.109756097560975</c:v>
                </c:pt>
                <c:pt idx="9">
                  <c:v>38.784649776453058</c:v>
                </c:pt>
                <c:pt idx="10">
                  <c:v>38.4695945945946</c:v>
                </c:pt>
                <c:pt idx="11">
                  <c:v>37.744939955158323</c:v>
                </c:pt>
                <c:pt idx="12">
                  <c:v>34.82387475538161</c:v>
                </c:pt>
                <c:pt idx="13">
                  <c:v>24.967320261437909</c:v>
                </c:pt>
                <c:pt idx="14">
                  <c:v>21.584507042253524</c:v>
                </c:pt>
                <c:pt idx="15">
                  <c:v>21.555042340261739</c:v>
                </c:pt>
                <c:pt idx="16">
                  <c:v>19.931972789115644</c:v>
                </c:pt>
                <c:pt idx="17">
                  <c:v>19.101358411703242</c:v>
                </c:pt>
                <c:pt idx="18">
                  <c:v>17.036462373933283</c:v>
                </c:pt>
                <c:pt idx="19">
                  <c:v>16.098765432098762</c:v>
                </c:pt>
                <c:pt idx="20">
                  <c:v>13.658008658008658</c:v>
                </c:pt>
                <c:pt idx="21">
                  <c:v>13.44202010296641</c:v>
                </c:pt>
                <c:pt idx="22">
                  <c:v>12.999999999999998</c:v>
                </c:pt>
                <c:pt idx="23">
                  <c:v>11.480345911949687</c:v>
                </c:pt>
                <c:pt idx="24">
                  <c:v>11.457627118644069</c:v>
                </c:pt>
                <c:pt idx="25">
                  <c:v>11.266573621772505</c:v>
                </c:pt>
                <c:pt idx="26">
                  <c:v>5.7331223628691976</c:v>
                </c:pt>
              </c:numCache>
            </c:numRef>
          </c:val>
          <c:extLst>
            <c:ext xmlns:c="http://schemas.openxmlformats.org/drawingml/2006/chart" xmlns:c16="http://schemas.microsoft.com/office/drawing/2014/chart" uri="{C3380CC4-5D6E-409C-BE32-E72D297353CC}">
              <c16:uniqueId val="{00000005-1A64-4EF4-A9F7-420C6F9550A8}"/>
            </c:ext>
          </c:extLst>
        </c:ser>
        <c:dLbls>
          <c:showLegendKey val="0"/>
          <c:showVal val="0"/>
          <c:showCatName val="0"/>
          <c:showSerName val="0"/>
          <c:showPercent val="0"/>
          <c:showBubbleSize val="0"/>
        </c:dLbls>
        <c:gapWidth val="20"/>
        <c:axId val="629946688"/>
        <c:axId val="629951784"/>
      </c:barChart>
      <c:catAx>
        <c:axId val="629946688"/>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29951784"/>
        <c:crosses val="autoZero"/>
        <c:auto val="1"/>
        <c:lblAlgn val="ctr"/>
        <c:lblOffset val="100"/>
        <c:tickLblSkip val="1"/>
        <c:noMultiLvlLbl val="0"/>
      </c:catAx>
      <c:valAx>
        <c:axId val="629951784"/>
        <c:scaling>
          <c:orientation val="minMax"/>
        </c:scaling>
        <c:delete val="0"/>
        <c:axPos val="l"/>
        <c:numFmt formatCode="0" sourceLinked="0"/>
        <c:majorTickMark val="out"/>
        <c:minorTickMark val="none"/>
        <c:tickLblPos val="nextTo"/>
        <c:txPr>
          <a:bodyPr/>
          <a:lstStyle/>
          <a:p>
            <a:pPr>
              <a:defRPr sz="600"/>
            </a:pPr>
            <a:endParaRPr lang="lv-LV"/>
          </a:p>
        </c:txPr>
        <c:crossAx val="629946688"/>
        <c:crosses val="autoZero"/>
        <c:crossBetween val="between"/>
      </c:valAx>
    </c:plotArea>
    <c:plotVisOnly val="1"/>
    <c:dispBlanksAs val="gap"/>
    <c:showDLblsOverMax val="0"/>
  </c:chart>
  <c:spPr>
    <a:ln w="9525">
      <a:noFill/>
    </a:ln>
  </c:spPr>
  <c:externalData r:id="rId1">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5206365820586629"/>
          <c:y val="0.098667178797772245"/>
          <c:w val="0.92848141716424415"/>
          <c:h val="0.44729274694321747"/>
        </c:manualLayout>
      </c:layout>
      <c:barChart>
        <c:barDir val="col"/>
        <c:grouping val="clustered"/>
        <c:varyColors val="0"/>
        <c:ser>
          <c:idx val="1"/>
          <c:order val="0"/>
          <c:tx>
            <c:strRef>
              <c:f>Sheet1!$B$3</c:f>
              <c:strCache>
                <c:ptCount val="1"/>
                <c:pt idx="0">
                  <c:v>Productivity</c:v>
                </c:pt>
              </c:strCache>
            </c:strRef>
          </c:tx>
          <c:spPr>
            <a:solidFill>
              <a:schemeClr val="accent3">
                <a:lumMod val="50000"/>
              </a:schemeClr>
            </a:solidFill>
            <a:ln w="19050"/>
          </c:spPr>
          <c:invertIfNegative val="0"/>
          <c:dPt>
            <c:idx val="10"/>
            <c:invertIfNegative val="0"/>
            <c:bubble3D val="0"/>
            <c:extLst>
              <c:ext xmlns:c="http://schemas.openxmlformats.org/drawingml/2006/chart" xmlns:c16="http://schemas.microsoft.com/office/drawing/2014/chart" uri="{C3380CC4-5D6E-409C-BE32-E72D297353CC}">
                <c16:uniqueId val="{00000005-C2EE-43D5-B982-7BDE87549EE2}"/>
              </c:ext>
            </c:extLst>
          </c:dPt>
          <c:dPt>
            <c:idx val="20"/>
            <c:invertIfNegative val="0"/>
            <c:bubble3D val="0"/>
            <c:extLst>
              <c:ext xmlns:c="http://schemas.openxmlformats.org/drawingml/2006/chart" xmlns:c16="http://schemas.microsoft.com/office/drawing/2014/chart" uri="{C3380CC4-5D6E-409C-BE32-E72D297353CC}">
                <c16:uniqueId val="{00000000-C028-429B-BCBF-9A8921A7237B}"/>
              </c:ext>
            </c:extLst>
          </c:dPt>
          <c:dPt>
            <c:idx val="22"/>
            <c:invertIfNegative val="0"/>
            <c:bubble3D val="0"/>
            <c:extLst>
              <c:ext xmlns:c="http://schemas.openxmlformats.org/drawingml/2006/chart" xmlns:c16="http://schemas.microsoft.com/office/drawing/2014/chart" uri="{C3380CC4-5D6E-409C-BE32-E72D297353CC}">
                <c16:uniqueId val="{00000002-C028-429B-BCBF-9A8921A7237B}"/>
              </c:ext>
            </c:extLst>
          </c:dPt>
          <c:dPt>
            <c:idx val="23"/>
            <c:invertIfNegative val="0"/>
            <c:bubble3D val="0"/>
            <c:spPr>
              <a:solidFill>
                <a:srgbClr val="C00000"/>
              </a:solidFill>
              <a:ln w="19050"/>
            </c:spPr>
            <c:extLst>
              <c:ext xmlns:c="http://schemas.openxmlformats.org/drawingml/2006/chart" xmlns:c16="http://schemas.microsoft.com/office/drawing/2014/chart" uri="{C3380CC4-5D6E-409C-BE32-E72D297353CC}">
                <c16:uniqueId val="{00000007-03E7-4392-AFEB-EFAF0F2F8889}"/>
              </c:ext>
            </c:extLst>
          </c:dPt>
          <c:dPt>
            <c:idx val="24"/>
            <c:invertIfNegative val="0"/>
            <c:bubble3D val="0"/>
            <c:extLst>
              <c:ext xmlns:c="http://schemas.openxmlformats.org/drawingml/2006/chart" xmlns:c16="http://schemas.microsoft.com/office/drawing/2014/chart" uri="{C3380CC4-5D6E-409C-BE32-E72D297353CC}">
                <c16:uniqueId val="{00000003-C028-429B-BCBF-9A8921A7237B}"/>
              </c:ext>
            </c:extLst>
          </c:dPt>
          <c:dPt>
            <c:idx val="25"/>
            <c:invertIfNegative val="0"/>
            <c:bubble3D val="0"/>
            <c:extLst>
              <c:ext xmlns:c="http://schemas.openxmlformats.org/drawingml/2006/chart" xmlns:c16="http://schemas.microsoft.com/office/drawing/2014/chart" uri="{C3380CC4-5D6E-409C-BE32-E72D297353CC}">
                <c16:uniqueId val="{00000004-C028-429B-BCBF-9A8921A7237B}"/>
              </c:ext>
            </c:extLst>
          </c:dPt>
          <c:dLbls>
            <c:dLbl>
              <c:idx val="22"/>
              <c:layout>
                <c:manualLayout>
                  <c:x val="0"/>
                  <c:y val="-4.9683256226419487E-17"/>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C028-429B-BCBF-9A8921A7237B}"/>
                </c:ext>
                <c:ext xmlns:c15="http://schemas.microsoft.com/office/drawing/2012/chart" uri="{CE6537A1-D6FC-4f65-9D91-7224C49458BB}"/>
              </c:extLst>
            </c:dLbl>
            <c:dLbl>
              <c:idx val="23"/>
              <c:numFmt formatCode="#,##0" sourceLinked="0"/>
              <c:spPr>
                <a:noFill/>
                <a:ln>
                  <a:noFill/>
                </a:ln>
                <a:effectLst/>
              </c:spPr>
              <c:txPr>
                <a:bodyPr/>
                <a:lstStyle/>
                <a:p>
                  <a:pPr>
                    <a:defRPr sz="600" b="1"/>
                  </a:pPr>
                  <a:endParaRPr lang="lv-LV"/>
                </a:p>
              </c:txPr>
              <c:showLegendKey val="0"/>
              <c:showVal val="1"/>
              <c:showCatName val="0"/>
              <c:showSerName val="0"/>
              <c:showPercent val="0"/>
              <c:showBubbleSize val="0"/>
            </c:dLbl>
            <c:dLbl>
              <c:idx val="24"/>
              <c:layout>
                <c:manualLayout>
                  <c:x val="0.0040281973816717019"/>
                  <c:y val="-3.6702729232016727E-05"/>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C028-429B-BCBF-9A8921A7237B}"/>
                </c:ext>
                <c:ext xmlns:c15="http://schemas.microsoft.com/office/drawing/2012/chart" uri="{CE6537A1-D6FC-4f65-9D91-7224C49458BB}"/>
              </c:extLst>
            </c:dLbl>
            <c:dLbl>
              <c:idx val="25"/>
              <c:layout>
                <c:manualLayout>
                  <c:x val="0"/>
                  <c:y val="0.0047350290403144375"/>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C028-429B-BCBF-9A8921A7237B}"/>
                </c:ext>
                <c:ext xmlns:c15="http://schemas.microsoft.com/office/drawing/2012/chart" uri="{CE6537A1-D6FC-4f65-9D91-7224C49458BB}"/>
              </c:extLst>
            </c:dLbl>
            <c:numFmt formatCode="#,##0" sourceLinked="0"/>
            <c:spPr>
              <a:noFill/>
              <a:ln>
                <a:noFill/>
              </a:ln>
              <a:effectLst/>
            </c:spPr>
            <c:txPr>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Sheet1!$A$4:$A$29</c:f>
              <c:strCache>
                <c:ptCount val="26"/>
                <c:pt idx="0">
                  <c:v>Somija</c:v>
                </c:pt>
                <c:pt idx="1">
                  <c:v>Austrija</c:v>
                </c:pt>
                <c:pt idx="2">
                  <c:v>Zviedrija</c:v>
                </c:pt>
                <c:pt idx="3">
                  <c:v>Beļģija</c:v>
                </c:pt>
                <c:pt idx="4">
                  <c:v>Nīderlande</c:v>
                </c:pt>
                <c:pt idx="5">
                  <c:v>Francija</c:v>
                </c:pt>
                <c:pt idx="6">
                  <c:v>Dānija</c:v>
                </c:pt>
                <c:pt idx="7">
                  <c:v>Vācija</c:v>
                </c:pt>
                <c:pt idx="8">
                  <c:v>Itālija</c:v>
                </c:pt>
                <c:pt idx="9">
                  <c:v>Īrija</c:v>
                </c:pt>
                <c:pt idx="10">
                  <c:v>Apv. Karaliste</c:v>
                </c:pt>
                <c:pt idx="11">
                  <c:v>Portugāle</c:v>
                </c:pt>
                <c:pt idx="12">
                  <c:v>Spānija</c:v>
                </c:pt>
                <c:pt idx="13">
                  <c:v>Lietuva</c:v>
                </c:pt>
                <c:pt idx="14">
                  <c:v>Slovēnija</c:v>
                </c:pt>
                <c:pt idx="15">
                  <c:v>Rumānija</c:v>
                </c:pt>
                <c:pt idx="16">
                  <c:v>Slovākija</c:v>
                </c:pt>
                <c:pt idx="17">
                  <c:v>Horvātija</c:v>
                </c:pt>
                <c:pt idx="18">
                  <c:v>Čehija</c:v>
                </c:pt>
                <c:pt idx="19">
                  <c:v>Polija</c:v>
                </c:pt>
                <c:pt idx="20">
                  <c:v>Grieķija</c:v>
                </c:pt>
                <c:pt idx="21">
                  <c:v>Kipra</c:v>
                </c:pt>
                <c:pt idx="22">
                  <c:v>Igaunija</c:v>
                </c:pt>
                <c:pt idx="23">
                  <c:v>Latvija</c:v>
                </c:pt>
                <c:pt idx="24">
                  <c:v>Ungārija</c:v>
                </c:pt>
                <c:pt idx="25">
                  <c:v>Bulgārija</c:v>
                </c:pt>
              </c:strCache>
            </c:strRef>
          </c:cat>
          <c:val>
            <c:numRef>
              <c:f>Sheet1!$B$4:$B$29</c:f>
              <c:numCache>
                <c:formatCode>#,##0.0</c:formatCode>
                <c:ptCount val="26"/>
                <c:pt idx="0">
                  <c:v>113.8566552901024</c:v>
                </c:pt>
                <c:pt idx="1">
                  <c:v>104.06849315068493</c:v>
                </c:pt>
                <c:pt idx="2">
                  <c:v>97.1268292682927</c:v>
                </c:pt>
                <c:pt idx="3">
                  <c:v>76.553113553113548</c:v>
                </c:pt>
                <c:pt idx="4">
                  <c:v>75.589743589743591</c:v>
                </c:pt>
                <c:pt idx="5">
                  <c:v>71.9076923076923</c:v>
                </c:pt>
                <c:pt idx="6">
                  <c:v>62.29999999999999</c:v>
                </c:pt>
                <c:pt idx="7">
                  <c:v>60.348231511254014</c:v>
                </c:pt>
                <c:pt idx="8">
                  <c:v>60.257699560025145</c:v>
                </c:pt>
                <c:pt idx="9">
                  <c:v>59.820675105485222</c:v>
                </c:pt>
                <c:pt idx="10">
                  <c:v>55.876570180229386</c:v>
                </c:pt>
                <c:pt idx="11">
                  <c:v>55.287009063444117</c:v>
                </c:pt>
                <c:pt idx="12">
                  <c:v>54.013035381750463</c:v>
                </c:pt>
                <c:pt idx="13">
                  <c:v>35.871766029246338</c:v>
                </c:pt>
                <c:pt idx="14">
                  <c:v>34.182692307692307</c:v>
                </c:pt>
                <c:pt idx="15">
                  <c:v>30.525423728813557</c:v>
                </c:pt>
                <c:pt idx="16">
                  <c:v>28.465909090909086</c:v>
                </c:pt>
                <c:pt idx="17">
                  <c:v>26.774500475737391</c:v>
                </c:pt>
                <c:pt idx="18">
                  <c:v>26.435195169290495</c:v>
                </c:pt>
                <c:pt idx="19">
                  <c:v>25.131386861313867</c:v>
                </c:pt>
                <c:pt idx="20">
                  <c:v>23.591095489162271</c:v>
                </c:pt>
                <c:pt idx="21">
                  <c:v>23.006535947712422</c:v>
                </c:pt>
                <c:pt idx="22">
                  <c:v>20.666666666666664</c:v>
                </c:pt>
                <c:pt idx="23">
                  <c:v>17.880000000000003</c:v>
                </c:pt>
                <c:pt idx="24">
                  <c:v>16.841743906625471</c:v>
                </c:pt>
                <c:pt idx="25">
                  <c:v>10.100755667506297</c:v>
                </c:pt>
              </c:numCache>
            </c:numRef>
          </c:val>
          <c:extLst>
            <c:ext xmlns:c="http://schemas.openxmlformats.org/drawingml/2006/chart" xmlns:c16="http://schemas.microsoft.com/office/drawing/2014/chart" uri="{C3380CC4-5D6E-409C-BE32-E72D297353CC}">
              <c16:uniqueId val="{00000005-C028-429B-BCBF-9A8921A7237B}"/>
            </c:ext>
          </c:extLst>
        </c:ser>
        <c:dLbls>
          <c:showLegendKey val="0"/>
          <c:showVal val="0"/>
          <c:showCatName val="0"/>
          <c:showSerName val="0"/>
          <c:showPercent val="0"/>
          <c:showBubbleSize val="0"/>
        </c:dLbls>
        <c:gapWidth val="20"/>
        <c:axId val="629949432"/>
        <c:axId val="629952568"/>
      </c:barChart>
      <c:catAx>
        <c:axId val="629949432"/>
        <c:scaling>
          <c:orientation val="minMax"/>
        </c:scaling>
        <c:delete val="0"/>
        <c:axPos val="b"/>
        <c:numFmt formatCode="General" sourceLinked="0"/>
        <c:majorTickMark val="out"/>
        <c:minorTickMark val="none"/>
        <c:tickLblPos val="nextTo"/>
        <c:txPr>
          <a:bodyPr rot="-5400000" vert="horz" anchor="ctr" anchorCtr="1"/>
          <a:lstStyle/>
          <a:p>
            <a:pPr>
              <a:defRPr sz="600"/>
            </a:pPr>
            <a:endParaRPr lang="lv-LV"/>
          </a:p>
        </c:txPr>
        <c:crossAx val="629952568"/>
        <c:crosses val="autoZero"/>
        <c:auto val="1"/>
        <c:lblAlgn val="ctr"/>
        <c:lblOffset val="100"/>
        <c:tickLblSkip val="1"/>
        <c:noMultiLvlLbl val="0"/>
      </c:catAx>
      <c:valAx>
        <c:axId val="629952568"/>
        <c:scaling>
          <c:orientation val="minMax"/>
        </c:scaling>
        <c:delete val="0"/>
        <c:axPos val="l"/>
        <c:numFmt formatCode="0" sourceLinked="0"/>
        <c:majorTickMark val="out"/>
        <c:minorTickMark val="none"/>
        <c:tickLblPos val="nextTo"/>
        <c:txPr>
          <a:bodyPr/>
          <a:lstStyle/>
          <a:p>
            <a:pPr>
              <a:defRPr sz="600"/>
            </a:pPr>
            <a:endParaRPr lang="lv-LV"/>
          </a:p>
        </c:txPr>
        <c:crossAx val="629949432"/>
        <c:crosses val="autoZero"/>
        <c:crossBetween val="between"/>
      </c:valAx>
    </c:plotArea>
    <c:plotVisOnly val="1"/>
    <c:dispBlanksAs val="gap"/>
    <c:showDLblsOverMax val="0"/>
  </c:chart>
  <c:spPr>
    <a:ln w="9525">
      <a:noFill/>
    </a:ln>
  </c:spPr>
  <c:externalData r:id="rId1">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1619797525309326"/>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14C7-46AD-96BA-E9BC6F9CACB1}"/>
              </c:ext>
            </c:extLst>
          </c:dPt>
          <c:dPt>
            <c:idx val="5"/>
            <c:bubble3D val="0"/>
            <c:extLst>
              <c:ext xmlns:c="http://schemas.openxmlformats.org/drawingml/2006/chart" xmlns:c16="http://schemas.microsoft.com/office/drawing/2014/chart" uri="{C3380CC4-5D6E-409C-BE32-E72D297353CC}">
                <c16:uniqueId val="{00000001-14C7-46AD-96BA-E9BC6F9CACB1}"/>
              </c:ext>
            </c:extLst>
          </c:dPt>
          <c:dPt>
            <c:idx val="11"/>
            <c:bubble3D val="0"/>
            <c:extLst>
              <c:ext xmlns:c="http://schemas.openxmlformats.org/drawingml/2006/chart" xmlns:c16="http://schemas.microsoft.com/office/drawing/2014/chart" uri="{C3380CC4-5D6E-409C-BE32-E72D297353CC}">
                <c16:uniqueId val="{00000002-14C7-46AD-96BA-E9BC6F9CACB1}"/>
              </c:ext>
            </c:extLst>
          </c:dPt>
          <c:dPt>
            <c:idx val="12"/>
            <c:bubble3D val="0"/>
            <c:extLst>
              <c:ext xmlns:c="http://schemas.openxmlformats.org/drawingml/2006/chart" xmlns:c16="http://schemas.microsoft.com/office/drawing/2014/chart" uri="{C3380CC4-5D6E-409C-BE32-E72D297353CC}">
                <c16:uniqueId val="{00000003-14C7-46AD-96BA-E9BC6F9CACB1}"/>
              </c:ext>
            </c:extLst>
          </c:dPt>
          <c:dPt>
            <c:idx val="13"/>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4-14C7-46AD-96BA-E9BC6F9CACB1}"/>
              </c:ext>
            </c:extLst>
          </c:dPt>
          <c:dPt>
            <c:idx val="14"/>
            <c:bubble3D val="0"/>
            <c:extLst>
              <c:ext xmlns:c="http://schemas.openxmlformats.org/drawingml/2006/chart" xmlns:c16="http://schemas.microsoft.com/office/drawing/2014/chart" uri="{C3380CC4-5D6E-409C-BE32-E72D297353CC}">
                <c16:uniqueId val="{00000005-14C7-46AD-96BA-E9BC6F9CACB1}"/>
              </c:ext>
            </c:extLst>
          </c:dPt>
          <c:dLbls>
            <c:dLbl>
              <c:idx val="0"/>
              <c:layout>
                <c:manualLayout>
                  <c:x val="-0.12876427829698858"/>
                  <c:y val="0.00952380952380948"/>
                </c:manualLayout>
              </c:layout>
              <c:tx>
                <c:rich>
                  <a:bodyPr vertOverflow="clip"/>
                  <a:lstStyle/>
                  <a:p>
                    <a:r>
                      <a:rPr lang="en-US"/>
                      <a:t>EU-28</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14C7-46AD-96BA-E9BC6F9CACB1}"/>
                </c:ext>
                <c:ext xmlns:c15="http://schemas.microsoft.com/office/drawing/2012/chart" uri="{CE6537A1-D6FC-4f65-9D91-7224C49458BB}"/>
              </c:extLst>
            </c:dLbl>
            <c:dLbl>
              <c:idx val="1"/>
              <c:layout>
                <c:manualLayout>
                  <c:x val="-0.016614745586708203"/>
                  <c:y val="-0.047619047619047616"/>
                </c:manualLayout>
              </c:layout>
              <c:tx>
                <c:rich>
                  <a:bodyPr vertOverflow="clip"/>
                  <a:lstStyle/>
                  <a:p>
                    <a:r>
                      <a:rPr lang="en-US"/>
                      <a:t>BE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14C7-46AD-96BA-E9BC6F9CACB1}"/>
                </c:ext>
                <c:ext xmlns:c15="http://schemas.microsoft.com/office/drawing/2012/chart" uri="{CE6537A1-D6FC-4f65-9D91-7224C49458BB}"/>
              </c:extLst>
            </c:dLbl>
            <c:dLbl>
              <c:idx val="2"/>
              <c:layout>
                <c:manualLayout>
                  <c:x val="-0.078920041536864008"/>
                  <c:y val="-0.057142857142857141"/>
                </c:manualLayout>
              </c:layout>
              <c:tx>
                <c:rich>
                  <a:bodyPr vertOverflow="clip"/>
                  <a:lstStyle/>
                  <a:p>
                    <a:r>
                      <a:rPr lang="en-US"/>
                      <a:t>BG</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14C7-46AD-96BA-E9BC6F9CACB1}"/>
                </c:ext>
                <c:ext xmlns:c15="http://schemas.microsoft.com/office/drawing/2012/chart" uri="{CE6537A1-D6FC-4f65-9D91-7224C49458BB}"/>
              </c:extLst>
            </c:dLbl>
            <c:dLbl>
              <c:idx val="3"/>
              <c:layout>
                <c:manualLayout>
                  <c:x val="-0.049844236760124609"/>
                  <c:y val="-0.085714285714285715"/>
                </c:manualLayout>
              </c:layout>
              <c:tx>
                <c:rich>
                  <a:bodyPr vertOverflow="clip"/>
                  <a:lstStyle/>
                  <a:p>
                    <a:r>
                      <a:rPr lang="en-US"/>
                      <a:t>CZ</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14C7-46AD-96BA-E9BC6F9CACB1}"/>
                </c:ext>
                <c:ext xmlns:c15="http://schemas.microsoft.com/office/drawing/2012/chart" uri="{CE6537A1-D6FC-4f65-9D91-7224C49458BB}"/>
              </c:extLst>
            </c:dLbl>
            <c:dLbl>
              <c:idx val="4"/>
              <c:layout>
                <c:manualLayout>
                  <c:x val="-0.049844236760124609"/>
                  <c:y val="-0.066666666666666652"/>
                </c:manualLayout>
              </c:layout>
              <c:tx>
                <c:rich>
                  <a:bodyPr vertOverflow="clip"/>
                  <a:lstStyle/>
                  <a:p>
                    <a:r>
                      <a:rPr lang="en-US"/>
                      <a:t>DK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14C7-46AD-96BA-E9BC6F9CACB1}"/>
                </c:ext>
                <c:ext xmlns:c15="http://schemas.microsoft.com/office/drawing/2012/chart" uri="{CE6537A1-D6FC-4f65-9D91-7224C49458BB}"/>
              </c:extLst>
            </c:dLbl>
            <c:dLbl>
              <c:idx val="5"/>
              <c:layout>
                <c:manualLayout>
                  <c:x val="-0.0083073727933541015"/>
                  <c:y val="0.028571428571428571"/>
                </c:manualLayout>
              </c:layout>
              <c:tx>
                <c:rich>
                  <a:bodyPr vertOverflow="clip"/>
                  <a:lstStyle/>
                  <a:p>
                    <a:r>
                      <a:rPr lang="en-US"/>
                      <a:t>IT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14C7-46AD-96BA-E9BC6F9CACB1}"/>
                </c:ext>
                <c:ext xmlns:c15="http://schemas.microsoft.com/office/drawing/2012/chart" uri="{CE6537A1-D6FC-4f65-9D91-7224C49458BB}"/>
              </c:extLst>
            </c:dLbl>
            <c:dLbl>
              <c:idx val="6"/>
              <c:layout>
                <c:manualLayout>
                  <c:x val="-0.012461059190031152"/>
                  <c:y val="-0.0380952380952381"/>
                </c:manualLayout>
              </c:layout>
              <c:tx>
                <c:rich>
                  <a:bodyPr vertOverflow="clip"/>
                  <a:lstStyle/>
                  <a:p>
                    <a:r>
                      <a:rPr lang="en-US"/>
                      <a:t>EE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14C7-46AD-96BA-E9BC6F9CACB1}"/>
                </c:ext>
                <c:ext xmlns:c15="http://schemas.microsoft.com/office/drawing/2012/chart" uri="{CE6537A1-D6FC-4f65-9D91-7224C49458BB}"/>
              </c:extLst>
            </c:dLbl>
            <c:dLbl>
              <c:idx val="7"/>
              <c:layout>
                <c:manualLayout>
                  <c:x val="-0.049844236760124609"/>
                  <c:y val="-0.066666666666666666"/>
                </c:manualLayout>
              </c:layout>
              <c:tx>
                <c:rich>
                  <a:bodyPr vertOverflow="clip"/>
                  <a:lstStyle/>
                  <a:p>
                    <a:r>
                      <a:rPr lang="en-US"/>
                      <a:t>EL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14C7-46AD-96BA-E9BC6F9CACB1}"/>
                </c:ext>
                <c:ext xmlns:c15="http://schemas.microsoft.com/office/drawing/2012/chart" uri="{CE6537A1-D6FC-4f65-9D91-7224C49458BB}"/>
              </c:extLst>
            </c:dLbl>
            <c:dLbl>
              <c:idx val="8"/>
              <c:layout>
                <c:manualLayout>
                  <c:x val="-0.045690550363447636"/>
                  <c:y val="0.0761904761904762"/>
                </c:manualLayout>
              </c:layout>
              <c:tx>
                <c:rich>
                  <a:bodyPr vertOverflow="clip"/>
                  <a:lstStyle/>
                  <a:p>
                    <a:r>
                      <a:rPr lang="en-US"/>
                      <a:t>ES</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14C7-46AD-96BA-E9BC6F9CACB1}"/>
                </c:ext>
                <c:ext xmlns:c15="http://schemas.microsoft.com/office/drawing/2012/chart" uri="{CE6537A1-D6FC-4f65-9D91-7224C49458BB}"/>
              </c:extLst>
            </c:dLbl>
            <c:dLbl>
              <c:idx val="9"/>
              <c:layout>
                <c:manualLayout>
                  <c:x val="-0.024922118380062305"/>
                  <c:y val="-0.047619047619047616"/>
                </c:manualLayout>
              </c:layout>
              <c:tx>
                <c:rich>
                  <a:bodyPr vertOverflow="clip"/>
                  <a:lstStyle/>
                  <a:p>
                    <a:r>
                      <a:rPr lang="en-US"/>
                      <a:t>FR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14C7-46AD-96BA-E9BC6F9CACB1}"/>
                </c:ext>
                <c:ext xmlns:c15="http://schemas.microsoft.com/office/drawing/2012/chart" uri="{CE6537A1-D6FC-4f65-9D91-7224C49458BB}"/>
              </c:extLst>
            </c:dLbl>
            <c:dLbl>
              <c:idx val="10"/>
              <c:layout>
                <c:manualLayout>
                  <c:x val="-0.049844236760124609"/>
                  <c:y val="-0.07619047619047617"/>
                </c:manualLayout>
              </c:layout>
              <c:tx>
                <c:rich>
                  <a:bodyPr vertOverflow="clip"/>
                  <a:lstStyle/>
                  <a:p>
                    <a:r>
                      <a:rPr lang="en-US"/>
                      <a:t>HR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E-14C7-46AD-96BA-E9BC6F9CACB1}"/>
                </c:ext>
                <c:ext xmlns:c15="http://schemas.microsoft.com/office/drawing/2012/chart" uri="{CE6537A1-D6FC-4f65-9D91-7224C49458BB}"/>
              </c:extLst>
            </c:dLbl>
            <c:dLbl>
              <c:idx val="11"/>
              <c:layout>
                <c:manualLayout>
                  <c:x val="-0.033229491173416406"/>
                  <c:y val="-0.047619047619047616"/>
                </c:manualLayout>
              </c:layout>
              <c:tx>
                <c:rich>
                  <a:bodyPr vertOverflow="clip"/>
                  <a:lstStyle/>
                  <a:p>
                    <a:r>
                      <a:rPr lang="en-US"/>
                      <a:t>DE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14C7-46AD-96BA-E9BC6F9CACB1}"/>
                </c:ext>
                <c:ext xmlns:c15="http://schemas.microsoft.com/office/drawing/2012/chart" uri="{CE6537A1-D6FC-4f65-9D91-7224C49458BB}"/>
              </c:extLst>
            </c:dLbl>
            <c:dLbl>
              <c:idx val="12"/>
              <c:layout>
                <c:manualLayout>
                  <c:x val="-0.016614745586708203"/>
                  <c:y val="0.0380952380952381"/>
                </c:manualLayout>
              </c:layout>
              <c:tx>
                <c:rich>
                  <a:bodyPr vertOverflow="clip"/>
                  <a:lstStyle/>
                  <a:p>
                    <a:r>
                      <a:rPr lang="en-US"/>
                      <a:t>SI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14C7-46AD-96BA-E9BC6F9CACB1}"/>
                </c:ext>
                <c:ext xmlns:c15="http://schemas.microsoft.com/office/drawing/2012/chart" uri="{CE6537A1-D6FC-4f65-9D91-7224C49458BB}"/>
              </c:extLst>
            </c:dLbl>
            <c:dLbl>
              <c:idx val="13"/>
              <c:layout>
                <c:manualLayout>
                  <c:x val="-0.0872274143302181"/>
                  <c:y val="-0.019047619047619049"/>
                </c:manualLayout>
              </c:layout>
              <c:tx>
                <c:rich>
                  <a:bodyPr vertOverflow="clip"/>
                  <a:lstStyle/>
                  <a:p>
                    <a:r>
                      <a:rPr lang="en-US"/>
                      <a:t>LV</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14C7-46AD-96BA-E9BC6F9CACB1}"/>
                </c:ext>
                <c:ext xmlns:c15="http://schemas.microsoft.com/office/drawing/2012/chart" uri="{CE6537A1-D6FC-4f65-9D91-7224C49458BB}"/>
              </c:extLst>
            </c:dLbl>
            <c:dLbl>
              <c:idx val="14"/>
              <c:layout>
                <c:manualLayout>
                  <c:x val="-0.024922118380062305"/>
                  <c:y val="0.0761904761904762"/>
                </c:manualLayout>
              </c:layout>
              <c:tx>
                <c:rich>
                  <a:bodyPr vertOverflow="clip"/>
                  <a:lstStyle/>
                  <a:p>
                    <a:r>
                      <a:rPr lang="en-US"/>
                      <a:t>LT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14C7-46AD-96BA-E9BC6F9CACB1}"/>
                </c:ext>
                <c:ext xmlns:c15="http://schemas.microsoft.com/office/drawing/2012/chart" uri="{CE6537A1-D6FC-4f65-9D91-7224C49458BB}"/>
              </c:extLst>
            </c:dLbl>
            <c:dLbl>
              <c:idx val="15"/>
              <c:layout>
                <c:manualLayout>
                  <c:x val="-0.099688473520249218"/>
                  <c:y val="-0.047619047619047616"/>
                </c:manualLayout>
              </c:layout>
              <c:tx>
                <c:rich>
                  <a:bodyPr vertOverflow="clip"/>
                  <a:lstStyle/>
                  <a:p>
                    <a:r>
                      <a:rPr lang="en-US"/>
                      <a:t>HU</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F-14C7-46AD-96BA-E9BC6F9CACB1}"/>
                </c:ext>
                <c:ext xmlns:c15="http://schemas.microsoft.com/office/drawing/2012/chart" uri="{CE6537A1-D6FC-4f65-9D91-7224C49458BB}"/>
              </c:extLst>
            </c:dLbl>
            <c:dLbl>
              <c:idx val="16"/>
              <c:layout>
                <c:manualLayout>
                  <c:x val="-0.024922118380062305"/>
                  <c:y val="-0.028571428571428571"/>
                </c:manualLayout>
              </c:layout>
              <c:tx>
                <c:rich>
                  <a:bodyPr vertOverflow="clip"/>
                  <a:lstStyle/>
                  <a:p>
                    <a:r>
                      <a:rPr lang="en-US"/>
                      <a:t>NL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0-14C7-46AD-96BA-E9BC6F9CACB1}"/>
                </c:ext>
                <c:ext xmlns:c15="http://schemas.microsoft.com/office/drawing/2012/chart" uri="{CE6537A1-D6FC-4f65-9D91-7224C49458BB}"/>
              </c:extLst>
            </c:dLbl>
            <c:dLbl>
              <c:idx val="17"/>
              <c:layout>
                <c:manualLayout>
                  <c:x val="-0.049844236760124609"/>
                  <c:y val="-0.066666666666666666"/>
                </c:manualLayout>
              </c:layout>
              <c:tx>
                <c:rich>
                  <a:bodyPr vertOverflow="clip"/>
                  <a:lstStyle/>
                  <a:p>
                    <a:r>
                      <a:rPr lang="en-US"/>
                      <a:t>AT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1-14C7-46AD-96BA-E9BC6F9CACB1}"/>
                </c:ext>
                <c:ext xmlns:c15="http://schemas.microsoft.com/office/drawing/2012/chart" uri="{CE6537A1-D6FC-4f65-9D91-7224C49458BB}"/>
              </c:extLst>
            </c:dLbl>
            <c:dLbl>
              <c:idx val="18"/>
              <c:layout>
                <c:manualLayout>
                  <c:x val="-0.041536863966770511"/>
                  <c:y val="0.076190476190476281"/>
                </c:manualLayout>
              </c:layout>
              <c:tx>
                <c:rich>
                  <a:bodyPr vertOverflow="clip"/>
                  <a:lstStyle/>
                  <a:p>
                    <a:r>
                      <a:rPr lang="en-US"/>
                      <a:t>PL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2-14C7-46AD-96BA-E9BC6F9CACB1}"/>
                </c:ext>
                <c:ext xmlns:c15="http://schemas.microsoft.com/office/drawing/2012/chart" uri="{CE6537A1-D6FC-4f65-9D91-7224C49458BB}"/>
              </c:extLst>
            </c:dLbl>
            <c:dLbl>
              <c:idx val="19"/>
              <c:layout>
                <c:manualLayout>
                  <c:x val="-0.04569055036344756"/>
                  <c:y val="-0.066666666666666582"/>
                </c:manualLayout>
              </c:layout>
              <c:tx>
                <c:rich>
                  <a:bodyPr vertOverflow="clip"/>
                  <a:lstStyle/>
                  <a:p>
                    <a:r>
                      <a:rPr lang="en-US"/>
                      <a:t>PT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3-14C7-46AD-96BA-E9BC6F9CACB1}"/>
                </c:ext>
                <c:ext xmlns:c15="http://schemas.microsoft.com/office/drawing/2012/chart" uri="{CE6537A1-D6FC-4f65-9D91-7224C49458BB}"/>
              </c:extLst>
            </c:dLbl>
            <c:dLbl>
              <c:idx val="21"/>
              <c:layout>
                <c:manualLayout>
                  <c:x val="-0.033229491173416406"/>
                  <c:y val="-0.066666666666666666"/>
                </c:manualLayout>
              </c:layout>
              <c:tx>
                <c:rich>
                  <a:bodyPr vertOverflow="clip"/>
                  <a:lstStyle/>
                  <a:p>
                    <a:r>
                      <a:rPr lang="en-US"/>
                      <a:t>CY</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4-14C7-46AD-96BA-E9BC6F9CACB1}"/>
                </c:ext>
                <c:ext xmlns:c15="http://schemas.microsoft.com/office/drawing/2012/chart" uri="{CE6537A1-D6FC-4f65-9D91-7224C49458BB}"/>
              </c:extLst>
            </c:dLbl>
            <c:dLbl>
              <c:idx val="22"/>
              <c:layout>
                <c:manualLayout>
                  <c:x val="-0.029075804776739357"/>
                  <c:y val="-0.066666666666666666"/>
                </c:manualLayout>
              </c:layout>
              <c:tx>
                <c:rich>
                  <a:bodyPr vertOverflow="clip"/>
                  <a:lstStyle/>
                  <a:p>
                    <a:r>
                      <a:rPr lang="en-US"/>
                      <a:t>SK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5-14C7-46AD-96BA-E9BC6F9CACB1}"/>
                </c:ext>
                <c:ext xmlns:c15="http://schemas.microsoft.com/office/drawing/2012/chart" uri="{CE6537A1-D6FC-4f65-9D91-7224C49458BB}"/>
              </c:extLst>
            </c:dLbl>
            <c:dLbl>
              <c:idx val="24"/>
              <c:layout>
                <c:manualLayout>
                  <c:x val="-0.012461059190031152"/>
                  <c:y val="0.0095238095238095247"/>
                </c:manualLayout>
              </c:layout>
              <c:tx>
                <c:rich>
                  <a:bodyPr vertOverflow="clip"/>
                  <a:lstStyle/>
                  <a:p>
                    <a:r>
                      <a:rPr lang="en-US"/>
                      <a:t>SE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6-14C7-46AD-96BA-E9BC6F9CACB1}"/>
                </c:ext>
                <c:ext xmlns:c15="http://schemas.microsoft.com/office/drawing/2012/chart" uri="{CE6537A1-D6FC-4f65-9D91-7224C49458BB}"/>
              </c:extLst>
            </c:dLbl>
            <c:dLbl>
              <c:idx val="25"/>
              <c:layout>
                <c:manualLayout>
                  <c:x val="-0.070612668743509868"/>
                  <c:y val="-0.066666666666666638"/>
                </c:manualLayout>
              </c:layout>
              <c:tx>
                <c:rich>
                  <a:bodyPr vertOverflow="clip"/>
                  <a:lstStyle/>
                  <a:p>
                    <a:r>
                      <a:rPr lang="en-US"/>
                      <a:t>UK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7-14C7-46AD-96BA-E9BC6F9CACB1}"/>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Sheet1!$B$3:$B$28</c:f>
              <c:numCache>
                <c:formatCode>0.0</c:formatCode>
                <c:ptCount val="26"/>
                <c:pt idx="0">
                  <c:v>51.232466131159335</c:v>
                </c:pt>
                <c:pt idx="1">
                  <c:v>66.491961414790993</c:v>
                </c:pt>
                <c:pt idx="2">
                  <c:v>9.798464491362763</c:v>
                </c:pt>
                <c:pt idx="3">
                  <c:v>25.057712486883528</c:v>
                </c:pt>
                <c:pt idx="4">
                  <c:v>65.007142857142853</c:v>
                </c:pt>
                <c:pt idx="5">
                  <c:v>53.34319526627219</c:v>
                </c:pt>
                <c:pt idx="6">
                  <c:v>35.31428571428571</c:v>
                </c:pt>
                <c:pt idx="7">
                  <c:v>30.235051546391755</c:v>
                </c:pt>
                <c:pt idx="8">
                  <c:v>54.27566807313643</c:v>
                </c:pt>
                <c:pt idx="9">
                  <c:v>55.443708609271525</c:v>
                </c:pt>
                <c:pt idx="10">
                  <c:v>18.633241758241759</c:v>
                </c:pt>
                <c:pt idx="11">
                  <c:v>53.656438356164379</c:v>
                </c:pt>
                <c:pt idx="12">
                  <c:v>30.252525252525256</c:v>
                </c:pt>
                <c:pt idx="13">
                  <c:v>18.440979955456569</c:v>
                </c:pt>
                <c:pt idx="14">
                  <c:v>34.605734767025091</c:v>
                </c:pt>
                <c:pt idx="15">
                  <c:v>16.822916666666664</c:v>
                </c:pt>
                <c:pt idx="16">
                  <c:v>72.204081632653057</c:v>
                </c:pt>
                <c:pt idx="17">
                  <c:v>89.216429699842024</c:v>
                </c:pt>
                <c:pt idx="18">
                  <c:v>21.450549450549453</c:v>
                </c:pt>
                <c:pt idx="19">
                  <c:v>49.461235216819972</c:v>
                </c:pt>
                <c:pt idx="20">
                  <c:v>31.441964285714285</c:v>
                </c:pt>
                <c:pt idx="21">
                  <c:v>30.220820189274445</c:v>
                </c:pt>
                <c:pt idx="22">
                  <c:v>30.500633713561474</c:v>
                </c:pt>
                <c:pt idx="23">
                  <c:v>107.2543352601156</c:v>
                </c:pt>
                <c:pt idx="24">
                  <c:v>90.791666666666671</c:v>
                </c:pt>
                <c:pt idx="25">
                  <c:v>53.346230318663025</c:v>
                </c:pt>
              </c:numCache>
            </c:numRef>
          </c:xVal>
          <c:yVal>
            <c:numRef>
              <c:f>Sheet1!$C$3:$C$28</c:f>
              <c:numCache>
                <c:formatCode>0.0</c:formatCode>
                <c:ptCount val="26"/>
                <c:pt idx="0">
                  <c:v>0.66500573640610083</c:v>
                </c:pt>
                <c:pt idx="1">
                  <c:v>0.77580562292829913</c:v>
                </c:pt>
                <c:pt idx="2">
                  <c:v>0.39838418590314073</c:v>
                </c:pt>
                <c:pt idx="3">
                  <c:v>0.55510304992201565</c:v>
                </c:pt>
                <c:pt idx="4">
                  <c:v>0.88357154327926779</c:v>
                </c:pt>
                <c:pt idx="5">
                  <c:v>0.67039490436972626</c:v>
                </c:pt>
                <c:pt idx="6">
                  <c:v>0.47624301265077978</c:v>
                </c:pt>
                <c:pt idx="7">
                  <c:v>0.91422894927275411</c:v>
                </c:pt>
                <c:pt idx="8">
                  <c:v>0.62916126803144157</c:v>
                </c:pt>
                <c:pt idx="9">
                  <c:v>0.79750767627021812</c:v>
                </c:pt>
                <c:pt idx="10">
                  <c:v>0.78150563707645748</c:v>
                </c:pt>
                <c:pt idx="11">
                  <c:v>0.66843092945234417</c:v>
                </c:pt>
                <c:pt idx="12">
                  <c:v>0.7441722242131299</c:v>
                </c:pt>
                <c:pt idx="13">
                  <c:v>0.49099199415264783</c:v>
                </c:pt>
                <c:pt idx="14">
                  <c:v>0.43182464187397546</c:v>
                </c:pt>
                <c:pt idx="15">
                  <c:v>0.62111581474695132</c:v>
                </c:pt>
                <c:pt idx="16">
                  <c:v>0.67170717919728662</c:v>
                </c:pt>
                <c:pt idx="17">
                  <c:v>0.54094782576342171</c:v>
                </c:pt>
                <c:pt idx="18">
                  <c:v>0.44098914488258745</c:v>
                </c:pt>
                <c:pt idx="19">
                  <c:v>0.44552402889004517</c:v>
                </c:pt>
                <c:pt idx="20">
                  <c:v>0.26417898801826106</c:v>
                </c:pt>
                <c:pt idx="21">
                  <c:v>0.7436708936091202</c:v>
                </c:pt>
                <c:pt idx="22">
                  <c:v>0.51534054033213306</c:v>
                </c:pt>
                <c:pt idx="23">
                  <c:v>0.51588893975254291</c:v>
                </c:pt>
                <c:pt idx="24">
                  <c:v>0.52283157411656722</c:v>
                </c:pt>
                <c:pt idx="25">
                  <c:v>0.80655411748611028</c:v>
                </c:pt>
              </c:numCache>
            </c:numRef>
          </c:yVal>
          <c:smooth val="0"/>
          <c:extLst>
            <c:ext xmlns:c="http://schemas.openxmlformats.org/drawingml/2006/chart" xmlns:c16="http://schemas.microsoft.com/office/drawing/2014/chart" uri="{C3380CC4-5D6E-409C-BE32-E72D297353CC}">
              <c16:uniqueId val="{00000018-14C7-46AD-96BA-E9BC6F9CACB1}"/>
            </c:ext>
          </c:extLst>
        </c:ser>
        <c:dLbls>
          <c:showLegendKey val="0"/>
          <c:showVal val="0"/>
          <c:showCatName val="0"/>
          <c:showSerName val="0"/>
          <c:showPercent val="0"/>
          <c:showBubbleSize val="0"/>
        </c:dLbls>
        <c:axId val="629947080"/>
        <c:axId val="629949824"/>
      </c:scatterChart>
      <c:valAx>
        <c:axId val="629947080"/>
        <c:scaling>
          <c:orientation val="minMax"/>
          <c:max val="100"/>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29949824"/>
        <c:crosses val="autoZero"/>
        <c:crossBetween val="midCat"/>
        <c:majorUnit val="10"/>
      </c:valAx>
      <c:valAx>
        <c:axId val="629949824"/>
        <c:scaling>
          <c:orientation val="minMax"/>
          <c:min val="0.30000000000000004"/>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29947080"/>
        <c:crosses val="autoZero"/>
        <c:crossBetween val="midCat"/>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2572178477690286"/>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E510-4E73-B1FD-BDAA412C6C3E}"/>
              </c:ext>
            </c:extLst>
          </c:dPt>
          <c:dPt>
            <c:idx val="5"/>
            <c:bubble3D val="0"/>
            <c:extLst>
              <c:ext xmlns:c="http://schemas.openxmlformats.org/drawingml/2006/chart" xmlns:c16="http://schemas.microsoft.com/office/drawing/2014/chart" uri="{C3380CC4-5D6E-409C-BE32-E72D297353CC}">
                <c16:uniqueId val="{00000001-E510-4E73-B1FD-BDAA412C6C3E}"/>
              </c:ext>
            </c:extLst>
          </c:dPt>
          <c:dPt>
            <c:idx val="11"/>
            <c:bubble3D val="0"/>
            <c:extLst>
              <c:ext xmlns:c="http://schemas.openxmlformats.org/drawingml/2006/chart" xmlns:c16="http://schemas.microsoft.com/office/drawing/2014/chart" uri="{C3380CC4-5D6E-409C-BE32-E72D297353CC}">
                <c16:uniqueId val="{00000002-E510-4E73-B1FD-BDAA412C6C3E}"/>
              </c:ext>
            </c:extLst>
          </c:dPt>
          <c:dPt>
            <c:idx val="12"/>
            <c:bubble3D val="0"/>
            <c:extLst>
              <c:ext xmlns:c="http://schemas.openxmlformats.org/drawingml/2006/chart" xmlns:c16="http://schemas.microsoft.com/office/drawing/2014/chart" uri="{C3380CC4-5D6E-409C-BE32-E72D297353CC}">
                <c16:uniqueId val="{00000003-E510-4E73-B1FD-BDAA412C6C3E}"/>
              </c:ext>
            </c:extLst>
          </c:dPt>
          <c:dPt>
            <c:idx val="13"/>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4-E510-4E73-B1FD-BDAA412C6C3E}"/>
              </c:ext>
            </c:extLst>
          </c:dPt>
          <c:dPt>
            <c:idx val="14"/>
            <c:bubble3D val="0"/>
            <c:extLst>
              <c:ext xmlns:c="http://schemas.openxmlformats.org/drawingml/2006/chart" xmlns:c16="http://schemas.microsoft.com/office/drawing/2014/chart" uri="{C3380CC4-5D6E-409C-BE32-E72D297353CC}">
                <c16:uniqueId val="{00000005-E510-4E73-B1FD-BDAA412C6C3E}"/>
              </c:ext>
            </c:extLst>
          </c:dPt>
          <c:dLbls>
            <c:dLbl>
              <c:idx val="0"/>
              <c:tx>
                <c:rich>
                  <a:bodyPr vertOverflow="clip"/>
                  <a:lstStyle/>
                  <a:p>
                    <a:fld id="{495528de-ca63-418a-8646-358d78eb1204}" type="CELLRANGE">
                      <a:rPr lang="en-US"/>
                      <a:t>BE</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0-E510-4E73-B1FD-BDAA412C6C3E}"/>
                </c:ext>
                <c:ext xmlns:c15="http://schemas.microsoft.com/office/drawing/2012/chart" uri="{CE6537A1-D6FC-4f65-9D91-7224C49458BB}">
                  <c15:showDataLabelsRange val="1"/>
                </c:ext>
              </c:extLst>
            </c:dLbl>
            <c:dLbl>
              <c:idx val="1"/>
              <c:layout>
                <c:manualLayout>
                  <c:x val="-0.058151609553478714"/>
                  <c:y val="0.066666666666666666"/>
                </c:manualLayout>
              </c:layout>
              <c:tx>
                <c:rich>
                  <a:bodyPr vertOverflow="clip"/>
                  <a:lstStyle/>
                  <a:p>
                    <a:fld id="{00ebcb83-6ba7-4447-8f69-24d9f1e157c2}" type="CELLRANGE">
                      <a:rPr lang="en-US"/>
                      <a:t>BG</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6-E510-4E73-B1FD-BDAA412C6C3E}"/>
                </c:ext>
                <c:ext xmlns:c15="http://schemas.microsoft.com/office/drawing/2012/chart" uri="{CE6537A1-D6FC-4f65-9D91-7224C49458BB}">
                  <c15:showDataLabelsRange val="1"/>
                </c:ext>
              </c:extLst>
            </c:dLbl>
            <c:dLbl>
              <c:idx val="2"/>
              <c:tx>
                <c:rich>
                  <a:bodyPr vertOverflow="clip"/>
                  <a:lstStyle/>
                  <a:p>
                    <a:fld id="{23cdf985-7573-43db-b26a-caaea4b03bf0}" type="CELLRANGE">
                      <a:rPr lang="lv-LV"/>
                      <a:t>CZ</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3"/>
              <c:layout>
                <c:manualLayout>
                  <c:x val="-0.016614745586708203"/>
                  <c:y val="-0.009523809523809568"/>
                </c:manualLayout>
              </c:layout>
              <c:tx>
                <c:rich>
                  <a:bodyPr vertOverflow="clip"/>
                  <a:lstStyle/>
                  <a:p>
                    <a:fld id="{06055a40-8e09-4960-9128-fc8373d1da02}" type="CELLRANGE">
                      <a:rPr lang="en-US"/>
                      <a:t>DK</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8-E510-4E73-B1FD-BDAA412C6C3E}"/>
                </c:ext>
                <c:ext xmlns:c15="http://schemas.microsoft.com/office/drawing/2012/chart" uri="{CE6537A1-D6FC-4f65-9D91-7224C49458BB}">
                  <c15:showDataLabelsRange val="1"/>
                </c:ext>
              </c:extLst>
            </c:dLbl>
            <c:dLbl>
              <c:idx val="4"/>
              <c:layout>
                <c:manualLayout>
                  <c:x val="-0.041536863966770511"/>
                  <c:y val="-0.0761904761904762"/>
                </c:manualLayout>
              </c:layout>
              <c:tx>
                <c:rich>
                  <a:bodyPr vertOverflow="clip"/>
                  <a:lstStyle/>
                  <a:p>
                    <a:fld id="{317a0650-591c-42c1-afc6-77d2d6b881ef}" type="CELLRANGE">
                      <a:rPr lang="en-US"/>
                      <a:t>DE</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9-E510-4E73-B1FD-BDAA412C6C3E}"/>
                </c:ext>
                <c:ext xmlns:c15="http://schemas.microsoft.com/office/drawing/2012/chart" uri="{CE6537A1-D6FC-4f65-9D91-7224C49458BB}">
                  <c15:showDataLabelsRange val="1"/>
                </c:ext>
              </c:extLst>
            </c:dLbl>
            <c:dLbl>
              <c:idx val="5"/>
              <c:layout>
                <c:manualLayout>
                  <c:x val="-0.024922118380062343"/>
                  <c:y val="-0.019047619047619136"/>
                </c:manualLayout>
              </c:layout>
              <c:tx>
                <c:rich>
                  <a:bodyPr vertOverflow="clip"/>
                  <a:lstStyle/>
                  <a:p>
                    <a:fld id="{c6548fa1-8fc8-4121-bcc0-92850599a800}" type="CELLRANGE">
                      <a:rPr lang="en-US"/>
                      <a:t>EE</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1-E510-4E73-B1FD-BDAA412C6C3E}"/>
                </c:ext>
                <c:ext xmlns:c15="http://schemas.microsoft.com/office/drawing/2012/chart" uri="{CE6537A1-D6FC-4f65-9D91-7224C49458BB}">
                  <c15:showDataLabelsRange val="1"/>
                </c:ext>
              </c:extLst>
            </c:dLbl>
            <c:dLbl>
              <c:idx val="6"/>
              <c:layout>
                <c:manualLayout>
                  <c:x val="-0.04569055036344756"/>
                  <c:y val="-0.057142857142857141"/>
                </c:manualLayout>
              </c:layout>
              <c:tx>
                <c:rich>
                  <a:bodyPr vertOverflow="clip"/>
                  <a:lstStyle/>
                  <a:p>
                    <a:fld id="{93a256af-7cd7-44aa-b69c-d30182574176}" type="CELLRANGE">
                      <a:rPr lang="en-US"/>
                      <a:t>IE</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A-E510-4E73-B1FD-BDAA412C6C3E}"/>
                </c:ext>
                <c:ext xmlns:c15="http://schemas.microsoft.com/office/drawing/2012/chart" uri="{CE6537A1-D6FC-4f65-9D91-7224C49458BB}">
                  <c15:showDataLabelsRange val="1"/>
                </c:ext>
              </c:extLst>
            </c:dLbl>
            <c:dLbl>
              <c:idx val="7"/>
              <c:layout>
                <c:manualLayout>
                  <c:x val="-0.016614745586708279"/>
                  <c:y val="-0.028571428571428571"/>
                </c:manualLayout>
              </c:layout>
              <c:tx>
                <c:rich>
                  <a:bodyPr vertOverflow="clip"/>
                  <a:lstStyle/>
                  <a:p>
                    <a:fld id="{2a86bf7e-b879-4c73-adf6-d4aaa5ea5dbd}" type="CELLRANGE">
                      <a:rPr lang="en-US"/>
                      <a:t>EL</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B-E510-4E73-B1FD-BDAA412C6C3E}"/>
                </c:ext>
                <c:ext xmlns:c15="http://schemas.microsoft.com/office/drawing/2012/chart" uri="{CE6537A1-D6FC-4f65-9D91-7224C49458BB}">
                  <c15:showDataLabelsRange val="1"/>
                </c:ext>
              </c:extLst>
            </c:dLbl>
            <c:dLbl>
              <c:idx val="8"/>
              <c:layout>
                <c:manualLayout>
                  <c:x val="-0.058151609553478714"/>
                  <c:y val="-0.057142857142857141"/>
                </c:manualLayout>
              </c:layout>
              <c:tx>
                <c:rich>
                  <a:bodyPr vertOverflow="clip"/>
                  <a:lstStyle/>
                  <a:p>
                    <a:fld id="{05b8658b-16a1-4f73-9d2f-5ec65a7013ac}" type="CELLRANGE">
                      <a:rPr lang="en-US"/>
                      <a:t>ES</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C-E510-4E73-B1FD-BDAA412C6C3E}"/>
                </c:ext>
                <c:ext xmlns:c15="http://schemas.microsoft.com/office/drawing/2012/chart" uri="{CE6537A1-D6FC-4f65-9D91-7224C49458BB}">
                  <c15:showDataLabelsRange val="1"/>
                </c:ext>
              </c:extLst>
            </c:dLbl>
            <c:dLbl>
              <c:idx val="9"/>
              <c:layout>
                <c:manualLayout>
                  <c:x val="-0.053997923156801658"/>
                  <c:y val="0.066666666666666666"/>
                </c:manualLayout>
              </c:layout>
              <c:tx>
                <c:rich>
                  <a:bodyPr vertOverflow="clip"/>
                  <a:lstStyle/>
                  <a:p>
                    <a:fld id="{014a193e-5bf8-4fa2-bd90-27321d43645f}" type="CELLRANGE">
                      <a:rPr lang="en-US"/>
                      <a:t>FR</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D-E510-4E73-B1FD-BDAA412C6C3E}"/>
                </c:ext>
                <c:ext xmlns:c15="http://schemas.microsoft.com/office/drawing/2012/chart" uri="{CE6537A1-D6FC-4f65-9D91-7224C49458BB}">
                  <c15:showDataLabelsRange val="1"/>
                </c:ext>
              </c:extLst>
            </c:dLbl>
            <c:dLbl>
              <c:idx val="10"/>
              <c:layout>
                <c:manualLayout>
                  <c:x val="-0.020768431983385256"/>
                  <c:y val="-0.047619047619047665"/>
                </c:manualLayout>
              </c:layout>
              <c:tx>
                <c:rich>
                  <a:bodyPr vertOverflow="clip"/>
                  <a:lstStyle/>
                  <a:p>
                    <a:fld id="{5ecf2e84-bbd8-44df-9cdc-aa1c6db93417}" type="CELLRANGE">
                      <a:rPr lang="en-US"/>
                      <a:t>HR</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E-E510-4E73-B1FD-BDAA412C6C3E}"/>
                </c:ext>
                <c:ext xmlns:c15="http://schemas.microsoft.com/office/drawing/2012/chart" uri="{CE6537A1-D6FC-4f65-9D91-7224C49458BB}">
                  <c15:showDataLabelsRange val="1"/>
                </c:ext>
              </c:extLst>
            </c:dLbl>
            <c:dLbl>
              <c:idx val="11"/>
              <c:layout>
                <c:manualLayout>
                  <c:x val="-0.049844236760124686"/>
                  <c:y val="0.057142857142857141"/>
                </c:manualLayout>
              </c:layout>
              <c:tx>
                <c:rich>
                  <a:bodyPr vertOverflow="clip"/>
                  <a:lstStyle/>
                  <a:p>
                    <a:fld id="{72fa8a9c-a7e0-413a-a156-e626f5a800db}" type="CELLRANGE">
                      <a:rPr lang="en-US"/>
                      <a:t>IT</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2-E510-4E73-B1FD-BDAA412C6C3E}"/>
                </c:ext>
                <c:ext xmlns:c15="http://schemas.microsoft.com/office/drawing/2012/chart" uri="{CE6537A1-D6FC-4f65-9D91-7224C49458BB}">
                  <c15:showDataLabelsRange val="1"/>
                </c:ext>
              </c:extLst>
            </c:dLbl>
            <c:dLbl>
              <c:idx val="12"/>
              <c:tx>
                <c:rich>
                  <a:bodyPr vertOverflow="clip"/>
                  <a:lstStyle/>
                  <a:p>
                    <a:fld id="{5484e2dc-0ddd-49cd-9a2a-6aa337b3c35f}" type="CELLRANGE">
                      <a:rPr lang="lv-LV"/>
                      <a:t>CY</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3"/>
              <c:layout>
                <c:manualLayout>
                  <c:x val="-0.058151609553478714"/>
                  <c:y val="-0.10476190476190476"/>
                </c:manualLayout>
              </c:layout>
              <c:tx>
                <c:rich>
                  <a:bodyPr vertOverflow="clip"/>
                  <a:lstStyle/>
                  <a:p>
                    <a:fld id="{a97137d2-2dba-4a9d-9f57-06b93fda869b}" type="CELLRANGE">
                      <a:rPr lang="en-US"/>
                      <a:t>LV</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4-E510-4E73-B1FD-BDAA412C6C3E}"/>
                </c:ext>
                <c:ext xmlns:c15="http://schemas.microsoft.com/office/drawing/2012/chart" uri="{CE6537A1-D6FC-4f65-9D91-7224C49458BB}">
                  <c15:showDataLabelsRange val="1"/>
                </c:ext>
              </c:extLst>
            </c:dLbl>
            <c:dLbl>
              <c:idx val="14"/>
              <c:tx>
                <c:rich>
                  <a:bodyPr vertOverflow="clip"/>
                  <a:lstStyle/>
                  <a:p>
                    <a:fld id="{443cdb0d-7e6d-4dc9-97ab-f62e35248599}" type="CELLRANGE">
                      <a:rPr lang="lv-LV"/>
                      <a:t>LT</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5"/>
              <c:layout>
                <c:manualLayout>
                  <c:x val="-0.0872274143302181"/>
                  <c:y val="-0.0095238095238095247"/>
                </c:manualLayout>
              </c:layout>
              <c:tx>
                <c:rich>
                  <a:bodyPr vertOverflow="clip"/>
                  <a:lstStyle/>
                  <a:p>
                    <a:fld id="{7c507385-6b31-458b-81ae-3935c6221d57}" type="CELLRANGE">
                      <a:rPr lang="en-US"/>
                      <a:t>HU</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F-E510-4E73-B1FD-BDAA412C6C3E}"/>
                </c:ext>
                <c:ext xmlns:c15="http://schemas.microsoft.com/office/drawing/2012/chart" uri="{CE6537A1-D6FC-4f65-9D91-7224C49458BB}">
                  <c15:showDataLabelsRange val="1"/>
                </c:ext>
              </c:extLst>
            </c:dLbl>
            <c:dLbl>
              <c:idx val="16"/>
              <c:layout>
                <c:manualLayout>
                  <c:x val="-0.041536863966770511"/>
                  <c:y val="-0.047619047619047665"/>
                </c:manualLayout>
              </c:layout>
              <c:tx>
                <c:rich>
                  <a:bodyPr vertOverflow="clip"/>
                  <a:lstStyle/>
                  <a:p>
                    <a:fld id="{dc547c26-3c6d-46ef-8929-0d937efb5813}" type="CELLRANGE">
                      <a:rPr lang="en-US"/>
                      <a:t>NL</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0-E510-4E73-B1FD-BDAA412C6C3E}"/>
                </c:ext>
                <c:ext xmlns:c15="http://schemas.microsoft.com/office/drawing/2012/chart" uri="{CE6537A1-D6FC-4f65-9D91-7224C49458BB}">
                  <c15:showDataLabelsRange val="1"/>
                </c:ext>
              </c:extLst>
            </c:dLbl>
            <c:dLbl>
              <c:idx val="17"/>
              <c:layout>
                <c:manualLayout>
                  <c:x val="-0.083073727933541022"/>
                  <c:y val="0"/>
                </c:manualLayout>
              </c:layout>
              <c:tx>
                <c:rich>
                  <a:bodyPr vertOverflow="clip"/>
                  <a:lstStyle/>
                  <a:p>
                    <a:fld id="{3fb320a3-06b1-4bd7-875d-688e2ed26f61}" type="CELLRANGE">
                      <a:rPr lang="en-US"/>
                      <a:t>AT</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1-E510-4E73-B1FD-BDAA412C6C3E}"/>
                </c:ext>
                <c:ext xmlns:c15="http://schemas.microsoft.com/office/drawing/2012/chart" uri="{CE6537A1-D6FC-4f65-9D91-7224C49458BB}">
                  <c15:showDataLabelsRange val="1"/>
                </c:ext>
              </c:extLst>
            </c:dLbl>
            <c:dLbl>
              <c:idx val="18"/>
              <c:layout>
                <c:manualLayout>
                  <c:x val="-0.08307372793354105"/>
                  <c:y val="0.0095238095238095247"/>
                </c:manualLayout>
              </c:layout>
              <c:tx>
                <c:rich>
                  <a:bodyPr vertOverflow="clip"/>
                  <a:lstStyle/>
                  <a:p>
                    <a:fld id="{f1f01fc4-44e1-448e-b536-8680ab09666b}" type="CELLRANGE">
                      <a:rPr lang="en-US"/>
                      <a:t>PL</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2-E510-4E73-B1FD-BDAA412C6C3E}"/>
                </c:ext>
                <c:ext xmlns:c15="http://schemas.microsoft.com/office/drawing/2012/chart" uri="{CE6537A1-D6FC-4f65-9D91-7224C49458BB}">
                  <c15:showDataLabelsRange val="1"/>
                </c:ext>
              </c:extLst>
            </c:dLbl>
            <c:dLbl>
              <c:idx val="19"/>
              <c:tx>
                <c:rich>
                  <a:bodyPr vertOverflow="clip"/>
                  <a:lstStyle/>
                  <a:p>
                    <a:fld id="{57a6ba02-a8c7-4e0a-a63d-b9f67e9ab187}" type="CELLRANGE">
                      <a:rPr lang="lv-LV"/>
                      <a:t>PT</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20"/>
              <c:layout>
                <c:manualLayout>
                  <c:x val="-0.016614745586708203"/>
                  <c:y val="0.0095238095238095247"/>
                </c:manualLayout>
              </c:layout>
              <c:tx>
                <c:rich>
                  <a:bodyPr vertOverflow="clip"/>
                  <a:lstStyle/>
                  <a:p>
                    <a:fld id="{426a8c17-8340-4aaa-a484-0086f66876bf}" type="CELLRANGE">
                      <a:rPr lang="en-US"/>
                      <a:t>RO</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4-E510-4E73-B1FD-BDAA412C6C3E}"/>
                </c:ext>
                <c:ext xmlns:c15="http://schemas.microsoft.com/office/drawing/2012/chart" uri="{CE6537A1-D6FC-4f65-9D91-7224C49458BB}">
                  <c15:showDataLabelsRange val="1"/>
                </c:ext>
              </c:extLst>
            </c:dLbl>
            <c:dLbl>
              <c:idx val="21"/>
              <c:tx>
                <c:rich>
                  <a:bodyPr vertOverflow="clip"/>
                  <a:lstStyle/>
                  <a:p>
                    <a:fld id="{3dd061ca-3e7c-4ae1-9485-2827a6b30ad7}" type="CELLRANGE">
                      <a:rPr lang="lv-LV"/>
                      <a:t>SI</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22"/>
              <c:layout>
                <c:manualLayout>
                  <c:x val="-0.0083073727933541779"/>
                  <c:y val="-0.0095238095238095247"/>
                </c:manualLayout>
              </c:layout>
              <c:tx>
                <c:rich>
                  <a:bodyPr vertOverflow="clip"/>
                  <a:lstStyle/>
                  <a:p>
                    <a:fld id="{d869136a-5ce1-493c-bc46-a765bd1c2d8c}" type="CELLRANGE">
                      <a:rPr lang="en-US"/>
                      <a:t>SK</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6-E510-4E73-B1FD-BDAA412C6C3E}"/>
                </c:ext>
                <c:ext xmlns:c15="http://schemas.microsoft.com/office/drawing/2012/chart" uri="{CE6537A1-D6FC-4f65-9D91-7224C49458BB}">
                  <c15:showDataLabelsRange val="1"/>
                </c:ext>
              </c:extLst>
            </c:dLbl>
            <c:dLbl>
              <c:idx val="23"/>
              <c:layout>
                <c:manualLayout>
                  <c:x val="-0.016614745586708203"/>
                  <c:y val="0.028571428571428571"/>
                </c:manualLayout>
              </c:layout>
              <c:tx>
                <c:rich>
                  <a:bodyPr vertOverflow="clip"/>
                  <a:lstStyle/>
                  <a:p>
                    <a:fld id="{64770d26-a8c2-41d7-bfdb-613c23d7efba}" type="CELLRANGE">
                      <a:rPr lang="en-US"/>
                      <a:t>FI</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7-E510-4E73-B1FD-BDAA412C6C3E}"/>
                </c:ext>
                <c:ext xmlns:c15="http://schemas.microsoft.com/office/drawing/2012/chart" uri="{CE6537A1-D6FC-4f65-9D91-7224C49458BB}">
                  <c15:showDataLabelsRange val="1"/>
                </c:ext>
              </c:extLst>
            </c:dLbl>
            <c:dLbl>
              <c:idx val="24"/>
              <c:layout>
                <c:manualLayout>
                  <c:x val="-0.012461059190031305"/>
                  <c:y val="-0.019047619047619049"/>
                </c:manualLayout>
              </c:layout>
              <c:tx>
                <c:rich>
                  <a:bodyPr vertOverflow="clip"/>
                  <a:lstStyle/>
                  <a:p>
                    <a:fld id="{23ddc93c-731c-4385-be50-95cdeed36778}" type="CELLRANGE">
                      <a:rPr lang="en-US"/>
                      <a:t>SE</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8-E510-4E73-B1FD-BDAA412C6C3E}"/>
                </c:ext>
                <c:ext xmlns:c15="http://schemas.microsoft.com/office/drawing/2012/chart" uri="{CE6537A1-D6FC-4f65-9D91-7224C49458BB}">
                  <c15:showDataLabelsRange val="1"/>
                </c:ext>
              </c:extLst>
            </c:dLbl>
            <c:dLbl>
              <c:idx val="25"/>
              <c:layout>
                <c:manualLayout>
                  <c:x val="-0.012461059190031152"/>
                  <c:y val="-1.0912572349731423E-17"/>
                </c:manualLayout>
              </c:layout>
              <c:tx>
                <c:rich>
                  <a:bodyPr vertOverflow="clip"/>
                  <a:lstStyle/>
                  <a:p>
                    <a:fld id="{464d62a2-75b1-4a94-821e-df174c45541b}" type="CELLRANGE">
                      <a:rPr lang="en-US"/>
                      <a:t>UK</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9-E510-4E73-B1FD-BDAA412C6C3E}"/>
                </c:ext>
                <c:ext xmlns:c15="http://schemas.microsoft.com/office/drawing/2012/chart" uri="{CE6537A1-D6FC-4f65-9D91-7224C49458BB}">
                  <c15:showDataLabelsRange val="1"/>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Sheet1!$B$3:$B$28</c:f>
              <c:numCache>
                <c:formatCode>#,##0.0</c:formatCode>
                <c:ptCount val="26"/>
                <c:pt idx="0">
                  <c:v>56.118143459915615</c:v>
                </c:pt>
                <c:pt idx="1">
                  <c:v>5.7331223628691976</c:v>
                </c:pt>
                <c:pt idx="2">
                  <c:v>13.44202010296641</c:v>
                </c:pt>
                <c:pt idx="3">
                  <c:v>52.533333333333339</c:v>
                </c:pt>
                <c:pt idx="4">
                  <c:v>38.4695945945946</c:v>
                </c:pt>
                <c:pt idx="5">
                  <c:v>12.999999999999998</c:v>
                </c:pt>
                <c:pt idx="6">
                  <c:v>45.109756097560975</c:v>
                </c:pt>
                <c:pt idx="7">
                  <c:v>21.584507042253524</c:v>
                </c:pt>
                <c:pt idx="8">
                  <c:v>34.82387475538161</c:v>
                </c:pt>
                <c:pt idx="9">
                  <c:v>50.092436974789919</c:v>
                </c:pt>
                <c:pt idx="10">
                  <c:v>19.101358411703242</c:v>
                </c:pt>
                <c:pt idx="11">
                  <c:v>38.784649776453058</c:v>
                </c:pt>
                <c:pt idx="12">
                  <c:v>19.931972789115644</c:v>
                </c:pt>
                <c:pt idx="13">
                  <c:v>13.658008658008658</c:v>
                </c:pt>
                <c:pt idx="14">
                  <c:v>16.098765432098762</c:v>
                </c:pt>
                <c:pt idx="15">
                  <c:v>11.266573621772505</c:v>
                </c:pt>
                <c:pt idx="16">
                  <c:v>52.194444444444443</c:v>
                </c:pt>
                <c:pt idx="17">
                  <c:v>56.948555320648339</c:v>
                </c:pt>
                <c:pt idx="18">
                  <c:v>11.480345911949687</c:v>
                </c:pt>
                <c:pt idx="19">
                  <c:v>21.555042340261739</c:v>
                </c:pt>
                <c:pt idx="20">
                  <c:v>11.457627118644069</c:v>
                </c:pt>
                <c:pt idx="21">
                  <c:v>24.967320261437909</c:v>
                </c:pt>
                <c:pt idx="22">
                  <c:v>17.036462373933283</c:v>
                </c:pt>
                <c:pt idx="23">
                  <c:v>60.359712230215827</c:v>
                </c:pt>
                <c:pt idx="24">
                  <c:v>58.1625</c:v>
                </c:pt>
                <c:pt idx="25">
                  <c:v>57.942257568669383</c:v>
                </c:pt>
              </c:numCache>
            </c:numRef>
          </c:xVal>
          <c:yVal>
            <c:numRef>
              <c:f>Sheet1!$C$3:$C$28</c:f>
              <c:numCache>
                <c:formatCode>#,##0.0</c:formatCode>
                <c:ptCount val="26"/>
                <c:pt idx="0">
                  <c:v>0.73306154191860684</c:v>
                </c:pt>
                <c:pt idx="1">
                  <c:v>0.56759341098729965</c:v>
                </c:pt>
                <c:pt idx="2">
                  <c:v>0.50848953513995132</c:v>
                </c:pt>
                <c:pt idx="3">
                  <c:v>0.843231674692349</c:v>
                </c:pt>
                <c:pt idx="4">
                  <c:v>0.63746018120548587</c:v>
                </c:pt>
                <c:pt idx="5">
                  <c:v>0.62903225806451613</c:v>
                </c:pt>
                <c:pt idx="6">
                  <c:v>0.75408303263071441</c:v>
                </c:pt>
                <c:pt idx="7">
                  <c:v>0.91494297296068461</c:v>
                </c:pt>
                <c:pt idx="8">
                  <c:v>0.64473093410239357</c:v>
                </c:pt>
                <c:pt idx="9">
                  <c:v>0.69662139566994974</c:v>
                </c:pt>
                <c:pt idx="10">
                  <c:v>0.7134160515529534</c:v>
                </c:pt>
                <c:pt idx="11">
                  <c:v>0.64364637315465534</c:v>
                </c:pt>
                <c:pt idx="12">
                  <c:v>0.8663613172541742</c:v>
                </c:pt>
                <c:pt idx="13">
                  <c:v>0.76387073031368324</c:v>
                </c:pt>
                <c:pt idx="14">
                  <c:v>0.44878653086032622</c:v>
                </c:pt>
                <c:pt idx="15">
                  <c:v>0.6689671618471934</c:v>
                </c:pt>
                <c:pt idx="16">
                  <c:v>0.690496381727725</c:v>
                </c:pt>
                <c:pt idx="17">
                  <c:v>0.54722186894923375</c:v>
                </c:pt>
                <c:pt idx="18">
                  <c:v>0.4568130670743849</c:v>
                </c:pt>
                <c:pt idx="19">
                  <c:v>0.38987535599052647</c:v>
                </c:pt>
                <c:pt idx="20">
                  <c:v>0.37534702942809556</c:v>
                </c:pt>
                <c:pt idx="21">
                  <c:v>0.73040824393517367</c:v>
                </c:pt>
                <c:pt idx="22">
                  <c:v>0.59848650255733693</c:v>
                </c:pt>
                <c:pt idx="23">
                  <c:v>0.53013776029536075</c:v>
                </c:pt>
                <c:pt idx="24">
                  <c:v>0.59883042037064937</c:v>
                </c:pt>
                <c:pt idx="25">
                  <c:v>1.0369687577776721</c:v>
                </c:pt>
              </c:numCache>
            </c:numRef>
          </c:yVal>
          <c:smooth val="0"/>
          <c:extLst>
            <c:ext xmlns:c="http://schemas.openxmlformats.org/drawingml/2006/chart" xmlns:c16="http://schemas.microsoft.com/office/drawing/2014/chart" uri="{C3380CC4-5D6E-409C-BE32-E72D297353CC}">
              <c16:uniqueId val="{0000001A-E510-4E73-B1FD-BDAA412C6C3E}"/>
            </c:ext>
            <c:ext xmlns:c15="http://schemas.microsoft.com/office/drawing/2012/chart" uri="{02D57815-91ED-43cb-92C2-25804820EDAC}">
              <c15:datalabelsRange>
                <c15:f>Sheet1!$A$3:$A$28</c15:f>
                <c15:dlblRangeCache>
                  <c:ptCount val="26"/>
                  <c:pt idx="0">
                    <c:v>BE</c:v>
                  </c:pt>
                  <c:pt idx="1">
                    <c:v>BG</c:v>
                  </c:pt>
                  <c:pt idx="2">
                    <c:v>CZ</c:v>
                  </c:pt>
                  <c:pt idx="3">
                    <c:v>DK</c:v>
                  </c:pt>
                  <c:pt idx="4">
                    <c:v>DE</c:v>
                  </c:pt>
                  <c:pt idx="5">
                    <c:v>EE</c:v>
                  </c:pt>
                  <c:pt idx="6">
                    <c:v>IE</c:v>
                  </c:pt>
                  <c:pt idx="7">
                    <c:v>EL</c:v>
                  </c:pt>
                  <c:pt idx="8">
                    <c:v>ES</c:v>
                  </c:pt>
                  <c:pt idx="9">
                    <c:v>FR</c:v>
                  </c:pt>
                  <c:pt idx="10">
                    <c:v>HR</c:v>
                  </c:pt>
                  <c:pt idx="11">
                    <c:v>IT</c:v>
                  </c:pt>
                  <c:pt idx="12">
                    <c:v>CY</c:v>
                  </c:pt>
                  <c:pt idx="13">
                    <c:v>LV</c:v>
                  </c:pt>
                  <c:pt idx="14">
                    <c:v>LT</c:v>
                  </c:pt>
                  <c:pt idx="15">
                    <c:v>HU</c:v>
                  </c:pt>
                  <c:pt idx="16">
                    <c:v>NL</c:v>
                  </c:pt>
                  <c:pt idx="17">
                    <c:v>AT</c:v>
                  </c:pt>
                  <c:pt idx="18">
                    <c:v>PL</c:v>
                  </c:pt>
                  <c:pt idx="19">
                    <c:v>PT</c:v>
                  </c:pt>
                  <c:pt idx="20">
                    <c:v>RO</c:v>
                  </c:pt>
                  <c:pt idx="21">
                    <c:v>SI</c:v>
                  </c:pt>
                  <c:pt idx="22">
                    <c:v>SK</c:v>
                  </c:pt>
                  <c:pt idx="23">
                    <c:v>FI</c:v>
                  </c:pt>
                  <c:pt idx="24">
                    <c:v>SE</c:v>
                  </c:pt>
                  <c:pt idx="25">
                    <c:v>UK</c:v>
                  </c:pt>
                </c15:dlblRangeCache>
              </c15:datalabelsRange>
            </c:ext>
          </c:extLst>
        </c:ser>
        <c:dLbls>
          <c:showLegendKey val="0"/>
          <c:showVal val="0"/>
          <c:showCatName val="0"/>
          <c:showSerName val="0"/>
          <c:showPercent val="0"/>
          <c:showBubbleSize val="0"/>
        </c:dLbls>
        <c:axId val="629952960"/>
        <c:axId val="629948256"/>
      </c:scatterChart>
      <c:valAx>
        <c:axId val="629952960"/>
        <c:scaling>
          <c:orientation val="minMax"/>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29948256"/>
        <c:crosses val="autoZero"/>
        <c:crossBetween val="midCat"/>
        <c:majorUnit val="10"/>
      </c:valAx>
      <c:valAx>
        <c:axId val="629948256"/>
        <c:scaling>
          <c:orientation val="minMax"/>
          <c:min val="0.30000000000000004"/>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29952960"/>
        <c:crosses val="autoZero"/>
        <c:crossBetween val="midCat"/>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59412201441466"/>
          <c:y val="0.098301682877875565"/>
          <c:w val="0.77357359176256812"/>
          <c:h val="0.688833848300608"/>
        </c:manualLayout>
      </c:layout>
      <c:barChart>
        <c:barDir val="col"/>
        <c:grouping val="clustered"/>
        <c:varyColors val="0"/>
        <c:ser>
          <c:idx val="4"/>
          <c:order val="0"/>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62E4-4E84-87D2-19434EA81361}"/>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62E4-4E84-87D2-19434EA81361}"/>
              </c:ext>
            </c:extLst>
          </c:dPt>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Sheet1!$A$3:$A$5</c:f>
              <c:strCache>
                <c:ptCount val="3"/>
                <c:pt idx="0">
                  <c:v>2005</c:v>
                </c:pt>
                <c:pt idx="1">
                  <c:v>2010</c:v>
                </c:pt>
                <c:pt idx="2">
                  <c:v>2015</c:v>
                </c:pt>
              </c:strCache>
            </c:strRef>
          </c:cat>
          <c:val>
            <c:numRef>
              <c:f>Sheet1!$B$3:$B$5</c:f>
              <c:numCache>
                <c:formatCode>0.0</c:formatCode>
                <c:ptCount val="3"/>
                <c:pt idx="0">
                  <c:v>0.96562917544449278</c:v>
                </c:pt>
                <c:pt idx="1">
                  <c:v>1.3095990894144427</c:v>
                </c:pt>
                <c:pt idx="2">
                  <c:v>0.980731780390982</c:v>
                </c:pt>
              </c:numCache>
            </c:numRef>
          </c:val>
          <c:extLst>
            <c:ext xmlns:c="http://schemas.openxmlformats.org/drawingml/2006/chart" xmlns:c16="http://schemas.microsoft.com/office/drawing/2014/chart" uri="{C3380CC4-5D6E-409C-BE32-E72D297353CC}">
              <c16:uniqueId val="{00000004-62E4-4E84-87D2-19434EA81361}"/>
            </c:ext>
          </c:extLst>
        </c:ser>
        <c:dLbls>
          <c:showLegendKey val="0"/>
          <c:showVal val="0"/>
          <c:showCatName val="0"/>
          <c:showSerName val="0"/>
          <c:showPercent val="0"/>
          <c:showBubbleSize val="0"/>
        </c:dLbls>
        <c:gapWidth val="20"/>
        <c:axId val="629954528"/>
        <c:axId val="629953352"/>
      </c:barChart>
      <c:catAx>
        <c:axId val="629954528"/>
        <c:scaling>
          <c:orientation val="minMax"/>
        </c:scaling>
        <c:delete val="0"/>
        <c:axPos val="b"/>
        <c:numFmt formatCode="General" sourceLinked="0"/>
        <c:majorTickMark val="out"/>
        <c:minorTickMark val="none"/>
        <c:tickLblPos val="nextTo"/>
        <c:crossAx val="629953352"/>
        <c:crosses val="autoZero"/>
        <c:auto val="1"/>
        <c:lblAlgn val="ctr"/>
        <c:lblOffset val="100"/>
        <c:noMultiLvlLbl val="0"/>
      </c:catAx>
      <c:valAx>
        <c:axId val="629953352"/>
        <c:scaling>
          <c:orientation val="minMax"/>
          <c:min val="0"/>
        </c:scaling>
        <c:delete val="0"/>
        <c:axPos val="l"/>
        <c:numFmt formatCode="0.0" sourceLinked="0"/>
        <c:majorTickMark val="out"/>
        <c:minorTickMark val="none"/>
        <c:tickLblPos val="nextTo"/>
        <c:crossAx val="629954528"/>
        <c:crosses val="autoZero"/>
        <c:crossBetween val="between"/>
        <c:majorUnit val="1"/>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mbria Math" panose="02040503050406030204" pitchFamily="18" charset="0"/>
          <a:ea typeface="Cambria Math" panose="02040503050406030204" pitchFamily="18" charset="0"/>
          <a:cs typeface="Arial"/>
        </a:defRPr>
      </a:pPr>
      <a:endParaRPr lang="lv-LV"/>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5939056398438"/>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4445-4023-8E2F-7079A1B544A6}"/>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4445-4023-8E2F-7079A1B544A6}"/>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Sheet1!$B$2:$M$2</c:f>
              <c:numCache>
                <c:formatCode>0</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Sheet1!$B$3:$M$3</c:f>
              <c:numCache>
                <c:formatCode>0</c:formatCode>
                <c:ptCount val="12"/>
                <c:pt idx="0">
                  <c:v>1.3300815023270918</c:v>
                </c:pt>
                <c:pt idx="1">
                  <c:v>1.1725505106865897</c:v>
                </c:pt>
                <c:pt idx="2">
                  <c:v>2.2196838106235561</c:v>
                </c:pt>
                <c:pt idx="3">
                  <c:v>4.5458080406422479</c:v>
                </c:pt>
                <c:pt idx="4">
                  <c:v>4.8134190881697894</c:v>
                </c:pt>
                <c:pt idx="5">
                  <c:v>6.7454559316910983</c:v>
                </c:pt>
                <c:pt idx="6">
                  <c:v>6.57387078897477</c:v>
                </c:pt>
                <c:pt idx="7">
                  <c:v>11.901788038840664</c:v>
                </c:pt>
                <c:pt idx="8">
                  <c:v>10.072652796222517</c:v>
                </c:pt>
                <c:pt idx="9">
                  <c:v>9.4512307656897345</c:v>
                </c:pt>
                <c:pt idx="10">
                  <c:v>11.146641809851085</c:v>
                </c:pt>
                <c:pt idx="11">
                  <c:v>11.97569497330961</c:v>
                </c:pt>
              </c:numCache>
            </c:numRef>
          </c:val>
          <c:extLst>
            <c:ext xmlns:c="http://schemas.openxmlformats.org/drawingml/2006/chart" xmlns:c16="http://schemas.microsoft.com/office/drawing/2014/chart" uri="{C3380CC4-5D6E-409C-BE32-E72D297353CC}">
              <c16:uniqueId val="{00000004-4445-4023-8E2F-7079A1B544A6}"/>
            </c:ext>
          </c:extLst>
        </c:ser>
        <c:dLbls>
          <c:showLegendKey val="0"/>
          <c:showVal val="0"/>
          <c:showCatName val="0"/>
          <c:showSerName val="0"/>
          <c:showPercent val="0"/>
          <c:showBubbleSize val="0"/>
        </c:dLbls>
        <c:gapWidth val="20"/>
        <c:axId val="629820464"/>
        <c:axId val="629819288"/>
      </c:barChart>
      <c:catAx>
        <c:axId val="629820464"/>
        <c:scaling>
          <c:orientation val="minMax"/>
        </c:scaling>
        <c:delete val="0"/>
        <c:axPos val="b"/>
        <c:numFmt formatCode="0" sourceLinked="1"/>
        <c:majorTickMark val="out"/>
        <c:minorTickMark val="none"/>
        <c:tickLblPos val="low"/>
        <c:txPr>
          <a:bodyPr rot="-5400000" vert="horz"/>
          <a:lstStyle/>
          <a:p>
            <a:pPr>
              <a:defRPr/>
            </a:pPr>
            <a:endParaRPr lang="lv-LV"/>
          </a:p>
        </c:txPr>
        <c:crossAx val="629819288"/>
        <c:crosses val="autoZero"/>
        <c:auto val="1"/>
        <c:lblAlgn val="ctr"/>
        <c:lblOffset val="100"/>
        <c:noMultiLvlLbl val="0"/>
      </c:catAx>
      <c:valAx>
        <c:axId val="629819288"/>
        <c:scaling>
          <c:orientation val="minMax"/>
          <c:max val="15"/>
          <c:min val="0"/>
        </c:scaling>
        <c:delete val="0"/>
        <c:axPos val="l"/>
        <c:numFmt formatCode="0" sourceLinked="0"/>
        <c:majorTickMark val="out"/>
        <c:minorTickMark val="none"/>
        <c:tickLblPos val="nextTo"/>
        <c:crossAx val="629820464"/>
        <c:crosses val="autoZero"/>
        <c:crossBetween val="between"/>
        <c:majorUnit val="5"/>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73546128124922"/>
          <c:y val="0.048706240487062395"/>
          <c:w val="0.84631315184653555"/>
          <c:h val="0.73779794474843186"/>
        </c:manualLayout>
      </c:layout>
      <c:lineChart>
        <c:grouping val="standard"/>
        <c:varyColors val="0"/>
        <c:ser>
          <c:idx val="0"/>
          <c:order val="0"/>
          <c:tx>
            <c:strRef>
              <c:f>Sheet1!$A$2</c:f>
              <c:strCache>
                <c:ptCount val="1"/>
                <c:pt idx="0">
                  <c:v>Nodarbinātie</c:v>
                </c:pt>
              </c:strCache>
            </c:strRef>
          </c:tx>
          <c:spPr>
            <a:ln w="19050">
              <a:solidFill>
                <a:srgbClr val="0070C0"/>
              </a:solidFill>
              <a:prstDash val="dash"/>
            </a:ln>
          </c:spPr>
          <c:marker>
            <c:symbol val="none"/>
          </c:marker>
          <c:cat>
            <c:numRef>
              <c:f>Sheet1!$B$1:$K$1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Sheet1!$B$2:$K$2</c:f>
              <c:numCache>
                <c:formatCode>0.0</c:formatCode>
                <c:ptCount val="10"/>
                <c:pt idx="0">
                  <c:v>99.626947553214833</c:v>
                </c:pt>
                <c:pt idx="1">
                  <c:v>105.92495062541144</c:v>
                </c:pt>
                <c:pt idx="2">
                  <c:v>97.399605003291626</c:v>
                </c:pt>
                <c:pt idx="3">
                  <c:v>74.9835418038183</c:v>
                </c:pt>
                <c:pt idx="4">
                  <c:v>73.348694316436251</c:v>
                </c:pt>
                <c:pt idx="5">
                  <c:v>77.30963353083169</c:v>
                </c:pt>
                <c:pt idx="6">
                  <c:v>79.3614219881501</c:v>
                </c:pt>
                <c:pt idx="7">
                  <c:v>81.314461268378309</c:v>
                </c:pt>
                <c:pt idx="8">
                  <c:v>83.7063857801185</c:v>
                </c:pt>
                <c:pt idx="9">
                  <c:v>85.933728330041689</c:v>
                </c:pt>
              </c:numCache>
            </c:numRef>
          </c:val>
          <c:smooth val="0"/>
          <c:extLst>
            <c:ext xmlns:c="http://schemas.openxmlformats.org/drawingml/2006/chart" xmlns:c16="http://schemas.microsoft.com/office/drawing/2014/chart" uri="{C3380CC4-5D6E-409C-BE32-E72D297353CC}">
              <c16:uniqueId val="{00000000-4B43-4F4A-BBFE-8171EF9D4D86}"/>
            </c:ext>
          </c:extLst>
        </c:ser>
        <c:ser>
          <c:idx val="1"/>
          <c:order val="1"/>
          <c:tx>
            <c:strRef>
              <c:f>Sheet1!$A$3</c:f>
              <c:strCache>
                <c:ptCount val="1"/>
                <c:pt idx="0">
                  <c:v>Ražošanas apjomi</c:v>
                </c:pt>
              </c:strCache>
            </c:strRef>
          </c:tx>
          <c:marker>
            <c:symbol val="none"/>
          </c:marker>
          <c:cat>
            <c:numRef>
              <c:f>Sheet1!$B$1:$K$1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Sheet1!$B$3:$K$3</c:f>
              <c:numCache>
                <c:formatCode>0.0</c:formatCode>
                <c:ptCount val="10"/>
                <c:pt idx="0">
                  <c:v>120.64372918978911</c:v>
                </c:pt>
                <c:pt idx="1">
                  <c:v>107.9356270810211</c:v>
                </c:pt>
                <c:pt idx="2">
                  <c:v>121.42064372918979</c:v>
                </c:pt>
                <c:pt idx="3">
                  <c:v>90.899001109877915</c:v>
                </c:pt>
                <c:pt idx="4">
                  <c:v>114.92785793562707</c:v>
                </c:pt>
                <c:pt idx="5">
                  <c:v>113.76248612652608</c:v>
                </c:pt>
                <c:pt idx="6">
                  <c:v>114.15094339622642</c:v>
                </c:pt>
                <c:pt idx="7">
                  <c:v>111.32075471698113</c:v>
                </c:pt>
                <c:pt idx="8">
                  <c:v>97.613762486126532</c:v>
                </c:pt>
                <c:pt idx="9" formatCode="General">
                  <c:v>100.61043285238624</c:v>
                </c:pt>
              </c:numCache>
            </c:numRef>
          </c:val>
          <c:smooth val="0"/>
          <c:extLst>
            <c:ext xmlns:c="http://schemas.openxmlformats.org/drawingml/2006/chart" xmlns:c16="http://schemas.microsoft.com/office/drawing/2014/chart" uri="{C3380CC4-5D6E-409C-BE32-E72D297353CC}">
              <c16:uniqueId val="{00000001-4B43-4F4A-BBFE-8171EF9D4D86}"/>
            </c:ext>
          </c:extLst>
        </c:ser>
        <c:dLbls>
          <c:showLegendKey val="0"/>
          <c:showVal val="0"/>
          <c:showCatName val="0"/>
          <c:showSerName val="0"/>
          <c:showPercent val="0"/>
          <c:showBubbleSize val="0"/>
        </c:dLbls>
        <c:smooth val="0"/>
        <c:axId val="629950608"/>
        <c:axId val="629944336"/>
      </c:lineChart>
      <c:catAx>
        <c:axId val="629950608"/>
        <c:scaling>
          <c:orientation val="minMax"/>
        </c:scaling>
        <c:delete val="0"/>
        <c:axPos val="b"/>
        <c:numFmt formatCode="General" sourceLinked="1"/>
        <c:majorTickMark val="cross"/>
        <c:minorTickMark val="none"/>
        <c:tickLblPos val="nextTo"/>
        <c:spPr>
          <a:ln w="6350">
            <a:solidFill>
              <a:srgbClr val="000000"/>
            </a:solidFill>
          </a:ln>
        </c:spPr>
        <c:txPr>
          <a:bodyPr rot="-5400000" vert="horz"/>
          <a:lstStyle/>
          <a:p>
            <a:pPr>
              <a:defRPr sz="700" b="0" i="0" u="none" strike="noStrike" baseline="0">
                <a:solidFill>
                  <a:srgbClr val="000000"/>
                </a:solidFill>
                <a:latin typeface="Arial Narrow" pitchFamily="34" charset="0"/>
                <a:ea typeface="Times New Roman"/>
                <a:cs typeface="Times New Roman" pitchFamily="18" charset="0"/>
              </a:defRPr>
            </a:pPr>
            <a:endParaRPr lang="lv-LV"/>
          </a:p>
        </c:txPr>
        <c:crossAx val="629944336"/>
        <c:crosses val="autoZero"/>
        <c:auto val="1"/>
        <c:lblAlgn val="ctr"/>
        <c:lblOffset val="0"/>
        <c:noMultiLvlLbl val="0"/>
      </c:catAx>
      <c:valAx>
        <c:axId val="629944336"/>
        <c:scaling>
          <c:orientation val="minMax"/>
          <c:max val="150"/>
          <c:min val="50"/>
        </c:scaling>
        <c:delete val="0"/>
        <c:axPos val="l"/>
        <c:numFmt formatCode="0" sourceLinked="0"/>
        <c:majorTickMark val="cross"/>
        <c:minorTickMark val="none"/>
        <c:tickLblPos val="nextTo"/>
        <c:spPr>
          <a:ln w="6350">
            <a:solidFill>
              <a:sysClr val="windowText" lastClr="000000"/>
            </a:solidFill>
          </a:ln>
        </c:spPr>
        <c:txPr>
          <a:bodyPr rot="0" vert="horz"/>
          <a:lstStyle/>
          <a:p>
            <a:pPr>
              <a:defRPr sz="700" b="0" i="0" u="none" strike="noStrike" baseline="0">
                <a:solidFill>
                  <a:srgbClr val="000000"/>
                </a:solidFill>
                <a:latin typeface="Arial Narrow" pitchFamily="34" charset="0"/>
                <a:ea typeface="Times New Roman"/>
                <a:cs typeface="Times New Roman"/>
              </a:defRPr>
            </a:pPr>
            <a:endParaRPr lang="lv-LV"/>
          </a:p>
        </c:txPr>
        <c:crossAx val="629950608"/>
        <c:crosses val="autoZero"/>
        <c:crossBetween val="between"/>
        <c:majorUnit val="25"/>
      </c:valAx>
      <c:spPr>
        <a:solidFill>
          <a:sysClr val="window" lastClr="FFFFFF"/>
        </a:solidFill>
        <a:ln w="6350">
          <a:noFill/>
        </a:ln>
      </c:spPr>
    </c:plotArea>
    <c:legend>
      <c:legendPos val="t"/>
      <c:layout>
        <c:manualLayout>
          <c:xMode val="edge"/>
          <c:yMode val="edge"/>
          <c:x val="0.14280650412978177"/>
          <c:y val="0.031201248049921998"/>
          <c:w val="0.65805884790716951"/>
          <c:h val="0.19964223582144541"/>
        </c:manualLayout>
      </c:layout>
      <c:overlay val="0"/>
      <c:txPr>
        <a:bodyPr/>
        <a:lstStyle/>
        <a:p>
          <a:pPr>
            <a:defRPr sz="700" b="0">
              <a:latin typeface="Arial Narrow" pitchFamily="34" charset="0"/>
            </a:defRPr>
          </a:pPr>
          <a:endParaRPr lang="lv-LV"/>
        </a:p>
      </c:txPr>
    </c:legend>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7354822834645707"/>
          <c:y val="0.054187037037040774"/>
          <c:w val="0.8789631193571017"/>
          <c:h val="0.63066670969407512"/>
        </c:manualLayout>
      </c:layout>
      <c:lineChart>
        <c:grouping val="standard"/>
        <c:varyColors val="0"/>
        <c:ser>
          <c:idx val="9"/>
          <c:order val="0"/>
          <c:tx>
            <c:strRef>
              <c:f>Sheet1!$A$3</c:f>
              <c:strCache>
                <c:ptCount val="1"/>
                <c:pt idx="0">
                  <c:v>Eksports, kopā</c:v>
                </c:pt>
              </c:strCache>
            </c:strRef>
          </c:tx>
          <c:spPr>
            <a:ln w="25400">
              <a:solidFill>
                <a:schemeClr val="accent5">
                  <a:lumMod val="75000"/>
                </a:schemeClr>
              </a:solidFill>
            </a:ln>
            <a:effectLst/>
          </c:spPr>
          <c:marker>
            <c:symbol val="none"/>
          </c:marker>
          <c:cat>
            <c:numRef>
              <c:f>Sheet1!$B$2:$M$2</c:f>
              <c:numCache>
                <c:formatCode>0</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Sheet1!$B$3:$M$3</c:f>
              <c:numCache>
                <c:formatCode>0.0</c:formatCode>
                <c:ptCount val="12"/>
                <c:pt idx="0">
                  <c:v>332.33847</c:v>
                </c:pt>
                <c:pt idx="1">
                  <c:v>460.083397</c:v>
                </c:pt>
                <c:pt idx="2">
                  <c:v>597.34921900000006</c:v>
                </c:pt>
                <c:pt idx="3">
                  <c:v>708.147028</c:v>
                </c:pt>
                <c:pt idx="4">
                  <c:v>583.183548</c:v>
                </c:pt>
                <c:pt idx="5">
                  <c:v>715.417231</c:v>
                </c:pt>
                <c:pt idx="6">
                  <c:v>896.543517</c:v>
                </c:pt>
                <c:pt idx="7">
                  <c:v>936.504064</c:v>
                </c:pt>
                <c:pt idx="8">
                  <c:v>977.292998</c:v>
                </c:pt>
                <c:pt idx="9">
                  <c:v>1020.1543499999999</c:v>
                </c:pt>
                <c:pt idx="10">
                  <c:v>1051.626712</c:v>
                </c:pt>
                <c:pt idx="11" formatCode="0">
                  <c:v>1145.1626689999998</c:v>
                </c:pt>
              </c:numCache>
            </c:numRef>
          </c:val>
          <c:smooth val="0"/>
          <c:extLst>
            <c:ext xmlns:c="http://schemas.openxmlformats.org/drawingml/2006/chart" xmlns:c16="http://schemas.microsoft.com/office/drawing/2014/chart" uri="{C3380CC4-5D6E-409C-BE32-E72D297353CC}">
              <c16:uniqueId val="{00000000-D943-42E0-8622-CA027EC2F37D}"/>
            </c:ext>
          </c:extLst>
        </c:ser>
        <c:dLbls>
          <c:showLegendKey val="0"/>
          <c:showVal val="0"/>
          <c:showCatName val="0"/>
          <c:showSerName val="0"/>
          <c:showPercent val="0"/>
          <c:showBubbleSize val="0"/>
        </c:dLbls>
        <c:smooth val="0"/>
        <c:axId val="629945120"/>
        <c:axId val="629953744"/>
      </c:lineChart>
      <c:catAx>
        <c:axId val="629945120"/>
        <c:scaling>
          <c:orientation val="minMax"/>
        </c:scaling>
        <c:delete val="0"/>
        <c:axPos val="b"/>
        <c:numFmt formatCode="0" sourceLinked="1"/>
        <c:majorTickMark val="out"/>
        <c:minorTickMark val="none"/>
        <c:tickLblPos val="low"/>
        <c:spPr>
          <a:noFill/>
          <a:ln w="3175">
            <a:solidFill>
              <a:sysClr val="window" lastClr="FFFFFF">
                <a:lumMod val="50000"/>
              </a:sysClr>
            </a:solidFill>
            <a:round/>
          </a:ln>
          <a:effectLst/>
        </c:spPr>
        <c:txPr>
          <a:bodyPr rot="-5400000" vert="horz"/>
          <a:lstStyle/>
          <a:p>
            <a:pPr>
              <a:defRPr sz="700"/>
            </a:pPr>
            <a:endParaRPr lang="lv-LV"/>
          </a:p>
        </c:txPr>
        <c:crossAx val="629953744"/>
        <c:crosses val="autoZero"/>
        <c:lblAlgn val="ctr"/>
        <c:lblOffset val="100"/>
        <c:noMultiLvlLbl val="0"/>
      </c:catAx>
      <c:valAx>
        <c:axId val="629953744"/>
        <c:scaling>
          <c:orientation val="minMax"/>
          <c:min val="200"/>
        </c:scaling>
        <c:delete val="0"/>
        <c:axPos val="l"/>
        <c:numFmt formatCode="0" sourceLinked="0"/>
        <c:majorTickMark val="out"/>
        <c:minorTickMark val="none"/>
        <c:tickLblPos val="nextTo"/>
        <c:spPr>
          <a:noFill/>
          <a:ln w="3175">
            <a:solidFill>
              <a:sysClr val="window" lastClr="FFFFFF">
                <a:lumMod val="50000"/>
              </a:sysClr>
            </a:solidFill>
            <a:round/>
          </a:ln>
          <a:effectLst/>
        </c:spPr>
        <c:txPr>
          <a:bodyPr rot="0"/>
          <a:lstStyle/>
          <a:p>
            <a:pPr>
              <a:defRPr/>
            </a:pPr>
            <a:endParaRPr lang="lv-LV"/>
          </a:p>
        </c:txPr>
        <c:crossAx val="629945120"/>
        <c:crosses val="autoZero"/>
        <c:crossBetween val="between"/>
      </c:valAx>
      <c:spPr>
        <a:noFill/>
        <a:ln w="24631">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Arial Narrow" panose="020B0606020202030204" pitchFamily="34" charset="0"/>
          <a:ea typeface="Arial"/>
          <a:cs typeface="Arial"/>
        </a:defRPr>
      </a:pPr>
      <a:endParaRPr lang="lv-LV"/>
    </a:p>
  </c:txPr>
  <c:externalData r:id="rId1">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5939056398438"/>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57E7-4787-BFE9-02A4945FB6DC}"/>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57E7-4787-BFE9-02A4945FB6DC}"/>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Sheet1!$B$2:$L$2</c:f>
              <c:numCache>
                <c:formatCode>0</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Sheet1!$B$3:$L$3</c:f>
              <c:numCache>
                <c:formatCode>0</c:formatCode>
                <c:ptCount val="11"/>
                <c:pt idx="0">
                  <c:v>34.836317610062892</c:v>
                </c:pt>
                <c:pt idx="1">
                  <c:v>49.36517135193133</c:v>
                </c:pt>
                <c:pt idx="2">
                  <c:v>60.277418668012118</c:v>
                </c:pt>
                <c:pt idx="3">
                  <c:v>72.112731975560081</c:v>
                </c:pt>
                <c:pt idx="4">
                  <c:v>72.625597509339983</c:v>
                </c:pt>
                <c:pt idx="5">
                  <c:v>90.1029258186398</c:v>
                </c:pt>
                <c:pt idx="6">
                  <c:v>111.51038768656717</c:v>
                </c:pt>
                <c:pt idx="7">
                  <c:v>114.48704938875305</c:v>
                </c:pt>
                <c:pt idx="8">
                  <c:v>119.91325128834357</c:v>
                </c:pt>
                <c:pt idx="9">
                  <c:v>125.94498148148148</c:v>
                </c:pt>
                <c:pt idx="10">
                  <c:v>126.39744134615384</c:v>
                </c:pt>
              </c:numCache>
            </c:numRef>
          </c:val>
          <c:extLst>
            <c:ext xmlns:c="http://schemas.openxmlformats.org/drawingml/2006/chart" xmlns:c16="http://schemas.microsoft.com/office/drawing/2014/chart" uri="{C3380CC4-5D6E-409C-BE32-E72D297353CC}">
              <c16:uniqueId val="{00000004-57E7-4787-BFE9-02A4945FB6DC}"/>
            </c:ext>
          </c:extLst>
        </c:ser>
        <c:dLbls>
          <c:showLegendKey val="0"/>
          <c:showVal val="0"/>
          <c:showCatName val="0"/>
          <c:showSerName val="0"/>
          <c:showPercent val="0"/>
          <c:showBubbleSize val="0"/>
        </c:dLbls>
        <c:gapWidth val="20"/>
        <c:axId val="629954920"/>
        <c:axId val="629955312"/>
      </c:barChart>
      <c:catAx>
        <c:axId val="629954920"/>
        <c:scaling>
          <c:orientation val="minMax"/>
        </c:scaling>
        <c:delete val="0"/>
        <c:axPos val="b"/>
        <c:numFmt formatCode="0" sourceLinked="1"/>
        <c:majorTickMark val="out"/>
        <c:minorTickMark val="none"/>
        <c:tickLblPos val="low"/>
        <c:txPr>
          <a:bodyPr rot="-5400000" vert="horz"/>
          <a:lstStyle/>
          <a:p>
            <a:pPr>
              <a:defRPr/>
            </a:pPr>
            <a:endParaRPr lang="lv-LV"/>
          </a:p>
        </c:txPr>
        <c:crossAx val="629955312"/>
        <c:crosses val="autoZero"/>
        <c:auto val="1"/>
        <c:lblAlgn val="ctr"/>
        <c:lblOffset val="100"/>
        <c:noMultiLvlLbl val="0"/>
      </c:catAx>
      <c:valAx>
        <c:axId val="629955312"/>
        <c:scaling>
          <c:orientation val="minMax"/>
        </c:scaling>
        <c:delete val="0"/>
        <c:axPos val="l"/>
        <c:numFmt formatCode="0" sourceLinked="0"/>
        <c:majorTickMark val="out"/>
        <c:minorTickMark val="none"/>
        <c:tickLblPos val="nextTo"/>
        <c:crossAx val="629954920"/>
        <c:crosses val="autoZero"/>
        <c:crossBetween val="between"/>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572372897835"/>
          <c:y val="0.044057785459744363"/>
          <c:w val="0.9310540474739486"/>
          <c:h val="0.72228069052344079"/>
        </c:manualLayout>
      </c:layout>
      <c:barChart>
        <c:barDir val="col"/>
        <c:grouping val="clustered"/>
        <c:varyColors val="0"/>
        <c:ser>
          <c:idx val="1"/>
          <c:order val="0"/>
          <c:tx>
            <c:strRef>
              <c:f>Sheet1!$B$3</c:f>
              <c:strCache>
                <c:ptCount val="1"/>
              </c:strCache>
            </c:strRef>
          </c:tx>
          <c:spPr>
            <a:solidFill>
              <a:schemeClr val="accent3">
                <a:lumMod val="50000"/>
              </a:schemeClr>
            </a:solidFill>
            <a:ln w="19050"/>
          </c:spPr>
          <c:invertIfNegative val="0"/>
          <c:dPt>
            <c:idx val="9"/>
            <c:invertIfNegative val="0"/>
            <c:bubble3D val="0"/>
            <c:extLst>
              <c:ext xmlns:c="http://schemas.openxmlformats.org/drawingml/2006/chart" xmlns:c16="http://schemas.microsoft.com/office/drawing/2014/chart" uri="{C3380CC4-5D6E-409C-BE32-E72D297353CC}">
                <c16:uniqueId val="{00000000-A23C-47EE-8A36-91C31D01457E}"/>
              </c:ext>
            </c:extLst>
          </c:dPt>
          <c:dPt>
            <c:idx val="10"/>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2-A23C-47EE-8A36-91C31D01457E}"/>
              </c:ext>
            </c:extLst>
          </c:dPt>
          <c:dPt>
            <c:idx val="20"/>
            <c:invertIfNegative val="0"/>
            <c:bubble3D val="0"/>
            <c:extLst>
              <c:ext xmlns:c="http://schemas.openxmlformats.org/drawingml/2006/chart" xmlns:c16="http://schemas.microsoft.com/office/drawing/2014/chart" uri="{C3380CC4-5D6E-409C-BE32-E72D297353CC}">
                <c16:uniqueId val="{00000003-A23C-47EE-8A36-91C31D01457E}"/>
              </c:ext>
            </c:extLst>
          </c:dPt>
          <c:dPt>
            <c:idx val="21"/>
            <c:invertIfNegative val="0"/>
            <c:bubble3D val="0"/>
            <c:spPr>
              <a:ln w="19050"/>
            </c:spPr>
            <c:extLst>
              <c:ext xmlns:c="http://schemas.openxmlformats.org/drawingml/2006/chart" xmlns:c16="http://schemas.microsoft.com/office/drawing/2014/chart" uri="{C3380CC4-5D6E-409C-BE32-E72D297353CC}">
                <c16:uniqueId val="{00000005-A23C-47EE-8A36-91C31D01457E}"/>
              </c:ext>
            </c:extLst>
          </c:dPt>
          <c:dPt>
            <c:idx val="25"/>
            <c:invertIfNegative val="0"/>
            <c:bubble3D val="0"/>
            <c:extLst>
              <c:ext xmlns:c="http://schemas.openxmlformats.org/drawingml/2006/chart" xmlns:c16="http://schemas.microsoft.com/office/drawing/2014/chart" uri="{C3380CC4-5D6E-409C-BE32-E72D297353CC}">
                <c16:uniqueId val="{00000006-A23C-47EE-8A36-91C31D01457E}"/>
              </c:ext>
            </c:extLst>
          </c:dPt>
          <c:dLbls>
            <c:dLbl>
              <c:idx val="21"/>
              <c:spPr>
                <a:noFill/>
                <a:ln>
                  <a:noFill/>
                </a:ln>
                <a:effectLst/>
              </c:spPr>
              <c:txPr>
                <a:bodyPr wrap="square" lIns="38100" tIns="19050" rIns="38100" bIns="19050" anchor="ctr">
                  <a:spAutoFit/>
                </a:bodyPr>
                <a:lstStyle/>
                <a:p>
                  <a:pPr>
                    <a:defRPr sz="600" b="1"/>
                  </a:pPr>
                  <a:endParaRPr lang="lv-LV"/>
                </a:p>
              </c:txPr>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600" b="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Sheet1!$A$4:$A$32</c:f>
              <c:strCache>
                <c:ptCount val="29"/>
                <c:pt idx="0">
                  <c:v>LU</c:v>
                </c:pt>
                <c:pt idx="1">
                  <c:v>IE</c:v>
                </c:pt>
                <c:pt idx="2">
                  <c:v>MT</c:v>
                </c:pt>
                <c:pt idx="3">
                  <c:v>BE</c:v>
                </c:pt>
                <c:pt idx="4">
                  <c:v>NL</c:v>
                </c:pt>
                <c:pt idx="5">
                  <c:v>SE</c:v>
                </c:pt>
                <c:pt idx="6">
                  <c:v>DK</c:v>
                </c:pt>
                <c:pt idx="7">
                  <c:v>AT</c:v>
                </c:pt>
                <c:pt idx="8">
                  <c:v>FR</c:v>
                </c:pt>
                <c:pt idx="9">
                  <c:v>LT</c:v>
                </c:pt>
                <c:pt idx="10">
                  <c:v>EU-28</c:v>
                </c:pt>
                <c:pt idx="11">
                  <c:v>UK</c:v>
                </c:pt>
                <c:pt idx="12">
                  <c:v>DE</c:v>
                </c:pt>
                <c:pt idx="13">
                  <c:v>SI</c:v>
                </c:pt>
                <c:pt idx="14">
                  <c:v>FI</c:v>
                </c:pt>
                <c:pt idx="15">
                  <c:v>ES</c:v>
                </c:pt>
                <c:pt idx="16">
                  <c:v>IT</c:v>
                </c:pt>
                <c:pt idx="17">
                  <c:v>HU</c:v>
                </c:pt>
                <c:pt idx="18">
                  <c:v>PT</c:v>
                </c:pt>
                <c:pt idx="19">
                  <c:v>EE</c:v>
                </c:pt>
                <c:pt idx="20">
                  <c:v>SK</c:v>
                </c:pt>
                <c:pt idx="21">
                  <c:v>LV</c:v>
                </c:pt>
                <c:pt idx="22">
                  <c:v>CY</c:v>
                </c:pt>
                <c:pt idx="23">
                  <c:v>CZ</c:v>
                </c:pt>
                <c:pt idx="24">
                  <c:v>EL</c:v>
                </c:pt>
                <c:pt idx="25">
                  <c:v>PL</c:v>
                </c:pt>
                <c:pt idx="26">
                  <c:v>HR</c:v>
                </c:pt>
                <c:pt idx="27">
                  <c:v>BG</c:v>
                </c:pt>
                <c:pt idx="28">
                  <c:v>RO</c:v>
                </c:pt>
              </c:strCache>
            </c:strRef>
          </c:cat>
          <c:val>
            <c:numRef>
              <c:f>Sheet1!$B$4:$B$32</c:f>
              <c:numCache>
                <c:formatCode>0</c:formatCode>
                <c:ptCount val="29"/>
                <c:pt idx="0">
                  <c:v>2375.3279423423419</c:v>
                </c:pt>
                <c:pt idx="1">
                  <c:v>1940.6009254071662</c:v>
                </c:pt>
                <c:pt idx="2">
                  <c:v>1254.190115625</c:v>
                </c:pt>
                <c:pt idx="3">
                  <c:v>1228.3583645031713</c:v>
                </c:pt>
                <c:pt idx="4">
                  <c:v>1026.1559639247312</c:v>
                </c:pt>
                <c:pt idx="5">
                  <c:v>435.50498295348837</c:v>
                </c:pt>
                <c:pt idx="6">
                  <c:v>386.25451389583333</c:v>
                </c:pt>
                <c:pt idx="7">
                  <c:v>335.19123324413664</c:v>
                </c:pt>
                <c:pt idx="8">
                  <c:v>298.43250909034271</c:v>
                </c:pt>
                <c:pt idx="9">
                  <c:v>283.15016489825581</c:v>
                </c:pt>
                <c:pt idx="10">
                  <c:v>262.27066746921247</c:v>
                </c:pt>
                <c:pt idx="11">
                  <c:v>249.9963214000127</c:v>
                </c:pt>
                <c:pt idx="12">
                  <c:v>238.53720832296136</c:v>
                </c:pt>
                <c:pt idx="13">
                  <c:v>202.08625061771974</c:v>
                </c:pt>
                <c:pt idx="14">
                  <c:v>197.0320105325444</c:v>
                </c:pt>
                <c:pt idx="15">
                  <c:v>170.91939033488768</c:v>
                </c:pt>
                <c:pt idx="16">
                  <c:v>167.69189539180641</c:v>
                </c:pt>
                <c:pt idx="17">
                  <c:v>147.83253372193437</c:v>
                </c:pt>
                <c:pt idx="18">
                  <c:v>140.81546224215245</c:v>
                </c:pt>
                <c:pt idx="19">
                  <c:v>132.79905685714286</c:v>
                </c:pt>
                <c:pt idx="20">
                  <c:v>132.23978316831682</c:v>
                </c:pt>
                <c:pt idx="21">
                  <c:v>126</c:v>
                </c:pt>
                <c:pt idx="22">
                  <c:v>115.21007166666668</c:v>
                </c:pt>
                <c:pt idx="23">
                  <c:v>106.33542656341322</c:v>
                </c:pt>
                <c:pt idx="24">
                  <c:v>75.9952288761083</c:v>
                </c:pt>
                <c:pt idx="25">
                  <c:v>71.00563472498537</c:v>
                </c:pt>
                <c:pt idx="26">
                  <c:v>63.177995499181669</c:v>
                </c:pt>
                <c:pt idx="27">
                  <c:v>51.181171539027979</c:v>
                </c:pt>
                <c:pt idx="28">
                  <c:v>47.553218297872341</c:v>
                </c:pt>
              </c:numCache>
            </c:numRef>
          </c:val>
          <c:extLst>
            <c:ext xmlns:c="http://schemas.openxmlformats.org/drawingml/2006/chart" xmlns:c16="http://schemas.microsoft.com/office/drawing/2014/chart" uri="{C3380CC4-5D6E-409C-BE32-E72D297353CC}">
              <c16:uniqueId val="{00000007-A23C-47EE-8A36-91C31D01457E}"/>
            </c:ext>
          </c:extLst>
        </c:ser>
        <c:dLbls>
          <c:showLegendKey val="0"/>
          <c:showVal val="0"/>
          <c:showCatName val="0"/>
          <c:showSerName val="0"/>
          <c:showPercent val="0"/>
          <c:showBubbleSize val="0"/>
        </c:dLbls>
        <c:gapWidth val="20"/>
        <c:axId val="629958840"/>
        <c:axId val="629966288"/>
      </c:barChart>
      <c:catAx>
        <c:axId val="629958840"/>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29966288"/>
        <c:crosses val="autoZero"/>
        <c:auto val="1"/>
        <c:lblAlgn val="ctr"/>
        <c:lblOffset val="100"/>
        <c:tickLblSkip val="1"/>
        <c:noMultiLvlLbl val="0"/>
      </c:catAx>
      <c:valAx>
        <c:axId val="629966288"/>
        <c:scaling>
          <c:orientation val="minMax"/>
        </c:scaling>
        <c:delete val="0"/>
        <c:axPos val="l"/>
        <c:numFmt formatCode="0" sourceLinked="0"/>
        <c:majorTickMark val="out"/>
        <c:minorTickMark val="none"/>
        <c:tickLblPos val="nextTo"/>
        <c:txPr>
          <a:bodyPr/>
          <a:lstStyle/>
          <a:p>
            <a:pPr>
              <a:defRPr sz="600"/>
            </a:pPr>
            <a:endParaRPr lang="lv-LV"/>
          </a:p>
        </c:txPr>
        <c:crossAx val="629958840"/>
        <c:crosses val="autoZero"/>
        <c:crossBetween val="between"/>
      </c:valAx>
    </c:plotArea>
    <c:plotVisOnly val="1"/>
    <c:dispBlanksAs val="gap"/>
    <c:showDLblsOverMax val="0"/>
  </c:chart>
  <c:spPr>
    <a:ln w="9525">
      <a:noFill/>
    </a:ln>
  </c:spPr>
  <c:externalData r:id="rId1">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449061330451076"/>
          <c:y val="0.15218914041994749"/>
          <c:w val="0.52181675566416263"/>
          <c:h val="0.709344652230971"/>
        </c:manualLayout>
      </c:layout>
      <c:pieChart>
        <c:varyColors val="1"/>
        <c:ser>
          <c:idx val="0"/>
          <c:order val="0"/>
          <c:tx>
            <c:strRef>
              <c:f>Sheet1!$B$1</c:f>
              <c:strCache>
                <c:ptCount val="1"/>
                <c:pt idx="0">
                  <c:v>Column1</c:v>
                </c:pt>
              </c:strCache>
            </c:strRef>
          </c:tx>
          <c:dPt>
            <c:idx val="0"/>
            <c:bubble3D val="0"/>
            <c:spPr>
              <a:solidFill>
                <a:schemeClr val="accent1"/>
              </a:solidFill>
              <a:ln>
                <a:noFill/>
              </a:ln>
              <a:effectLst/>
            </c:spPr>
            <c:extLst>
              <c:ext xmlns:c="http://schemas.openxmlformats.org/drawingml/2006/chart" xmlns:c16="http://schemas.microsoft.com/office/drawing/2014/chart" uri="{C3380CC4-5D6E-409C-BE32-E72D297353CC}">
                <c16:uniqueId val="{00000001-BDAE-4835-A8EE-48D9C07DC4F6}"/>
              </c:ext>
            </c:extLst>
          </c:dPt>
          <c:dPt>
            <c:idx val="1"/>
            <c:bubble3D val="0"/>
            <c:spPr>
              <a:solidFill>
                <a:schemeClr val="accent2"/>
              </a:solidFill>
              <a:ln>
                <a:noFill/>
              </a:ln>
              <a:effectLst/>
            </c:spPr>
            <c:extLst>
              <c:ext xmlns:c="http://schemas.openxmlformats.org/drawingml/2006/chart" xmlns:c16="http://schemas.microsoft.com/office/drawing/2014/chart" uri="{C3380CC4-5D6E-409C-BE32-E72D297353CC}">
                <c16:uniqueId val="{00000003-BDAE-4835-A8EE-48D9C07DC4F6}"/>
              </c:ext>
            </c:extLst>
          </c:dPt>
          <c:dPt>
            <c:idx val="2"/>
            <c:bubble3D val="0"/>
            <c:spPr>
              <a:solidFill>
                <a:schemeClr val="accent3"/>
              </a:solidFill>
              <a:ln>
                <a:noFill/>
              </a:ln>
              <a:effectLst/>
            </c:spPr>
            <c:extLst>
              <c:ext xmlns:c="http://schemas.openxmlformats.org/drawingml/2006/chart" xmlns:c16="http://schemas.microsoft.com/office/drawing/2014/chart" uri="{C3380CC4-5D6E-409C-BE32-E72D297353CC}">
                <c16:uniqueId val="{00000005-BDAE-4835-A8EE-48D9C07DC4F6}"/>
              </c:ext>
            </c:extLst>
          </c:dPt>
          <c:dPt>
            <c:idx val="3"/>
            <c:bubble3D val="0"/>
            <c:spPr>
              <a:solidFill>
                <a:schemeClr val="accent4"/>
              </a:solidFill>
              <a:ln>
                <a:noFill/>
              </a:ln>
              <a:effectLst/>
            </c:spPr>
            <c:extLst>
              <c:ext xmlns:c="http://schemas.openxmlformats.org/drawingml/2006/chart" xmlns:c16="http://schemas.microsoft.com/office/drawing/2014/chart" uri="{C3380CC4-5D6E-409C-BE32-E72D297353CC}">
                <c16:uniqueId val="{00000007-BDAE-4835-A8EE-48D9C07DC4F6}"/>
              </c:ext>
            </c:extLst>
          </c:dPt>
          <c:dPt>
            <c:idx val="4"/>
            <c:bubble3D val="0"/>
            <c:spPr>
              <a:solidFill>
                <a:schemeClr val="accent5"/>
              </a:solidFill>
              <a:ln>
                <a:noFill/>
              </a:ln>
              <a:effectLst/>
            </c:spPr>
            <c:extLst>
              <c:ext xmlns:c="http://schemas.openxmlformats.org/drawingml/2006/chart" xmlns:c16="http://schemas.microsoft.com/office/drawing/2014/chart" uri="{C3380CC4-5D6E-409C-BE32-E72D297353CC}">
                <c16:uniqueId val="{00000009-BDAE-4835-A8EE-48D9C07DC4F6}"/>
              </c:ext>
            </c:extLst>
          </c:dPt>
          <c:dPt>
            <c:idx val="5"/>
            <c:bubble3D val="0"/>
            <c:spPr>
              <a:solidFill>
                <a:schemeClr val="accent6"/>
              </a:solidFill>
              <a:ln>
                <a:noFill/>
              </a:ln>
              <a:effectLst/>
            </c:spPr>
            <c:extLst>
              <c:ext xmlns:c="http://schemas.openxmlformats.org/drawingml/2006/chart" xmlns:c16="http://schemas.microsoft.com/office/drawing/2014/chart" uri="{C3380CC4-5D6E-409C-BE32-E72D297353CC}">
                <c16:uniqueId val="{0000000B-BDAE-4835-A8EE-48D9C07DC4F6}"/>
              </c:ext>
            </c:extLst>
          </c:dPt>
          <c:dPt>
            <c:idx val="6"/>
            <c:bubble3D val="0"/>
            <c:spPr>
              <a:solidFill>
                <a:schemeClr val="accent1">
                  <a:lumMod val="60000"/>
                </a:schemeClr>
              </a:solidFill>
              <a:ln>
                <a:noFill/>
              </a:ln>
              <a:effectLst/>
            </c:spPr>
            <c:extLst>
              <c:ext xmlns:c="http://schemas.openxmlformats.org/drawingml/2006/chart" xmlns:c16="http://schemas.microsoft.com/office/drawing/2014/chart" uri="{C3380CC4-5D6E-409C-BE32-E72D297353CC}">
                <c16:uniqueId val="{0000000D-BDAE-4835-A8EE-48D9C07DC4F6}"/>
              </c:ext>
            </c:extLst>
          </c:dPt>
          <c:dLbls>
            <c:dLbl>
              <c:idx val="0"/>
              <c:layout>
                <c:manualLayout>
                  <c:x val="0.061284262681465113"/>
                  <c:y val="0"/>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1-BDAE-4835-A8EE-48D9C07DC4F6}"/>
                </c:ext>
                <c:ext xmlns:c15="http://schemas.microsoft.com/office/drawing/2012/chart" uri="{CE6537A1-D6FC-4f65-9D91-7224C49458BB}">
                  <c15:layout>
                    <c:manualLayout>
                      <c:w val="0.25226053639846741"/>
                      <c:h val="0.29986108978717491"/>
                    </c:manualLayout>
                  </c15:layout>
                </c:ext>
              </c:extLst>
            </c:dLbl>
            <c:dLbl>
              <c:idx val="1"/>
              <c:layout>
                <c:manualLayout>
                  <c:x val="-0.0078851905642984572"/>
                  <c:y val="0.01734835228929717"/>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3-BDAE-4835-A8EE-48D9C07DC4F6}"/>
                </c:ext>
                <c:ext xmlns:c15="http://schemas.microsoft.com/office/drawing/2012/chart" uri="{CE6537A1-D6FC-4f65-9D91-7224C49458BB}">
                  <c15:layout>
                    <c:manualLayout>
                      <c:w val="0.26091893685703083"/>
                      <c:h val="0.23486573231270882"/>
                    </c:manualLayout>
                  </c15:layout>
                </c:ext>
              </c:extLst>
            </c:dLbl>
            <c:dLbl>
              <c:idx val="2"/>
              <c:layout>
                <c:manualLayout>
                  <c:x val="0.0038314176245210726"/>
                  <c:y val="-0.0045262796189473528"/>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5-BDAE-4835-A8EE-48D9C07DC4F6}"/>
                </c:ext>
                <c:ext xmlns:c15="http://schemas.microsoft.com/office/drawing/2012/chart" uri="{CE6537A1-D6FC-4f65-9D91-7224C49458BB}">
                  <c15:layout>
                    <c:manualLayout>
                      <c:w val="0.27586206896551724"/>
                      <c:h val="0.22558068124492794"/>
                    </c:manualLayout>
                  </c15:layout>
                </c:ext>
              </c:extLst>
            </c:dLbl>
            <c:dLbl>
              <c:idx val="3"/>
              <c:layout>
                <c:manualLayout>
                  <c:x val="0.0077246809666033124"/>
                  <c:y val="-0.0023219938733285081"/>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7-BDAE-4835-A8EE-48D9C07DC4F6}"/>
                </c:ext>
                <c:ext xmlns:c15="http://schemas.microsoft.com/office/drawing/2012/chart" uri="{CE6537A1-D6FC-4f65-9D91-7224C49458BB}">
                  <c15:layout>
                    <c:manualLayout>
                      <c:w val="0.28536398467432944"/>
                      <c:h val="0.2135539812398102"/>
                    </c:manualLayout>
                  </c15:layout>
                </c:ext>
              </c:extLst>
            </c:dLbl>
            <c:dLbl>
              <c:idx val="4"/>
              <c:layout>
                <c:manualLayout>
                  <c:x val="-0.076739674782031558"/>
                  <c:y val="-0.0005666074470496202"/>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9-BDAE-4835-A8EE-48D9C07DC4F6}"/>
                </c:ext>
                <c:ext xmlns:c15="http://schemas.microsoft.com/office/drawing/2012/chart" uri="{CE6537A1-D6FC-4f65-9D91-7224C49458BB}">
                  <c15:layout>
                    <c:manualLayout>
                      <c:w val="0.26724168099677192"/>
                      <c:h val="0.23337135086526439"/>
                    </c:manualLayout>
                  </c15:layout>
                </c:ext>
              </c:extLst>
            </c:dLbl>
            <c:dLbl>
              <c:idx val="5"/>
              <c:layout>
                <c:manualLayout>
                  <c:x val="-0.0046544181977252845"/>
                  <c:y val="-0.15187784674548002"/>
                </c:manualLayout>
              </c:layout>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B-BDAE-4835-A8EE-48D9C07DC4F6}"/>
                </c:ext>
                <c:ext xmlns:c15="http://schemas.microsoft.com/office/drawing/2012/chart" uri="{CE6537A1-D6FC-4f65-9D91-7224C49458BB}">
                  <c15:layout>
                    <c:manualLayout>
                      <c:w val="0.27524904214559393"/>
                      <c:h val="0.33640690456868377"/>
                    </c:manualLayout>
                  </c15:layout>
                </c:ext>
              </c:extLst>
            </c:dLbl>
            <c:dLbl>
              <c:idx val="6"/>
              <c:layout>
                <c:manualLayout>
                  <c:x val="0.061253563830011716"/>
                  <c:y val="-0.10185112277631962"/>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D-BDAE-4835-A8EE-48D9C07DC4F6}"/>
                </c:ext>
                <c:ext xmlns:c15="http://schemas.microsoft.com/office/drawing/2012/chart" uri="{CE6537A1-D6FC-4f65-9D91-7224C49458BB}">
                  <c15:layout>
                    <c:manualLayout>
                      <c:w val="0.21118773946360153"/>
                      <c:h val="0.37562499999999993"/>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outEnd"/>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Sheet1!$A$2:$A$8</c:f>
              <c:strCache>
                <c:ptCount val="7"/>
                <c:pt idx="0">
                  <c:v>Lietuva</c:v>
                </c:pt>
                <c:pt idx="1">
                  <c:v>Igaunija</c:v>
                </c:pt>
                <c:pt idx="2">
                  <c:v>Krievija</c:v>
                </c:pt>
                <c:pt idx="3">
                  <c:v>Vācija</c:v>
                </c:pt>
                <c:pt idx="4">
                  <c:v>Polija</c:v>
                </c:pt>
                <c:pt idx="5">
                  <c:v>Zviedrija</c:v>
                </c:pt>
                <c:pt idx="6">
                  <c:v>Citas valstis</c:v>
                </c:pt>
              </c:strCache>
            </c:strRef>
          </c:cat>
          <c:val>
            <c:numRef>
              <c:f>Sheet1!$B$2:$B$8</c:f>
              <c:numCache>
                <c:formatCode>0</c:formatCode>
                <c:ptCount val="7"/>
                <c:pt idx="0">
                  <c:v>0.22713015490614505</c:v>
                </c:pt>
                <c:pt idx="1">
                  <c:v>0.15251541936869326</c:v>
                </c:pt>
                <c:pt idx="2">
                  <c:v>0.12920380630270639</c:v>
                </c:pt>
                <c:pt idx="3">
                  <c:v>0.05566709016801772</c:v>
                </c:pt>
                <c:pt idx="4">
                  <c:v>0.051850932824155954</c:v>
                </c:pt>
                <c:pt idx="5">
                  <c:v>0.0500122566304687</c:v>
                </c:pt>
                <c:pt idx="6">
                  <c:v>0.33362033979981287</c:v>
                </c:pt>
              </c:numCache>
            </c:numRef>
          </c:val>
          <c:extLst>
            <c:ext xmlns:c="http://schemas.openxmlformats.org/drawingml/2006/chart" xmlns:c16="http://schemas.microsoft.com/office/drawing/2014/chart" uri="{C3380CC4-5D6E-409C-BE32-E72D297353CC}">
              <c16:uniqueId val="{0000000E-BDAE-4835-A8EE-48D9C07DC4F6}"/>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noFill/>
    <a:ln w="9525">
      <a:noFill/>
      <a:round/>
    </a:ln>
    <a:effectLst/>
  </c:spPr>
  <c:txPr>
    <a:bodyPr/>
    <a:lstStyle/>
    <a:p>
      <a:pPr>
        <a:defRPr sz="800">
          <a:latin typeface="Candara" panose="020E0502030303020204" pitchFamily="34" charset="0"/>
        </a:defRPr>
      </a:pPr>
      <a:endParaRPr lang="lv-LV"/>
    </a:p>
  </c:txPr>
  <c:externalData r:id="rId1">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98553601027233415"/>
          <c:y val="0.01722532963499513"/>
          <c:w val="0.34507319571774181"/>
          <c:h val="0.920462379795931"/>
        </c:manualLayout>
      </c:layout>
      <c:barChart>
        <c:barDir val="col"/>
        <c:grouping val="percentStacked"/>
        <c:varyColors val="0"/>
        <c:ser>
          <c:idx val="0"/>
          <c:order val="0"/>
          <c:tx>
            <c:strRef>
              <c:f>Sheet1!$A$2</c:f>
              <c:strCache>
                <c:ptCount val="1"/>
                <c:pt idx="0">
                  <c:v>farmācijas produkti</c:v>
                </c:pt>
              </c:strCache>
            </c:strRef>
          </c:tx>
          <c:invertIfNegative val="0"/>
          <c:cat>
            <c:strRef>
              <c:f>Sheet1!$B$1:$F$1</c:f>
              <c:strCache>
                <c:ptCount val="5"/>
                <c:pt idx="0">
                  <c:v>2005</c:v>
                </c:pt>
                <c:pt idx="1">
                  <c:v>2010</c:v>
                </c:pt>
                <c:pt idx="2">
                  <c:v>2014</c:v>
                </c:pt>
                <c:pt idx="3">
                  <c:v>2015</c:v>
                </c:pt>
                <c:pt idx="4">
                  <c:v>2016</c:v>
                </c:pt>
              </c:strCache>
            </c:strRef>
          </c:cat>
          <c:val>
            <c:numRef>
              <c:f>Sheet1!$B$2:$F$2</c:f>
              <c:numCache>
                <c:formatCode>0</c:formatCode>
                <c:ptCount val="5"/>
                <c:pt idx="0">
                  <c:v>30.150295894441324</c:v>
                </c:pt>
                <c:pt idx="1">
                  <c:v>39.208416107967437</c:v>
                </c:pt>
                <c:pt idx="2">
                  <c:v>30.089210716005869</c:v>
                </c:pt>
                <c:pt idx="3">
                  <c:v>31.071230815217248</c:v>
                </c:pt>
                <c:pt idx="4">
                  <c:v>35.0774242781809</c:v>
                </c:pt>
              </c:numCache>
            </c:numRef>
          </c:val>
          <c:extLst>
            <c:ext xmlns:c="http://schemas.openxmlformats.org/drawingml/2006/chart" xmlns:c16="http://schemas.microsoft.com/office/drawing/2014/chart" uri="{C3380CC4-5D6E-409C-BE32-E72D297353CC}">
              <c16:uniqueId val="{00000000-A29D-4C78-95FD-BA56C884BFB9}"/>
            </c:ext>
          </c:extLst>
        </c:ser>
        <c:ser>
          <c:idx val="1"/>
          <c:order val="1"/>
          <c:tx>
            <c:strRef>
              <c:f>Sheet1!$A$3</c:f>
              <c:strCache>
                <c:ptCount val="1"/>
                <c:pt idx="0">
                  <c:v>plastmasas un to izstrādājumi</c:v>
                </c:pt>
              </c:strCache>
            </c:strRef>
          </c:tx>
          <c:invertIfNegative val="0"/>
          <c:cat>
            <c:strRef>
              <c:f>Sheet1!$B$1:$F$1</c:f>
              <c:strCache>
                <c:ptCount val="5"/>
                <c:pt idx="0">
                  <c:v>2005</c:v>
                </c:pt>
                <c:pt idx="1">
                  <c:v>2010</c:v>
                </c:pt>
                <c:pt idx="2">
                  <c:v>2014</c:v>
                </c:pt>
                <c:pt idx="3">
                  <c:v>2015</c:v>
                </c:pt>
                <c:pt idx="4">
                  <c:v>2016</c:v>
                </c:pt>
              </c:strCache>
            </c:strRef>
          </c:cat>
          <c:val>
            <c:numRef>
              <c:f>Sheet1!$B$3:$F$3</c:f>
              <c:numCache>
                <c:formatCode>0</c:formatCode>
                <c:ptCount val="5"/>
                <c:pt idx="0">
                  <c:v>24.715129480633724</c:v>
                </c:pt>
                <c:pt idx="1">
                  <c:v>24.180602653971086</c:v>
                </c:pt>
                <c:pt idx="2">
                  <c:v>23.97629162685039</c:v>
                </c:pt>
                <c:pt idx="3">
                  <c:v>23.222779643505291</c:v>
                </c:pt>
                <c:pt idx="4">
                  <c:v>22.689184600658134</c:v>
                </c:pt>
              </c:numCache>
            </c:numRef>
          </c:val>
          <c:extLst>
            <c:ext xmlns:c="http://schemas.openxmlformats.org/drawingml/2006/chart" xmlns:c16="http://schemas.microsoft.com/office/drawing/2014/chart" uri="{C3380CC4-5D6E-409C-BE32-E72D297353CC}">
              <c16:uniqueId val="{00000001-A29D-4C78-95FD-BA56C884BFB9}"/>
            </c:ext>
          </c:extLst>
        </c:ser>
        <c:ser>
          <c:idx val="2"/>
          <c:order val="2"/>
          <c:tx>
            <c:strRef>
              <c:f>Sheet1!$A$4</c:f>
              <c:strCache>
                <c:ptCount val="1"/>
                <c:pt idx="0">
                  <c:v>parfimērija, ziepes, sveces</c:v>
                </c:pt>
              </c:strCache>
            </c:strRef>
          </c:tx>
          <c:invertIfNegative val="0"/>
          <c:cat>
            <c:strRef>
              <c:f>Sheet1!$B$1:$F$1</c:f>
              <c:strCache>
                <c:ptCount val="5"/>
                <c:pt idx="0">
                  <c:v>2005</c:v>
                </c:pt>
                <c:pt idx="1">
                  <c:v>2010</c:v>
                </c:pt>
                <c:pt idx="2">
                  <c:v>2014</c:v>
                </c:pt>
                <c:pt idx="3">
                  <c:v>2015</c:v>
                </c:pt>
                <c:pt idx="4">
                  <c:v>2016</c:v>
                </c:pt>
              </c:strCache>
            </c:strRef>
          </c:cat>
          <c:val>
            <c:numRef>
              <c:f>Sheet1!$B$4:$F$4</c:f>
              <c:numCache>
                <c:formatCode>0</c:formatCode>
                <c:ptCount val="5"/>
                <c:pt idx="0">
                  <c:v>14.303142121439699</c:v>
                </c:pt>
                <c:pt idx="1">
                  <c:v>10.776912737203924</c:v>
                </c:pt>
                <c:pt idx="2">
                  <c:v>13.836444651733339</c:v>
                </c:pt>
                <c:pt idx="3">
                  <c:v>13.300621827491199</c:v>
                </c:pt>
                <c:pt idx="4">
                  <c:v>12.494020910541479</c:v>
                </c:pt>
              </c:numCache>
            </c:numRef>
          </c:val>
          <c:extLst>
            <c:ext xmlns:c="http://schemas.openxmlformats.org/drawingml/2006/chart" xmlns:c16="http://schemas.microsoft.com/office/drawing/2014/chart" uri="{C3380CC4-5D6E-409C-BE32-E72D297353CC}">
              <c16:uniqueId val="{00000002-A29D-4C78-95FD-BA56C884BFB9}"/>
            </c:ext>
          </c:extLst>
        </c:ser>
        <c:ser>
          <c:idx val="3"/>
          <c:order val="3"/>
          <c:tx>
            <c:strRef>
              <c:f>Sheet1!$A$5</c:f>
              <c:strCache>
                <c:ptCount val="1"/>
                <c:pt idx="0">
                  <c:v>pārējie ķīmiskie produkti</c:v>
                </c:pt>
              </c:strCache>
            </c:strRef>
          </c:tx>
          <c:invertIfNegative val="0"/>
          <c:cat>
            <c:strRef>
              <c:f>Sheet1!$B$1:$F$1</c:f>
              <c:strCache>
                <c:ptCount val="5"/>
                <c:pt idx="0">
                  <c:v>2005</c:v>
                </c:pt>
                <c:pt idx="1">
                  <c:v>2010</c:v>
                </c:pt>
                <c:pt idx="2">
                  <c:v>2014</c:v>
                </c:pt>
                <c:pt idx="3">
                  <c:v>2015</c:v>
                </c:pt>
                <c:pt idx="4">
                  <c:v>2016</c:v>
                </c:pt>
              </c:strCache>
            </c:strRef>
          </c:cat>
          <c:val>
            <c:numRef>
              <c:f>Sheet1!$B$5:$F$5</c:f>
              <c:numCache>
                <c:formatCode>0</c:formatCode>
                <c:ptCount val="5"/>
                <c:pt idx="0">
                  <c:v>30.831432503485246</c:v>
                </c:pt>
                <c:pt idx="1">
                  <c:v>25.834068500857558</c:v>
                </c:pt>
                <c:pt idx="2">
                  <c:v>32.098053005410407</c:v>
                </c:pt>
                <c:pt idx="3">
                  <c:v>32.405367713786262</c:v>
                </c:pt>
                <c:pt idx="4">
                  <c:v>29.739370210619487</c:v>
                </c:pt>
              </c:numCache>
            </c:numRef>
          </c:val>
          <c:extLst>
            <c:ext xmlns:c="http://schemas.openxmlformats.org/drawingml/2006/chart" xmlns:c16="http://schemas.microsoft.com/office/drawing/2014/chart" uri="{C3380CC4-5D6E-409C-BE32-E72D297353CC}">
              <c16:uniqueId val="{00000003-A29D-4C78-95FD-BA56C884BFB9}"/>
            </c:ext>
          </c:extLst>
        </c:ser>
        <c:dLbls>
          <c:showLegendKey val="0"/>
          <c:showVal val="0"/>
          <c:showCatName val="0"/>
          <c:showSerName val="0"/>
          <c:showPercent val="0"/>
          <c:showBubbleSize val="0"/>
        </c:dLbls>
        <c:gapWidth val="20"/>
        <c:overlap val="100"/>
        <c:axId val="629967072"/>
        <c:axId val="629958448"/>
      </c:barChart>
      <c:catAx>
        <c:axId val="629967072"/>
        <c:scaling>
          <c:orientation val="minMax"/>
        </c:scaling>
        <c:delete val="0"/>
        <c:axPos val="b"/>
        <c:numFmt formatCode="General" sourceLinked="0"/>
        <c:majorTickMark val="out"/>
        <c:minorTickMark val="none"/>
        <c:tickLblPos val="nextTo"/>
        <c:txPr>
          <a:bodyPr/>
          <a:lstStyle/>
          <a:p>
            <a:pPr>
              <a:defRPr sz="700"/>
            </a:pPr>
            <a:endParaRPr lang="lv-LV"/>
          </a:p>
        </c:txPr>
        <c:crossAx val="629958448"/>
        <c:crosses val="autoZero"/>
        <c:auto val="1"/>
        <c:lblAlgn val="ctr"/>
        <c:lblOffset val="100"/>
        <c:noMultiLvlLbl val="0"/>
      </c:catAx>
      <c:valAx>
        <c:axId val="629958448"/>
        <c:scaling>
          <c:orientation val="minMax"/>
        </c:scaling>
        <c:delete val="0"/>
        <c:axPos val="l"/>
        <c:numFmt formatCode="0%" sourceLinked="1"/>
        <c:majorTickMark val="out"/>
        <c:minorTickMark val="none"/>
        <c:tickLblPos val="nextTo"/>
        <c:txPr>
          <a:bodyPr/>
          <a:lstStyle/>
          <a:p>
            <a:pPr>
              <a:defRPr sz="700"/>
            </a:pPr>
            <a:endParaRPr lang="lv-LV"/>
          </a:p>
        </c:txPr>
        <c:crossAx val="629967072"/>
        <c:crosses val="autoZero"/>
        <c:crossBetween val="between"/>
      </c:valAx>
    </c:plotArea>
    <c:legend>
      <c:legendPos val="r"/>
      <c:layout>
        <c:manualLayout>
          <c:xMode val="edge"/>
          <c:yMode val="edge"/>
          <c:x val="0.48187518226888304"/>
          <c:y val="0.018061189542134811"/>
          <c:w val="0.518124817731117"/>
          <c:h val="0.75367729008324647"/>
        </c:manualLayout>
      </c:layout>
      <c:overlay val="0"/>
      <c:txPr>
        <a:bodyPr/>
        <a:lstStyle/>
        <a:p>
          <a:pPr>
            <a:defRPr sz="600">
              <a:latin typeface="Arial Narrow" panose="020B0606020202030204" pitchFamily="34" charset="0"/>
            </a:defRPr>
          </a:pPr>
          <a:endParaRPr lang="lv-LV"/>
        </a:p>
      </c:txPr>
    </c:legend>
    <c:plotVisOnly val="1"/>
    <c:dispBlanksAs val="gap"/>
    <c:showDLblsOverMax val="0"/>
  </c:chart>
  <c:spPr>
    <a:ln w="9525">
      <a:noFill/>
    </a:ln>
  </c:spPr>
  <c:txPr>
    <a:bodyPr/>
    <a:lstStyle/>
    <a:p>
      <a:pPr>
        <a:defRPr sz="800"/>
      </a:pPr>
      <a:endParaRPr lang="lv-LV"/>
    </a:p>
  </c:txPr>
  <c:externalData r:id="rId1">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98553601027233415"/>
          <c:y val="0.01722532963499513"/>
          <c:w val="0.88592589806420907"/>
          <c:h val="0.920462379795931"/>
        </c:manualLayout>
      </c:layout>
      <c:barChart>
        <c:barDir val="col"/>
        <c:grouping val="percentStacked"/>
        <c:varyColors val="0"/>
        <c:ser>
          <c:idx val="0"/>
          <c:order val="0"/>
          <c:tx>
            <c:strRef>
              <c:f>Sheet1!$A$2</c:f>
              <c:strCache>
                <c:ptCount val="1"/>
                <c:pt idx="0">
                  <c:v>farmācijas produkti</c:v>
                </c:pt>
              </c:strCache>
            </c:strRef>
          </c:tx>
          <c:invertIfNegative val="0"/>
          <c:cat>
            <c:strRef>
              <c:f>Sheet1!$B$1:$F$1</c:f>
              <c:strCache>
                <c:ptCount val="5"/>
                <c:pt idx="0">
                  <c:v>2005</c:v>
                </c:pt>
                <c:pt idx="1">
                  <c:v>2010</c:v>
                </c:pt>
                <c:pt idx="2">
                  <c:v>2014</c:v>
                </c:pt>
                <c:pt idx="3">
                  <c:v>2015</c:v>
                </c:pt>
                <c:pt idx="4">
                  <c:v>2016</c:v>
                </c:pt>
              </c:strCache>
            </c:strRef>
          </c:cat>
          <c:val>
            <c:numRef>
              <c:f>Sheet1!$B$2:$F$2</c:f>
              <c:numCache>
                <c:formatCode>0</c:formatCode>
                <c:ptCount val="5"/>
                <c:pt idx="0">
                  <c:v>25.414965029327792</c:v>
                </c:pt>
                <c:pt idx="1">
                  <c:v>30.322009201866841</c:v>
                </c:pt>
                <c:pt idx="2">
                  <c:v>29.735266141160636</c:v>
                </c:pt>
                <c:pt idx="3">
                  <c:v>31.366500542600416</c:v>
                </c:pt>
                <c:pt idx="4">
                  <c:v>31.25154305711424</c:v>
                </c:pt>
              </c:numCache>
            </c:numRef>
          </c:val>
          <c:extLst>
            <c:ext xmlns:c="http://schemas.openxmlformats.org/drawingml/2006/chart" xmlns:c16="http://schemas.microsoft.com/office/drawing/2014/chart" uri="{C3380CC4-5D6E-409C-BE32-E72D297353CC}">
              <c16:uniqueId val="{00000000-C4A7-442F-A83F-8568F9852D97}"/>
            </c:ext>
          </c:extLst>
        </c:ser>
        <c:ser>
          <c:idx val="1"/>
          <c:order val="1"/>
          <c:tx>
            <c:strRef>
              <c:f>Sheet1!$A$3</c:f>
              <c:strCache>
                <c:ptCount val="1"/>
                <c:pt idx="0">
                  <c:v>plastmasas un to izstrādājumi</c:v>
                </c:pt>
              </c:strCache>
            </c:strRef>
          </c:tx>
          <c:invertIfNegative val="0"/>
          <c:cat>
            <c:strRef>
              <c:f>Sheet1!$B$1:$F$1</c:f>
              <c:strCache>
                <c:ptCount val="5"/>
                <c:pt idx="0">
                  <c:v>2005</c:v>
                </c:pt>
                <c:pt idx="1">
                  <c:v>2010</c:v>
                </c:pt>
                <c:pt idx="2">
                  <c:v>2014</c:v>
                </c:pt>
                <c:pt idx="3">
                  <c:v>2015</c:v>
                </c:pt>
                <c:pt idx="4">
                  <c:v>2016</c:v>
                </c:pt>
              </c:strCache>
            </c:strRef>
          </c:cat>
          <c:val>
            <c:numRef>
              <c:f>Sheet1!$B$3:$F$3</c:f>
              <c:numCache>
                <c:formatCode>0</c:formatCode>
                <c:ptCount val="5"/>
                <c:pt idx="0">
                  <c:v>23.239482117078953</c:v>
                </c:pt>
                <c:pt idx="1">
                  <c:v>21.384453862775967</c:v>
                </c:pt>
                <c:pt idx="2">
                  <c:v>22.192428675382729</c:v>
                </c:pt>
                <c:pt idx="3">
                  <c:v>21.560953306348924</c:v>
                </c:pt>
                <c:pt idx="4">
                  <c:v>22.01975366036589</c:v>
                </c:pt>
              </c:numCache>
            </c:numRef>
          </c:val>
          <c:extLst>
            <c:ext xmlns:c="http://schemas.openxmlformats.org/drawingml/2006/chart" xmlns:c16="http://schemas.microsoft.com/office/drawing/2014/chart" uri="{C3380CC4-5D6E-409C-BE32-E72D297353CC}">
              <c16:uniqueId val="{00000001-C4A7-442F-A83F-8568F9852D97}"/>
            </c:ext>
          </c:extLst>
        </c:ser>
        <c:ser>
          <c:idx val="2"/>
          <c:order val="2"/>
          <c:tx>
            <c:strRef>
              <c:f>Sheet1!$A$4</c:f>
              <c:strCache>
                <c:ptCount val="1"/>
                <c:pt idx="0">
                  <c:v>parfimērija, ziepes, sveces</c:v>
                </c:pt>
              </c:strCache>
            </c:strRef>
          </c:tx>
          <c:invertIfNegative val="0"/>
          <c:cat>
            <c:strRef>
              <c:f>Sheet1!$B$1:$F$1</c:f>
              <c:strCache>
                <c:ptCount val="5"/>
                <c:pt idx="0">
                  <c:v>2005</c:v>
                </c:pt>
                <c:pt idx="1">
                  <c:v>2010</c:v>
                </c:pt>
                <c:pt idx="2">
                  <c:v>2014</c:v>
                </c:pt>
                <c:pt idx="3">
                  <c:v>2015</c:v>
                </c:pt>
                <c:pt idx="4">
                  <c:v>2016</c:v>
                </c:pt>
              </c:strCache>
            </c:strRef>
          </c:cat>
          <c:val>
            <c:numRef>
              <c:f>Sheet1!$B$4:$F$4</c:f>
              <c:numCache>
                <c:formatCode>0</c:formatCode>
                <c:ptCount val="5"/>
                <c:pt idx="0">
                  <c:v>8.144875320908902</c:v>
                </c:pt>
                <c:pt idx="1">
                  <c:v>7.9348723962233514</c:v>
                </c:pt>
                <c:pt idx="2">
                  <c:v>8.6439162715117028</c:v>
                </c:pt>
                <c:pt idx="3">
                  <c:v>8.6635846981686413</c:v>
                </c:pt>
                <c:pt idx="4">
                  <c:v>8.9549279948160052</c:v>
                </c:pt>
              </c:numCache>
            </c:numRef>
          </c:val>
          <c:extLst>
            <c:ext xmlns:c="http://schemas.openxmlformats.org/drawingml/2006/chart" xmlns:c16="http://schemas.microsoft.com/office/drawing/2014/chart" uri="{C3380CC4-5D6E-409C-BE32-E72D297353CC}">
              <c16:uniqueId val="{00000002-C4A7-442F-A83F-8568F9852D97}"/>
            </c:ext>
          </c:extLst>
        </c:ser>
        <c:ser>
          <c:idx val="3"/>
          <c:order val="3"/>
          <c:tx>
            <c:strRef>
              <c:f>Sheet1!$A$5</c:f>
              <c:strCache>
                <c:ptCount val="1"/>
                <c:pt idx="0">
                  <c:v>pārējie ķīmiskie produkti</c:v>
                </c:pt>
              </c:strCache>
            </c:strRef>
          </c:tx>
          <c:invertIfNegative val="0"/>
          <c:cat>
            <c:strRef>
              <c:f>Sheet1!$B$1:$F$1</c:f>
              <c:strCache>
                <c:ptCount val="5"/>
                <c:pt idx="0">
                  <c:v>2005</c:v>
                </c:pt>
                <c:pt idx="1">
                  <c:v>2010</c:v>
                </c:pt>
                <c:pt idx="2">
                  <c:v>2014</c:v>
                </c:pt>
                <c:pt idx="3">
                  <c:v>2015</c:v>
                </c:pt>
                <c:pt idx="4">
                  <c:v>2016</c:v>
                </c:pt>
              </c:strCache>
            </c:strRef>
          </c:cat>
          <c:val>
            <c:numRef>
              <c:f>Sheet1!$B$5:$F$5</c:f>
              <c:numCache>
                <c:formatCode>0</c:formatCode>
                <c:ptCount val="5"/>
                <c:pt idx="0">
                  <c:v>43.20067753268436</c:v>
                </c:pt>
                <c:pt idx="1">
                  <c:v>40.358664539133841</c:v>
                </c:pt>
                <c:pt idx="2">
                  <c:v>39.428388911944921</c:v>
                </c:pt>
                <c:pt idx="3">
                  <c:v>38.408961452882011</c:v>
                </c:pt>
                <c:pt idx="4">
                  <c:v>37.773775287703863</c:v>
                </c:pt>
              </c:numCache>
            </c:numRef>
          </c:val>
          <c:extLst>
            <c:ext xmlns:c="http://schemas.openxmlformats.org/drawingml/2006/chart" xmlns:c16="http://schemas.microsoft.com/office/drawing/2014/chart" uri="{C3380CC4-5D6E-409C-BE32-E72D297353CC}">
              <c16:uniqueId val="{00000003-C4A7-442F-A83F-8568F9852D97}"/>
            </c:ext>
          </c:extLst>
        </c:ser>
        <c:dLbls>
          <c:showLegendKey val="0"/>
          <c:showVal val="0"/>
          <c:showCatName val="0"/>
          <c:showSerName val="0"/>
          <c:showPercent val="0"/>
          <c:showBubbleSize val="0"/>
        </c:dLbls>
        <c:gapWidth val="20"/>
        <c:overlap val="100"/>
        <c:axId val="629965112"/>
        <c:axId val="629960800"/>
      </c:barChart>
      <c:catAx>
        <c:axId val="629965112"/>
        <c:scaling>
          <c:orientation val="minMax"/>
        </c:scaling>
        <c:delete val="0"/>
        <c:axPos val="b"/>
        <c:numFmt formatCode="General" sourceLinked="0"/>
        <c:majorTickMark val="out"/>
        <c:minorTickMark val="none"/>
        <c:tickLblPos val="nextTo"/>
        <c:txPr>
          <a:bodyPr/>
          <a:lstStyle/>
          <a:p>
            <a:pPr>
              <a:defRPr sz="700"/>
            </a:pPr>
            <a:endParaRPr lang="lv-LV"/>
          </a:p>
        </c:txPr>
        <c:crossAx val="629960800"/>
        <c:crosses val="autoZero"/>
        <c:auto val="1"/>
        <c:lblAlgn val="ctr"/>
        <c:lblOffset val="100"/>
        <c:noMultiLvlLbl val="0"/>
      </c:catAx>
      <c:valAx>
        <c:axId val="629960800"/>
        <c:scaling>
          <c:orientation val="minMax"/>
        </c:scaling>
        <c:delete val="0"/>
        <c:axPos val="l"/>
        <c:numFmt formatCode="0%" sourceLinked="1"/>
        <c:majorTickMark val="out"/>
        <c:minorTickMark val="none"/>
        <c:tickLblPos val="nextTo"/>
        <c:txPr>
          <a:bodyPr/>
          <a:lstStyle/>
          <a:p>
            <a:pPr>
              <a:defRPr sz="700"/>
            </a:pPr>
            <a:endParaRPr lang="lv-LV"/>
          </a:p>
        </c:txPr>
        <c:crossAx val="629965112"/>
        <c:crosses val="autoZero"/>
        <c:crossBetween val="between"/>
      </c:valAx>
    </c:plotArea>
    <c:plotVisOnly val="1"/>
    <c:dispBlanksAs val="gap"/>
    <c:showDLblsOverMax val="0"/>
  </c:chart>
  <c:spPr>
    <a:ln w="9525">
      <a:noFill/>
    </a:ln>
  </c:spPr>
  <c:txPr>
    <a:bodyPr/>
    <a:lstStyle/>
    <a:p>
      <a:pPr>
        <a:defRPr sz="800"/>
      </a:pPr>
      <a:endParaRPr lang="lv-LV"/>
    </a:p>
  </c:txPr>
  <c:externalData r:id="rId1">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FA51-4714-82B7-07A8424C444A}"/>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FA51-4714-82B7-07A8424C444A}"/>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Sheet1!$B$2:$M$2</c:f>
              <c:numCache>
                <c:formatCode>0</c:formatCode>
                <c:ptCount val="12"/>
                <c:pt idx="0">
                  <c:v>2004</c:v>
                </c:pt>
                <c:pt idx="1">
                  <c:v>2005</c:v>
                </c:pt>
                <c:pt idx="2">
                  <c:v>2006</c:v>
                </c:pt>
                <c:pt idx="3">
                  <c:v>2007</c:v>
                </c:pt>
                <c:pt idx="4">
                  <c:v>2008</c:v>
                </c:pt>
                <c:pt idx="5">
                  <c:v>2009</c:v>
                </c:pt>
                <c:pt idx="6">
                  <c:v>2010</c:v>
                </c:pt>
                <c:pt idx="7">
                  <c:v>2011</c:v>
                </c:pt>
                <c:pt idx="8">
                  <c:v>2012</c:v>
                </c:pt>
                <c:pt idx="9">
                  <c:v>2013</c:v>
                </c:pt>
                <c:pt idx="10" formatCode="General">
                  <c:v>2014</c:v>
                </c:pt>
                <c:pt idx="11">
                  <c:v>2015</c:v>
                </c:pt>
              </c:numCache>
            </c:numRef>
          </c:cat>
          <c:val>
            <c:numRef>
              <c:f>Sheet1!$B$3:$M$3</c:f>
              <c:numCache>
                <c:formatCode>0.0</c:formatCode>
                <c:ptCount val="12"/>
                <c:pt idx="0">
                  <c:v>5.4493087557603683</c:v>
                </c:pt>
                <c:pt idx="1">
                  <c:v>6.6190998902305163</c:v>
                </c:pt>
                <c:pt idx="2">
                  <c:v>8.0246913580246915</c:v>
                </c:pt>
                <c:pt idx="3">
                  <c:v>11.039236479321314</c:v>
                </c:pt>
                <c:pt idx="4">
                  <c:v>11.980519480519479</c:v>
                </c:pt>
                <c:pt idx="5">
                  <c:v>10.660501981505945</c:v>
                </c:pt>
                <c:pt idx="6">
                  <c:v>10.214190093708167</c:v>
                </c:pt>
                <c:pt idx="7">
                  <c:v>10.676392572944298</c:v>
                </c:pt>
                <c:pt idx="8">
                  <c:v>11.906005221932114</c:v>
                </c:pt>
                <c:pt idx="9">
                  <c:v>12.61038961038961</c:v>
                </c:pt>
                <c:pt idx="10">
                  <c:v>13.438735177865613</c:v>
                </c:pt>
                <c:pt idx="11" formatCode="General">
                  <c:v>14.602346805736637</c:v>
                </c:pt>
              </c:numCache>
            </c:numRef>
          </c:val>
          <c:extLst>
            <c:ext xmlns:c="http://schemas.openxmlformats.org/drawingml/2006/chart" xmlns:c16="http://schemas.microsoft.com/office/drawing/2014/chart" uri="{C3380CC4-5D6E-409C-BE32-E72D297353CC}">
              <c16:uniqueId val="{00000004-FA51-4714-82B7-07A8424C444A}"/>
            </c:ext>
          </c:extLst>
        </c:ser>
        <c:dLbls>
          <c:showLegendKey val="0"/>
          <c:showVal val="0"/>
          <c:showCatName val="0"/>
          <c:showSerName val="0"/>
          <c:showPercent val="0"/>
          <c:showBubbleSize val="0"/>
        </c:dLbls>
        <c:gapWidth val="20"/>
        <c:axId val="629962760"/>
        <c:axId val="629956880"/>
      </c:barChart>
      <c:catAx>
        <c:axId val="629962760"/>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29956880"/>
        <c:crosses val="autoZero"/>
        <c:auto val="1"/>
        <c:lblAlgn val="ctr"/>
        <c:lblOffset val="100"/>
        <c:noMultiLvlLbl val="0"/>
      </c:catAx>
      <c:valAx>
        <c:axId val="629956880"/>
        <c:scaling>
          <c:orientation val="minMax"/>
          <c:max val="15"/>
          <c:min val="0"/>
        </c:scaling>
        <c:delete val="0"/>
        <c:axPos val="l"/>
        <c:numFmt formatCode="0" sourceLinked="0"/>
        <c:majorTickMark val="out"/>
        <c:minorTickMark val="none"/>
        <c:tickLblPos val="nextTo"/>
        <c:crossAx val="629962760"/>
        <c:crosses val="autoZero"/>
        <c:crossBetween val="between"/>
        <c:majorUnit val="3"/>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0CCF-46E8-BEDE-09030C5AE4E1}"/>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0CCF-46E8-BEDE-09030C5AE4E1}"/>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Sheet1!$B$2:$M$2</c:f>
              <c:numCache>
                <c:formatCode>0</c:formatCode>
                <c:ptCount val="12"/>
                <c:pt idx="0">
                  <c:v>2004</c:v>
                </c:pt>
                <c:pt idx="1">
                  <c:v>2005</c:v>
                </c:pt>
                <c:pt idx="2">
                  <c:v>2006</c:v>
                </c:pt>
                <c:pt idx="3">
                  <c:v>2007</c:v>
                </c:pt>
                <c:pt idx="4">
                  <c:v>2008</c:v>
                </c:pt>
                <c:pt idx="5">
                  <c:v>2009</c:v>
                </c:pt>
                <c:pt idx="6">
                  <c:v>2010</c:v>
                </c:pt>
                <c:pt idx="7">
                  <c:v>2011</c:v>
                </c:pt>
                <c:pt idx="8">
                  <c:v>2012</c:v>
                </c:pt>
                <c:pt idx="9">
                  <c:v>2013</c:v>
                </c:pt>
                <c:pt idx="10" formatCode="General">
                  <c:v>2014</c:v>
                </c:pt>
                <c:pt idx="11">
                  <c:v>2015</c:v>
                </c:pt>
              </c:numCache>
            </c:numRef>
          </c:cat>
          <c:val>
            <c:numRef>
              <c:f>Sheet1!$B$3:$M$3</c:f>
              <c:numCache>
                <c:formatCode>0.0</c:formatCode>
                <c:ptCount val="12"/>
                <c:pt idx="0">
                  <c:v>16.913716814159294</c:v>
                </c:pt>
                <c:pt idx="1">
                  <c:v>18.888888888888889</c:v>
                </c:pt>
                <c:pt idx="2">
                  <c:v>23.326180257510728</c:v>
                </c:pt>
                <c:pt idx="3">
                  <c:v>19.626639757820382</c:v>
                </c:pt>
                <c:pt idx="4">
                  <c:v>22.281059063136453</c:v>
                </c:pt>
                <c:pt idx="5">
                  <c:v>20.398505603985054</c:v>
                </c:pt>
                <c:pt idx="6">
                  <c:v>26.083123425692694</c:v>
                </c:pt>
                <c:pt idx="7">
                  <c:v>25.497512437810947</c:v>
                </c:pt>
                <c:pt idx="8">
                  <c:v>25.146699266503671</c:v>
                </c:pt>
                <c:pt idx="9">
                  <c:v>24.613496932515343</c:v>
                </c:pt>
                <c:pt idx="10">
                  <c:v>21.716049382716051</c:v>
                </c:pt>
                <c:pt idx="11" formatCode="General">
                  <c:v>21.790865384615387</c:v>
                </c:pt>
              </c:numCache>
            </c:numRef>
          </c:val>
          <c:extLst>
            <c:ext xmlns:c="http://schemas.openxmlformats.org/drawingml/2006/chart" xmlns:c16="http://schemas.microsoft.com/office/drawing/2014/chart" uri="{C3380CC4-5D6E-409C-BE32-E72D297353CC}">
              <c16:uniqueId val="{00000004-0CCF-46E8-BEDE-09030C5AE4E1}"/>
            </c:ext>
          </c:extLst>
        </c:ser>
        <c:dLbls>
          <c:showLegendKey val="0"/>
          <c:showVal val="0"/>
          <c:showCatName val="0"/>
          <c:showSerName val="0"/>
          <c:showPercent val="0"/>
          <c:showBubbleSize val="0"/>
        </c:dLbls>
        <c:gapWidth val="20"/>
        <c:axId val="629956488"/>
        <c:axId val="629957272"/>
      </c:barChart>
      <c:catAx>
        <c:axId val="629956488"/>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29957272"/>
        <c:crosses val="autoZero"/>
        <c:auto val="1"/>
        <c:lblAlgn val="ctr"/>
        <c:lblOffset val="100"/>
        <c:noMultiLvlLbl val="0"/>
      </c:catAx>
      <c:valAx>
        <c:axId val="629957272"/>
        <c:scaling>
          <c:orientation val="minMax"/>
        </c:scaling>
        <c:delete val="0"/>
        <c:axPos val="l"/>
        <c:numFmt formatCode="0" sourceLinked="0"/>
        <c:majorTickMark val="out"/>
        <c:minorTickMark val="none"/>
        <c:tickLblPos val="nextTo"/>
        <c:crossAx val="629956488"/>
        <c:crosses val="autoZero"/>
        <c:crossBetween val="between"/>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72841410287632"/>
          <c:y val="0.057971014492753624"/>
          <c:w val="0.69294856184214082"/>
          <c:h val="0.726718711443121"/>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marker>
              <c:spPr>
                <a:solidFill>
                  <a:srgbClr val="002060"/>
                </a:solidFill>
                <a:ln w="6350">
                  <a:solidFill>
                    <a:sysClr val="windowText" lastClr="000000"/>
                  </a:solidFill>
                </a:ln>
              </c:spPr>
            </c:marker>
            <c:extLst>
              <c:ext xmlns:c="http://schemas.openxmlformats.org/drawingml/2006/chart" xmlns:c16="http://schemas.microsoft.com/office/drawing/2014/chart" uri="{C3380CC4-5D6E-409C-BE32-E72D297353CC}">
                <c16:uniqueId val="{00000000-1FA7-461C-A7BF-0D37BAE57224}"/>
              </c:ext>
            </c:extLst>
          </c:dPt>
          <c:dLbls>
            <c:dLbl>
              <c:idx val="0"/>
              <c:layout>
                <c:manualLayout>
                  <c:x val="-0.24335361190012242"/>
                  <c:y val="-0.01173260744066853"/>
                </c:manualLayout>
              </c:layout>
              <c:tx>
                <c:rich>
                  <a:bodyPr vertOverflow="clip"/>
                  <a:lstStyle/>
                  <a:p>
                    <a:r>
                      <a:rPr lang="en-US"/>
                      <a:t>2005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1FA7-461C-A7BF-0D37BAE57224}"/>
                </c:ext>
                <c:ext xmlns:c15="http://schemas.microsoft.com/office/drawing/2012/chart" uri="{CE6537A1-D6FC-4f65-9D91-7224C49458BB}"/>
              </c:extLst>
            </c:dLbl>
            <c:dLbl>
              <c:idx val="1"/>
              <c:layout>
                <c:manualLayout>
                  <c:x val="-0.34347376681007663"/>
                  <c:y val="-0.41619534737644981"/>
                </c:manualLayout>
              </c:layout>
              <c:tx>
                <c:rich>
                  <a:bodyPr vertOverflow="clip"/>
                  <a:lstStyle/>
                  <a:p>
                    <a:r>
                      <a:rPr lang="en-US"/>
                      <a:t>2007</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1FA7-461C-A7BF-0D37BAE57224}"/>
                </c:ext>
                <c:ext xmlns:c15="http://schemas.microsoft.com/office/drawing/2012/chart" uri="{CE6537A1-D6FC-4f65-9D91-7224C49458BB}"/>
              </c:extLst>
            </c:dLbl>
            <c:dLbl>
              <c:idx val="2"/>
              <c:layout>
                <c:manualLayout>
                  <c:x val="0.1648634900018941"/>
                  <c:y val="0.37173699441415975"/>
                </c:manualLayout>
              </c:layout>
              <c:tx>
                <c:rich>
                  <a:bodyPr vertOverflow="clip"/>
                  <a:lstStyle/>
                  <a:p>
                    <a:r>
                      <a:rPr lang="en-US"/>
                      <a:t>2010</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1FA7-461C-A7BF-0D37BAE57224}"/>
                </c:ext>
                <c:ext xmlns:c15="http://schemas.microsoft.com/office/drawing/2012/chart" uri="{CE6537A1-D6FC-4f65-9D91-7224C49458BB}"/>
              </c:extLst>
            </c:dLbl>
            <c:dLbl>
              <c:idx val="3"/>
              <c:layout>
                <c:manualLayout>
                  <c:x val="-0.28204507941661933"/>
                  <c:y val="0.054731363707741662"/>
                </c:manualLayout>
              </c:layout>
              <c:tx>
                <c:rich>
                  <a:bodyPr vertOverflow="clip"/>
                  <a:lstStyle/>
                  <a:p>
                    <a:r>
                      <a:rPr lang="en-US"/>
                      <a:t>2009</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1FA7-461C-A7BF-0D37BAE57224}"/>
                </c:ext>
                <c:ext xmlns:c15="http://schemas.microsoft.com/office/drawing/2012/chart" uri="{CE6537A1-D6FC-4f65-9D91-7224C49458BB}"/>
              </c:extLst>
            </c:dLbl>
            <c:dLbl>
              <c:idx val="4"/>
              <c:delete val="1"/>
              <c:extLst>
                <c:ext xmlns:c="http://schemas.openxmlformats.org/drawingml/2006/chart" xmlns:c16="http://schemas.microsoft.com/office/drawing/2014/chart" uri="{C3380CC4-5D6E-409C-BE32-E72D297353CC}">
                  <c16:uniqueId val="{00000005-1FA7-461C-A7BF-0D37BAE57224}"/>
                </c:ext>
                <c:ext xmlns:c15="http://schemas.microsoft.com/office/drawing/2012/chart" uri="{CE6537A1-D6FC-4f65-9D91-7224C49458BB}"/>
              </c:extLst>
            </c:dLbl>
            <c:dLbl>
              <c:idx val="5"/>
              <c:delete val="1"/>
              <c:extLst>
                <c:ext xmlns:c="http://schemas.openxmlformats.org/drawingml/2006/chart" xmlns:c16="http://schemas.microsoft.com/office/drawing/2014/chart" uri="{C3380CC4-5D6E-409C-BE32-E72D297353CC}">
                  <c16:uniqueId val="{00000000-1FA7-461C-A7BF-0D37BAE57224}"/>
                </c:ext>
                <c:ext xmlns:c15="http://schemas.microsoft.com/office/drawing/2012/chart" uri="{CE6537A1-D6FC-4f65-9D91-7224C49458BB}"/>
              </c:extLst>
            </c:dLbl>
            <c:dLbl>
              <c:idx val="6"/>
              <c:delete val="1"/>
              <c:extLst>
                <c:ext xmlns:c="http://schemas.openxmlformats.org/drawingml/2006/chart" xmlns:c16="http://schemas.microsoft.com/office/drawing/2014/chart" uri="{C3380CC4-5D6E-409C-BE32-E72D297353CC}">
                  <c16:uniqueId val="{00000006-1FA7-461C-A7BF-0D37BAE57224}"/>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7-1FA7-461C-A7BF-0D37BAE57224}"/>
                </c:ext>
                <c:ext xmlns:c15="http://schemas.microsoft.com/office/drawing/2012/chart" uri="{CE6537A1-D6FC-4f65-9D91-7224C49458BB}"/>
              </c:extLst>
            </c:dLbl>
            <c:dLbl>
              <c:idx val="8"/>
              <c:delete val="1"/>
              <c:extLst>
                <c:ext xmlns:c="http://schemas.openxmlformats.org/drawingml/2006/chart" xmlns:c16="http://schemas.microsoft.com/office/drawing/2014/chart" uri="{C3380CC4-5D6E-409C-BE32-E72D297353CC}">
                  <c16:uniqueId val="{00000008-1FA7-461C-A7BF-0D37BAE57224}"/>
                </c:ext>
                <c:ext xmlns:c15="http://schemas.microsoft.com/office/drawing/2012/chart" uri="{CE6537A1-D6FC-4f65-9D91-7224C49458BB}"/>
              </c:extLst>
            </c:dLbl>
            <c:dLbl>
              <c:idx val="9"/>
              <c:layout>
                <c:manualLayout>
                  <c:x val="-0.027871309900695404"/>
                  <c:y val="-0.013633936783543082"/>
                </c:manualLayout>
              </c:layout>
              <c:tx>
                <c:rich>
                  <a:bodyPr vertOverflow="clip"/>
                  <a:lstStyle/>
                  <a:p>
                    <a:r>
                      <a:rPr lang="en-US"/>
                      <a:t>2014</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1FA7-461C-A7BF-0D37BAE57224}"/>
                </c:ext>
                <c:ext xmlns:c15="http://schemas.microsoft.com/office/drawing/2012/chart" uri="{CE6537A1-D6FC-4f65-9D91-7224C49458BB}"/>
              </c:extLst>
            </c:dLbl>
            <c:dLbl>
              <c:idx val="10"/>
              <c:layout>
                <c:manualLayout>
                  <c:x val="-0.048682691305879967"/>
                  <c:y val="-0.05288250515989211"/>
                </c:manualLayout>
              </c:layout>
              <c:tx>
                <c:rich>
                  <a:bodyPr vertOverflow="clip"/>
                  <a:lstStyle/>
                  <a:p>
                    <a:r>
                      <a:rPr lang="en-US"/>
                      <a:t>2015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1FA7-461C-A7BF-0D37BAE57224}"/>
                </c:ext>
                <c:ext xmlns:c15="http://schemas.microsoft.com/office/drawing/2012/chart" uri="{CE6537A1-D6FC-4f65-9D91-7224C49458BB}"/>
              </c:extLst>
            </c:dLbl>
            <c:dLbl>
              <c:idx val="11"/>
              <c:layout>
                <c:manualLayout>
                  <c:x val="-0.045473776802943768"/>
                  <c:y val="-0.029435967255112244"/>
                </c:manualLayout>
              </c:layout>
              <c:tx>
                <c:rich>
                  <a:bodyPr/>
                  <a:lstStyle/>
                  <a:p>
                    <a:r>
                      <a:rPr lang="lv-LV"/>
                      <a:t>SK</a:t>
                    </a:r>
                    <a:endParaRPr lang="en-US"/>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1FA7-461C-A7BF-0D37BAE57224}"/>
                </c:ext>
                <c:ext xmlns:c15="http://schemas.microsoft.com/office/drawing/2012/chart" uri="{CE6537A1-D6FC-4f65-9D91-7224C49458BB}"/>
              </c:extLst>
            </c:dLbl>
            <c:dLbl>
              <c:idx val="12"/>
              <c:tx>
                <c:rich>
                  <a:bodyPr/>
                  <a:lstStyle/>
                  <a:p>
                    <a:r>
                      <a:rPr lang="lv-LV"/>
                      <a:t>FI</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1FA7-461C-A7BF-0D37BAE57224}"/>
                </c:ext>
                <c:ext xmlns:c15="http://schemas.microsoft.com/office/drawing/2012/chart" uri="{CE6537A1-D6FC-4f65-9D91-7224C49458BB}"/>
              </c:extLst>
            </c:dLbl>
            <c:dLbl>
              <c:idx val="13"/>
              <c:tx>
                <c:rich>
                  <a:bodyPr/>
                  <a:lstStyle/>
                  <a:p>
                    <a:r>
                      <a:rPr lang="lv-LV" b="0"/>
                      <a:t>SE</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1FA7-461C-A7BF-0D37BAE57224}"/>
                </c:ext>
                <c:ext xmlns:c15="http://schemas.microsoft.com/office/drawing/2012/chart" uri="{CE6537A1-D6FC-4f65-9D91-7224C49458BB}"/>
              </c:extLst>
            </c:dLbl>
            <c:spPr>
              <a:noFill/>
              <a:ln>
                <a:noFill/>
              </a:ln>
              <a:effectLst/>
            </c:spPr>
            <c:txPr>
              <a:bodyPr/>
              <a:lstStyle/>
              <a:p>
                <a:pPr>
                  <a:defRPr b="0"/>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Sheet1!$B$3:$B$13</c:f>
              <c:numCache>
                <c:formatCode>0.0</c:formatCode>
                <c:ptCount val="11"/>
                <c:pt idx="0">
                  <c:v>18.888888888888889</c:v>
                </c:pt>
                <c:pt idx="1">
                  <c:v>23.326180257510728</c:v>
                </c:pt>
                <c:pt idx="2">
                  <c:v>19.626639757820382</c:v>
                </c:pt>
                <c:pt idx="3">
                  <c:v>22.281059063136453</c:v>
                </c:pt>
                <c:pt idx="4">
                  <c:v>20.398505603985054</c:v>
                </c:pt>
                <c:pt idx="5">
                  <c:v>26.083123425692694</c:v>
                </c:pt>
                <c:pt idx="6">
                  <c:v>25.497512437810947</c:v>
                </c:pt>
                <c:pt idx="7">
                  <c:v>25.146699266503671</c:v>
                </c:pt>
                <c:pt idx="8">
                  <c:v>24.613496932515343</c:v>
                </c:pt>
                <c:pt idx="9">
                  <c:v>21.716049382716051</c:v>
                </c:pt>
                <c:pt idx="10">
                  <c:v>21.790865384615387</c:v>
                </c:pt>
              </c:numCache>
            </c:numRef>
          </c:xVal>
          <c:yVal>
            <c:numRef>
              <c:f>Sheet1!$C$3:$C$13</c:f>
              <c:numCache>
                <c:formatCode>0.0</c:formatCode>
                <c:ptCount val="11"/>
                <c:pt idx="0">
                  <c:v>0.35042293536514496</c:v>
                </c:pt>
                <c:pt idx="1">
                  <c:v>0.34402080706895183</c:v>
                </c:pt>
                <c:pt idx="2">
                  <c:v>0.562461868946397</c:v>
                </c:pt>
                <c:pt idx="3">
                  <c:v>0.53769973171252883</c:v>
                </c:pt>
                <c:pt idx="4">
                  <c:v>0.5226119103265735</c:v>
                </c:pt>
                <c:pt idx="5">
                  <c:v>0.3916014936940746</c:v>
                </c:pt>
                <c:pt idx="6">
                  <c:v>0.4187229087144983</c:v>
                </c:pt>
                <c:pt idx="7">
                  <c:v>0.47346194805738784</c:v>
                </c:pt>
                <c:pt idx="8">
                  <c:v>0.51233636752081413</c:v>
                </c:pt>
                <c:pt idx="9">
                  <c:v>0.61883885696822893</c:v>
                </c:pt>
                <c:pt idx="10">
                  <c:v>0.67011321248609379</c:v>
                </c:pt>
              </c:numCache>
            </c:numRef>
          </c:yVal>
          <c:smooth val="1"/>
          <c:extLst>
            <c:ext xmlns:c="http://schemas.openxmlformats.org/drawingml/2006/chart" xmlns:c16="http://schemas.microsoft.com/office/drawing/2014/chart" uri="{C3380CC4-5D6E-409C-BE32-E72D297353CC}">
              <c16:uniqueId val="{0000000E-1FA7-461C-A7BF-0D37BAE57224}"/>
            </c:ext>
          </c:extLst>
        </c:ser>
        <c:dLbls>
          <c:showLegendKey val="0"/>
          <c:showVal val="0"/>
          <c:showCatName val="0"/>
          <c:showSerName val="0"/>
          <c:showPercent val="0"/>
          <c:showBubbleSize val="0"/>
        </c:dLbls>
        <c:axId val="629965504"/>
        <c:axId val="629967464"/>
      </c:scatterChart>
      <c:valAx>
        <c:axId val="629965504"/>
        <c:scaling>
          <c:orientation val="minMax"/>
          <c:min val="10"/>
        </c:scaling>
        <c:delete val="0"/>
        <c:axPos val="b"/>
        <c:title>
          <c:tx>
            <c:rich>
              <a:bodyPr vertOverflow="clip"/>
              <a:lstStyle/>
              <a:p>
                <a:pPr>
                  <a:defRPr sz="700" b="0">
                    <a:latin typeface="Arial Narrow" pitchFamily="34" charset="0"/>
                  </a:defRPr>
                </a:pPr>
                <a:r>
                  <a:rPr lang="lv-LV" sz="700" b="0">
                    <a:latin typeface="Arial Narrow" pitchFamily="34" charset="0"/>
                  </a:rPr>
                  <a:t>Produktivitāte (pievienotā vērtība </a:t>
                </a:r>
                <a:br>
                  <a:rPr lang="lv-LV" sz="700" b="0">
                    <a:latin typeface="Arial Narrow" pitchFamily="34" charset="0"/>
                  </a:rPr>
                </a:br>
                <a:r>
                  <a:rPr lang="lv-LV" sz="700" b="0">
                    <a:latin typeface="Arial Narrow" pitchFamily="34" charset="0"/>
                  </a:rPr>
                  <a:t>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29967464"/>
        <c:crosses val="autoZero"/>
        <c:crossBetween val="midCat"/>
        <c:majorUnit val="5"/>
      </c:valAx>
      <c:valAx>
        <c:axId val="629967464"/>
        <c:scaling>
          <c:orientation val="minMax"/>
          <c:min val="0.30000000000000004"/>
        </c:scaling>
        <c:delete val="0"/>
        <c:axPos val="l"/>
        <c:title>
          <c:tx>
            <c:rich>
              <a:bodyPr vertOverflow="clip"/>
              <a:lstStyle/>
              <a:p>
                <a:pPr>
                  <a:defRPr sz="700" b="0"/>
                </a:pPr>
                <a:r>
                  <a:rPr lang="lv-LV" sz="700" b="0">
                    <a:latin typeface="Arial Narrow" pitchFamily="34" charset="0"/>
                  </a:rPr>
                  <a:t>Darbaspēka izmaksas </a:t>
                </a:r>
                <a:br>
                  <a:rPr lang="lv-LV" sz="700" b="0">
                    <a:latin typeface="Arial Narrow" pitchFamily="34" charset="0"/>
                  </a:rPr>
                </a:br>
                <a:r>
                  <a:rPr lang="lv-LV" sz="700" b="0">
                    <a:latin typeface="Arial Narrow" pitchFamily="34" charset="0"/>
                  </a:rPr>
                  <a:t>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29965504"/>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572372897835"/>
          <c:y val="0.044057785459744363"/>
          <c:w val="0.9310540474739486"/>
          <c:h val="0.48401937562682712"/>
        </c:manualLayout>
      </c:layout>
      <c:barChart>
        <c:barDir val="col"/>
        <c:grouping val="clustered"/>
        <c:varyColors val="0"/>
        <c:ser>
          <c:idx val="1"/>
          <c:order val="0"/>
          <c:spPr>
            <a:solidFill>
              <a:schemeClr val="accent3">
                <a:lumMod val="50000"/>
              </a:schemeClr>
            </a:solidFill>
            <a:ln w="19050"/>
          </c:spPr>
          <c:invertIfNegative val="0"/>
          <c:dPt>
            <c:idx val="8"/>
            <c:invertIfNegative val="0"/>
            <c:bubble3D val="0"/>
            <c:extLst>
              <c:ext xmlns:c="http://schemas.openxmlformats.org/drawingml/2006/chart" xmlns:c16="http://schemas.microsoft.com/office/drawing/2014/chart" uri="{C3380CC4-5D6E-409C-BE32-E72D297353CC}">
                <c16:uniqueId val="{00000000-06F8-4D57-8182-71912397F6A5}"/>
              </c:ext>
            </c:extLst>
          </c:dPt>
          <c:dPt>
            <c:idx val="9"/>
            <c:invertIfNegative val="0"/>
            <c:bubble3D val="0"/>
            <c:extLst>
              <c:ext xmlns:c="http://schemas.openxmlformats.org/drawingml/2006/chart" xmlns:c16="http://schemas.microsoft.com/office/drawing/2014/chart" uri="{C3380CC4-5D6E-409C-BE32-E72D297353CC}">
                <c16:uniqueId val="{00000001-06F8-4D57-8182-71912397F6A5}"/>
              </c:ext>
            </c:extLst>
          </c:dPt>
          <c:dPt>
            <c:idx val="11"/>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3-06F8-4D57-8182-71912397F6A5}"/>
              </c:ext>
            </c:extLst>
          </c:dPt>
          <c:dPt>
            <c:idx val="12"/>
            <c:invertIfNegative val="0"/>
            <c:bubble3D val="0"/>
            <c:spPr>
              <a:solidFill>
                <a:schemeClr val="accent2"/>
              </a:solidFill>
              <a:ln w="19050"/>
            </c:spPr>
            <c:extLst>
              <c:ext xmlns:c="http://schemas.openxmlformats.org/drawingml/2006/chart" xmlns:c16="http://schemas.microsoft.com/office/drawing/2014/chart" uri="{C3380CC4-5D6E-409C-BE32-E72D297353CC}">
                <c16:uniqueId val="{00000008-601B-4EB1-9C64-BEF25B75FE57}"/>
              </c:ext>
            </c:extLst>
          </c:dPt>
          <c:dPt>
            <c:idx val="13"/>
            <c:invertIfNegative val="0"/>
            <c:bubble3D val="0"/>
            <c:extLst>
              <c:ext xmlns:c="http://schemas.openxmlformats.org/drawingml/2006/chart" xmlns:c16="http://schemas.microsoft.com/office/drawing/2014/chart" uri="{C3380CC4-5D6E-409C-BE32-E72D297353CC}">
                <c16:uniqueId val="{00000005-06F8-4D57-8182-71912397F6A5}"/>
              </c:ext>
            </c:extLst>
          </c:dPt>
          <c:dPt>
            <c:idx val="21"/>
            <c:invertIfNegative val="0"/>
            <c:bubble3D val="0"/>
            <c:extLst>
              <c:ext xmlns:c="http://schemas.openxmlformats.org/drawingml/2006/chart" xmlns:c16="http://schemas.microsoft.com/office/drawing/2014/chart" uri="{C3380CC4-5D6E-409C-BE32-E72D297353CC}">
                <c16:uniqueId val="{00000006-06F8-4D57-8182-71912397F6A5}"/>
              </c:ext>
            </c:extLst>
          </c:dPt>
          <c:dPt>
            <c:idx val="25"/>
            <c:invertIfNegative val="0"/>
            <c:bubble3D val="0"/>
            <c:extLst>
              <c:ext xmlns:c="http://schemas.openxmlformats.org/drawingml/2006/chart" xmlns:c16="http://schemas.microsoft.com/office/drawing/2014/chart" uri="{C3380CC4-5D6E-409C-BE32-E72D297353CC}">
                <c16:uniqueId val="{00000007-06F8-4D57-8182-71912397F6A5}"/>
              </c:ext>
            </c:extLst>
          </c:dPt>
          <c:dLbls>
            <c:dLbl>
              <c:idx val="0"/>
              <c:spPr>
                <a:noFill/>
                <a:ln>
                  <a:noFill/>
                </a:ln>
                <a:effectLst/>
              </c:spPr>
              <c:txPr>
                <a:bodyPr wrap="square" lIns="38100" tIns="19050" rIns="38100" bIns="19050" anchor="ctr">
                  <a:spAutoFit/>
                </a:bodyPr>
                <a:lstStyle/>
                <a:p>
                  <a:pPr>
                    <a:defRPr sz="600">
                      <a:solidFill>
                        <a:schemeClr val="bg1"/>
                      </a:solidFill>
                    </a:defRPr>
                  </a:pPr>
                  <a:endParaRPr lang="lv-LV"/>
                </a:p>
              </c:txPr>
              <c:dLblPos val="in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06F8-4D57-8182-71912397F6A5}"/>
                </c:ext>
                <c:ext xmlns:c15="http://schemas.microsoft.com/office/drawing/2012/chart" uri="{CE6537A1-D6FC-4f65-9D91-7224C49458BB}"/>
              </c:extLst>
            </c:dLbl>
            <c:dLbl>
              <c:idx val="1"/>
              <c:spPr>
                <a:noFill/>
                <a:ln>
                  <a:noFill/>
                </a:ln>
                <a:effectLst/>
              </c:spPr>
              <c:txPr>
                <a:bodyPr wrap="square" lIns="38100" tIns="19050" rIns="38100" bIns="19050" anchor="ctr">
                  <a:spAutoFit/>
                </a:bodyPr>
                <a:lstStyle/>
                <a:p>
                  <a:pPr>
                    <a:defRPr sz="600">
                      <a:solidFill>
                        <a:sysClr val="windowText" lastClr="000000"/>
                      </a:solidFill>
                    </a:defRPr>
                  </a:pPr>
                  <a:endParaRPr lang="lv-LV"/>
                </a:p>
              </c:txPr>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06F8-4D57-8182-71912397F6A5}"/>
                </c:ext>
                <c:ext xmlns:c15="http://schemas.microsoft.com/office/drawing/2012/chart" uri="{CE6537A1-D6FC-4f65-9D91-7224C49458BB}"/>
              </c:extLst>
            </c:dLbl>
            <c:dLbl>
              <c:idx val="2"/>
              <c:spPr>
                <a:noFill/>
                <a:ln>
                  <a:noFill/>
                </a:ln>
                <a:effectLst/>
              </c:spPr>
              <c:txPr>
                <a:bodyPr wrap="square" lIns="38100" tIns="19050" rIns="38100" bIns="19050" anchor="ctr">
                  <a:spAutoFit/>
                </a:bodyPr>
                <a:lstStyle/>
                <a:p>
                  <a:pPr>
                    <a:defRPr sz="600">
                      <a:solidFill>
                        <a:sysClr val="windowText" lastClr="000000"/>
                      </a:solidFill>
                    </a:defRPr>
                  </a:pPr>
                  <a:endParaRPr lang="lv-LV"/>
                </a:p>
              </c:txPr>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06F8-4D57-8182-71912397F6A5}"/>
                </c:ext>
                <c:ext xmlns:c15="http://schemas.microsoft.com/office/drawing/2012/chart" uri="{CE6537A1-D6FC-4f65-9D91-7224C49458BB}"/>
              </c:extLst>
            </c:dLbl>
            <c:dLbl>
              <c:idx val="12"/>
              <c:spPr>
                <a:noFill/>
                <a:ln>
                  <a:noFill/>
                </a:ln>
                <a:effectLst/>
              </c:spPr>
              <c:txPr>
                <a:bodyPr wrap="square" lIns="38100" tIns="19050" rIns="38100" bIns="19050" anchor="ctr">
                  <a:spAutoFit/>
                </a:bodyPr>
                <a:lstStyle/>
                <a:p>
                  <a:pPr>
                    <a:defRPr sz="600" b="1"/>
                  </a:pPr>
                  <a:endParaRPr lang="lv-LV"/>
                </a:p>
              </c:txPr>
              <c:showLegendKey val="0"/>
              <c:showVal val="1"/>
              <c:showCatName val="0"/>
              <c:showSerName val="0"/>
              <c:showPercent val="0"/>
              <c:showBubbleSize val="0"/>
            </c:dLbl>
            <c:dLbl>
              <c:idx val="13"/>
              <c:spPr>
                <a:noFill/>
                <a:ln>
                  <a:noFill/>
                </a:ln>
                <a:effectLst/>
              </c:spPr>
              <c:txPr>
                <a:bodyPr wrap="square" lIns="38100" tIns="19050" rIns="38100" bIns="19050" anchor="ctr">
                  <a:spAutoFit/>
                </a:bodyPr>
                <a:lstStyle/>
                <a:p>
                  <a:pPr>
                    <a:defRPr sz="600" b="0"/>
                  </a:pPr>
                  <a:endParaRPr lang="lv-LV"/>
                </a:p>
              </c:txPr>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Sheet1!$A$4:$A$32</c:f>
              <c:strCache>
                <c:ptCount val="29"/>
                <c:pt idx="0">
                  <c:v>Nīderlande</c:v>
                </c:pt>
                <c:pt idx="1">
                  <c:v>Beļģija</c:v>
                </c:pt>
                <c:pt idx="2">
                  <c:v>Dānija</c:v>
                </c:pt>
                <c:pt idx="3">
                  <c:v>Malta</c:v>
                </c:pt>
                <c:pt idx="4">
                  <c:v>Zviedrija</c:v>
                </c:pt>
                <c:pt idx="5">
                  <c:v>Luksemburga</c:v>
                </c:pt>
                <c:pt idx="6">
                  <c:v>Spānija</c:v>
                </c:pt>
                <c:pt idx="7">
                  <c:v>Francija</c:v>
                </c:pt>
                <c:pt idx="8">
                  <c:v>Vācija</c:v>
                </c:pt>
                <c:pt idx="9">
                  <c:v>Lietuva</c:v>
                </c:pt>
                <c:pt idx="10">
                  <c:v>Igaunija</c:v>
                </c:pt>
                <c:pt idx="11">
                  <c:v>ES-28</c:v>
                </c:pt>
                <c:pt idx="12">
                  <c:v>Latvija</c:v>
                </c:pt>
                <c:pt idx="13">
                  <c:v>Slovākija</c:v>
                </c:pt>
                <c:pt idx="14">
                  <c:v>Apv. Karaliste</c:v>
                </c:pt>
                <c:pt idx="15">
                  <c:v>Čehija</c:v>
                </c:pt>
                <c:pt idx="16">
                  <c:v>Ungārija</c:v>
                </c:pt>
                <c:pt idx="17">
                  <c:v>Īrija</c:v>
                </c:pt>
                <c:pt idx="18">
                  <c:v>Austrija</c:v>
                </c:pt>
                <c:pt idx="19">
                  <c:v>Itālija</c:v>
                </c:pt>
                <c:pt idx="20">
                  <c:v>Kipra</c:v>
                </c:pt>
                <c:pt idx="21">
                  <c:v>Slovēnija</c:v>
                </c:pt>
                <c:pt idx="22">
                  <c:v>Horvātija</c:v>
                </c:pt>
                <c:pt idx="23">
                  <c:v>Grieķija</c:v>
                </c:pt>
                <c:pt idx="24">
                  <c:v>Portugāle</c:v>
                </c:pt>
                <c:pt idx="25">
                  <c:v>Bulgārija</c:v>
                </c:pt>
                <c:pt idx="26">
                  <c:v>Polija</c:v>
                </c:pt>
                <c:pt idx="27">
                  <c:v>Somija</c:v>
                </c:pt>
                <c:pt idx="28">
                  <c:v>Rumānija</c:v>
                </c:pt>
              </c:strCache>
            </c:strRef>
          </c:cat>
          <c:val>
            <c:numRef>
              <c:f>Sheet1!$B$4:$B$32</c:f>
              <c:numCache>
                <c:formatCode>0</c:formatCode>
                <c:ptCount val="29"/>
                <c:pt idx="0">
                  <c:v>160.1224752205128</c:v>
                </c:pt>
                <c:pt idx="1">
                  <c:v>128.38632648829432</c:v>
                </c:pt>
                <c:pt idx="2">
                  <c:v>83.0415611617647</c:v>
                </c:pt>
                <c:pt idx="3">
                  <c:v>53.3459718446602</c:v>
                </c:pt>
                <c:pt idx="4">
                  <c:v>45.041717514851491</c:v>
                </c:pt>
                <c:pt idx="5">
                  <c:v>30.205498378378376</c:v>
                </c:pt>
                <c:pt idx="6">
                  <c:v>25.773574099868597</c:v>
                </c:pt>
                <c:pt idx="7">
                  <c:v>20.049769633916554</c:v>
                </c:pt>
                <c:pt idx="8">
                  <c:v>18.751287035541196</c:v>
                </c:pt>
                <c:pt idx="9">
                  <c:v>16.098697436133911</c:v>
                </c:pt>
                <c:pt idx="10">
                  <c:v>14.037562244897959</c:v>
                </c:pt>
                <c:pt idx="11">
                  <c:v>12.968724471580419</c:v>
                </c:pt>
                <c:pt idx="12">
                  <c:v>12.399518030842231</c:v>
                </c:pt>
                <c:pt idx="13">
                  <c:v>12.008038640749929</c:v>
                </c:pt>
                <c:pt idx="14">
                  <c:v>11.871012493162105</c:v>
                </c:pt>
                <c:pt idx="15">
                  <c:v>10.477433631044041</c:v>
                </c:pt>
                <c:pt idx="16">
                  <c:v>10.301163052009906</c:v>
                </c:pt>
                <c:pt idx="17">
                  <c:v>9.70394456127949</c:v>
                </c:pt>
                <c:pt idx="18">
                  <c:v>8.8643050945378157</c:v>
                </c:pt>
                <c:pt idx="19">
                  <c:v>8.3848354474579985</c:v>
                </c:pt>
                <c:pt idx="20">
                  <c:v>7.2720112990527737</c:v>
                </c:pt>
                <c:pt idx="21">
                  <c:v>6.6414982491856671</c:v>
                </c:pt>
                <c:pt idx="22">
                  <c:v>5.4202593058891742</c:v>
                </c:pt>
                <c:pt idx="23">
                  <c:v>4.4486974903642116</c:v>
                </c:pt>
                <c:pt idx="24">
                  <c:v>4.2636416631574283</c:v>
                </c:pt>
                <c:pt idx="25">
                  <c:v>3.1492341674933595</c:v>
                </c:pt>
                <c:pt idx="26">
                  <c:v>3.0727846297279755</c:v>
                </c:pt>
                <c:pt idx="27">
                  <c:v>2.3125703358925143</c:v>
                </c:pt>
                <c:pt idx="28">
                  <c:v>1.8743301774098164</c:v>
                </c:pt>
              </c:numCache>
            </c:numRef>
          </c:val>
          <c:extLst>
            <c:ext xmlns:c="http://schemas.openxmlformats.org/drawingml/2006/chart" xmlns:c16="http://schemas.microsoft.com/office/drawing/2014/chart" uri="{C3380CC4-5D6E-409C-BE32-E72D297353CC}">
              <c16:uniqueId val="{0000000B-06F8-4D57-8182-71912397F6A5}"/>
            </c:ext>
          </c:extLst>
        </c:ser>
        <c:dLbls>
          <c:showLegendKey val="0"/>
          <c:showVal val="0"/>
          <c:showCatName val="0"/>
          <c:showSerName val="0"/>
          <c:showPercent val="0"/>
          <c:showBubbleSize val="0"/>
        </c:dLbls>
        <c:gapWidth val="20"/>
        <c:axId val="629820856"/>
        <c:axId val="629827520"/>
      </c:barChart>
      <c:catAx>
        <c:axId val="629820856"/>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29827520"/>
        <c:crosses val="autoZero"/>
        <c:auto val="1"/>
        <c:lblAlgn val="ctr"/>
        <c:lblOffset val="100"/>
        <c:tickLblSkip val="1"/>
        <c:noMultiLvlLbl val="0"/>
      </c:catAx>
      <c:valAx>
        <c:axId val="629827520"/>
        <c:scaling>
          <c:orientation val="minMax"/>
          <c:max val="150"/>
        </c:scaling>
        <c:delete val="0"/>
        <c:axPos val="l"/>
        <c:numFmt formatCode="0" sourceLinked="0"/>
        <c:majorTickMark val="out"/>
        <c:minorTickMark val="none"/>
        <c:tickLblPos val="nextTo"/>
        <c:txPr>
          <a:bodyPr/>
          <a:lstStyle/>
          <a:p>
            <a:pPr>
              <a:defRPr sz="600"/>
            </a:pPr>
            <a:endParaRPr lang="lv-LV"/>
          </a:p>
        </c:txPr>
        <c:crossAx val="629820856"/>
        <c:crosses val="autoZero"/>
        <c:crossBetween val="between"/>
        <c:majorUnit val="30"/>
      </c:valAx>
    </c:plotArea>
    <c:plotVisOnly val="1"/>
    <c:dispBlanksAs val="gap"/>
    <c:showDLblsOverMax val="0"/>
  </c:chart>
  <c:spPr>
    <a:ln w="9525">
      <a:noFill/>
    </a:ln>
  </c:spPr>
  <c:externalData r:id="rId1">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8"/>
          <c:y val="0.046005165816941182"/>
          <c:w val="0.85762258292899962"/>
          <c:h val="0.831279863372076"/>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Sheet1!$B$1:$J$1</c:f>
              <c:strCache>
                <c:ptCount val="9"/>
                <c:pt idx="0">
                  <c:v>2007</c:v>
                </c:pt>
                <c:pt idx="1">
                  <c:v>2008</c:v>
                </c:pt>
                <c:pt idx="2">
                  <c:v>2009</c:v>
                </c:pt>
                <c:pt idx="3">
                  <c:v>2010</c:v>
                </c:pt>
                <c:pt idx="4">
                  <c:v>2011</c:v>
                </c:pt>
                <c:pt idx="5">
                  <c:v>2012</c:v>
                </c:pt>
                <c:pt idx="6">
                  <c:v>2013</c:v>
                </c:pt>
                <c:pt idx="7">
                  <c:v>2014</c:v>
                </c:pt>
                <c:pt idx="8">
                  <c:v>2015</c:v>
                </c:pt>
              </c:strCache>
            </c:strRef>
          </c:cat>
          <c:val>
            <c:numRef>
              <c:f>Sheet1!$B$2:$J$2</c:f>
              <c:numCache>
                <c:formatCode>0</c:formatCode>
                <c:ptCount val="9"/>
                <c:pt idx="0">
                  <c:v>33.733810364325855</c:v>
                </c:pt>
                <c:pt idx="1">
                  <c:v>39.366062694556014</c:v>
                </c:pt>
                <c:pt idx="2">
                  <c:v>35.265739314535836</c:v>
                </c:pt>
                <c:pt idx="3">
                  <c:v>31.598932010849889</c:v>
                </c:pt>
                <c:pt idx="4">
                  <c:v>31.869900214985641</c:v>
                </c:pt>
                <c:pt idx="5">
                  <c:v>33.801329812213076</c:v>
                </c:pt>
                <c:pt idx="6">
                  <c:v>35.118191713592282</c:v>
                </c:pt>
                <c:pt idx="7">
                  <c:v>37.375186420479331</c:v>
                </c:pt>
                <c:pt idx="8">
                  <c:v>39.02724647709001</c:v>
                </c:pt>
              </c:numCache>
            </c:numRef>
          </c:val>
          <c:extLst>
            <c:ext xmlns:c="http://schemas.openxmlformats.org/drawingml/2006/chart" xmlns:c16="http://schemas.microsoft.com/office/drawing/2014/chart" uri="{C3380CC4-5D6E-409C-BE32-E72D297353CC}">
              <c16:uniqueId val="{00000000-38E1-4801-9DFD-BF730051DBD7}"/>
            </c:ext>
          </c:extLst>
        </c:ser>
        <c:ser>
          <c:idx val="1"/>
          <c:order val="1"/>
          <c:tx>
            <c:strRef>
              <c:f>Sheet1!$A$3</c:f>
              <c:strCache>
                <c:ptCount val="1"/>
                <c:pt idx="0">
                  <c:v>Ķīmiskā rūpniecība</c:v>
                </c:pt>
              </c:strCache>
            </c:strRef>
          </c:tx>
          <c:spPr>
            <a:ln>
              <a:solidFill>
                <a:sysClr val="windowText" lastClr="000000"/>
              </a:solidFill>
            </a:ln>
          </c:spPr>
          <c:invertIfNegative val="0"/>
          <c:dLbls>
            <c:numFmt formatCode="#,##0" sourceLinked="0"/>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2007</c:v>
                </c:pt>
                <c:pt idx="1">
                  <c:v>2008</c:v>
                </c:pt>
                <c:pt idx="2">
                  <c:v>2009</c:v>
                </c:pt>
                <c:pt idx="3">
                  <c:v>2010</c:v>
                </c:pt>
                <c:pt idx="4">
                  <c:v>2011</c:v>
                </c:pt>
                <c:pt idx="5">
                  <c:v>2012</c:v>
                </c:pt>
                <c:pt idx="6">
                  <c:v>2013</c:v>
                </c:pt>
                <c:pt idx="7">
                  <c:v>2014</c:v>
                </c:pt>
                <c:pt idx="8">
                  <c:v>2015</c:v>
                </c:pt>
              </c:strCache>
            </c:strRef>
          </c:cat>
          <c:val>
            <c:numRef>
              <c:f>Sheet1!$B$3:$J$3</c:f>
              <c:numCache>
                <c:formatCode>0</c:formatCode>
                <c:ptCount val="9"/>
                <c:pt idx="0">
                  <c:v>25.814602466517027</c:v>
                </c:pt>
                <c:pt idx="1">
                  <c:v>27.540201758615158</c:v>
                </c:pt>
                <c:pt idx="2">
                  <c:v>24.6315767173092</c:v>
                </c:pt>
                <c:pt idx="3">
                  <c:v>22.604133514991897</c:v>
                </c:pt>
                <c:pt idx="4">
                  <c:v>23.165639351217358</c:v>
                </c:pt>
                <c:pt idx="5">
                  <c:v>25.22901507902915</c:v>
                </c:pt>
                <c:pt idx="6">
                  <c:v>26.266766255711254</c:v>
                </c:pt>
                <c:pt idx="7">
                  <c:v>27.531975279301722</c:v>
                </c:pt>
                <c:pt idx="8">
                  <c:v>29.010239618482704</c:v>
                </c:pt>
              </c:numCache>
            </c:numRef>
          </c:val>
          <c:extLst>
            <c:ext xmlns:c="http://schemas.openxmlformats.org/drawingml/2006/chart" xmlns:c16="http://schemas.microsoft.com/office/drawing/2014/chart" uri="{C3380CC4-5D6E-409C-BE32-E72D297353CC}">
              <c16:uniqueId val="{00000001-38E1-4801-9DFD-BF730051DBD7}"/>
            </c:ext>
          </c:extLst>
        </c:ser>
        <c:dLbls>
          <c:showLegendKey val="0"/>
          <c:showVal val="0"/>
          <c:showCatName val="0"/>
          <c:showSerName val="0"/>
          <c:showPercent val="0"/>
          <c:showBubbleSize val="0"/>
        </c:dLbls>
        <c:gapWidth val="50"/>
        <c:overlap val="52"/>
        <c:axId val="629961192"/>
        <c:axId val="629961584"/>
      </c:barChart>
      <c:catAx>
        <c:axId val="629961192"/>
        <c:scaling>
          <c:orientation val="minMax"/>
        </c:scaling>
        <c:delete val="0"/>
        <c:axPos val="b"/>
        <c:numFmt formatCode="General" sourceLinked="0"/>
        <c:majorTickMark val="out"/>
        <c:minorTickMark val="none"/>
        <c:tickLblPos val="nextTo"/>
        <c:txPr>
          <a:bodyPr rot="-2700000"/>
          <a:lstStyle/>
          <a:p>
            <a:pPr>
              <a:defRPr sz="800"/>
            </a:pPr>
            <a:endParaRPr lang="lv-LV"/>
          </a:p>
        </c:txPr>
        <c:crossAx val="629961584"/>
        <c:crosses val="autoZero"/>
        <c:auto val="1"/>
        <c:lblAlgn val="ctr"/>
        <c:lblOffset val="100"/>
        <c:noMultiLvlLbl val="0"/>
      </c:catAx>
      <c:valAx>
        <c:axId val="629961584"/>
        <c:scaling>
          <c:orientation val="minMax"/>
          <c:max val="80"/>
        </c:scaling>
        <c:delete val="0"/>
        <c:axPos val="l"/>
        <c:numFmt formatCode="0" sourceLinked="0"/>
        <c:majorTickMark val="out"/>
        <c:minorTickMark val="none"/>
        <c:tickLblPos val="nextTo"/>
        <c:txPr>
          <a:bodyPr/>
          <a:lstStyle/>
          <a:p>
            <a:pPr>
              <a:defRPr sz="800"/>
            </a:pPr>
            <a:endParaRPr lang="lv-LV"/>
          </a:p>
        </c:txPr>
        <c:crossAx val="629961192"/>
        <c:crosses val="autoZero"/>
        <c:crossBetween val="between"/>
        <c:majorUnit val="20"/>
      </c:valAx>
      <c:spPr>
        <a:ln>
          <a:noFill/>
        </a:ln>
      </c:spPr>
    </c:plotArea>
    <c:legend>
      <c:legendPos val="r"/>
      <c:layout>
        <c:manualLayout>
          <c:xMode val="edge"/>
          <c:yMode val="edge"/>
          <c:x val="0.1972511805244323"/>
          <c:y val="0.049528317790409886"/>
          <c:w val="0.53767545872909384"/>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738"/>
          <c:y val="0.046005165816941182"/>
          <c:w val="0.85762258292899962"/>
          <c:h val="0.83127986337207582"/>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Sheet1!$B$1:$I$1</c:f>
              <c:strCache>
                <c:ptCount val="8"/>
                <c:pt idx="0">
                  <c:v>2007</c:v>
                </c:pt>
                <c:pt idx="1">
                  <c:v>2008</c:v>
                </c:pt>
                <c:pt idx="2">
                  <c:v>2009</c:v>
                </c:pt>
                <c:pt idx="3">
                  <c:v>2010</c:v>
                </c:pt>
                <c:pt idx="4">
                  <c:v>2011</c:v>
                </c:pt>
                <c:pt idx="5">
                  <c:v>2012</c:v>
                </c:pt>
                <c:pt idx="6">
                  <c:v>2013</c:v>
                </c:pt>
                <c:pt idx="7">
                  <c:v>2014</c:v>
                </c:pt>
              </c:strCache>
            </c:strRef>
          </c:cat>
          <c:val>
            <c:numRef>
              <c:f>Sheet1!$B$2:$I$2</c:f>
              <c:numCache>
                <c:formatCode>0</c:formatCode>
                <c:ptCount val="8"/>
                <c:pt idx="0">
                  <c:v>37.543267740570116</c:v>
                </c:pt>
                <c:pt idx="1">
                  <c:v>40.842057643741676</c:v>
                </c:pt>
                <c:pt idx="2">
                  <c:v>38.288707041966028</c:v>
                </c:pt>
                <c:pt idx="3">
                  <c:v>37.097778599507883</c:v>
                </c:pt>
                <c:pt idx="4">
                  <c:v>40.389766440010831</c:v>
                </c:pt>
                <c:pt idx="5">
                  <c:v>42.46259667259212</c:v>
                </c:pt>
                <c:pt idx="6">
                  <c:v>42.568476309606638</c:v>
                </c:pt>
                <c:pt idx="7">
                  <c:v>43.635115226322327</c:v>
                </c:pt>
              </c:numCache>
            </c:numRef>
          </c:val>
          <c:extLst>
            <c:ext xmlns:c="http://schemas.openxmlformats.org/drawingml/2006/chart" xmlns:c16="http://schemas.microsoft.com/office/drawing/2014/chart" uri="{C3380CC4-5D6E-409C-BE32-E72D297353CC}">
              <c16:uniqueId val="{00000000-F9F8-4209-B33C-11AEAC5E9D0F}"/>
            </c:ext>
          </c:extLst>
        </c:ser>
        <c:ser>
          <c:idx val="1"/>
          <c:order val="1"/>
          <c:tx>
            <c:strRef>
              <c:f>Sheet1!$A$3</c:f>
              <c:strCache>
                <c:ptCount val="1"/>
                <c:pt idx="0">
                  <c:v>Ķīmiskā rūpniecība</c:v>
                </c:pt>
              </c:strCache>
            </c:strRef>
          </c:tx>
          <c:spPr>
            <a:ln>
              <a:solidFill>
                <a:sysClr val="windowText" lastClr="000000"/>
              </a:solidFill>
            </a:ln>
          </c:spPr>
          <c:invertIfNegative val="0"/>
          <c:dLbls>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2007</c:v>
                </c:pt>
                <c:pt idx="1">
                  <c:v>2008</c:v>
                </c:pt>
                <c:pt idx="2">
                  <c:v>2009</c:v>
                </c:pt>
                <c:pt idx="3">
                  <c:v>2010</c:v>
                </c:pt>
                <c:pt idx="4">
                  <c:v>2011</c:v>
                </c:pt>
                <c:pt idx="5">
                  <c:v>2012</c:v>
                </c:pt>
                <c:pt idx="6">
                  <c:v>2013</c:v>
                </c:pt>
                <c:pt idx="7">
                  <c:v>2014</c:v>
                </c:pt>
              </c:strCache>
            </c:strRef>
          </c:cat>
          <c:val>
            <c:numRef>
              <c:f>Sheet1!$B$3:$I$3</c:f>
              <c:numCache>
                <c:formatCode>0</c:formatCode>
                <c:ptCount val="8"/>
                <c:pt idx="0">
                  <c:v>18.806387251524605</c:v>
                </c:pt>
                <c:pt idx="1">
                  <c:v>23.718186452995468</c:v>
                </c:pt>
                <c:pt idx="2">
                  <c:v>22.478382164992027</c:v>
                </c:pt>
                <c:pt idx="3">
                  <c:v>27.537348362263497</c:v>
                </c:pt>
                <c:pt idx="4">
                  <c:v>29.18124850092607</c:v>
                </c:pt>
                <c:pt idx="5">
                  <c:v>29.962497632324236</c:v>
                </c:pt>
                <c:pt idx="6">
                  <c:v>30.292191403662422</c:v>
                </c:pt>
                <c:pt idx="7">
                  <c:v>25.026848296787556</c:v>
                </c:pt>
              </c:numCache>
            </c:numRef>
          </c:val>
          <c:extLst>
            <c:ext xmlns:c="http://schemas.openxmlformats.org/drawingml/2006/chart" xmlns:c16="http://schemas.microsoft.com/office/drawing/2014/chart" uri="{C3380CC4-5D6E-409C-BE32-E72D297353CC}">
              <c16:uniqueId val="{00000001-F9F8-4209-B33C-11AEAC5E9D0F}"/>
            </c:ext>
          </c:extLst>
        </c:ser>
        <c:dLbls>
          <c:showLegendKey val="0"/>
          <c:showVal val="0"/>
          <c:showCatName val="0"/>
          <c:showSerName val="0"/>
          <c:showPercent val="0"/>
          <c:showBubbleSize val="0"/>
        </c:dLbls>
        <c:gapWidth val="50"/>
        <c:overlap val="52"/>
        <c:axId val="629957664"/>
        <c:axId val="629958056"/>
      </c:barChart>
      <c:catAx>
        <c:axId val="629957664"/>
        <c:scaling>
          <c:orientation val="minMax"/>
        </c:scaling>
        <c:delete val="0"/>
        <c:axPos val="b"/>
        <c:numFmt formatCode="General" sourceLinked="0"/>
        <c:majorTickMark val="out"/>
        <c:minorTickMark val="none"/>
        <c:tickLblPos val="nextTo"/>
        <c:txPr>
          <a:bodyPr rot="-2700000"/>
          <a:lstStyle/>
          <a:p>
            <a:pPr>
              <a:defRPr sz="800"/>
            </a:pPr>
            <a:endParaRPr lang="lv-LV"/>
          </a:p>
        </c:txPr>
        <c:crossAx val="629958056"/>
        <c:crosses val="autoZero"/>
        <c:auto val="1"/>
        <c:lblAlgn val="ctr"/>
        <c:lblOffset val="100"/>
        <c:noMultiLvlLbl val="0"/>
      </c:catAx>
      <c:valAx>
        <c:axId val="629958056"/>
        <c:scaling>
          <c:orientation val="minMax"/>
          <c:max val="80"/>
        </c:scaling>
        <c:delete val="0"/>
        <c:axPos val="l"/>
        <c:numFmt formatCode="0" sourceLinked="1"/>
        <c:majorTickMark val="out"/>
        <c:minorTickMark val="none"/>
        <c:tickLblPos val="nextTo"/>
        <c:txPr>
          <a:bodyPr/>
          <a:lstStyle/>
          <a:p>
            <a:pPr>
              <a:defRPr sz="800"/>
            </a:pPr>
            <a:endParaRPr lang="lv-LV"/>
          </a:p>
        </c:txPr>
        <c:crossAx val="629957664"/>
        <c:crosses val="autoZero"/>
        <c:crossBetween val="between"/>
        <c:majorUnit val="20"/>
      </c:valAx>
      <c:spPr>
        <a:ln>
          <a:noFill/>
        </a:ln>
      </c:spPr>
    </c:plotArea>
    <c:legend>
      <c:legendPos val="r"/>
      <c:layout>
        <c:manualLayout>
          <c:xMode val="edge"/>
          <c:yMode val="edge"/>
          <c:x val="0.19725118052443219"/>
          <c:y val="0.0495283177904099"/>
          <c:w val="0.58747156605424322"/>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46717244654"/>
          <c:y val="0.044057617797775277"/>
          <c:w val="0.9310540474739486"/>
          <c:h val="0.61410067643983524"/>
        </c:manualLayout>
      </c:layout>
      <c:barChart>
        <c:barDir val="col"/>
        <c:grouping val="clustered"/>
        <c:varyColors val="0"/>
        <c:ser>
          <c:idx val="1"/>
          <c:order val="0"/>
          <c:tx>
            <c:strRef>
              <c:f>Sheet1!$B$3</c:f>
              <c:strCache>
                <c:ptCount val="1"/>
                <c:pt idx="0">
                  <c:v>Compensation per employees 1000 of euro</c:v>
                </c:pt>
              </c:strCache>
            </c:strRef>
          </c:tx>
          <c:spPr>
            <a:solidFill>
              <a:schemeClr val="accent3">
                <a:lumMod val="50000"/>
              </a:schemeClr>
            </a:solidFill>
            <a:ln w="19050"/>
          </c:spPr>
          <c:invertIfNegative val="0"/>
          <c:dPt>
            <c:idx val="9"/>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7-D0B3-40FE-A08E-98E77FE58D87}"/>
              </c:ext>
            </c:extLst>
          </c:dPt>
          <c:dPt>
            <c:idx val="18"/>
            <c:invertIfNegative val="0"/>
            <c:bubble3D val="0"/>
            <c:spPr>
              <a:solidFill>
                <a:srgbClr val="C00000"/>
              </a:solidFill>
              <a:ln w="19050"/>
            </c:spPr>
            <c:extLst>
              <c:ext xmlns:c="http://schemas.openxmlformats.org/drawingml/2006/chart" xmlns:c16="http://schemas.microsoft.com/office/drawing/2014/chart" uri="{C3380CC4-5D6E-409C-BE32-E72D297353CC}">
                <c16:uniqueId val="{00000009-409D-446D-B89B-E87023336AA7}"/>
              </c:ext>
            </c:extLst>
          </c:dPt>
          <c:dPt>
            <c:idx val="19"/>
            <c:invertIfNegative val="0"/>
            <c:bubble3D val="0"/>
            <c:extLst>
              <c:ext xmlns:c="http://schemas.openxmlformats.org/drawingml/2006/chart" xmlns:c16="http://schemas.microsoft.com/office/drawing/2014/chart" uri="{C3380CC4-5D6E-409C-BE32-E72D297353CC}">
                <c16:uniqueId val="{00000001-E90D-4C8B-9A0A-6BDD6A6274E9}"/>
              </c:ext>
            </c:extLst>
          </c:dPt>
          <c:dPt>
            <c:idx val="20"/>
            <c:invertIfNegative val="0"/>
            <c:bubble3D val="0"/>
            <c:extLst>
              <c:ext xmlns:c="http://schemas.openxmlformats.org/drawingml/2006/chart" xmlns:c16="http://schemas.microsoft.com/office/drawing/2014/chart" uri="{C3380CC4-5D6E-409C-BE32-E72D297353CC}">
                <c16:uniqueId val="{00000002-E90D-4C8B-9A0A-6BDD6A6274E9}"/>
              </c:ext>
            </c:extLst>
          </c:dPt>
          <c:dPt>
            <c:idx val="22"/>
            <c:invertIfNegative val="0"/>
            <c:bubble3D val="0"/>
            <c:spPr>
              <a:solidFill>
                <a:srgbClr val="C00000"/>
              </a:solidFill>
              <a:ln w="19050"/>
            </c:spPr>
            <c:extLst>
              <c:ext xmlns:c="http://schemas.openxmlformats.org/drawingml/2006/chart" xmlns:c16="http://schemas.microsoft.com/office/drawing/2014/chart" uri="{C3380CC4-5D6E-409C-BE32-E72D297353CC}">
                <c16:uniqueId val="{00000004-E90D-4C8B-9A0A-6BDD6A6274E9}"/>
              </c:ext>
            </c:extLst>
          </c:dPt>
          <c:dPt>
            <c:idx val="24"/>
            <c:invertIfNegative val="0"/>
            <c:bubble3D val="0"/>
            <c:extLst>
              <c:ext xmlns:c="http://schemas.openxmlformats.org/drawingml/2006/chart" xmlns:c16="http://schemas.microsoft.com/office/drawing/2014/chart" uri="{C3380CC4-5D6E-409C-BE32-E72D297353CC}">
                <c16:uniqueId val="{00000005-E90D-4C8B-9A0A-6BDD6A6274E9}"/>
              </c:ext>
            </c:extLst>
          </c:dPt>
          <c:dPt>
            <c:idx val="25"/>
            <c:invertIfNegative val="0"/>
            <c:bubble3D val="0"/>
            <c:extLst>
              <c:ext xmlns:c="http://schemas.openxmlformats.org/drawingml/2006/chart" xmlns:c16="http://schemas.microsoft.com/office/drawing/2014/chart" uri="{C3380CC4-5D6E-409C-BE32-E72D297353CC}">
                <c16:uniqueId val="{00000006-E90D-4C8B-9A0A-6BDD6A6274E9}"/>
              </c:ext>
            </c:extLst>
          </c:dPt>
          <c:dLbls>
            <c:dLbl>
              <c:idx val="9"/>
              <c:numFmt formatCode="#,##0" sourceLinked="0"/>
              <c:spPr>
                <a:noFill/>
                <a:ln>
                  <a:noFill/>
                </a:ln>
                <a:effectLst/>
              </c:spPr>
              <c:txPr>
                <a:bodyPr/>
                <a:lstStyle/>
                <a:p>
                  <a:pPr>
                    <a:defRPr sz="600" b="0"/>
                  </a:pPr>
                  <a:endParaRPr lang="lv-LV"/>
                </a:p>
              </c:txPr>
              <c:showLegendKey val="0"/>
              <c:showVal val="1"/>
              <c:showCatName val="0"/>
              <c:showSerName val="0"/>
              <c:showPercent val="0"/>
              <c:showBubbleSize val="0"/>
            </c:dLbl>
            <c:dLbl>
              <c:idx val="18"/>
              <c:numFmt formatCode="#,##0" sourceLinked="0"/>
              <c:spPr>
                <a:noFill/>
                <a:ln>
                  <a:noFill/>
                </a:ln>
                <a:effectLst/>
              </c:spPr>
              <c:txPr>
                <a:bodyPr/>
                <a:lstStyle/>
                <a:p>
                  <a:pPr>
                    <a:defRPr sz="600" b="1"/>
                  </a:pPr>
                  <a:endParaRPr lang="lv-LV"/>
                </a:p>
              </c:txPr>
              <c:showLegendKey val="0"/>
              <c:showVal val="1"/>
              <c:showCatName val="0"/>
              <c:showSerName val="0"/>
              <c:showPercent val="0"/>
              <c:showBubbleSize val="0"/>
            </c:dLbl>
            <c:dLbl>
              <c:idx val="19"/>
              <c:numFmt formatCode="#,##0" sourceLinked="0"/>
              <c:txPr>
                <a:bodyPr/>
                <a:lstStyle/>
                <a:p>
                  <a:pPr>
                    <a:defRPr sz="600" b="0"/>
                  </a:pPr>
                  <a:endParaRPr lang="lv-LV"/>
                </a:p>
              </c:txPr>
              <c:showLegendKey val="0"/>
              <c:showVal val="1"/>
              <c:showCatName val="0"/>
              <c:showSerName val="0"/>
              <c:showPercent val="0"/>
              <c:showBubbleSize val="0"/>
            </c:dLbl>
            <c:dLbl>
              <c:idx val="22"/>
              <c:layout>
                <c:manualLayout>
                  <c:x val="0"/>
                  <c:y val="-0.032520325203252036"/>
                </c:manualLayout>
              </c:layout>
              <c:numFmt formatCode="#,##0" sourceLinked="0"/>
              <c:txPr>
                <a:bodyPr/>
                <a:lstStyle/>
                <a:p>
                  <a:pPr>
                    <a:defRPr sz="600" b="1"/>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E90D-4C8B-9A0A-6BDD6A6274E9}"/>
                </c:ext>
                <c:ext xmlns:c15="http://schemas.microsoft.com/office/drawing/2012/chart" uri="{CE6537A1-D6FC-4f65-9D91-7224C49458BB}"/>
              </c:extLst>
            </c:dLbl>
            <c:dLbl>
              <c:idx val="24"/>
              <c:layout>
                <c:manualLayout>
                  <c:x val="-0.0040281973816717019"/>
                  <c:y val="-3.6702729232016727E-05"/>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E90D-4C8B-9A0A-6BDD6A6274E9}"/>
                </c:ext>
                <c:ext xmlns:c15="http://schemas.microsoft.com/office/drawing/2012/chart" uri="{CE6537A1-D6FC-4f65-9D91-7224C49458BB}"/>
              </c:extLst>
            </c:dLbl>
            <c:dLbl>
              <c:idx val="25"/>
              <c:layout>
                <c:manualLayout>
                  <c:x val="0"/>
                  <c:y val="0.0047350290403144375"/>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E90D-4C8B-9A0A-6BDD6A6274E9}"/>
                </c:ext>
                <c:ext xmlns:c15="http://schemas.microsoft.com/office/drawing/2012/chart" uri="{CE6537A1-D6FC-4f65-9D91-7224C49458BB}"/>
              </c:extLst>
            </c:dLbl>
            <c:numFmt formatCode="#,##0" sourceLinked="0"/>
            <c:spPr>
              <a:noFill/>
              <a:ln>
                <a:noFill/>
              </a:ln>
              <a:effectLst/>
            </c:spPr>
            <c:txPr>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Sheet1!$A$4:$A$25</c:f>
              <c:strCache>
                <c:ptCount val="22"/>
                <c:pt idx="0">
                  <c:v>Apv. Karaliste</c:v>
                </c:pt>
                <c:pt idx="1">
                  <c:v>Beļģija</c:v>
                </c:pt>
                <c:pt idx="2">
                  <c:v>Dānija</c:v>
                </c:pt>
                <c:pt idx="3">
                  <c:v>Nīderlande</c:v>
                </c:pt>
                <c:pt idx="4">
                  <c:v>Francija</c:v>
                </c:pt>
                <c:pt idx="5">
                  <c:v>Austrija</c:v>
                </c:pt>
                <c:pt idx="6">
                  <c:v>Vācija</c:v>
                </c:pt>
                <c:pt idx="7">
                  <c:v>Somija</c:v>
                </c:pt>
                <c:pt idx="8">
                  <c:v>Itālija</c:v>
                </c:pt>
                <c:pt idx="9">
                  <c:v>ES-28</c:v>
                </c:pt>
                <c:pt idx="10">
                  <c:v>Spānija</c:v>
                </c:pt>
                <c:pt idx="11">
                  <c:v>Slovēnija</c:v>
                </c:pt>
                <c:pt idx="12">
                  <c:v>Grieķija</c:v>
                </c:pt>
                <c:pt idx="13">
                  <c:v>Portugāle</c:v>
                </c:pt>
                <c:pt idx="14">
                  <c:v>Kipra</c:v>
                </c:pt>
                <c:pt idx="15">
                  <c:v>Ungārija</c:v>
                </c:pt>
                <c:pt idx="16">
                  <c:v>Slovākija</c:v>
                </c:pt>
                <c:pt idx="17">
                  <c:v>Čehija</c:v>
                </c:pt>
                <c:pt idx="18">
                  <c:v>Latvija</c:v>
                </c:pt>
                <c:pt idx="19">
                  <c:v>Polija</c:v>
                </c:pt>
                <c:pt idx="20">
                  <c:v>Rumānija</c:v>
                </c:pt>
                <c:pt idx="21">
                  <c:v>Bulgārija</c:v>
                </c:pt>
              </c:strCache>
            </c:strRef>
          </c:cat>
          <c:val>
            <c:numRef>
              <c:f>Sheet1!$B$4:$B$25</c:f>
              <c:numCache>
                <c:formatCode>#,##0.0</c:formatCode>
                <c:ptCount val="22"/>
                <c:pt idx="0">
                  <c:v>89.8862552785724</c:v>
                </c:pt>
                <c:pt idx="1">
                  <c:v>89.206567796610187</c:v>
                </c:pt>
                <c:pt idx="2">
                  <c:v>80.825531914893617</c:v>
                </c:pt>
                <c:pt idx="3">
                  <c:v>72.804347826086953</c:v>
                </c:pt>
                <c:pt idx="4">
                  <c:v>66.2</c:v>
                </c:pt>
                <c:pt idx="5">
                  <c:v>59.454054911918739</c:v>
                </c:pt>
                <c:pt idx="6">
                  <c:v>57.661588683351468</c:v>
                </c:pt>
                <c:pt idx="7">
                  <c:v>56.366366366366357</c:v>
                </c:pt>
                <c:pt idx="8">
                  <c:v>51.111366906474821</c:v>
                </c:pt>
                <c:pt idx="9">
                  <c:v>50.3351471679446</c:v>
                </c:pt>
                <c:pt idx="10">
                  <c:v>48.774551665243386</c:v>
                </c:pt>
                <c:pt idx="11">
                  <c:v>32.491909385113267</c:v>
                </c:pt>
                <c:pt idx="12">
                  <c:v>27.345936656027494</c:v>
                </c:pt>
                <c:pt idx="13">
                  <c:v>26.864387593389175</c:v>
                </c:pt>
                <c:pt idx="14">
                  <c:v>24.865771812080535</c:v>
                </c:pt>
                <c:pt idx="15">
                  <c:v>17.481819168566158</c:v>
                </c:pt>
                <c:pt idx="16">
                  <c:v>17.447882378757953</c:v>
                </c:pt>
                <c:pt idx="17">
                  <c:v>15.668352328477621</c:v>
                </c:pt>
                <c:pt idx="18">
                  <c:v>14.602346805736637</c:v>
                </c:pt>
                <c:pt idx="19">
                  <c:v>14.417648836506496</c:v>
                </c:pt>
                <c:pt idx="20">
                  <c:v>9.3333333333333339</c:v>
                </c:pt>
                <c:pt idx="21">
                  <c:v>7.3082151874150334</c:v>
                </c:pt>
              </c:numCache>
            </c:numRef>
          </c:val>
          <c:extLst>
            <c:ext xmlns:c="http://schemas.openxmlformats.org/drawingml/2006/chart" xmlns:c16="http://schemas.microsoft.com/office/drawing/2014/chart" uri="{C3380CC4-5D6E-409C-BE32-E72D297353CC}">
              <c16:uniqueId val="{00000007-E90D-4C8B-9A0A-6BDD6A6274E9}"/>
            </c:ext>
          </c:extLst>
        </c:ser>
        <c:dLbls>
          <c:showLegendKey val="0"/>
          <c:showVal val="0"/>
          <c:showCatName val="0"/>
          <c:showSerName val="0"/>
          <c:showPercent val="0"/>
          <c:showBubbleSize val="0"/>
        </c:dLbls>
        <c:gapWidth val="20"/>
        <c:axId val="629959232"/>
        <c:axId val="629962368"/>
      </c:barChart>
      <c:catAx>
        <c:axId val="629959232"/>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29962368"/>
        <c:crosses val="autoZero"/>
        <c:auto val="1"/>
        <c:lblAlgn val="ctr"/>
        <c:lblOffset val="100"/>
        <c:tickLblSkip val="1"/>
        <c:noMultiLvlLbl val="0"/>
      </c:catAx>
      <c:valAx>
        <c:axId val="629962368"/>
        <c:scaling>
          <c:orientation val="minMax"/>
        </c:scaling>
        <c:delete val="0"/>
        <c:axPos val="l"/>
        <c:numFmt formatCode="0" sourceLinked="0"/>
        <c:majorTickMark val="out"/>
        <c:minorTickMark val="none"/>
        <c:tickLblPos val="nextTo"/>
        <c:txPr>
          <a:bodyPr/>
          <a:lstStyle/>
          <a:p>
            <a:pPr>
              <a:defRPr sz="600"/>
            </a:pPr>
            <a:endParaRPr lang="lv-LV"/>
          </a:p>
        </c:txPr>
        <c:crossAx val="629959232"/>
        <c:crosses val="autoZero"/>
        <c:crossBetween val="between"/>
      </c:valAx>
    </c:plotArea>
    <c:plotVisOnly val="1"/>
    <c:dispBlanksAs val="gap"/>
    <c:showDLblsOverMax val="0"/>
  </c:chart>
  <c:spPr>
    <a:ln w="9525">
      <a:noFill/>
    </a:ln>
  </c:spPr>
  <c:externalData r:id="rId1">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5206365820586629"/>
          <c:y val="0.098667178797772245"/>
          <c:w val="0.92848141716424415"/>
          <c:h val="0.44729274694321747"/>
        </c:manualLayout>
      </c:layout>
      <c:barChart>
        <c:barDir val="col"/>
        <c:grouping val="clustered"/>
        <c:varyColors val="0"/>
        <c:ser>
          <c:idx val="1"/>
          <c:order val="0"/>
          <c:tx>
            <c:strRef>
              <c:f>Sheet1!$B$3</c:f>
              <c:strCache>
                <c:ptCount val="1"/>
                <c:pt idx="0">
                  <c:v>Productivity</c:v>
                </c:pt>
              </c:strCache>
            </c:strRef>
          </c:tx>
          <c:spPr>
            <a:solidFill>
              <a:schemeClr val="accent3">
                <a:lumMod val="50000"/>
              </a:schemeClr>
            </a:solidFill>
            <a:ln w="19050"/>
          </c:spPr>
          <c:invertIfNegative val="0"/>
          <c:dPt>
            <c:idx val="9"/>
            <c:invertIfNegative val="0"/>
            <c:bubble3D val="0"/>
            <c:extLst>
              <c:ext xmlns:c="http://schemas.openxmlformats.org/drawingml/2006/chart" xmlns:c16="http://schemas.microsoft.com/office/drawing/2014/chart" uri="{C3380CC4-5D6E-409C-BE32-E72D297353CC}">
                <c16:uniqueId val="{00000007-792E-43D7-BB00-45141C8B9697}"/>
              </c:ext>
            </c:extLst>
          </c:dPt>
          <c:dPt>
            <c:idx val="19"/>
            <c:invertIfNegative val="0"/>
            <c:bubble3D val="0"/>
            <c:spPr>
              <a:solidFill>
                <a:srgbClr val="C00000"/>
              </a:solidFill>
              <a:ln w="19050"/>
            </c:spPr>
            <c:extLst>
              <c:ext xmlns:c="http://schemas.openxmlformats.org/drawingml/2006/chart" xmlns:c16="http://schemas.microsoft.com/office/drawing/2014/chart" uri="{C3380CC4-5D6E-409C-BE32-E72D297353CC}">
                <c16:uniqueId val="{00000001-E8A8-4EDC-97DE-5DAB2FF46DA6}"/>
              </c:ext>
            </c:extLst>
          </c:dPt>
          <c:dPt>
            <c:idx val="20"/>
            <c:invertIfNegative val="0"/>
            <c:bubble3D val="0"/>
            <c:extLst>
              <c:ext xmlns:c="http://schemas.openxmlformats.org/drawingml/2006/chart" xmlns:c16="http://schemas.microsoft.com/office/drawing/2014/chart" uri="{C3380CC4-5D6E-409C-BE32-E72D297353CC}">
                <c16:uniqueId val="{00000002-E8A8-4EDC-97DE-5DAB2FF46DA6}"/>
              </c:ext>
            </c:extLst>
          </c:dPt>
          <c:dPt>
            <c:idx val="22"/>
            <c:invertIfNegative val="0"/>
            <c:bubble3D val="0"/>
            <c:spPr>
              <a:solidFill>
                <a:srgbClr val="C00000"/>
              </a:solidFill>
              <a:ln w="19050"/>
            </c:spPr>
            <c:extLst>
              <c:ext xmlns:c="http://schemas.openxmlformats.org/drawingml/2006/chart" xmlns:c16="http://schemas.microsoft.com/office/drawing/2014/chart" uri="{C3380CC4-5D6E-409C-BE32-E72D297353CC}">
                <c16:uniqueId val="{00000004-E8A8-4EDC-97DE-5DAB2FF46DA6}"/>
              </c:ext>
            </c:extLst>
          </c:dPt>
          <c:dPt>
            <c:idx val="24"/>
            <c:invertIfNegative val="0"/>
            <c:bubble3D val="0"/>
            <c:extLst>
              <c:ext xmlns:c="http://schemas.openxmlformats.org/drawingml/2006/chart" xmlns:c16="http://schemas.microsoft.com/office/drawing/2014/chart" uri="{C3380CC4-5D6E-409C-BE32-E72D297353CC}">
                <c16:uniqueId val="{00000005-E8A8-4EDC-97DE-5DAB2FF46DA6}"/>
              </c:ext>
            </c:extLst>
          </c:dPt>
          <c:dPt>
            <c:idx val="25"/>
            <c:invertIfNegative val="0"/>
            <c:bubble3D val="0"/>
            <c:extLst>
              <c:ext xmlns:c="http://schemas.openxmlformats.org/drawingml/2006/chart" xmlns:c16="http://schemas.microsoft.com/office/drawing/2014/chart" uri="{C3380CC4-5D6E-409C-BE32-E72D297353CC}">
                <c16:uniqueId val="{00000006-E8A8-4EDC-97DE-5DAB2FF46DA6}"/>
              </c:ext>
            </c:extLst>
          </c:dPt>
          <c:dLbls>
            <c:dLbl>
              <c:idx val="19"/>
              <c:numFmt formatCode="#,##0" sourceLinked="0"/>
              <c:txPr>
                <a:bodyPr/>
                <a:lstStyle/>
                <a:p>
                  <a:pPr>
                    <a:defRPr sz="600" b="1"/>
                  </a:pPr>
                  <a:endParaRPr lang="lv-LV"/>
                </a:p>
              </c:txPr>
              <c:showLegendKey val="0"/>
              <c:showVal val="1"/>
              <c:showCatName val="0"/>
              <c:showSerName val="0"/>
              <c:showPercent val="0"/>
              <c:showBubbleSize val="0"/>
            </c:dLbl>
            <c:dLbl>
              <c:idx val="22"/>
              <c:layout>
                <c:manualLayout>
                  <c:x val="0"/>
                  <c:y val="-0.032520325203252036"/>
                </c:manualLayout>
              </c:layout>
              <c:numFmt formatCode="#,##0" sourceLinked="0"/>
              <c:txPr>
                <a:bodyPr/>
                <a:lstStyle/>
                <a:p>
                  <a:pPr>
                    <a:defRPr sz="600" b="1"/>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E8A8-4EDC-97DE-5DAB2FF46DA6}"/>
                </c:ext>
                <c:ext xmlns:c15="http://schemas.microsoft.com/office/drawing/2012/chart" uri="{CE6537A1-D6FC-4f65-9D91-7224C49458BB}"/>
              </c:extLst>
            </c:dLbl>
            <c:dLbl>
              <c:idx val="24"/>
              <c:layout>
                <c:manualLayout>
                  <c:x val="0.0040281973816717019"/>
                  <c:y val="-3.6702729232016727E-05"/>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E8A8-4EDC-97DE-5DAB2FF46DA6}"/>
                </c:ext>
                <c:ext xmlns:c15="http://schemas.microsoft.com/office/drawing/2012/chart" uri="{CE6537A1-D6FC-4f65-9D91-7224C49458BB}"/>
              </c:extLst>
            </c:dLbl>
            <c:dLbl>
              <c:idx val="25"/>
              <c:layout>
                <c:manualLayout>
                  <c:x val="0"/>
                  <c:y val="0.0047350290403144375"/>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E8A8-4EDC-97DE-5DAB2FF46DA6}"/>
                </c:ext>
                <c:ext xmlns:c15="http://schemas.microsoft.com/office/drawing/2012/chart" uri="{CE6537A1-D6FC-4f65-9D91-7224C49458BB}"/>
              </c:extLst>
            </c:dLbl>
            <c:numFmt formatCode="#,##0" sourceLinked="0"/>
            <c:spPr>
              <a:noFill/>
              <a:ln>
                <a:noFill/>
              </a:ln>
              <a:effectLst/>
            </c:spPr>
            <c:txPr>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Sheet1!$A$4:$A$24</c:f>
              <c:strCache>
                <c:ptCount val="21"/>
                <c:pt idx="0">
                  <c:v>Beļģija</c:v>
                </c:pt>
                <c:pt idx="1">
                  <c:v>Dānija</c:v>
                </c:pt>
                <c:pt idx="2">
                  <c:v>Nīderlande</c:v>
                </c:pt>
                <c:pt idx="3">
                  <c:v>Francija</c:v>
                </c:pt>
                <c:pt idx="4">
                  <c:v>Somija</c:v>
                </c:pt>
                <c:pt idx="5">
                  <c:v>Spānija</c:v>
                </c:pt>
                <c:pt idx="6">
                  <c:v>Austrija</c:v>
                </c:pt>
                <c:pt idx="7">
                  <c:v>Apv. Karaliste</c:v>
                </c:pt>
                <c:pt idx="8">
                  <c:v>Vācija</c:v>
                </c:pt>
                <c:pt idx="9">
                  <c:v>Itālija</c:v>
                </c:pt>
                <c:pt idx="10">
                  <c:v>Slovākija</c:v>
                </c:pt>
                <c:pt idx="11">
                  <c:v>Grieķija</c:v>
                </c:pt>
                <c:pt idx="12">
                  <c:v>Slovēnija</c:v>
                </c:pt>
                <c:pt idx="13">
                  <c:v>Portugāle</c:v>
                </c:pt>
                <c:pt idx="14">
                  <c:v>Rumānija</c:v>
                </c:pt>
                <c:pt idx="15">
                  <c:v>Kipra</c:v>
                </c:pt>
                <c:pt idx="16">
                  <c:v>Polija</c:v>
                </c:pt>
                <c:pt idx="17">
                  <c:v>Ungārija</c:v>
                </c:pt>
                <c:pt idx="18">
                  <c:v>Čehija</c:v>
                </c:pt>
                <c:pt idx="19">
                  <c:v>Latvija</c:v>
                </c:pt>
                <c:pt idx="20">
                  <c:v>Bulgārija</c:v>
                </c:pt>
              </c:strCache>
            </c:strRef>
          </c:cat>
          <c:val>
            <c:numRef>
              <c:f>Sheet1!$B$4:$B$24</c:f>
              <c:numCache>
                <c:formatCode>#,##0.0</c:formatCode>
                <c:ptCount val="21"/>
                <c:pt idx="0">
                  <c:v>202.16067653276954</c:v>
                </c:pt>
                <c:pt idx="1">
                  <c:v>199.38958333333335</c:v>
                </c:pt>
                <c:pt idx="2">
                  <c:v>148.44086021505376</c:v>
                </c:pt>
                <c:pt idx="3">
                  <c:v>138.07476635514018</c:v>
                </c:pt>
                <c:pt idx="4">
                  <c:v>125.17751479289942</c:v>
                </c:pt>
                <c:pt idx="5">
                  <c:v>122.83170835099619</c:v>
                </c:pt>
                <c:pt idx="6">
                  <c:v>117.36659845742169</c:v>
                </c:pt>
                <c:pt idx="7">
                  <c:v>117.18188741511709</c:v>
                </c:pt>
                <c:pt idx="8">
                  <c:v>100.18969957081543</c:v>
                </c:pt>
                <c:pt idx="9">
                  <c:v>85.184217761891659</c:v>
                </c:pt>
                <c:pt idx="10">
                  <c:v>70.3594489883771</c:v>
                </c:pt>
                <c:pt idx="11">
                  <c:v>68.6101126288042</c:v>
                </c:pt>
                <c:pt idx="12">
                  <c:v>59.541122484998247</c:v>
                </c:pt>
                <c:pt idx="13">
                  <c:v>56.251121076233183</c:v>
                </c:pt>
                <c:pt idx="14">
                  <c:v>46.582793709528218</c:v>
                </c:pt>
                <c:pt idx="15">
                  <c:v>41.233333333333327</c:v>
                </c:pt>
                <c:pt idx="16">
                  <c:v>39.941778818022236</c:v>
                </c:pt>
                <c:pt idx="17">
                  <c:v>35.141407599309154</c:v>
                </c:pt>
                <c:pt idx="18">
                  <c:v>33.484073641145528</c:v>
                </c:pt>
                <c:pt idx="19">
                  <c:v>21.790865384615387</c:v>
                </c:pt>
                <c:pt idx="20">
                  <c:v>15.986745213549337</c:v>
                </c:pt>
              </c:numCache>
            </c:numRef>
          </c:val>
          <c:extLst>
            <c:ext xmlns:c="http://schemas.openxmlformats.org/drawingml/2006/chart" xmlns:c16="http://schemas.microsoft.com/office/drawing/2014/chart" uri="{C3380CC4-5D6E-409C-BE32-E72D297353CC}">
              <c16:uniqueId val="{00000007-E8A8-4EDC-97DE-5DAB2FF46DA6}"/>
            </c:ext>
          </c:extLst>
        </c:ser>
        <c:dLbls>
          <c:showLegendKey val="0"/>
          <c:showVal val="0"/>
          <c:showCatName val="0"/>
          <c:showSerName val="0"/>
          <c:showPercent val="0"/>
          <c:showBubbleSize val="0"/>
        </c:dLbls>
        <c:gapWidth val="20"/>
        <c:axId val="629963152"/>
        <c:axId val="629963544"/>
      </c:barChart>
      <c:catAx>
        <c:axId val="629963152"/>
        <c:scaling>
          <c:orientation val="minMax"/>
        </c:scaling>
        <c:delete val="0"/>
        <c:axPos val="b"/>
        <c:numFmt formatCode="General" sourceLinked="0"/>
        <c:majorTickMark val="out"/>
        <c:minorTickMark val="none"/>
        <c:tickLblPos val="nextTo"/>
        <c:txPr>
          <a:bodyPr rot="-5400000" vert="horz" anchor="ctr" anchorCtr="1"/>
          <a:lstStyle/>
          <a:p>
            <a:pPr>
              <a:defRPr sz="600"/>
            </a:pPr>
            <a:endParaRPr lang="lv-LV"/>
          </a:p>
        </c:txPr>
        <c:crossAx val="629963544"/>
        <c:crosses val="autoZero"/>
        <c:auto val="1"/>
        <c:lblAlgn val="ctr"/>
        <c:lblOffset val="100"/>
        <c:tickLblSkip val="1"/>
        <c:noMultiLvlLbl val="0"/>
      </c:catAx>
      <c:valAx>
        <c:axId val="629963544"/>
        <c:scaling>
          <c:orientation val="minMax"/>
        </c:scaling>
        <c:delete val="0"/>
        <c:axPos val="l"/>
        <c:numFmt formatCode="0" sourceLinked="0"/>
        <c:majorTickMark val="out"/>
        <c:minorTickMark val="none"/>
        <c:tickLblPos val="nextTo"/>
        <c:txPr>
          <a:bodyPr/>
          <a:lstStyle/>
          <a:p>
            <a:pPr>
              <a:defRPr sz="600"/>
            </a:pPr>
            <a:endParaRPr lang="lv-LV"/>
          </a:p>
        </c:txPr>
        <c:crossAx val="629963152"/>
        <c:crosses val="autoZero"/>
        <c:crossBetween val="between"/>
      </c:valAx>
    </c:plotArea>
    <c:plotVisOnly val="1"/>
    <c:dispBlanksAs val="gap"/>
    <c:showDLblsOverMax val="0"/>
  </c:chart>
  <c:spPr>
    <a:ln w="9525">
      <a:noFill/>
    </a:ln>
  </c:spPr>
  <c:externalData r:id="rId1">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2572178477690286"/>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638A-407C-967C-9866885F0E64}"/>
              </c:ext>
            </c:extLst>
          </c:dPt>
          <c:dPt>
            <c:idx val="5"/>
            <c:bubble3D val="0"/>
            <c:extLst>
              <c:ext xmlns:c="http://schemas.openxmlformats.org/drawingml/2006/chart" xmlns:c16="http://schemas.microsoft.com/office/drawing/2014/chart" uri="{C3380CC4-5D6E-409C-BE32-E72D297353CC}">
                <c16:uniqueId val="{00000001-638A-407C-967C-9866885F0E64}"/>
              </c:ext>
            </c:extLst>
          </c:dPt>
          <c:dPt>
            <c:idx val="11"/>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2-638A-407C-967C-9866885F0E64}"/>
              </c:ext>
            </c:extLst>
          </c:dPt>
          <c:dPt>
            <c:idx val="12"/>
            <c:bubble3D val="0"/>
            <c:extLst>
              <c:ext xmlns:c="http://schemas.openxmlformats.org/drawingml/2006/chart" xmlns:c16="http://schemas.microsoft.com/office/drawing/2014/chart" uri="{C3380CC4-5D6E-409C-BE32-E72D297353CC}">
                <c16:uniqueId val="{00000003-638A-407C-967C-9866885F0E64}"/>
              </c:ext>
            </c:extLst>
          </c:dPt>
          <c:dPt>
            <c:idx val="13"/>
            <c:bubble3D val="0"/>
            <c:extLst>
              <c:ext xmlns:c="http://schemas.openxmlformats.org/drawingml/2006/chart" xmlns:c16="http://schemas.microsoft.com/office/drawing/2014/chart" uri="{C3380CC4-5D6E-409C-BE32-E72D297353CC}">
                <c16:uniqueId val="{00000004-638A-407C-967C-9866885F0E64}"/>
              </c:ext>
            </c:extLst>
          </c:dPt>
          <c:dPt>
            <c:idx val="14"/>
            <c:bubble3D val="0"/>
            <c:extLst>
              <c:ext xmlns:c="http://schemas.openxmlformats.org/drawingml/2006/chart" xmlns:c16="http://schemas.microsoft.com/office/drawing/2014/chart" uri="{C3380CC4-5D6E-409C-BE32-E72D297353CC}">
                <c16:uniqueId val="{00000005-638A-407C-967C-9866885F0E64}"/>
              </c:ext>
            </c:extLst>
          </c:dPt>
          <c:dLbls>
            <c:dLbl>
              <c:idx val="0"/>
              <c:layout>
                <c:manualLayout>
                  <c:x val="-0.1079961733755244"/>
                  <c:y val="0.066666666666666666"/>
                </c:manualLayout>
              </c:layout>
              <c:tx>
                <c:rich>
                  <a:bodyPr vertOverflow="clip"/>
                  <a:lstStyle/>
                  <a:p>
                    <a:r>
                      <a:rPr lang="en-US"/>
                      <a:t>EU-28</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638A-407C-967C-9866885F0E64}"/>
                </c:ext>
                <c:ext xmlns:c15="http://schemas.microsoft.com/office/drawing/2012/chart" uri="{CE6537A1-D6FC-4f65-9D91-7224C49458BB}"/>
              </c:extLst>
            </c:dLbl>
            <c:dLbl>
              <c:idx val="1"/>
              <c:layout>
                <c:manualLayout>
                  <c:x val="-0.029075804776739357"/>
                  <c:y val="-0.066666666666666707"/>
                </c:manualLayout>
              </c:layout>
              <c:tx>
                <c:rich>
                  <a:bodyPr vertOverflow="clip"/>
                  <a:lstStyle/>
                  <a:p>
                    <a:r>
                      <a:rPr lang="en-US"/>
                      <a:t>BE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638A-407C-967C-9866885F0E64}"/>
                </c:ext>
                <c:ext xmlns:c15="http://schemas.microsoft.com/office/drawing/2012/chart" uri="{CE6537A1-D6FC-4f65-9D91-7224C49458BB}"/>
              </c:extLst>
            </c:dLbl>
            <c:dLbl>
              <c:idx val="2"/>
              <c:layout>
                <c:manualLayout>
                  <c:x val="-0.012461059190031152"/>
                  <c:y val="-0.009523809523809568"/>
                </c:manualLayout>
              </c:layout>
              <c:tx>
                <c:rich>
                  <a:bodyPr vertOverflow="clip"/>
                  <a:lstStyle/>
                  <a:p>
                    <a:r>
                      <a:rPr lang="en-US"/>
                      <a:t>BG</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638A-407C-967C-9866885F0E64}"/>
                </c:ext>
                <c:ext xmlns:c15="http://schemas.microsoft.com/office/drawing/2012/chart" uri="{CE6537A1-D6FC-4f65-9D91-7224C49458BB}"/>
              </c:extLst>
            </c:dLbl>
            <c:dLbl>
              <c:idx val="3"/>
              <c:layout>
                <c:manualLayout>
                  <c:x val="-0.049844236760124609"/>
                  <c:y val="-0.085714285714285715"/>
                </c:manualLayout>
              </c:layout>
              <c:tx>
                <c:rich>
                  <a:bodyPr vertOverflow="clip"/>
                  <a:lstStyle/>
                  <a:p>
                    <a:r>
                      <a:rPr lang="en-US"/>
                      <a:t>CZ</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638A-407C-967C-9866885F0E64}"/>
                </c:ext>
                <c:ext xmlns:c15="http://schemas.microsoft.com/office/drawing/2012/chart" uri="{CE6537A1-D6FC-4f65-9D91-7224C49458BB}"/>
              </c:extLst>
            </c:dLbl>
            <c:dLbl>
              <c:idx val="4"/>
              <c:layout>
                <c:manualLayout>
                  <c:x val="0"/>
                  <c:y val="-0.028571428571428571"/>
                </c:manualLayout>
              </c:layout>
              <c:tx>
                <c:rich>
                  <a:bodyPr vertOverflow="clip"/>
                  <a:lstStyle/>
                  <a:p>
                    <a:r>
                      <a:rPr lang="en-US"/>
                      <a:t>DK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638A-407C-967C-9866885F0E64}"/>
                </c:ext>
                <c:ext xmlns:c15="http://schemas.microsoft.com/office/drawing/2012/chart" uri="{CE6537A1-D6FC-4f65-9D91-7224C49458BB}"/>
              </c:extLst>
            </c:dLbl>
            <c:dLbl>
              <c:idx val="5"/>
              <c:layout>
                <c:manualLayout>
                  <c:x val="-0.024922445441983302"/>
                  <c:y val="-0.0095245594300712409"/>
                </c:manualLayout>
              </c:layout>
              <c:tx>
                <c:rich>
                  <a:bodyPr vertOverflow="clip"/>
                  <a:lstStyle/>
                  <a:p>
                    <a:r>
                      <a:rPr lang="en-US"/>
                      <a:t>DE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638A-407C-967C-9866885F0E64}"/>
                </c:ext>
                <c:ext xmlns:c15="http://schemas.microsoft.com/office/drawing/2012/chart" uri="{CE6537A1-D6FC-4f65-9D91-7224C49458BB}"/>
              </c:extLst>
            </c:dLbl>
            <c:dLbl>
              <c:idx val="6"/>
              <c:layout>
                <c:manualLayout>
                  <c:x val="-0.033229491173416406"/>
                  <c:y val="-0.0761904761904762"/>
                </c:manualLayout>
              </c:layout>
              <c:tx>
                <c:rich>
                  <a:bodyPr vertOverflow="clip"/>
                  <a:lstStyle/>
                  <a:p>
                    <a:r>
                      <a:rPr lang="en-US"/>
                      <a:t>EL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638A-407C-967C-9866885F0E64}"/>
                </c:ext>
                <c:ext xmlns:c15="http://schemas.microsoft.com/office/drawing/2012/chart" uri="{CE6537A1-D6FC-4f65-9D91-7224C49458BB}"/>
              </c:extLst>
            </c:dLbl>
            <c:dLbl>
              <c:idx val="7"/>
              <c:layout>
                <c:manualLayout>
                  <c:x val="-0.045690550363447484"/>
                  <c:y val="-0.066666666666666666"/>
                </c:manualLayout>
              </c:layout>
              <c:tx>
                <c:rich>
                  <a:bodyPr vertOverflow="clip"/>
                  <a:lstStyle/>
                  <a:p>
                    <a:r>
                      <a:rPr lang="en-US"/>
                      <a:t>ES</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638A-407C-967C-9866885F0E64}"/>
                </c:ext>
                <c:ext xmlns:c15="http://schemas.microsoft.com/office/drawing/2012/chart" uri="{CE6537A1-D6FC-4f65-9D91-7224C49458BB}"/>
              </c:extLst>
            </c:dLbl>
            <c:dLbl>
              <c:idx val="8"/>
              <c:layout>
                <c:manualLayout>
                  <c:x val="-0.033229491173416482"/>
                  <c:y val="-0.066666666666666666"/>
                </c:manualLayout>
              </c:layout>
              <c:tx>
                <c:rich>
                  <a:bodyPr vertOverflow="clip"/>
                  <a:lstStyle/>
                  <a:p>
                    <a:r>
                      <a:rPr lang="en-US"/>
                      <a:t>FR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638A-407C-967C-9866885F0E64}"/>
                </c:ext>
                <c:ext xmlns:c15="http://schemas.microsoft.com/office/drawing/2012/chart" uri="{CE6537A1-D6FC-4f65-9D91-7224C49458BB}"/>
              </c:extLst>
            </c:dLbl>
            <c:dLbl>
              <c:idx val="9"/>
              <c:layout>
                <c:manualLayout>
                  <c:x val="-0.037383177570093455"/>
                  <c:y val="-0.0761904761904762"/>
                </c:manualLayout>
              </c:layout>
              <c:tx>
                <c:rich>
                  <a:bodyPr vertOverflow="clip"/>
                  <a:lstStyle/>
                  <a:p>
                    <a:r>
                      <a:rPr lang="en-US"/>
                      <a:t>IT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638A-407C-967C-9866885F0E64}"/>
                </c:ext>
                <c:ext xmlns:c15="http://schemas.microsoft.com/office/drawing/2012/chart" uri="{CE6537A1-D6FC-4f65-9D91-7224C49458BB}"/>
              </c:extLst>
            </c:dLbl>
            <c:dLbl>
              <c:idx val="10"/>
              <c:layout>
                <c:manualLayout>
                  <c:x val="-0.020768431983385256"/>
                  <c:y val="-0.047619047619047623"/>
                </c:manualLayout>
              </c:layout>
              <c:tx>
                <c:rich>
                  <a:bodyPr vertOverflow="clip"/>
                  <a:lstStyle/>
                  <a:p>
                    <a:r>
                      <a:rPr lang="en-US"/>
                      <a:t>CY</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E-638A-407C-967C-9866885F0E64}"/>
                </c:ext>
                <c:ext xmlns:c15="http://schemas.microsoft.com/office/drawing/2012/chart" uri="{CE6537A1-D6FC-4f65-9D91-7224C49458BB}"/>
              </c:extLst>
            </c:dLbl>
            <c:dLbl>
              <c:idx val="11"/>
              <c:layout>
                <c:manualLayout>
                  <c:x val="-0.09968847352024926"/>
                  <c:y val="0.047619047619047533"/>
                </c:manualLayout>
              </c:layout>
              <c:tx>
                <c:rich>
                  <a:bodyPr vertOverflow="clip"/>
                  <a:lstStyle/>
                  <a:p>
                    <a:r>
                      <a:rPr lang="en-US"/>
                      <a:t>LV</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638A-407C-967C-9866885F0E64}"/>
                </c:ext>
                <c:ext xmlns:c15="http://schemas.microsoft.com/office/drawing/2012/chart" uri="{CE6537A1-D6FC-4f65-9D91-7224C49458BB}"/>
              </c:extLst>
            </c:dLbl>
            <c:dLbl>
              <c:idx val="12"/>
              <c:layout>
                <c:manualLayout>
                  <c:x val="-0.012461059190031152"/>
                  <c:y val="-8.7300578797851381E-17"/>
                </c:manualLayout>
              </c:layout>
              <c:tx>
                <c:rich>
                  <a:bodyPr vertOverflow="clip"/>
                  <a:lstStyle/>
                  <a:p>
                    <a:r>
                      <a:rPr lang="en-US"/>
                      <a:t>HU</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638A-407C-967C-9866885F0E64}"/>
                </c:ext>
                <c:ext xmlns:c15="http://schemas.microsoft.com/office/drawing/2012/chart" uri="{CE6537A1-D6FC-4f65-9D91-7224C49458BB}"/>
              </c:extLst>
            </c:dLbl>
            <c:dLbl>
              <c:idx val="13"/>
              <c:layout>
                <c:manualLayout>
                  <c:x val="-0.033229491173416406"/>
                  <c:y val="-0.066666666666666666"/>
                </c:manualLayout>
              </c:layout>
              <c:tx>
                <c:rich>
                  <a:bodyPr vertOverflow="clip"/>
                  <a:lstStyle/>
                  <a:p>
                    <a:r>
                      <a:rPr lang="en-US"/>
                      <a:t>NL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638A-407C-967C-9866885F0E64}"/>
                </c:ext>
                <c:ext xmlns:c15="http://schemas.microsoft.com/office/drawing/2012/chart" uri="{CE6537A1-D6FC-4f65-9D91-7224C49458BB}"/>
              </c:extLst>
            </c:dLbl>
            <c:dLbl>
              <c:idx val="14"/>
              <c:layout>
                <c:manualLayout>
                  <c:x val="-0.049844236760124609"/>
                  <c:y val="0.057142857142857141"/>
                </c:manualLayout>
              </c:layout>
              <c:tx>
                <c:rich>
                  <a:bodyPr vertOverflow="clip"/>
                  <a:lstStyle/>
                  <a:p>
                    <a:r>
                      <a:rPr lang="en-US"/>
                      <a:t>AT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638A-407C-967C-9866885F0E64}"/>
                </c:ext>
                <c:ext xmlns:c15="http://schemas.microsoft.com/office/drawing/2012/chart" uri="{CE6537A1-D6FC-4f65-9D91-7224C49458BB}"/>
              </c:extLst>
            </c:dLbl>
            <c:dLbl>
              <c:idx val="15"/>
              <c:layout>
                <c:manualLayout>
                  <c:x val="-0.07476635514018691"/>
                  <c:y val="0.076190476190476281"/>
                </c:manualLayout>
              </c:layout>
              <c:tx>
                <c:rich>
                  <a:bodyPr vertOverflow="clip"/>
                  <a:lstStyle/>
                  <a:p>
                    <a:r>
                      <a:rPr lang="en-US"/>
                      <a:t>PL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F-638A-407C-967C-9866885F0E64}"/>
                </c:ext>
                <c:ext xmlns:c15="http://schemas.microsoft.com/office/drawing/2012/chart" uri="{CE6537A1-D6FC-4f65-9D91-7224C49458BB}"/>
              </c:extLst>
            </c:dLbl>
            <c:dLbl>
              <c:idx val="16"/>
              <c:layout>
                <c:manualLayout>
                  <c:x val="-0.058151609553478714"/>
                  <c:y val="0.066666666666666666"/>
                </c:manualLayout>
              </c:layout>
              <c:tx>
                <c:rich>
                  <a:bodyPr vertOverflow="clip"/>
                  <a:lstStyle/>
                  <a:p>
                    <a:r>
                      <a:rPr lang="en-US"/>
                      <a:t>PT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0-638A-407C-967C-9866885F0E64}"/>
                </c:ext>
                <c:ext xmlns:c15="http://schemas.microsoft.com/office/drawing/2012/chart" uri="{CE6537A1-D6FC-4f65-9D91-7224C49458BB}"/>
              </c:extLst>
            </c:dLbl>
            <c:dLbl>
              <c:idx val="17"/>
              <c:layout>
                <c:manualLayout>
                  <c:x val="-0.041536863966770469"/>
                  <c:y val="-0.085714285714285715"/>
                </c:manualLayout>
              </c:layout>
              <c:tx>
                <c:rich>
                  <a:bodyPr vertOverflow="clip"/>
                  <a:lstStyle/>
                  <a:p>
                    <a:r>
                      <a:rPr lang="en-US"/>
                      <a:t>RO</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1-638A-407C-967C-9866885F0E64}"/>
                </c:ext>
                <c:ext xmlns:c15="http://schemas.microsoft.com/office/drawing/2012/chart" uri="{CE6537A1-D6FC-4f65-9D91-7224C49458BB}"/>
              </c:extLst>
            </c:dLbl>
            <c:dLbl>
              <c:idx val="18"/>
              <c:layout>
                <c:manualLayout>
                  <c:x val="-0.049844236760124609"/>
                  <c:y val="-0.085714285714285715"/>
                </c:manualLayout>
              </c:layout>
              <c:tx>
                <c:rich>
                  <a:bodyPr vertOverflow="clip"/>
                  <a:lstStyle/>
                  <a:p>
                    <a:r>
                      <a:rPr lang="en-US"/>
                      <a:t>SI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2-638A-407C-967C-9866885F0E64}"/>
                </c:ext>
                <c:ext xmlns:c15="http://schemas.microsoft.com/office/drawing/2012/chart" uri="{CE6537A1-D6FC-4f65-9D91-7224C49458BB}"/>
              </c:extLst>
            </c:dLbl>
            <c:dLbl>
              <c:idx val="19"/>
              <c:layout>
                <c:manualLayout>
                  <c:x val="-0.016614745586708203"/>
                  <c:y val="-0.019047619047619049"/>
                </c:manualLayout>
              </c:layout>
              <c:tx>
                <c:rich>
                  <a:bodyPr vertOverflow="clip"/>
                  <a:lstStyle/>
                  <a:p>
                    <a:r>
                      <a:rPr lang="en-US"/>
                      <a:t>SK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3-638A-407C-967C-9866885F0E64}"/>
                </c:ext>
                <c:ext xmlns:c15="http://schemas.microsoft.com/office/drawing/2012/chart" uri="{CE6537A1-D6FC-4f65-9D91-7224C49458BB}"/>
              </c:extLst>
            </c:dLbl>
            <c:dLbl>
              <c:idx val="20"/>
              <c:layout>
                <c:manualLayout>
                  <c:x val="-0.024922118380062305"/>
                  <c:y val="-0.028571428571428571"/>
                </c:manualLayout>
              </c:layout>
              <c:tx>
                <c:rich>
                  <a:bodyPr vertOverflow="clip"/>
                  <a:lstStyle/>
                  <a:p>
                    <a:r>
                      <a:rPr lang="en-US"/>
                      <a:t>FI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4-638A-407C-967C-9866885F0E64}"/>
                </c:ext>
                <c:ext xmlns:c15="http://schemas.microsoft.com/office/drawing/2012/chart" uri="{CE6537A1-D6FC-4f65-9D91-7224C49458BB}"/>
              </c:extLst>
            </c:dLbl>
            <c:dLbl>
              <c:idx val="21"/>
              <c:layout>
                <c:manualLayout>
                  <c:x val="-0.037383177570093455"/>
                  <c:y val="-0.085714285714285715"/>
                </c:manualLayout>
              </c:layout>
              <c:tx>
                <c:rich>
                  <a:bodyPr vertOverflow="clip"/>
                  <a:lstStyle/>
                  <a:p>
                    <a:r>
                      <a:rPr lang="en-US"/>
                      <a:t>UK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5-638A-407C-967C-9866885F0E64}"/>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Sheet1!$B$3:$B$24</c:f>
              <c:numCache>
                <c:formatCode>0.0</c:formatCode>
                <c:ptCount val="22"/>
                <c:pt idx="0">
                  <c:v>94.468855452549761</c:v>
                </c:pt>
                <c:pt idx="1">
                  <c:v>170.61602497398545</c:v>
                </c:pt>
                <c:pt idx="2">
                  <c:v>10.366719242902208</c:v>
                </c:pt>
                <c:pt idx="3">
                  <c:v>34.678980480722693</c:v>
                </c:pt>
                <c:pt idx="4">
                  <c:v>170.47674418604652</c:v>
                </c:pt>
                <c:pt idx="5">
                  <c:v>105.81468531468532</c:v>
                </c:pt>
                <c:pt idx="6">
                  <c:v>69.462004034969738</c:v>
                </c:pt>
                <c:pt idx="7">
                  <c:v>88.204527712724442</c:v>
                </c:pt>
                <c:pt idx="8">
                  <c:v>107.46551724137932</c:v>
                </c:pt>
                <c:pt idx="9">
                  <c:v>79.065021845284</c:v>
                </c:pt>
                <c:pt idx="10">
                  <c:v>36.615384615384613</c:v>
                </c:pt>
                <c:pt idx="11">
                  <c:v>26.083123425692694</c:v>
                </c:pt>
                <c:pt idx="12">
                  <c:v>41.770638386358904</c:v>
                </c:pt>
                <c:pt idx="13">
                  <c:v>146.69791666666666</c:v>
                </c:pt>
                <c:pt idx="14">
                  <c:v>102.08666100254885</c:v>
                </c:pt>
                <c:pt idx="15">
                  <c:v>34.360814419225633</c:v>
                </c:pt>
                <c:pt idx="16">
                  <c:v>60.106432207311435</c:v>
                </c:pt>
                <c:pt idx="17">
                  <c:v>13.64030131826742</c:v>
                </c:pt>
                <c:pt idx="18">
                  <c:v>58.7966488956588</c:v>
                </c:pt>
                <c:pt idx="19">
                  <c:v>35.300142925202479</c:v>
                </c:pt>
                <c:pt idx="20">
                  <c:v>120.99125364431488</c:v>
                </c:pt>
                <c:pt idx="21">
                  <c:v>130.31982666623546</c:v>
                </c:pt>
              </c:numCache>
            </c:numRef>
          </c:xVal>
          <c:yVal>
            <c:numRef>
              <c:f>Sheet1!$C$3:$C$24</c:f>
              <c:numCache>
                <c:formatCode>0.0</c:formatCode>
                <c:ptCount val="22"/>
                <c:pt idx="0">
                  <c:v>0.47638183625318786</c:v>
                </c:pt>
                <c:pt idx="1">
                  <c:v>0.46427871668805393</c:v>
                </c:pt>
                <c:pt idx="2">
                  <c:v>0.53653476406878742</c:v>
                </c:pt>
                <c:pt idx="3">
                  <c:v>0.44529153186533477</c:v>
                </c:pt>
                <c:pt idx="4">
                  <c:v>0.40866243776004363</c:v>
                </c:pt>
                <c:pt idx="5">
                  <c:v>0.49092129613171603</c:v>
                </c:pt>
                <c:pt idx="6">
                  <c:v>0.46820501482319177</c:v>
                </c:pt>
                <c:pt idx="7">
                  <c:v>0.52136395521137335</c:v>
                </c:pt>
                <c:pt idx="8">
                  <c:v>0.54547999544267656</c:v>
                </c:pt>
                <c:pt idx="9">
                  <c:v>0.58146239451222181</c:v>
                </c:pt>
                <c:pt idx="10">
                  <c:v>0.6557993567797491</c:v>
                </c:pt>
                <c:pt idx="11">
                  <c:v>0.3916014936940746</c:v>
                </c:pt>
                <c:pt idx="12">
                  <c:v>0.351778351416025</c:v>
                </c:pt>
                <c:pt idx="13">
                  <c:v>0.44653165257103561</c:v>
                </c:pt>
                <c:pt idx="14">
                  <c:v>0.48769435128106348</c:v>
                </c:pt>
                <c:pt idx="15">
                  <c:v>0.38248121033633764</c:v>
                </c:pt>
                <c:pt idx="16">
                  <c:v>0.46281680243730927</c:v>
                </c:pt>
                <c:pt idx="17">
                  <c:v>0.58538546450797724</c:v>
                </c:pt>
                <c:pt idx="18">
                  <c:v>0.50472322667281477</c:v>
                </c:pt>
                <c:pt idx="19">
                  <c:v>0.42354084530591474</c:v>
                </c:pt>
                <c:pt idx="20">
                  <c:v>0.42257266454542192</c:v>
                </c:pt>
                <c:pt idx="21">
                  <c:v>0.55595234245348557</c:v>
                </c:pt>
              </c:numCache>
            </c:numRef>
          </c:yVal>
          <c:smooth val="0"/>
          <c:extLst>
            <c:ext xmlns:c="http://schemas.openxmlformats.org/drawingml/2006/chart" xmlns:c16="http://schemas.microsoft.com/office/drawing/2014/chart" uri="{C3380CC4-5D6E-409C-BE32-E72D297353CC}">
              <c16:uniqueId val="{00000016-638A-407C-967C-9866885F0E64}"/>
            </c:ext>
          </c:extLst>
        </c:ser>
        <c:dLbls>
          <c:showLegendKey val="0"/>
          <c:showVal val="0"/>
          <c:showCatName val="0"/>
          <c:showSerName val="0"/>
          <c:showPercent val="0"/>
          <c:showBubbleSize val="0"/>
        </c:dLbls>
        <c:axId val="629973344"/>
        <c:axId val="629972560"/>
      </c:scatterChart>
      <c:valAx>
        <c:axId val="629973344"/>
        <c:scaling>
          <c:orientation val="minMax"/>
          <c:max val="180"/>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29972560"/>
        <c:crosses val="autoZero"/>
        <c:crossBetween val="midCat"/>
        <c:majorUnit val="20"/>
      </c:valAx>
      <c:valAx>
        <c:axId val="629972560"/>
        <c:scaling>
          <c:orientation val="minMax"/>
          <c:min val="0.30000000000000004"/>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29973344"/>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2572178477690286"/>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DF4B-4C4F-BEEF-B7E1858A5644}"/>
              </c:ext>
            </c:extLst>
          </c:dPt>
          <c:dPt>
            <c:idx val="5"/>
            <c:bubble3D val="0"/>
            <c:extLst>
              <c:ext xmlns:c="http://schemas.openxmlformats.org/drawingml/2006/chart" xmlns:c16="http://schemas.microsoft.com/office/drawing/2014/chart" uri="{C3380CC4-5D6E-409C-BE32-E72D297353CC}">
                <c16:uniqueId val="{00000001-DF4B-4C4F-BEEF-B7E1858A5644}"/>
              </c:ext>
            </c:extLst>
          </c:dPt>
          <c:dPt>
            <c:idx val="10"/>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F-C5FE-4AD7-8D5D-979DD9A572CF}"/>
              </c:ext>
            </c:extLst>
          </c:dPt>
          <c:dPt>
            <c:idx val="11"/>
            <c:bubble3D val="0"/>
            <c:extLst>
              <c:ext xmlns:c="http://schemas.openxmlformats.org/drawingml/2006/chart" xmlns:c16="http://schemas.microsoft.com/office/drawing/2014/chart" uri="{C3380CC4-5D6E-409C-BE32-E72D297353CC}">
                <c16:uniqueId val="{00000002-DF4B-4C4F-BEEF-B7E1858A5644}"/>
              </c:ext>
            </c:extLst>
          </c:dPt>
          <c:dPt>
            <c:idx val="12"/>
            <c:bubble3D val="0"/>
            <c:extLst>
              <c:ext xmlns:c="http://schemas.openxmlformats.org/drawingml/2006/chart" xmlns:c16="http://schemas.microsoft.com/office/drawing/2014/chart" uri="{C3380CC4-5D6E-409C-BE32-E72D297353CC}">
                <c16:uniqueId val="{00000003-DF4B-4C4F-BEEF-B7E1858A5644}"/>
              </c:ext>
            </c:extLst>
          </c:dPt>
          <c:dPt>
            <c:idx val="13"/>
            <c:bubble3D val="0"/>
            <c:extLst>
              <c:ext xmlns:c="http://schemas.openxmlformats.org/drawingml/2006/chart" xmlns:c16="http://schemas.microsoft.com/office/drawing/2014/chart" uri="{C3380CC4-5D6E-409C-BE32-E72D297353CC}">
                <c16:uniqueId val="{00000004-DF4B-4C4F-BEEF-B7E1858A5644}"/>
              </c:ext>
            </c:extLst>
          </c:dPt>
          <c:dPt>
            <c:idx val="14"/>
            <c:bubble3D val="0"/>
            <c:extLst>
              <c:ext xmlns:c="http://schemas.openxmlformats.org/drawingml/2006/chart" xmlns:c16="http://schemas.microsoft.com/office/drawing/2014/chart" uri="{C3380CC4-5D6E-409C-BE32-E72D297353CC}">
                <c16:uniqueId val="{00000005-DF4B-4C4F-BEEF-B7E1858A5644}"/>
              </c:ext>
            </c:extLst>
          </c:dPt>
          <c:dLbls>
            <c:dLbl>
              <c:idx val="0"/>
              <c:tx>
                <c:rich>
                  <a:bodyPr/>
                  <a:lstStyle/>
                  <a:p>
                    <a:fld id="{93978e90-484e-49a6-abae-7e73929541fa}" type="CELLRANGE">
                      <a:rPr lang="en-US"/>
                      <a:t>BE</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0-DF4B-4C4F-BEEF-B7E1858A5644}"/>
                </c:ext>
                <c:ext xmlns:c15="http://schemas.microsoft.com/office/drawing/2012/chart" uri="{CE6537A1-D6FC-4f65-9D91-7224C49458BB}">
                  <c15:showDataLabelsRange val="1"/>
                </c:ext>
              </c:extLst>
            </c:dLbl>
            <c:dLbl>
              <c:idx val="1"/>
              <c:layout>
                <c:manualLayout>
                  <c:x val="-0.016614745586708241"/>
                  <c:y val="0.038095238095238008"/>
                </c:manualLayout>
              </c:layout>
              <c:tx>
                <c:rich>
                  <a:bodyPr vertOverflow="clip"/>
                  <a:lstStyle/>
                  <a:p>
                    <a:fld id="{df37af2e-8478-48f8-b465-2bae65751589}" type="CELLRANGE">
                      <a:rPr lang="en-US"/>
                      <a:t>BG</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7-C5FE-4AD7-8D5D-979DD9A572CF}"/>
                </c:ext>
                <c:ext xmlns:c15="http://schemas.microsoft.com/office/drawing/2012/chart" uri="{CE6537A1-D6FC-4f65-9D91-7224C49458BB}">
                  <c15:showDataLabelsRange val="1"/>
                </c:ext>
              </c:extLst>
            </c:dLbl>
            <c:dLbl>
              <c:idx val="2"/>
              <c:layout>
                <c:manualLayout>
                  <c:x val="-0.012461059190031229"/>
                  <c:y val="0.0095238095238095247"/>
                </c:manualLayout>
              </c:layout>
              <c:tx>
                <c:rich>
                  <a:bodyPr vertOverflow="clip"/>
                  <a:lstStyle/>
                  <a:p>
                    <a:fld id="{77ae793a-736d-4ea2-bf57-e211cbf08404}" type="CELLRANGE">
                      <a:rPr lang="en-US"/>
                      <a:t>CZ</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8-C5FE-4AD7-8D5D-979DD9A572CF}"/>
                </c:ext>
                <c:ext xmlns:c15="http://schemas.microsoft.com/office/drawing/2012/chart" uri="{CE6537A1-D6FC-4f65-9D91-7224C49458BB}">
                  <c15:showDataLabelsRange val="1"/>
                </c:ext>
              </c:extLst>
            </c:dLbl>
            <c:dLbl>
              <c:idx val="3"/>
              <c:tx>
                <c:rich>
                  <a:bodyPr/>
                  <a:lstStyle/>
                  <a:p>
                    <a:fld id="{d4370d41-ebae-4600-8955-74d7089fb2e3}" type="CELLRANGE">
                      <a:rPr lang="lv-LV"/>
                      <a:t>DK</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4"/>
              <c:tx>
                <c:rich>
                  <a:bodyPr vertOverflow="clip"/>
                  <a:lstStyle/>
                  <a:p>
                    <a:fld id="{8dc3fae7-e6b0-4dc3-9881-f8ca5b134679}" type="CELLRANGE">
                      <a:rPr lang="lv-LV"/>
                      <a:t>DE</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5"/>
              <c:tx>
                <c:rich>
                  <a:bodyPr vertOverflow="clip"/>
                  <a:lstStyle/>
                  <a:p>
                    <a:fld id="{68226787-74fa-4193-aa9b-e1aea4efbd04}" type="CELLRANGE">
                      <a:rPr lang="lv-LV"/>
                      <a:t>EL</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6"/>
              <c:layout>
                <c:manualLayout>
                  <c:x val="-0.049844236760124609"/>
                  <c:y val="0.057142857142857058"/>
                </c:manualLayout>
              </c:layout>
              <c:tx>
                <c:rich>
                  <a:bodyPr vertOverflow="clip"/>
                  <a:lstStyle/>
                  <a:p>
                    <a:fld id="{009c96e5-7b2f-41b2-b352-df2b06512f0e}" type="CELLRANGE">
                      <a:rPr lang="en-US"/>
                      <a:t>ES</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B-C5FE-4AD7-8D5D-979DD9A572CF}"/>
                </c:ext>
                <c:ext xmlns:c15="http://schemas.microsoft.com/office/drawing/2012/chart" uri="{CE6537A1-D6FC-4f65-9D91-7224C49458BB}">
                  <c15:showDataLabelsRange val="1"/>
                </c:ext>
              </c:extLst>
            </c:dLbl>
            <c:dLbl>
              <c:idx val="7"/>
              <c:layout>
                <c:manualLayout>
                  <c:x val="-0.049844236760124762"/>
                  <c:y val="0.066666666666666666"/>
                </c:manualLayout>
              </c:layout>
              <c:tx>
                <c:rich>
                  <a:bodyPr vertOverflow="clip"/>
                  <a:lstStyle/>
                  <a:p>
                    <a:fld id="{7bf170a1-c414-469f-be78-966083aa5a3d}" type="CELLRANGE">
                      <a:rPr lang="en-US"/>
                      <a:t>FR</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C-C5FE-4AD7-8D5D-979DD9A572CF}"/>
                </c:ext>
                <c:ext xmlns:c15="http://schemas.microsoft.com/office/drawing/2012/chart" uri="{CE6537A1-D6FC-4f65-9D91-7224C49458BB}">
                  <c15:showDataLabelsRange val="1"/>
                </c:ext>
              </c:extLst>
            </c:dLbl>
            <c:dLbl>
              <c:idx val="8"/>
              <c:layout>
                <c:manualLayout>
                  <c:x val="-0.049844236760124686"/>
                  <c:y val="-0.057142857142857141"/>
                </c:manualLayout>
              </c:layout>
              <c:tx>
                <c:rich>
                  <a:bodyPr vertOverflow="clip"/>
                  <a:lstStyle/>
                  <a:p>
                    <a:fld id="{e0361e7c-00c2-45d5-b9e2-c1b4f21fdd3c}" type="CELLRANGE">
                      <a:rPr lang="en-US"/>
                      <a:t>IT</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D-C5FE-4AD7-8D5D-979DD9A572CF}"/>
                </c:ext>
                <c:ext xmlns:c15="http://schemas.microsoft.com/office/drawing/2012/chart" uri="{CE6537A1-D6FC-4f65-9D91-7224C49458BB}">
                  <c15:showDataLabelsRange val="1"/>
                </c:ext>
              </c:extLst>
            </c:dLbl>
            <c:dLbl>
              <c:idx val="9"/>
              <c:tx>
                <c:rich>
                  <a:bodyPr vertOverflow="clip"/>
                  <a:lstStyle/>
                  <a:p>
                    <a:fld id="{3b9e67ca-c8d5-49ce-80e4-9c7266645823}" type="CELLRANGE">
                      <a:rPr lang="lv-LV"/>
                      <a:t>CY</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0"/>
              <c:layout>
                <c:manualLayout>
                  <c:x val="-0.012461059190031152"/>
                  <c:y val="-1.0912572349731423E-17"/>
                </c:manualLayout>
              </c:layout>
              <c:tx>
                <c:rich>
                  <a:bodyPr vertOverflow="clip"/>
                  <a:lstStyle/>
                  <a:p>
                    <a:fld id="{0ffd7e4a-6b1a-4181-94a0-c291267317ad}" type="CELLRANGE">
                      <a:rPr lang="en-US"/>
                      <a:t>LV</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F-C5FE-4AD7-8D5D-979DD9A572CF}"/>
                </c:ext>
                <c:ext xmlns:c15="http://schemas.microsoft.com/office/drawing/2012/chart" uri="{CE6537A1-D6FC-4f65-9D91-7224C49458BB}">
                  <c15:showDataLabelsRange val="1"/>
                </c:ext>
              </c:extLst>
            </c:dLbl>
            <c:dLbl>
              <c:idx val="11"/>
              <c:layout>
                <c:manualLayout>
                  <c:x val="-0.016614745586708279"/>
                  <c:y val="-0.019047619047619091"/>
                </c:manualLayout>
              </c:layout>
              <c:tx>
                <c:rich>
                  <a:bodyPr vertOverflow="clip"/>
                  <a:lstStyle/>
                  <a:p>
                    <a:fld id="{0af580f9-86b3-43a8-abcd-e1308cd44edd}" type="CELLRANGE">
                      <a:rPr lang="en-US"/>
                      <a:t>HU</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2-DF4B-4C4F-BEEF-B7E1858A5644}"/>
                </c:ext>
                <c:ext xmlns:c15="http://schemas.microsoft.com/office/drawing/2012/chart" uri="{CE6537A1-D6FC-4f65-9D91-7224C49458BB}">
                  <c15:showDataLabelsRange val="1"/>
                </c:ext>
              </c:extLst>
            </c:dLbl>
            <c:dLbl>
              <c:idx val="12"/>
              <c:tx>
                <c:rich>
                  <a:bodyPr vertOverflow="clip"/>
                  <a:lstStyle/>
                  <a:p>
                    <a:fld id="{e1076117-dc67-4707-806b-519ca819119e}" type="CELLRANGE">
                      <a:rPr lang="lv-LV"/>
                      <a:t>NL</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3"/>
              <c:tx>
                <c:rich>
                  <a:bodyPr vertOverflow="clip"/>
                  <a:lstStyle/>
                  <a:p>
                    <a:fld id="{dc130e6f-d65f-4825-bc25-4c9c350a3498}" type="CELLRANGE">
                      <a:rPr lang="lv-LV"/>
                      <a:t>AT</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4"/>
              <c:tx>
                <c:rich>
                  <a:bodyPr vertOverflow="clip"/>
                  <a:lstStyle/>
                  <a:p>
                    <a:fld id="{0bc4dec1-ee38-430d-8064-aca0b5c2ef8c}" type="CELLRANGE">
                      <a:rPr lang="lv-LV"/>
                      <a:t>PL</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5"/>
              <c:tx>
                <c:rich>
                  <a:bodyPr vertOverflow="clip"/>
                  <a:lstStyle/>
                  <a:p>
                    <a:fld id="{82ba49ce-d309-426f-b7df-1703dd41550d}" type="CELLRANGE">
                      <a:rPr lang="lv-LV"/>
                      <a:t>PT</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6"/>
              <c:tx>
                <c:rich>
                  <a:bodyPr/>
                  <a:lstStyle/>
                  <a:p>
                    <a:fld id="{779e68fa-50f5-4ec5-a1dc-ad6466ae9fee}" type="CELLRANGE">
                      <a:rPr lang="lv-LV"/>
                      <a:t>RO</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7"/>
              <c:tx>
                <c:rich>
                  <a:bodyPr vertOverflow="clip"/>
                  <a:lstStyle/>
                  <a:p>
                    <a:fld id="{82c992de-e235-4460-900a-48c783f29ddc}" type="CELLRANGE">
                      <a:rPr lang="lv-LV"/>
                      <a:t>SI</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8"/>
              <c:tx>
                <c:rich>
                  <a:bodyPr/>
                  <a:lstStyle/>
                  <a:p>
                    <a:fld id="{04717da9-933a-4f88-a7c9-13e141d45dd5}" type="CELLRANGE">
                      <a:rPr lang="lv-LV"/>
                      <a:t>SK</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9"/>
              <c:layout>
                <c:manualLayout>
                  <c:x val="-0.07476635514018691"/>
                  <c:y val="0"/>
                </c:manualLayout>
              </c:layout>
              <c:tx>
                <c:rich>
                  <a:bodyPr vertOverflow="clip"/>
                  <a:lstStyle/>
                  <a:p>
                    <a:fld id="{c55f437b-e1c6-4bb7-8504-c94399ccef6c}" type="CELLRANGE">
                      <a:rPr lang="en-US"/>
                      <a:t>FI</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4-C5FE-4AD7-8D5D-979DD9A572CF}"/>
                </c:ext>
                <c:ext xmlns:c15="http://schemas.microsoft.com/office/drawing/2012/chart" uri="{CE6537A1-D6FC-4f65-9D91-7224C49458BB}">
                  <c15:showDataLabelsRange val="1"/>
                </c:ext>
              </c:extLst>
            </c:dLbl>
            <c:dLbl>
              <c:idx val="20"/>
              <c:tx>
                <c:rich>
                  <a:bodyPr/>
                  <a:lstStyle/>
                  <a:p>
                    <a:fld id="{388a91bb-c98b-4fee-bfbc-75142155cce7}" type="CELLRANGE">
                      <a:rPr lang="lv-LV"/>
                      <a:t>UK</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21"/>
              <c:tx>
                <c:rich>
                  <a:bodyPr/>
                  <a:lstStyle/>
                  <a:p>
                    <a:endParaRPr lang="en-US"/>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6-C5FE-4AD7-8D5D-979DD9A572CF}"/>
                </c:ext>
                <c:ext xmlns:c15="http://schemas.microsoft.com/office/drawing/2012/chart" uri="{CE6537A1-D6FC-4f65-9D91-7224C49458BB}"/>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Sheet1!$B$3:$B$24</c:f>
              <c:numCache>
                <c:formatCode>#,##0.0</c:formatCode>
                <c:ptCount val="22"/>
                <c:pt idx="0">
                  <c:v>202.16067653276954</c:v>
                </c:pt>
                <c:pt idx="1">
                  <c:v>15.986745213549337</c:v>
                </c:pt>
                <c:pt idx="2">
                  <c:v>33.484073641145528</c:v>
                </c:pt>
                <c:pt idx="3">
                  <c:v>199.38958333333335</c:v>
                </c:pt>
                <c:pt idx="4">
                  <c:v>100.18969957081543</c:v>
                </c:pt>
                <c:pt idx="5">
                  <c:v>68.6101126288042</c:v>
                </c:pt>
                <c:pt idx="6">
                  <c:v>122.83170835099619</c:v>
                </c:pt>
                <c:pt idx="7">
                  <c:v>138.07476635514018</c:v>
                </c:pt>
                <c:pt idx="8">
                  <c:v>85.184217761891659</c:v>
                </c:pt>
                <c:pt idx="9">
                  <c:v>41.233333333333327</c:v>
                </c:pt>
                <c:pt idx="10">
                  <c:v>21.790865384615387</c:v>
                </c:pt>
                <c:pt idx="11">
                  <c:v>35.141407599309154</c:v>
                </c:pt>
                <c:pt idx="12">
                  <c:v>148.44086021505376</c:v>
                </c:pt>
                <c:pt idx="13">
                  <c:v>117.36659845742169</c:v>
                </c:pt>
                <c:pt idx="14">
                  <c:v>39.941778818022236</c:v>
                </c:pt>
                <c:pt idx="15">
                  <c:v>56.251121076233183</c:v>
                </c:pt>
                <c:pt idx="16">
                  <c:v>46.582793709528218</c:v>
                </c:pt>
                <c:pt idx="17">
                  <c:v>59.541122484998247</c:v>
                </c:pt>
                <c:pt idx="18">
                  <c:v>70.3594489883771</c:v>
                </c:pt>
                <c:pt idx="19">
                  <c:v>125.17751479289942</c:v>
                </c:pt>
                <c:pt idx="20">
                  <c:v>117.18188741511709</c:v>
                </c:pt>
              </c:numCache>
            </c:numRef>
          </c:xVal>
          <c:yVal>
            <c:numRef>
              <c:f>Sheet1!$C$3:$C$24</c:f>
              <c:numCache>
                <c:formatCode>#,##0.0</c:formatCode>
                <c:ptCount val="22"/>
                <c:pt idx="0">
                  <c:v>0.44126567701780572</c:v>
                </c:pt>
                <c:pt idx="1">
                  <c:v>0.45714215681757786</c:v>
                </c:pt>
                <c:pt idx="2">
                  <c:v>0.46793447226278373</c:v>
                </c:pt>
                <c:pt idx="3">
                  <c:v>0.40536486692874013</c:v>
                </c:pt>
                <c:pt idx="4">
                  <c:v>0.57552412004784459</c:v>
                </c:pt>
                <c:pt idx="5">
                  <c:v>0.39857005925606076</c:v>
                </c:pt>
                <c:pt idx="6">
                  <c:v>0.39708437112889683</c:v>
                </c:pt>
                <c:pt idx="7">
                  <c:v>0.4794503858129146</c:v>
                </c:pt>
                <c:pt idx="8">
                  <c:v>0.60000981695156441</c:v>
                </c:pt>
                <c:pt idx="9">
                  <c:v>0.60305024604884083</c:v>
                </c:pt>
                <c:pt idx="10">
                  <c:v>0.67011321248609379</c:v>
                </c:pt>
                <c:pt idx="11">
                  <c:v>0.49747065820180275</c:v>
                </c:pt>
                <c:pt idx="12">
                  <c:v>0.4904602932144938</c:v>
                </c:pt>
                <c:pt idx="13">
                  <c:v>0.506567078652173</c:v>
                </c:pt>
                <c:pt idx="14">
                  <c:v>0.36096661849224077</c:v>
                </c:pt>
                <c:pt idx="15">
                  <c:v>0.47757959449344595</c:v>
                </c:pt>
                <c:pt idx="16">
                  <c:v>0.20036010273519209</c:v>
                </c:pt>
                <c:pt idx="17">
                  <c:v>0.54570535503928064</c:v>
                </c:pt>
                <c:pt idx="18">
                  <c:v>0.24798207816607865</c:v>
                </c:pt>
                <c:pt idx="19">
                  <c:v>0.45029146376345608</c:v>
                </c:pt>
                <c:pt idx="20">
                  <c:v>0.76706611628595944</c:v>
                </c:pt>
              </c:numCache>
            </c:numRef>
          </c:yVal>
          <c:smooth val="0"/>
          <c:extLst>
            <c:ext xmlns:c="http://schemas.openxmlformats.org/drawingml/2006/chart" xmlns:c16="http://schemas.microsoft.com/office/drawing/2014/chart" uri="{C3380CC4-5D6E-409C-BE32-E72D297353CC}">
              <c16:uniqueId val="{00000016-DF4B-4C4F-BEEF-B7E1858A5644}"/>
            </c:ext>
            <c:ext xmlns:c15="http://schemas.microsoft.com/office/drawing/2012/chart" uri="{02D57815-91ED-43cb-92C2-25804820EDAC}">
              <c15:datalabelsRange>
                <c15:f>Sheet1!$A$3:$A$23</c15:f>
                <c15:dlblRangeCache>
                  <c:ptCount val="21"/>
                  <c:pt idx="0">
                    <c:v>BE</c:v>
                  </c:pt>
                  <c:pt idx="1">
                    <c:v>BG</c:v>
                  </c:pt>
                  <c:pt idx="2">
                    <c:v>CZ</c:v>
                  </c:pt>
                  <c:pt idx="3">
                    <c:v>DK</c:v>
                  </c:pt>
                  <c:pt idx="4">
                    <c:v>DE</c:v>
                  </c:pt>
                  <c:pt idx="5">
                    <c:v>EL</c:v>
                  </c:pt>
                  <c:pt idx="6">
                    <c:v>ES</c:v>
                  </c:pt>
                  <c:pt idx="7">
                    <c:v>FR</c:v>
                  </c:pt>
                  <c:pt idx="8">
                    <c:v>IT</c:v>
                  </c:pt>
                  <c:pt idx="9">
                    <c:v>CY</c:v>
                  </c:pt>
                  <c:pt idx="10">
                    <c:v>LV</c:v>
                  </c:pt>
                  <c:pt idx="11">
                    <c:v>HU</c:v>
                  </c:pt>
                  <c:pt idx="12">
                    <c:v>NL</c:v>
                  </c:pt>
                  <c:pt idx="13">
                    <c:v>AT</c:v>
                  </c:pt>
                  <c:pt idx="14">
                    <c:v>PL</c:v>
                  </c:pt>
                  <c:pt idx="15">
                    <c:v>PT</c:v>
                  </c:pt>
                  <c:pt idx="16">
                    <c:v>RO</c:v>
                  </c:pt>
                  <c:pt idx="17">
                    <c:v>SI</c:v>
                  </c:pt>
                  <c:pt idx="18">
                    <c:v>SK</c:v>
                  </c:pt>
                  <c:pt idx="19">
                    <c:v>FI</c:v>
                  </c:pt>
                  <c:pt idx="20">
                    <c:v>UK</c:v>
                  </c:pt>
                </c15:dlblRangeCache>
              </c15:datalabelsRange>
            </c:ext>
          </c:extLst>
        </c:ser>
        <c:dLbls>
          <c:showLegendKey val="0"/>
          <c:showVal val="0"/>
          <c:showCatName val="0"/>
          <c:showSerName val="0"/>
          <c:showPercent val="0"/>
          <c:showBubbleSize val="0"/>
        </c:dLbls>
        <c:axId val="629969424"/>
        <c:axId val="629973736"/>
      </c:scatterChart>
      <c:valAx>
        <c:axId val="629969424"/>
        <c:scaling>
          <c:orientation val="minMax"/>
          <c:max val="180"/>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29973736"/>
        <c:crosses val="autoZero"/>
        <c:crossBetween val="midCat"/>
        <c:majorUnit val="20"/>
      </c:valAx>
      <c:valAx>
        <c:axId val="629973736"/>
        <c:scaling>
          <c:orientation val="minMax"/>
          <c:max val="0.70000000000000007"/>
          <c:min val="0.30000000000000004"/>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29969424"/>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59412201441466"/>
          <c:y val="0.098301682877875565"/>
          <c:w val="0.77357359176256812"/>
          <c:h val="0.69039661708953048"/>
        </c:manualLayout>
      </c:layout>
      <c:barChart>
        <c:barDir val="col"/>
        <c:grouping val="clustered"/>
        <c:varyColors val="0"/>
        <c:ser>
          <c:idx val="4"/>
          <c:order val="0"/>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7864-4BEB-9352-221E5B479248}"/>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7864-4BEB-9352-221E5B479248}"/>
              </c:ext>
            </c:extLst>
          </c:dPt>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Sheet1!$A$3:$A$5</c:f>
              <c:strCache>
                <c:ptCount val="3"/>
                <c:pt idx="0">
                  <c:v>2005</c:v>
                </c:pt>
                <c:pt idx="1">
                  <c:v>2010</c:v>
                </c:pt>
                <c:pt idx="2">
                  <c:v>2015</c:v>
                </c:pt>
              </c:strCache>
            </c:strRef>
          </c:cat>
          <c:val>
            <c:numRef>
              <c:f>Sheet1!$B$3:$B$5</c:f>
              <c:numCache>
                <c:formatCode>0.0</c:formatCode>
                <c:ptCount val="3"/>
                <c:pt idx="0">
                  <c:v>0.443468067839958</c:v>
                </c:pt>
                <c:pt idx="1">
                  <c:v>0.78727709624383457</c:v>
                </c:pt>
                <c:pt idx="2">
                  <c:v>0.81829076473672391</c:v>
                </c:pt>
              </c:numCache>
            </c:numRef>
          </c:val>
          <c:extLst>
            <c:ext xmlns:c="http://schemas.openxmlformats.org/drawingml/2006/chart" xmlns:c16="http://schemas.microsoft.com/office/drawing/2014/chart" uri="{C3380CC4-5D6E-409C-BE32-E72D297353CC}">
              <c16:uniqueId val="{00000004-7864-4BEB-9352-221E5B479248}"/>
            </c:ext>
          </c:extLst>
        </c:ser>
        <c:dLbls>
          <c:showLegendKey val="0"/>
          <c:showVal val="0"/>
          <c:showCatName val="0"/>
          <c:showSerName val="0"/>
          <c:showPercent val="0"/>
          <c:showBubbleSize val="0"/>
        </c:dLbls>
        <c:gapWidth val="20"/>
        <c:axId val="629978440"/>
        <c:axId val="629970992"/>
      </c:barChart>
      <c:catAx>
        <c:axId val="629978440"/>
        <c:scaling>
          <c:orientation val="minMax"/>
        </c:scaling>
        <c:delete val="0"/>
        <c:axPos val="b"/>
        <c:numFmt formatCode="General" sourceLinked="0"/>
        <c:majorTickMark val="out"/>
        <c:minorTickMark val="none"/>
        <c:tickLblPos val="nextTo"/>
        <c:crossAx val="629970992"/>
        <c:crosses val="autoZero"/>
        <c:auto val="1"/>
        <c:lblAlgn val="ctr"/>
        <c:lblOffset val="100"/>
        <c:noMultiLvlLbl val="0"/>
      </c:catAx>
      <c:valAx>
        <c:axId val="629970992"/>
        <c:scaling>
          <c:orientation val="minMax"/>
          <c:min val="0"/>
        </c:scaling>
        <c:delete val="0"/>
        <c:axPos val="l"/>
        <c:numFmt formatCode="0.0" sourceLinked="0"/>
        <c:majorTickMark val="out"/>
        <c:minorTickMark val="none"/>
        <c:tickLblPos val="nextTo"/>
        <c:crossAx val="629978440"/>
        <c:crosses val="autoZero"/>
        <c:crossBetween val="between"/>
        <c:majorUnit val="1"/>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mbria Math" panose="02040503050406030204" pitchFamily="18" charset="0"/>
          <a:ea typeface="Cambria Math" panose="02040503050406030204" pitchFamily="18" charset="0"/>
          <a:cs typeface="Arial"/>
        </a:defRPr>
      </a:pPr>
      <a:endParaRPr lang="lv-LV"/>
    </a:p>
  </c:txPr>
  <c:externalData r:id="rId1">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73546128124922"/>
          <c:y val="0.048706240487062395"/>
          <c:w val="0.84631315184653555"/>
          <c:h val="0.73779794474843186"/>
        </c:manualLayout>
      </c:layout>
      <c:lineChart>
        <c:grouping val="standard"/>
        <c:varyColors val="0"/>
        <c:ser>
          <c:idx val="0"/>
          <c:order val="0"/>
          <c:tx>
            <c:strRef>
              <c:f>Sheet1!$A$2</c:f>
              <c:strCache>
                <c:ptCount val="1"/>
                <c:pt idx="0">
                  <c:v>Nodarbinātie</c:v>
                </c:pt>
              </c:strCache>
            </c:strRef>
          </c:tx>
          <c:spPr>
            <a:ln w="19050">
              <a:solidFill>
                <a:srgbClr val="0070C0"/>
              </a:solidFill>
              <a:prstDash val="dash"/>
            </a:ln>
          </c:spPr>
          <c:marker>
            <c:symbol val="none"/>
          </c:marker>
          <c:cat>
            <c:numRef>
              <c:f>Sheet1!$B$1:$K$1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Sheet1!$B$2:$K$2</c:f>
              <c:numCache>
                <c:formatCode>0.0</c:formatCode>
                <c:ptCount val="10"/>
                <c:pt idx="0">
                  <c:v>108.79310344827586</c:v>
                </c:pt>
                <c:pt idx="1">
                  <c:v>131.37931034482759</c:v>
                </c:pt>
                <c:pt idx="2">
                  <c:v>115.0344827586207</c:v>
                </c:pt>
                <c:pt idx="3">
                  <c:v>74.172413793103459</c:v>
                </c:pt>
                <c:pt idx="4">
                  <c:v>71.448275862068982</c:v>
                </c:pt>
                <c:pt idx="5">
                  <c:v>76.551724137931046</c:v>
                </c:pt>
                <c:pt idx="6">
                  <c:v>81.206896551724142</c:v>
                </c:pt>
                <c:pt idx="7">
                  <c:v>84.758620689655174</c:v>
                </c:pt>
                <c:pt idx="8">
                  <c:v>88.568965517241381</c:v>
                </c:pt>
                <c:pt idx="9">
                  <c:v>86.379310344827587</c:v>
                </c:pt>
              </c:numCache>
            </c:numRef>
          </c:val>
          <c:smooth val="0"/>
          <c:extLst>
            <c:ext xmlns:c="http://schemas.openxmlformats.org/drawingml/2006/chart" xmlns:c16="http://schemas.microsoft.com/office/drawing/2014/chart" uri="{C3380CC4-5D6E-409C-BE32-E72D297353CC}">
              <c16:uniqueId val="{00000000-7262-4091-9547-31941481E632}"/>
            </c:ext>
          </c:extLst>
        </c:ser>
        <c:ser>
          <c:idx val="1"/>
          <c:order val="1"/>
          <c:tx>
            <c:strRef>
              <c:f>Sheet1!$A$3</c:f>
              <c:strCache>
                <c:ptCount val="1"/>
                <c:pt idx="0">
                  <c:v>Ražošanas apjomi</c:v>
                </c:pt>
              </c:strCache>
            </c:strRef>
          </c:tx>
          <c:marker>
            <c:symbol val="none"/>
          </c:marker>
          <c:cat>
            <c:numRef>
              <c:f>Sheet1!$B$1:$K$1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Sheet1!$B$3:$K$3</c:f>
              <c:numCache>
                <c:formatCode>0.0</c:formatCode>
                <c:ptCount val="10"/>
                <c:pt idx="0">
                  <c:v>134.63611859838275</c:v>
                </c:pt>
                <c:pt idx="1">
                  <c:v>180.05390835579513</c:v>
                </c:pt>
                <c:pt idx="2">
                  <c:v>175.06738544474393</c:v>
                </c:pt>
                <c:pt idx="3">
                  <c:v>137.33153638814017</c:v>
                </c:pt>
                <c:pt idx="4">
                  <c:v>167.78975741239893</c:v>
                </c:pt>
                <c:pt idx="5">
                  <c:v>204.04312668463615</c:v>
                </c:pt>
                <c:pt idx="6">
                  <c:v>218.19407008086259</c:v>
                </c:pt>
                <c:pt idx="7">
                  <c:v>232.21024258760116</c:v>
                </c:pt>
                <c:pt idx="8">
                  <c:v>236.79245283018872</c:v>
                </c:pt>
                <c:pt idx="9">
                  <c:v>209.433962264151</c:v>
                </c:pt>
              </c:numCache>
            </c:numRef>
          </c:val>
          <c:smooth val="0"/>
          <c:extLst>
            <c:ext xmlns:c="http://schemas.openxmlformats.org/drawingml/2006/chart" xmlns:c16="http://schemas.microsoft.com/office/drawing/2014/chart" uri="{C3380CC4-5D6E-409C-BE32-E72D297353CC}">
              <c16:uniqueId val="{00000001-7262-4091-9547-31941481E632}"/>
            </c:ext>
          </c:extLst>
        </c:ser>
        <c:dLbls>
          <c:showLegendKey val="0"/>
          <c:showVal val="0"/>
          <c:showCatName val="0"/>
          <c:showSerName val="0"/>
          <c:showPercent val="0"/>
          <c:showBubbleSize val="0"/>
        </c:dLbls>
        <c:smooth val="0"/>
        <c:axId val="629971384"/>
        <c:axId val="629979224"/>
      </c:lineChart>
      <c:catAx>
        <c:axId val="629971384"/>
        <c:scaling>
          <c:orientation val="minMax"/>
        </c:scaling>
        <c:delete val="0"/>
        <c:axPos val="b"/>
        <c:numFmt formatCode="General" sourceLinked="1"/>
        <c:majorTickMark val="cross"/>
        <c:minorTickMark val="none"/>
        <c:tickLblPos val="nextTo"/>
        <c:spPr>
          <a:ln w="6350">
            <a:solidFill>
              <a:srgbClr val="000000"/>
            </a:solidFill>
          </a:ln>
        </c:spPr>
        <c:txPr>
          <a:bodyPr rot="-5400000" vert="horz"/>
          <a:lstStyle/>
          <a:p>
            <a:pPr>
              <a:defRPr sz="700" b="0" i="0" u="none" strike="noStrike" baseline="0">
                <a:solidFill>
                  <a:srgbClr val="000000"/>
                </a:solidFill>
                <a:latin typeface="Arial Narrow" pitchFamily="34" charset="0"/>
                <a:ea typeface="Times New Roman"/>
                <a:cs typeface="Times New Roman" pitchFamily="18" charset="0"/>
              </a:defRPr>
            </a:pPr>
            <a:endParaRPr lang="lv-LV"/>
          </a:p>
        </c:txPr>
        <c:crossAx val="629979224"/>
        <c:crosses val="autoZero"/>
        <c:auto val="1"/>
        <c:lblAlgn val="ctr"/>
        <c:lblOffset val="0"/>
        <c:noMultiLvlLbl val="0"/>
      </c:catAx>
      <c:valAx>
        <c:axId val="629979224"/>
        <c:scaling>
          <c:orientation val="minMax"/>
          <c:max val="300"/>
          <c:min val="50"/>
        </c:scaling>
        <c:delete val="0"/>
        <c:axPos val="l"/>
        <c:numFmt formatCode="0" sourceLinked="0"/>
        <c:majorTickMark val="cross"/>
        <c:minorTickMark val="none"/>
        <c:tickLblPos val="nextTo"/>
        <c:spPr>
          <a:ln w="6350">
            <a:solidFill>
              <a:sysClr val="windowText" lastClr="000000"/>
            </a:solidFill>
          </a:ln>
        </c:spPr>
        <c:txPr>
          <a:bodyPr rot="0" vert="horz"/>
          <a:lstStyle/>
          <a:p>
            <a:pPr>
              <a:defRPr sz="700" b="0" i="0" u="none" strike="noStrike" baseline="0">
                <a:solidFill>
                  <a:srgbClr val="000000"/>
                </a:solidFill>
                <a:latin typeface="Arial Narrow" pitchFamily="34" charset="0"/>
                <a:ea typeface="Times New Roman"/>
                <a:cs typeface="Times New Roman"/>
              </a:defRPr>
            </a:pPr>
            <a:endParaRPr lang="lv-LV"/>
          </a:p>
        </c:txPr>
        <c:crossAx val="629971384"/>
        <c:crosses val="autoZero"/>
        <c:crossBetween val="between"/>
        <c:majorUnit val="50"/>
      </c:valAx>
      <c:spPr>
        <a:solidFill>
          <a:sysClr val="window" lastClr="FFFFFF"/>
        </a:solidFill>
        <a:ln w="6350">
          <a:noFill/>
        </a:ln>
      </c:spPr>
    </c:plotArea>
    <c:legend>
      <c:legendPos val="t"/>
      <c:layout>
        <c:manualLayout>
          <c:xMode val="edge"/>
          <c:yMode val="edge"/>
          <c:x val="0.14280650412978177"/>
          <c:y val="0.031201248049921998"/>
          <c:w val="0.65805884790716951"/>
          <c:h val="0.19964223582144541"/>
        </c:manualLayout>
      </c:layout>
      <c:overlay val="0"/>
      <c:txPr>
        <a:bodyPr/>
        <a:lstStyle/>
        <a:p>
          <a:pPr>
            <a:defRPr sz="700" b="0">
              <a:latin typeface="Arial Narrow" pitchFamily="34" charset="0"/>
            </a:defRPr>
          </a:pPr>
          <a:endParaRPr lang="lv-LV"/>
        </a:p>
      </c:txPr>
    </c:legend>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7354822834645707"/>
          <c:y val="0.054187037037040774"/>
          <c:w val="0.8789631193571017"/>
          <c:h val="0.61219537839669147"/>
        </c:manualLayout>
      </c:layout>
      <c:lineChart>
        <c:grouping val="standard"/>
        <c:varyColors val="0"/>
        <c:ser>
          <c:idx val="9"/>
          <c:order val="0"/>
          <c:tx>
            <c:strRef>
              <c:f>Sheet1!$A$3</c:f>
              <c:strCache>
                <c:ptCount val="1"/>
                <c:pt idx="0">
                  <c:v>Eksports, kopā</c:v>
                </c:pt>
              </c:strCache>
            </c:strRef>
          </c:tx>
          <c:spPr>
            <a:ln w="25400">
              <a:solidFill>
                <a:schemeClr val="accent5">
                  <a:lumMod val="75000"/>
                </a:schemeClr>
              </a:solidFill>
            </a:ln>
            <a:effectLst/>
          </c:spPr>
          <c:marker>
            <c:symbol val="none"/>
          </c:marker>
          <c:cat>
            <c:numRef>
              <c:f>Sheet1!$B$2:$M$2</c:f>
              <c:numCache>
                <c:formatCode>0</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Sheet1!$B$3:$M$3</c:f>
              <c:numCache>
                <c:formatCode>0.0</c:formatCode>
                <c:ptCount val="12"/>
                <c:pt idx="0">
                  <c:v>91.029271</c:v>
                </c:pt>
                <c:pt idx="1">
                  <c:v>108.19670400000001</c:v>
                </c:pt>
                <c:pt idx="2">
                  <c:v>129.919146</c:v>
                </c:pt>
                <c:pt idx="3">
                  <c:v>162.525871</c:v>
                </c:pt>
                <c:pt idx="4">
                  <c:v>118.753398</c:v>
                </c:pt>
                <c:pt idx="5">
                  <c:v>163.54953999999998</c:v>
                </c:pt>
                <c:pt idx="6">
                  <c:v>223.380543</c:v>
                </c:pt>
                <c:pt idx="7">
                  <c:v>252.475384</c:v>
                </c:pt>
                <c:pt idx="8">
                  <c:v>278.240794</c:v>
                </c:pt>
                <c:pt idx="9">
                  <c:v>290.025662</c:v>
                </c:pt>
                <c:pt idx="10">
                  <c:v>288.162695</c:v>
                </c:pt>
                <c:pt idx="11" formatCode="0">
                  <c:v>340.317363</c:v>
                </c:pt>
              </c:numCache>
            </c:numRef>
          </c:val>
          <c:smooth val="0"/>
          <c:extLst>
            <c:ext xmlns:c="http://schemas.openxmlformats.org/drawingml/2006/chart" xmlns:c16="http://schemas.microsoft.com/office/drawing/2014/chart" uri="{C3380CC4-5D6E-409C-BE32-E72D297353CC}">
              <c16:uniqueId val="{00000000-53D0-4CF9-90CF-37961F33CD48}"/>
            </c:ext>
          </c:extLst>
        </c:ser>
        <c:dLbls>
          <c:showLegendKey val="0"/>
          <c:showVal val="0"/>
          <c:showCatName val="0"/>
          <c:showSerName val="0"/>
          <c:showPercent val="0"/>
          <c:showBubbleSize val="0"/>
        </c:dLbls>
        <c:smooth val="0"/>
        <c:axId val="629974128"/>
        <c:axId val="629970600"/>
      </c:lineChart>
      <c:catAx>
        <c:axId val="629974128"/>
        <c:scaling>
          <c:orientation val="minMax"/>
        </c:scaling>
        <c:delete val="0"/>
        <c:axPos val="b"/>
        <c:numFmt formatCode="0" sourceLinked="1"/>
        <c:majorTickMark val="out"/>
        <c:minorTickMark val="none"/>
        <c:tickLblPos val="low"/>
        <c:spPr>
          <a:noFill/>
          <a:ln w="3175">
            <a:solidFill>
              <a:sysClr val="window" lastClr="FFFFFF">
                <a:lumMod val="50000"/>
              </a:sysClr>
            </a:solidFill>
            <a:round/>
          </a:ln>
          <a:effectLst/>
        </c:spPr>
        <c:txPr>
          <a:bodyPr rot="-5400000" vert="horz"/>
          <a:lstStyle/>
          <a:p>
            <a:pPr>
              <a:defRPr sz="700"/>
            </a:pPr>
            <a:endParaRPr lang="lv-LV"/>
          </a:p>
        </c:txPr>
        <c:crossAx val="629970600"/>
        <c:crosses val="autoZero"/>
        <c:lblAlgn val="ctr"/>
        <c:lblOffset val="100"/>
        <c:noMultiLvlLbl val="0"/>
      </c:catAx>
      <c:valAx>
        <c:axId val="629970600"/>
        <c:scaling>
          <c:orientation val="minMax"/>
          <c:min val="0"/>
        </c:scaling>
        <c:delete val="0"/>
        <c:axPos val="l"/>
        <c:numFmt formatCode="0" sourceLinked="0"/>
        <c:majorTickMark val="out"/>
        <c:minorTickMark val="none"/>
        <c:tickLblPos val="nextTo"/>
        <c:spPr>
          <a:noFill/>
          <a:ln w="3175">
            <a:solidFill>
              <a:sysClr val="window" lastClr="FFFFFF">
                <a:lumMod val="50000"/>
              </a:sysClr>
            </a:solidFill>
            <a:round/>
          </a:ln>
          <a:effectLst/>
        </c:spPr>
        <c:txPr>
          <a:bodyPr rot="0"/>
          <a:lstStyle/>
          <a:p>
            <a:pPr>
              <a:defRPr/>
            </a:pPr>
            <a:endParaRPr lang="lv-LV"/>
          </a:p>
        </c:txPr>
        <c:crossAx val="629974128"/>
        <c:crosses val="autoZero"/>
        <c:crossBetween val="between"/>
      </c:valAx>
      <c:spPr>
        <a:noFill/>
        <a:ln w="24631">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Arial Narrow" panose="020B0606020202030204" pitchFamily="34" charset="0"/>
          <a:ea typeface="Arial"/>
          <a:cs typeface="Arial"/>
        </a:defRPr>
      </a:pPr>
      <a:endParaRPr lang="lv-LV"/>
    </a:p>
  </c:txPr>
  <c:externalData r:id="rId1">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5939056398438"/>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3C6E-4A4B-AA17-9AFF34CBBCD1}"/>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3C6E-4A4B-AA17-9AFF34CBBCD1}"/>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Sheet1!$B$2:$L$2</c:f>
              <c:numCache>
                <c:formatCode>0</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Sheet1!$B$3:$L$3</c:f>
              <c:numCache>
                <c:formatCode>0</c:formatCode>
                <c:ptCount val="11"/>
                <c:pt idx="0">
                  <c:v>15.171545166666666</c:v>
                </c:pt>
                <c:pt idx="1">
                  <c:v>17.174080000000004</c:v>
                </c:pt>
                <c:pt idx="2">
                  <c:v>17.005123821989532</c:v>
                </c:pt>
                <c:pt idx="3">
                  <c:v>22.082319429347823</c:v>
                </c:pt>
                <c:pt idx="4">
                  <c:v>25.428993147751608</c:v>
                </c:pt>
                <c:pt idx="5">
                  <c:v>35.400333333333329</c:v>
                </c:pt>
                <c:pt idx="6">
                  <c:v>47.126696835443035</c:v>
                </c:pt>
                <c:pt idx="7">
                  <c:v>49.408098630136983</c:v>
                </c:pt>
                <c:pt idx="8">
                  <c:v>52.007625046728975</c:v>
                </c:pt>
                <c:pt idx="9">
                  <c:v>53.708455925925925</c:v>
                </c:pt>
                <c:pt idx="10">
                  <c:v>50.643707381370817</c:v>
                </c:pt>
              </c:numCache>
            </c:numRef>
          </c:val>
          <c:extLst>
            <c:ext xmlns:c="http://schemas.openxmlformats.org/drawingml/2006/chart" xmlns:c16="http://schemas.microsoft.com/office/drawing/2014/chart" uri="{C3380CC4-5D6E-409C-BE32-E72D297353CC}">
              <c16:uniqueId val="{00000004-3C6E-4A4B-AA17-9AFF34CBBCD1}"/>
            </c:ext>
          </c:extLst>
        </c:ser>
        <c:dLbls>
          <c:showLegendKey val="0"/>
          <c:showVal val="0"/>
          <c:showCatName val="0"/>
          <c:showSerName val="0"/>
          <c:showPercent val="0"/>
          <c:showBubbleSize val="0"/>
        </c:dLbls>
        <c:gapWidth val="20"/>
        <c:axId val="629969816"/>
        <c:axId val="629976480"/>
      </c:barChart>
      <c:catAx>
        <c:axId val="629969816"/>
        <c:scaling>
          <c:orientation val="minMax"/>
        </c:scaling>
        <c:delete val="0"/>
        <c:axPos val="b"/>
        <c:numFmt formatCode="0" sourceLinked="1"/>
        <c:majorTickMark val="out"/>
        <c:minorTickMark val="none"/>
        <c:tickLblPos val="low"/>
        <c:txPr>
          <a:bodyPr rot="-5400000" vert="horz"/>
          <a:lstStyle/>
          <a:p>
            <a:pPr>
              <a:defRPr/>
            </a:pPr>
            <a:endParaRPr lang="lv-LV"/>
          </a:p>
        </c:txPr>
        <c:crossAx val="629976480"/>
        <c:crosses val="autoZero"/>
        <c:auto val="1"/>
        <c:lblAlgn val="ctr"/>
        <c:lblOffset val="100"/>
        <c:noMultiLvlLbl val="0"/>
      </c:catAx>
      <c:valAx>
        <c:axId val="629976480"/>
        <c:scaling>
          <c:orientation val="minMax"/>
        </c:scaling>
        <c:delete val="0"/>
        <c:axPos val="l"/>
        <c:numFmt formatCode="0" sourceLinked="0"/>
        <c:majorTickMark val="out"/>
        <c:minorTickMark val="none"/>
        <c:tickLblPos val="nextTo"/>
        <c:crossAx val="629969816"/>
        <c:crosses val="autoZero"/>
        <c:crossBetween val="between"/>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449061330451076"/>
          <c:y val="0.15218914041994749"/>
          <c:w val="0.52181675566416263"/>
          <c:h val="0.709344652230971"/>
        </c:manualLayout>
      </c:layout>
      <c:pieChart>
        <c:varyColors val="1"/>
        <c:ser>
          <c:idx val="0"/>
          <c:order val="0"/>
          <c:tx>
            <c:strRef>
              <c:f>Sheet1!$B$1</c:f>
              <c:strCache>
                <c:ptCount val="1"/>
                <c:pt idx="0">
                  <c:v>Column1</c:v>
                </c:pt>
              </c:strCache>
            </c:strRef>
          </c:tx>
          <c:dPt>
            <c:idx val="0"/>
            <c:bubble3D val="0"/>
            <c:spPr>
              <a:solidFill>
                <a:schemeClr val="accent1"/>
              </a:solidFill>
              <a:ln>
                <a:noFill/>
              </a:ln>
              <a:effectLst/>
            </c:spPr>
            <c:extLst>
              <c:ext xmlns:c="http://schemas.openxmlformats.org/drawingml/2006/chart" xmlns:c16="http://schemas.microsoft.com/office/drawing/2014/chart" uri="{C3380CC4-5D6E-409C-BE32-E72D297353CC}">
                <c16:uniqueId val="{00000001-DDBE-46FE-9995-1FACA4D270F6}"/>
              </c:ext>
            </c:extLst>
          </c:dPt>
          <c:dPt>
            <c:idx val="1"/>
            <c:bubble3D val="0"/>
            <c:spPr>
              <a:solidFill>
                <a:schemeClr val="accent2"/>
              </a:solidFill>
              <a:ln>
                <a:noFill/>
              </a:ln>
              <a:effectLst/>
            </c:spPr>
            <c:extLst>
              <c:ext xmlns:c="http://schemas.openxmlformats.org/drawingml/2006/chart" xmlns:c16="http://schemas.microsoft.com/office/drawing/2014/chart" uri="{C3380CC4-5D6E-409C-BE32-E72D297353CC}">
                <c16:uniqueId val="{00000003-DDBE-46FE-9995-1FACA4D270F6}"/>
              </c:ext>
            </c:extLst>
          </c:dPt>
          <c:dPt>
            <c:idx val="2"/>
            <c:bubble3D val="0"/>
            <c:spPr>
              <a:solidFill>
                <a:schemeClr val="accent3"/>
              </a:solidFill>
              <a:ln>
                <a:noFill/>
              </a:ln>
              <a:effectLst/>
            </c:spPr>
            <c:extLst>
              <c:ext xmlns:c="http://schemas.openxmlformats.org/drawingml/2006/chart" xmlns:c16="http://schemas.microsoft.com/office/drawing/2014/chart" uri="{C3380CC4-5D6E-409C-BE32-E72D297353CC}">
                <c16:uniqueId val="{00000005-DDBE-46FE-9995-1FACA4D270F6}"/>
              </c:ext>
            </c:extLst>
          </c:dPt>
          <c:dPt>
            <c:idx val="3"/>
            <c:bubble3D val="0"/>
            <c:spPr>
              <a:solidFill>
                <a:schemeClr val="accent4"/>
              </a:solidFill>
              <a:ln>
                <a:noFill/>
              </a:ln>
              <a:effectLst/>
            </c:spPr>
            <c:extLst>
              <c:ext xmlns:c="http://schemas.openxmlformats.org/drawingml/2006/chart" xmlns:c16="http://schemas.microsoft.com/office/drawing/2014/chart" uri="{C3380CC4-5D6E-409C-BE32-E72D297353CC}">
                <c16:uniqueId val="{00000007-DDBE-46FE-9995-1FACA4D270F6}"/>
              </c:ext>
            </c:extLst>
          </c:dPt>
          <c:dPt>
            <c:idx val="4"/>
            <c:bubble3D val="0"/>
            <c:spPr>
              <a:solidFill>
                <a:schemeClr val="accent5"/>
              </a:solidFill>
              <a:ln>
                <a:noFill/>
              </a:ln>
              <a:effectLst/>
            </c:spPr>
            <c:extLst>
              <c:ext xmlns:c="http://schemas.openxmlformats.org/drawingml/2006/chart" xmlns:c16="http://schemas.microsoft.com/office/drawing/2014/chart" uri="{C3380CC4-5D6E-409C-BE32-E72D297353CC}">
                <c16:uniqueId val="{00000009-DDBE-46FE-9995-1FACA4D270F6}"/>
              </c:ext>
            </c:extLst>
          </c:dPt>
          <c:dPt>
            <c:idx val="5"/>
            <c:bubble3D val="0"/>
            <c:spPr>
              <a:solidFill>
                <a:schemeClr val="accent6"/>
              </a:solidFill>
              <a:ln>
                <a:noFill/>
              </a:ln>
              <a:effectLst/>
            </c:spPr>
            <c:extLst>
              <c:ext xmlns:c="http://schemas.openxmlformats.org/drawingml/2006/chart" xmlns:c16="http://schemas.microsoft.com/office/drawing/2014/chart" uri="{C3380CC4-5D6E-409C-BE32-E72D297353CC}">
                <c16:uniqueId val="{0000000B-DDBE-46FE-9995-1FACA4D270F6}"/>
              </c:ext>
            </c:extLst>
          </c:dPt>
          <c:dPt>
            <c:idx val="6"/>
            <c:bubble3D val="0"/>
            <c:spPr>
              <a:solidFill>
                <a:schemeClr val="accent1">
                  <a:lumMod val="60000"/>
                </a:schemeClr>
              </a:solidFill>
              <a:ln>
                <a:noFill/>
              </a:ln>
              <a:effectLst/>
            </c:spPr>
            <c:extLst>
              <c:ext xmlns:c="http://schemas.openxmlformats.org/drawingml/2006/chart" xmlns:c16="http://schemas.microsoft.com/office/drawing/2014/chart" uri="{C3380CC4-5D6E-409C-BE32-E72D297353CC}">
                <c16:uniqueId val="{0000000D-DDBE-46FE-9995-1FACA4D270F6}"/>
              </c:ext>
            </c:extLst>
          </c:dPt>
          <c:dLbls>
            <c:dLbl>
              <c:idx val="0"/>
              <c:layout>
                <c:manualLayout>
                  <c:x val="-0.0766280508039944"/>
                  <c:y val="0"/>
                </c:manualLayout>
              </c:layout>
              <c:dLblPos val="bestFit"/>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1-DDBE-46FE-9995-1FACA4D270F6}"/>
                </c:ext>
                <c:ext xmlns:c15="http://schemas.microsoft.com/office/drawing/2012/chart" uri="{CE6537A1-D6FC-4f65-9D91-7224C49458BB}">
                  <c15:layout>
                    <c:manualLayout>
                      <c:w val="0.23885057471264365"/>
                      <c:h val="0.26587780287909696"/>
                    </c:manualLayout>
                  </c15:layout>
                </c:ext>
              </c:extLst>
            </c:dLbl>
            <c:dLbl>
              <c:idx val="3"/>
              <c:layout>
                <c:manualLayout>
                  <c:x val="-0.057471264367816112"/>
                  <c:y val="0"/>
                </c:manualLayout>
              </c:layout>
              <c:spPr>
                <a:noFill/>
                <a:ln>
                  <a:noFill/>
                </a:ln>
                <a:effectLst/>
              </c:spPr>
              <c:txPr>
                <a:bodyPr wrap="square" lIns="38100" tIns="19050" rIns="38100" bIns="19050" anchor="ctr"/>
                <a:lstStyle/>
                <a:p>
                  <a:pPr>
                    <a:defRPr/>
                  </a:pPr>
                  <a:endParaRPr lang="lv-LV"/>
                </a:p>
              </c:txPr>
              <c:dLblPos val="bestFit"/>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7-DDBE-46FE-9995-1FACA4D270F6}"/>
                </c:ext>
                <c:ext xmlns:c15="http://schemas.microsoft.com/office/drawing/2012/chart" uri="{CE6537A1-D6FC-4f65-9D91-7224C49458BB}">
                  <c15:layout>
                    <c:manualLayout>
                      <c:w val="0.30379219838899446"/>
                      <c:h val="0.28950789229340762"/>
                    </c:manualLayout>
                  </c15:layout>
                </c:ext>
              </c:extLst>
            </c:dLbl>
            <c:dLbl>
              <c:idx val="4"/>
              <c:spPr>
                <a:noFill/>
                <a:ln>
                  <a:noFill/>
                </a:ln>
                <a:effectLst/>
              </c:spPr>
              <c:txPr>
                <a:bodyPr wrap="square" lIns="38100" tIns="19050" rIns="38100" bIns="19050" anchor="ctr"/>
                <a:lstStyle/>
                <a:p>
                  <a:pPr>
                    <a:defRPr/>
                  </a:pPr>
                  <a:endParaRPr lang="lv-LV"/>
                </a:p>
              </c:txPr>
              <c:dLblPos val="outEnd"/>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9-DDBE-46FE-9995-1FACA4D270F6}"/>
                </c:ext>
                <c:ext xmlns:c15="http://schemas.microsoft.com/office/drawing/2012/chart" uri="{CE6537A1-D6FC-4f65-9D91-7224C49458BB}"/>
              </c:extLst>
            </c:dLbl>
            <c:dLbl>
              <c:idx val="5"/>
              <c:layout>
                <c:manualLayout>
                  <c:x val="0.099616858237547859"/>
                  <c:y val="0"/>
                </c:manualLayout>
              </c:layout>
              <c:spPr>
                <a:noFill/>
                <a:ln>
                  <a:noFill/>
                </a:ln>
                <a:effectLst/>
              </c:spPr>
              <c:txPr>
                <a:bodyPr wrap="square" lIns="38100" tIns="19050" rIns="38100" bIns="19050" anchor="ctr"/>
                <a:lstStyle/>
                <a:p>
                  <a:pPr>
                    <a:defRPr/>
                  </a:pPr>
                  <a:endParaRPr lang="lv-LV"/>
                </a:p>
              </c:txPr>
              <c:dLblPos val="bestFit"/>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B-DDBE-46FE-9995-1FACA4D270F6}"/>
                </c:ext>
                <c:ext xmlns:c15="http://schemas.microsoft.com/office/drawing/2012/chart" uri="{CE6537A1-D6FC-4f65-9D91-7224C49458BB}">
                  <c15:layout>
                    <c:manualLayout>
                      <c:w val="0.31678160919540232"/>
                      <c:h val="0.2101674964724117"/>
                    </c:manualLayout>
                  </c15:layout>
                </c:ext>
              </c:extLst>
            </c:dLbl>
            <c:dLbl>
              <c:idx val="6"/>
              <c:layout>
                <c:manualLayout>
                  <c:x val="0.0038314176245210219"/>
                  <c:y val="-0.074280408542246976"/>
                </c:manualLayout>
              </c:layout>
              <c:dLblPos val="bestFit"/>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D-DDBE-46FE-9995-1FACA4D270F6}"/>
                </c:ext>
                <c:ext xmlns:c15="http://schemas.microsoft.com/office/drawing/2012/chart" uri="{CE6537A1-D6FC-4f65-9D91-7224C49458BB}">
                  <c15:layout>
                    <c:manualLayout>
                      <c:w val="0.32770084773886016"/>
                      <c:h val="0.26587780287909696"/>
                    </c:manualLayout>
                  </c15:layout>
                </c:ext>
              </c:extLst>
            </c:dLbl>
            <c:dLbl>
              <c:idx val="7"/>
              <c:layout>
                <c:manualLayout>
                  <c:x val="-0.030651340996168581"/>
                  <c:y val="-0.11142061281337055"/>
                </c:manualLayout>
              </c:layout>
              <c:dLblPos val="bestFit"/>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E-DDBE-46FE-9995-1FACA4D270F6}"/>
                </c:ex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Sheet1!$A$2:$A$10</c:f>
              <c:strCache>
                <c:ptCount val="9"/>
                <c:pt idx="0">
                  <c:v>Lietuva</c:v>
                </c:pt>
                <c:pt idx="1">
                  <c:v>Igaunija</c:v>
                </c:pt>
                <c:pt idx="2">
                  <c:v>Alžīrija</c:v>
                </c:pt>
                <c:pt idx="3">
                  <c:v>Saūda Arābija</c:v>
                </c:pt>
                <c:pt idx="4">
                  <c:v>Spānija</c:v>
                </c:pt>
                <c:pt idx="5">
                  <c:v>Francija</c:v>
                </c:pt>
                <c:pt idx="6">
                  <c:v>Nīderlande</c:v>
                </c:pt>
                <c:pt idx="7">
                  <c:v>Vācija</c:v>
                </c:pt>
                <c:pt idx="8">
                  <c:v>Citas valstis</c:v>
                </c:pt>
              </c:strCache>
            </c:strRef>
          </c:cat>
          <c:val>
            <c:numRef>
              <c:f>Sheet1!$B$2:$B$10</c:f>
              <c:numCache>
                <c:formatCode>General</c:formatCode>
                <c:ptCount val="9"/>
                <c:pt idx="0">
                  <c:v>0.12078775840962092</c:v>
                </c:pt>
                <c:pt idx="1">
                  <c:v>0.11568681357838984</c:v>
                </c:pt>
                <c:pt idx="2">
                  <c:v>0.11547904241429698</c:v>
                </c:pt>
                <c:pt idx="3">
                  <c:v>0.09856111358869811</c:v>
                </c:pt>
                <c:pt idx="4">
                  <c:v>0.076252772538717761</c:v>
                </c:pt>
                <c:pt idx="5">
                  <c:v>0.058356018865980346</c:v>
                </c:pt>
                <c:pt idx="6">
                  <c:v>0.05684254673531957</c:v>
                </c:pt>
                <c:pt idx="7">
                  <c:v>0.046768363389060728</c:v>
                </c:pt>
                <c:pt idx="8" formatCode="0.000">
                  <c:v>0.31126557047991577</c:v>
                </c:pt>
              </c:numCache>
            </c:numRef>
          </c:val>
          <c:extLst>
            <c:ext xmlns:c="http://schemas.openxmlformats.org/drawingml/2006/chart" xmlns:c16="http://schemas.microsoft.com/office/drawing/2014/chart" uri="{C3380CC4-5D6E-409C-BE32-E72D297353CC}">
              <c16:uniqueId val="{0000000F-DDBE-46FE-9995-1FACA4D270F6}"/>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noFill/>
    <a:ln w="9525">
      <a:noFill/>
      <a:round/>
    </a:ln>
    <a:effectLst/>
  </c:spPr>
  <c:txPr>
    <a:bodyPr/>
    <a:lstStyle/>
    <a:p>
      <a:pPr>
        <a:defRPr sz="700">
          <a:latin typeface="Candara" panose="020E0502030303020204" pitchFamily="34" charset="0"/>
        </a:defRPr>
      </a:pPr>
      <a:endParaRPr lang="lv-LV"/>
    </a:p>
  </c:txPr>
  <c:externalData r:id="rId1">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572372897835"/>
          <c:y val="0.044057785459744363"/>
          <c:w val="0.9310540474739486"/>
          <c:h val="0.73334186885175934"/>
        </c:manualLayout>
      </c:layout>
      <c:barChart>
        <c:barDir val="col"/>
        <c:grouping val="clustered"/>
        <c:varyColors val="0"/>
        <c:ser>
          <c:idx val="1"/>
          <c:order val="0"/>
          <c:tx>
            <c:strRef>
              <c:f>Sheet1!$B$3</c:f>
              <c:strCache>
                <c:ptCount val="1"/>
              </c:strCache>
            </c:strRef>
          </c:tx>
          <c:spPr>
            <a:solidFill>
              <a:schemeClr val="accent3">
                <a:lumMod val="50000"/>
              </a:schemeClr>
            </a:solidFill>
            <a:ln w="19050"/>
          </c:spPr>
          <c:invertIfNegative val="0"/>
          <c:dPt>
            <c:idx val="7"/>
            <c:invertIfNegative val="0"/>
            <c:bubble3D val="0"/>
            <c:extLst>
              <c:ext xmlns:c="http://schemas.openxmlformats.org/drawingml/2006/chart" xmlns:c16="http://schemas.microsoft.com/office/drawing/2014/chart" uri="{C3380CC4-5D6E-409C-BE32-E72D297353CC}">
                <c16:uniqueId val="{00000000-F4E0-40E3-87C9-DD1147335E14}"/>
              </c:ext>
            </c:extLst>
          </c:dPt>
          <c:dPt>
            <c:idx val="9"/>
            <c:invertIfNegative val="0"/>
            <c:bubble3D val="0"/>
            <c:extLst>
              <c:ext xmlns:c="http://schemas.openxmlformats.org/drawingml/2006/chart" xmlns:c16="http://schemas.microsoft.com/office/drawing/2014/chart" uri="{C3380CC4-5D6E-409C-BE32-E72D297353CC}">
                <c16:uniqueId val="{00000001-F4E0-40E3-87C9-DD1147335E14}"/>
              </c:ext>
            </c:extLst>
          </c:dPt>
          <c:dPt>
            <c:idx val="12"/>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3-F4E0-40E3-87C9-DD1147335E14}"/>
              </c:ext>
            </c:extLst>
          </c:dPt>
          <c:dPt>
            <c:idx val="13"/>
            <c:invertIfNegative val="0"/>
            <c:bubble3D val="0"/>
            <c:spPr>
              <a:ln w="19050"/>
            </c:spPr>
            <c:extLst>
              <c:ext xmlns:c="http://schemas.openxmlformats.org/drawingml/2006/chart" xmlns:c16="http://schemas.microsoft.com/office/drawing/2014/chart" uri="{C3380CC4-5D6E-409C-BE32-E72D297353CC}">
                <c16:uniqueId val="{00000005-F4E0-40E3-87C9-DD1147335E14}"/>
              </c:ext>
            </c:extLst>
          </c:dPt>
          <c:dPt>
            <c:idx val="25"/>
            <c:invertIfNegative val="0"/>
            <c:bubble3D val="0"/>
            <c:extLst>
              <c:ext xmlns:c="http://schemas.openxmlformats.org/drawingml/2006/chart" xmlns:c16="http://schemas.microsoft.com/office/drawing/2014/chart" uri="{C3380CC4-5D6E-409C-BE32-E72D297353CC}">
                <c16:uniqueId val="{00000006-F4E0-40E3-87C9-DD1147335E14}"/>
              </c:ext>
            </c:extLst>
          </c:dPt>
          <c:dLbls>
            <c:dLbl>
              <c:idx val="0"/>
              <c:spPr>
                <a:noFill/>
                <a:ln>
                  <a:noFill/>
                </a:ln>
                <a:effectLst/>
              </c:spPr>
              <c:txPr>
                <a:bodyPr wrap="square" lIns="38100" tIns="19050" rIns="38100" bIns="19050" anchor="ctr">
                  <a:spAutoFit/>
                </a:bodyPr>
                <a:lstStyle/>
                <a:p>
                  <a:pPr>
                    <a:defRPr sz="800">
                      <a:solidFill>
                        <a:schemeClr val="bg1"/>
                      </a:solidFill>
                      <a:latin typeface="Candara" panose="020E0502030303020204" pitchFamily="34" charset="0"/>
                    </a:defRPr>
                  </a:pPr>
                  <a:endParaRPr lang="lv-LV"/>
                </a:p>
              </c:txPr>
              <c:dLblPos val="ctr"/>
              <c:showLegendKey val="0"/>
              <c:showVal val="1"/>
              <c:showCatName val="0"/>
              <c:showSerName val="0"/>
              <c:showPercent val="0"/>
              <c:showBubbleSize val="0"/>
            </c:dLbl>
            <c:dLbl>
              <c:idx val="1"/>
              <c:spPr>
                <a:noFill/>
                <a:ln>
                  <a:noFill/>
                </a:ln>
                <a:effectLst/>
              </c:spPr>
              <c:txPr>
                <a:bodyPr wrap="square" lIns="38100" tIns="19050" rIns="38100" bIns="19050" anchor="ctr">
                  <a:spAutoFit/>
                </a:bodyPr>
                <a:lstStyle/>
                <a:p>
                  <a:pPr>
                    <a:defRPr sz="800">
                      <a:solidFill>
                        <a:schemeClr val="bg1"/>
                      </a:solidFill>
                      <a:latin typeface="Candara" panose="020E0502030303020204" pitchFamily="34" charset="0"/>
                    </a:defRPr>
                  </a:pPr>
                  <a:endParaRPr lang="lv-LV"/>
                </a:p>
              </c:txPr>
              <c:dLblPos val="ctr"/>
              <c:showLegendKey val="0"/>
              <c:showVal val="1"/>
              <c:showCatName val="0"/>
              <c:showSerName val="0"/>
              <c:showPercent val="0"/>
              <c:showBubbleSize val="0"/>
            </c:dLbl>
            <c:dLbl>
              <c:idx val="2"/>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F4E0-40E3-87C9-DD1147335E14}"/>
                </c:ext>
                <c:ext xmlns:c15="http://schemas.microsoft.com/office/drawing/2012/chart" uri="{CE6537A1-D6FC-4f65-9D91-7224C49458BB}"/>
              </c:extLst>
            </c:dLbl>
            <c:dLbl>
              <c:idx val="3"/>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F4E0-40E3-87C9-DD1147335E14}"/>
                </c:ext>
                <c:ext xmlns:c15="http://schemas.microsoft.com/office/drawing/2012/chart" uri="{CE6537A1-D6FC-4f65-9D91-7224C49458BB}"/>
              </c:extLst>
            </c:dLbl>
            <c:dLbl>
              <c:idx val="4"/>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F4E0-40E3-87C9-DD1147335E14}"/>
                </c:ext>
                <c:ext xmlns:c15="http://schemas.microsoft.com/office/drawing/2012/chart" uri="{CE6537A1-D6FC-4f65-9D91-7224C49458BB}"/>
              </c:extLst>
            </c:dLbl>
            <c:dLbl>
              <c:idx val="5"/>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F4E0-40E3-87C9-DD1147335E14}"/>
                </c:ext>
                <c:ext xmlns:c15="http://schemas.microsoft.com/office/drawing/2012/chart" uri="{CE6537A1-D6FC-4f65-9D91-7224C49458BB}"/>
              </c:extLst>
            </c:dLbl>
            <c:dLbl>
              <c:idx val="6"/>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F4E0-40E3-87C9-DD1147335E14}"/>
                </c:ext>
                <c:ext xmlns:c15="http://schemas.microsoft.com/office/drawing/2012/chart" uri="{CE6537A1-D6FC-4f65-9D91-7224C49458BB}"/>
              </c:extLst>
            </c:dLbl>
            <c:dLbl>
              <c:idx val="7"/>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F4E0-40E3-87C9-DD1147335E14}"/>
                </c:ext>
                <c:ext xmlns:c15="http://schemas.microsoft.com/office/drawing/2012/chart" uri="{CE6537A1-D6FC-4f65-9D91-7224C49458BB}"/>
              </c:extLst>
            </c:dLbl>
            <c:dLbl>
              <c:idx val="8"/>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E-F4E0-40E3-87C9-DD1147335E14}"/>
                </c:ext>
                <c:ext xmlns:c15="http://schemas.microsoft.com/office/drawing/2012/chart" uri="{CE6537A1-D6FC-4f65-9D91-7224C49458BB}"/>
              </c:extLst>
            </c:dLbl>
            <c:dLbl>
              <c:idx val="9"/>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F4E0-40E3-87C9-DD1147335E14}"/>
                </c:ext>
                <c:ext xmlns:c15="http://schemas.microsoft.com/office/drawing/2012/chart" uri="{CE6537A1-D6FC-4f65-9D91-7224C49458BB}"/>
              </c:extLst>
            </c:dLbl>
            <c:dLbl>
              <c:idx val="10"/>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F-F4E0-40E3-87C9-DD1147335E14}"/>
                </c:ext>
                <c:ext xmlns:c15="http://schemas.microsoft.com/office/drawing/2012/chart" uri="{CE6537A1-D6FC-4f65-9D91-7224C49458BB}"/>
              </c:extLst>
            </c:dLbl>
            <c:dLbl>
              <c:idx val="11"/>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0-F4E0-40E3-87C9-DD1147335E14}"/>
                </c:ext>
                <c:ext xmlns:c15="http://schemas.microsoft.com/office/drawing/2012/chart" uri="{CE6537A1-D6FC-4f65-9D91-7224C49458BB}"/>
              </c:extLst>
            </c:dLbl>
            <c:dLbl>
              <c:idx val="12"/>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F4E0-40E3-87C9-DD1147335E14}"/>
                </c:ext>
                <c:ext xmlns:c15="http://schemas.microsoft.com/office/drawing/2012/chart" uri="{CE6537A1-D6FC-4f65-9D91-7224C49458BB}"/>
              </c:extLst>
            </c:dLbl>
            <c:dLbl>
              <c:idx val="13"/>
              <c:spPr>
                <a:noFill/>
                <a:ln>
                  <a:noFill/>
                </a:ln>
                <a:effectLst/>
              </c:spPr>
              <c:txPr>
                <a:bodyPr wrap="square" lIns="38100" tIns="19050" rIns="38100" bIns="19050" anchor="ctr">
                  <a:spAutoFit/>
                </a:bodyPr>
                <a:lstStyle/>
                <a:p>
                  <a:pPr>
                    <a:defRPr sz="800" b="1">
                      <a:latin typeface="Candara" panose="020E0502030303020204" pitchFamily="34" charset="0"/>
                    </a:defRPr>
                  </a:pPr>
                  <a:endParaRPr lang="lv-LV"/>
                </a:p>
              </c:txPr>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F4E0-40E3-87C9-DD1147335E14}"/>
                </c:ext>
                <c:ext xmlns:c15="http://schemas.microsoft.com/office/drawing/2012/chart" uri="{CE6537A1-D6FC-4f65-9D91-7224C49458BB}"/>
              </c:extLst>
            </c:dLbl>
            <c:dLbl>
              <c:idx val="14"/>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1-F4E0-40E3-87C9-DD1147335E14}"/>
                </c:ext>
                <c:ext xmlns:c15="http://schemas.microsoft.com/office/drawing/2012/chart" uri="{CE6537A1-D6FC-4f65-9D91-7224C49458BB}"/>
              </c:extLst>
            </c:dLbl>
            <c:dLbl>
              <c:idx val="15"/>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2-F4E0-40E3-87C9-DD1147335E14}"/>
                </c:ext>
                <c:ext xmlns:c15="http://schemas.microsoft.com/office/drawing/2012/chart" uri="{CE6537A1-D6FC-4f65-9D91-7224C49458BB}"/>
              </c:extLst>
            </c:dLbl>
            <c:dLbl>
              <c:idx val="16"/>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3-F4E0-40E3-87C9-DD1147335E14}"/>
                </c:ext>
                <c:ext xmlns:c15="http://schemas.microsoft.com/office/drawing/2012/chart" uri="{CE6537A1-D6FC-4f65-9D91-7224C49458BB}"/>
              </c:extLst>
            </c:dLbl>
            <c:dLbl>
              <c:idx val="17"/>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4-F4E0-40E3-87C9-DD1147335E14}"/>
                </c:ext>
                <c:ext xmlns:c15="http://schemas.microsoft.com/office/drawing/2012/chart" uri="{CE6537A1-D6FC-4f65-9D91-7224C49458BB}"/>
              </c:extLst>
            </c:dLbl>
            <c:dLbl>
              <c:idx val="18"/>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5-F4E0-40E3-87C9-DD1147335E14}"/>
                </c:ext>
                <c:ext xmlns:c15="http://schemas.microsoft.com/office/drawing/2012/chart" uri="{CE6537A1-D6FC-4f65-9D91-7224C49458BB}"/>
              </c:extLst>
            </c:dLbl>
            <c:dLbl>
              <c:idx val="19"/>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6-F4E0-40E3-87C9-DD1147335E14}"/>
                </c:ext>
                <c:ext xmlns:c15="http://schemas.microsoft.com/office/drawing/2012/chart" uri="{CE6537A1-D6FC-4f65-9D91-7224C49458BB}"/>
              </c:extLst>
            </c:dLbl>
            <c:dLbl>
              <c:idx val="20"/>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7-F4E0-40E3-87C9-DD1147335E14}"/>
                </c:ext>
                <c:ext xmlns:c15="http://schemas.microsoft.com/office/drawing/2012/chart" uri="{CE6537A1-D6FC-4f65-9D91-7224C49458BB}"/>
              </c:extLst>
            </c:dLbl>
            <c:dLbl>
              <c:idx val="21"/>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8-F4E0-40E3-87C9-DD1147335E14}"/>
                </c:ext>
                <c:ext xmlns:c15="http://schemas.microsoft.com/office/drawing/2012/chart" uri="{CE6537A1-D6FC-4f65-9D91-7224C49458BB}"/>
              </c:extLst>
            </c:dLbl>
            <c:dLbl>
              <c:idx val="22"/>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9-F4E0-40E3-87C9-DD1147335E14}"/>
                </c:ext>
                <c:ext xmlns:c15="http://schemas.microsoft.com/office/drawing/2012/chart" uri="{CE6537A1-D6FC-4f65-9D91-7224C49458BB}"/>
              </c:extLst>
            </c:dLbl>
            <c:dLbl>
              <c:idx val="23"/>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A-F4E0-40E3-87C9-DD1147335E14}"/>
                </c:ext>
                <c:ext xmlns:c15="http://schemas.microsoft.com/office/drawing/2012/chart" uri="{CE6537A1-D6FC-4f65-9D91-7224C49458BB}"/>
              </c:extLst>
            </c:dLbl>
            <c:dLbl>
              <c:idx val="24"/>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B-F4E0-40E3-87C9-DD1147335E14}"/>
                </c:ext>
                <c:ext xmlns:c15="http://schemas.microsoft.com/office/drawing/2012/chart" uri="{CE6537A1-D6FC-4f65-9D91-7224C49458BB}"/>
              </c:extLst>
            </c:dLbl>
            <c:dLbl>
              <c:idx val="25"/>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F4E0-40E3-87C9-DD1147335E14}"/>
                </c:ext>
                <c:ext xmlns:c15="http://schemas.microsoft.com/office/drawing/2012/chart" uri="{CE6537A1-D6FC-4f65-9D91-7224C49458BB}"/>
              </c:extLst>
            </c:dLbl>
            <c:dLbl>
              <c:idx val="26"/>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C-F4E0-40E3-87C9-DD1147335E14}"/>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latin typeface="Candara" panose="020E0502030303020204" pitchFamily="34"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Sheet1!$A$4:$A$32</c:f>
              <c:strCache>
                <c:ptCount val="27"/>
                <c:pt idx="0">
                  <c:v>NL</c:v>
                </c:pt>
                <c:pt idx="1">
                  <c:v>BE</c:v>
                </c:pt>
                <c:pt idx="2">
                  <c:v>DK</c:v>
                </c:pt>
                <c:pt idx="3">
                  <c:v>AT</c:v>
                </c:pt>
                <c:pt idx="4">
                  <c:v>ES</c:v>
                </c:pt>
                <c:pt idx="5">
                  <c:v>SI</c:v>
                </c:pt>
                <c:pt idx="6">
                  <c:v>DE</c:v>
                </c:pt>
                <c:pt idx="7">
                  <c:v>IE</c:v>
                </c:pt>
                <c:pt idx="8">
                  <c:v>IT</c:v>
                </c:pt>
                <c:pt idx="9">
                  <c:v>HU</c:v>
                </c:pt>
                <c:pt idx="10">
                  <c:v>SE</c:v>
                </c:pt>
                <c:pt idx="11">
                  <c:v>FR</c:v>
                </c:pt>
                <c:pt idx="12">
                  <c:v>EU-28</c:v>
                </c:pt>
                <c:pt idx="13">
                  <c:v>LV</c:v>
                </c:pt>
                <c:pt idx="14">
                  <c:v>PT</c:v>
                </c:pt>
                <c:pt idx="15">
                  <c:v>SK</c:v>
                </c:pt>
                <c:pt idx="16">
                  <c:v>FI</c:v>
                </c:pt>
                <c:pt idx="17">
                  <c:v>EL</c:v>
                </c:pt>
                <c:pt idx="18">
                  <c:v>CZ</c:v>
                </c:pt>
                <c:pt idx="19">
                  <c:v>EE</c:v>
                </c:pt>
                <c:pt idx="20">
                  <c:v>CY</c:v>
                </c:pt>
                <c:pt idx="21">
                  <c:v>UK</c:v>
                </c:pt>
                <c:pt idx="22">
                  <c:v>HR</c:v>
                </c:pt>
                <c:pt idx="23">
                  <c:v>LT</c:v>
                </c:pt>
                <c:pt idx="24">
                  <c:v>BG</c:v>
                </c:pt>
                <c:pt idx="25">
                  <c:v>PL</c:v>
                </c:pt>
                <c:pt idx="26">
                  <c:v>RO</c:v>
                </c:pt>
              </c:strCache>
            </c:strRef>
          </c:cat>
          <c:val>
            <c:numRef>
              <c:f>Sheet1!$B$4:$B$32</c:f>
              <c:numCache>
                <c:formatCode>0</c:formatCode>
                <c:ptCount val="27"/>
                <c:pt idx="0">
                  <c:v>183.44309271428571</c:v>
                </c:pt>
                <c:pt idx="1">
                  <c:v>163.97571266666665</c:v>
                </c:pt>
                <c:pt idx="2">
                  <c:v>86.842954416666672</c:v>
                </c:pt>
                <c:pt idx="3">
                  <c:v>80.165785623409661</c:v>
                </c:pt>
                <c:pt idx="4">
                  <c:v>79.919429666666673</c:v>
                </c:pt>
                <c:pt idx="5">
                  <c:v>74.875200284090909</c:v>
                </c:pt>
                <c:pt idx="6">
                  <c:v>61.489705380165283</c:v>
                </c:pt>
                <c:pt idx="7">
                  <c:v>61.0362802252816</c:v>
                </c:pt>
                <c:pt idx="8">
                  <c:v>60.658163502331007</c:v>
                </c:pt>
                <c:pt idx="9">
                  <c:v>55.923707453416149</c:v>
                </c:pt>
                <c:pt idx="10">
                  <c:v>55.650501277777778</c:v>
                </c:pt>
                <c:pt idx="11">
                  <c:v>55.230248969696966</c:v>
                </c:pt>
                <c:pt idx="12">
                  <c:v>54.962654534556322</c:v>
                </c:pt>
                <c:pt idx="13">
                  <c:v>51</c:v>
                </c:pt>
                <c:pt idx="14">
                  <c:v>50.292660466282278</c:v>
                </c:pt>
                <c:pt idx="15">
                  <c:v>49.902222079373949</c:v>
                </c:pt>
                <c:pt idx="16">
                  <c:v>49.514410746268652</c:v>
                </c:pt>
                <c:pt idx="17">
                  <c:v>45.9777804692454</c:v>
                </c:pt>
                <c:pt idx="18">
                  <c:v>45.465202741514361</c:v>
                </c:pt>
                <c:pt idx="19">
                  <c:v>43.67109</c:v>
                </c:pt>
                <c:pt idx="20">
                  <c:v>43.465043315508012</c:v>
                </c:pt>
                <c:pt idx="21">
                  <c:v>37.508404599165893</c:v>
                </c:pt>
                <c:pt idx="22">
                  <c:v>33.210561919040479</c:v>
                </c:pt>
                <c:pt idx="23">
                  <c:v>33.167520823798625</c:v>
                </c:pt>
                <c:pt idx="24">
                  <c:v>30.106353348214288</c:v>
                </c:pt>
                <c:pt idx="25">
                  <c:v>21.404483241013551</c:v>
                </c:pt>
                <c:pt idx="26">
                  <c:v>6.8715434839924665</c:v>
                </c:pt>
              </c:numCache>
            </c:numRef>
          </c:val>
          <c:extLst>
            <c:ext xmlns:c="http://schemas.openxmlformats.org/drawingml/2006/chart" xmlns:c16="http://schemas.microsoft.com/office/drawing/2014/chart" uri="{C3380CC4-5D6E-409C-BE32-E72D297353CC}">
              <c16:uniqueId val="{0000001D-F4E0-40E3-87C9-DD1147335E14}"/>
            </c:ext>
          </c:extLst>
        </c:ser>
        <c:dLbls>
          <c:showLegendKey val="0"/>
          <c:showVal val="0"/>
          <c:showCatName val="0"/>
          <c:showSerName val="0"/>
          <c:showPercent val="0"/>
          <c:showBubbleSize val="0"/>
        </c:dLbls>
        <c:gapWidth val="20"/>
        <c:axId val="629978048"/>
        <c:axId val="629980792"/>
      </c:barChart>
      <c:catAx>
        <c:axId val="629978048"/>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29980792"/>
        <c:crosses val="autoZero"/>
        <c:auto val="1"/>
        <c:lblAlgn val="ctr"/>
        <c:lblOffset val="100"/>
        <c:tickLblSkip val="1"/>
        <c:noMultiLvlLbl val="0"/>
      </c:catAx>
      <c:valAx>
        <c:axId val="629980792"/>
        <c:scaling>
          <c:orientation val="minMax"/>
          <c:max val="100"/>
        </c:scaling>
        <c:delete val="0"/>
        <c:axPos val="l"/>
        <c:numFmt formatCode="0" sourceLinked="0"/>
        <c:majorTickMark val="out"/>
        <c:minorTickMark val="none"/>
        <c:tickLblPos val="nextTo"/>
        <c:txPr>
          <a:bodyPr/>
          <a:lstStyle/>
          <a:p>
            <a:pPr>
              <a:defRPr sz="600"/>
            </a:pPr>
            <a:endParaRPr lang="lv-LV"/>
          </a:p>
        </c:txPr>
        <c:crossAx val="629978048"/>
        <c:crosses val="autoZero"/>
        <c:crossBetween val="between"/>
      </c:valAx>
    </c:plotArea>
    <c:plotVisOnly val="1"/>
    <c:dispBlanksAs val="gap"/>
    <c:showDLblsOverMax val="0"/>
  </c:chart>
  <c:spPr>
    <a:ln w="9525">
      <a:noFill/>
    </a:ln>
  </c:spPr>
  <c:externalData r:id="rId1">
    <c:autoUpdate val="0"/>
  </c:externalData>
  <c:userShapes r:id="rId2"/>
</c:chartSpace>
</file>

<file path=word/charts/chart1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449061330451076"/>
          <c:y val="0.15218914041994749"/>
          <c:w val="0.52181675566416263"/>
          <c:h val="0.709344652230971"/>
        </c:manualLayout>
      </c:layout>
      <c:pieChart>
        <c:varyColors val="1"/>
        <c:ser>
          <c:idx val="0"/>
          <c:order val="0"/>
          <c:tx>
            <c:strRef>
              <c:f>Sheet1!$B$1</c:f>
              <c:strCache>
                <c:ptCount val="1"/>
                <c:pt idx="0">
                  <c:v>Column1</c:v>
                </c:pt>
              </c:strCache>
            </c:strRef>
          </c:tx>
          <c:dPt>
            <c:idx val="0"/>
            <c:bubble3D val="0"/>
            <c:spPr>
              <a:solidFill>
                <a:schemeClr val="accent1"/>
              </a:solidFill>
              <a:ln>
                <a:noFill/>
              </a:ln>
              <a:effectLst/>
            </c:spPr>
            <c:extLst>
              <c:ext xmlns:c="http://schemas.openxmlformats.org/drawingml/2006/chart" xmlns:c16="http://schemas.microsoft.com/office/drawing/2014/chart" uri="{C3380CC4-5D6E-409C-BE32-E72D297353CC}">
                <c16:uniqueId val="{00000001-BFB2-486F-8433-52F4D17A8222}"/>
              </c:ext>
            </c:extLst>
          </c:dPt>
          <c:dPt>
            <c:idx val="1"/>
            <c:bubble3D val="0"/>
            <c:spPr>
              <a:solidFill>
                <a:schemeClr val="accent2"/>
              </a:solidFill>
              <a:ln>
                <a:noFill/>
              </a:ln>
              <a:effectLst/>
            </c:spPr>
            <c:extLst>
              <c:ext xmlns:c="http://schemas.openxmlformats.org/drawingml/2006/chart" xmlns:c16="http://schemas.microsoft.com/office/drawing/2014/chart" uri="{C3380CC4-5D6E-409C-BE32-E72D297353CC}">
                <c16:uniqueId val="{00000003-BFB2-486F-8433-52F4D17A8222}"/>
              </c:ext>
            </c:extLst>
          </c:dPt>
          <c:dPt>
            <c:idx val="2"/>
            <c:bubble3D val="0"/>
            <c:spPr>
              <a:solidFill>
                <a:schemeClr val="accent3"/>
              </a:solidFill>
              <a:ln>
                <a:noFill/>
              </a:ln>
              <a:effectLst/>
            </c:spPr>
            <c:extLst>
              <c:ext xmlns:c="http://schemas.openxmlformats.org/drawingml/2006/chart" xmlns:c16="http://schemas.microsoft.com/office/drawing/2014/chart" uri="{C3380CC4-5D6E-409C-BE32-E72D297353CC}">
                <c16:uniqueId val="{00000005-BFB2-486F-8433-52F4D17A8222}"/>
              </c:ext>
            </c:extLst>
          </c:dPt>
          <c:dPt>
            <c:idx val="3"/>
            <c:bubble3D val="0"/>
            <c:spPr>
              <a:solidFill>
                <a:schemeClr val="accent4"/>
              </a:solidFill>
              <a:ln>
                <a:noFill/>
              </a:ln>
              <a:effectLst/>
            </c:spPr>
            <c:extLst>
              <c:ext xmlns:c="http://schemas.openxmlformats.org/drawingml/2006/chart" xmlns:c16="http://schemas.microsoft.com/office/drawing/2014/chart" uri="{C3380CC4-5D6E-409C-BE32-E72D297353CC}">
                <c16:uniqueId val="{00000007-BFB2-486F-8433-52F4D17A8222}"/>
              </c:ext>
            </c:extLst>
          </c:dPt>
          <c:dPt>
            <c:idx val="4"/>
            <c:bubble3D val="0"/>
            <c:spPr>
              <a:solidFill>
                <a:schemeClr val="accent5"/>
              </a:solidFill>
              <a:ln>
                <a:noFill/>
              </a:ln>
              <a:effectLst/>
            </c:spPr>
            <c:extLst>
              <c:ext xmlns:c="http://schemas.openxmlformats.org/drawingml/2006/chart" xmlns:c16="http://schemas.microsoft.com/office/drawing/2014/chart" uri="{C3380CC4-5D6E-409C-BE32-E72D297353CC}">
                <c16:uniqueId val="{00000009-BFB2-486F-8433-52F4D17A8222}"/>
              </c:ext>
            </c:extLst>
          </c:dPt>
          <c:dPt>
            <c:idx val="5"/>
            <c:bubble3D val="0"/>
            <c:spPr>
              <a:solidFill>
                <a:schemeClr val="accent6"/>
              </a:solidFill>
              <a:ln>
                <a:noFill/>
              </a:ln>
              <a:effectLst/>
            </c:spPr>
            <c:extLst>
              <c:ext xmlns:c="http://schemas.openxmlformats.org/drawingml/2006/chart" xmlns:c16="http://schemas.microsoft.com/office/drawing/2014/chart" uri="{C3380CC4-5D6E-409C-BE32-E72D297353CC}">
                <c16:uniqueId val="{0000000B-BFB2-486F-8433-52F4D17A8222}"/>
              </c:ext>
            </c:extLst>
          </c:dPt>
          <c:dPt>
            <c:idx val="6"/>
            <c:bubble3D val="0"/>
            <c:spPr>
              <a:solidFill>
                <a:schemeClr val="accent1">
                  <a:lumMod val="60000"/>
                </a:schemeClr>
              </a:solidFill>
              <a:ln>
                <a:noFill/>
              </a:ln>
              <a:effectLst/>
            </c:spPr>
            <c:extLst>
              <c:ext xmlns:c="http://schemas.openxmlformats.org/drawingml/2006/chart" xmlns:c16="http://schemas.microsoft.com/office/drawing/2014/chart" uri="{C3380CC4-5D6E-409C-BE32-E72D297353CC}">
                <c16:uniqueId val="{0000000D-BFB2-486F-8433-52F4D17A8222}"/>
              </c:ext>
            </c:extLst>
          </c:dPt>
          <c:dLbls>
            <c:dLbl>
              <c:idx val="0"/>
              <c:layout>
                <c:manualLayout>
                  <c:x val="0.091935603677633676"/>
                  <c:y val="0"/>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1-BFB2-486F-8433-52F4D17A8222}"/>
                </c:ext>
                <c:ext xmlns:c15="http://schemas.microsoft.com/office/drawing/2012/chart" uri="{CE6537A1-D6FC-4f65-9D91-7224C49458BB}">
                  <c15:layout>
                    <c:manualLayout>
                      <c:w val="0.32367816091954016"/>
                      <c:h val="0.29986108978717491"/>
                    </c:manualLayout>
                  </c15:layout>
                </c:ext>
              </c:extLst>
            </c:dLbl>
            <c:dLbl>
              <c:idx val="1"/>
              <c:layout>
                <c:manualLayout>
                  <c:x val="-0.0078851905642984572"/>
                  <c:y val="0.01734835228929717"/>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3-BFB2-486F-8433-52F4D17A8222}"/>
                </c:ext>
                <c:ext xmlns:c15="http://schemas.microsoft.com/office/drawing/2012/chart" uri="{CE6537A1-D6FC-4f65-9D91-7224C49458BB}">
                  <c15:layout>
                    <c:manualLayout>
                      <c:w val="0.26091893685703083"/>
                      <c:h val="0.23486573231270882"/>
                    </c:manualLayout>
                  </c15:layout>
                </c:ext>
              </c:extLst>
            </c:dLbl>
            <c:dLbl>
              <c:idx val="2"/>
              <c:layout>
                <c:manualLayout>
                  <c:x val="0.006745708510573969"/>
                  <c:y val="-0.12523157794690706"/>
                </c:manualLayout>
              </c:layout>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5-BFB2-486F-8433-52F4D17A8222}"/>
                </c:ext>
                <c:ext xmlns:c15="http://schemas.microsoft.com/office/drawing/2012/chart" uri="{CE6537A1-D6FC-4f65-9D91-7224C49458BB}">
                  <c15:layout>
                    <c:manualLayout>
                      <c:w val="0.26734787461912091"/>
                      <c:h val="0.29986108978717491"/>
                    </c:manualLayout>
                  </c15:layout>
                </c:ext>
              </c:extLst>
            </c:dLbl>
            <c:dLbl>
              <c:idx val="3"/>
              <c:layout>
                <c:manualLayout>
                  <c:x val="0.092015868706066914"/>
                  <c:y val="-0.003482259703609472"/>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7-BFB2-486F-8433-52F4D17A8222}"/>
                </c:ext>
                <c:ext xmlns:c15="http://schemas.microsoft.com/office/drawing/2012/chart" uri="{CE6537A1-D6FC-4f65-9D91-7224C49458BB}">
                  <c15:layout>
                    <c:manualLayout>
                      <c:w val="0.28536398467432944"/>
                      <c:h val="0.22980355171481"/>
                    </c:manualLayout>
                  </c15:layout>
                </c:ext>
              </c:extLst>
            </c:dLbl>
            <c:dLbl>
              <c:idx val="4"/>
              <c:layout>
                <c:manualLayout>
                  <c:x val="0.068854194949769215"/>
                  <c:y val="-0.0005666074470496202"/>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9-BFB2-486F-8433-52F4D17A8222}"/>
                </c:ext>
                <c:ext xmlns:c15="http://schemas.microsoft.com/office/drawing/2012/chart" uri="{CE6537A1-D6FC-4f65-9D91-7224C49458BB}">
                  <c15:layout>
                    <c:manualLayout>
                      <c:w val="0.26724168099677192"/>
                      <c:h val="0.23337135086526439"/>
                    </c:manualLayout>
                  </c15:layout>
                </c:ext>
              </c:extLst>
            </c:dLbl>
            <c:dLbl>
              <c:idx val="5"/>
              <c:layout>
                <c:manualLayout>
                  <c:x val="-0.065553973975675819"/>
                  <c:y val="-0.059027413240011664"/>
                </c:manualLayout>
              </c:layout>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B-BFB2-486F-8433-52F4D17A8222}"/>
                </c:ext>
                <c:ext xmlns:c15="http://schemas.microsoft.com/office/drawing/2012/chart" uri="{CE6537A1-D6FC-4f65-9D91-7224C49458BB}">
                  <c15:layout>
                    <c:manualLayout>
                      <c:w val="0.25226053639846741"/>
                      <c:h val="0.33640666010498688"/>
                    </c:manualLayout>
                  </c15:layout>
                </c:ext>
              </c:extLst>
            </c:dLbl>
            <c:dLbl>
              <c:idx val="6"/>
              <c:layout>
                <c:manualLayout>
                  <c:x val="0.061253563830011716"/>
                  <c:y val="-0.10185112277631962"/>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D-BFB2-486F-8433-52F4D17A8222}"/>
                </c:ext>
                <c:ext xmlns:c15="http://schemas.microsoft.com/office/drawing/2012/chart" uri="{CE6537A1-D6FC-4f65-9D91-7224C49458BB}">
                  <c15:layout>
                    <c:manualLayout>
                      <c:w val="0.21118773946360153"/>
                      <c:h val="0.37562499999999993"/>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outEnd"/>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Sheet1!$A$2:$A$8</c:f>
              <c:strCache>
                <c:ptCount val="7"/>
                <c:pt idx="0">
                  <c:v>Zviedrija</c:v>
                </c:pt>
                <c:pt idx="1">
                  <c:v>Vācija</c:v>
                </c:pt>
                <c:pt idx="2">
                  <c:v>Lietuva</c:v>
                </c:pt>
                <c:pt idx="3">
                  <c:v>Igaunija</c:v>
                </c:pt>
                <c:pt idx="4">
                  <c:v>Krievija</c:v>
                </c:pt>
                <c:pt idx="5">
                  <c:v>Somija</c:v>
                </c:pt>
                <c:pt idx="6">
                  <c:v>Citas valstis</c:v>
                </c:pt>
              </c:strCache>
            </c:strRef>
          </c:cat>
          <c:val>
            <c:numRef>
              <c:f>Sheet1!$B$2:$B$8</c:f>
              <c:numCache>
                <c:formatCode>0</c:formatCode>
                <c:ptCount val="7"/>
                <c:pt idx="0">
                  <c:v>0.16013075183100992</c:v>
                </c:pt>
                <c:pt idx="1">
                  <c:v>0.14398169756151122</c:v>
                </c:pt>
                <c:pt idx="2">
                  <c:v>0.12319119933272417</c:v>
                </c:pt>
                <c:pt idx="3">
                  <c:v>0.10198173292347922</c:v>
                </c:pt>
                <c:pt idx="4">
                  <c:v>0.078129082600369215</c:v>
                </c:pt>
                <c:pt idx="5">
                  <c:v>0.064052833070568</c:v>
                </c:pt>
                <c:pt idx="6">
                  <c:v>0.3285327026803383</c:v>
                </c:pt>
              </c:numCache>
            </c:numRef>
          </c:val>
          <c:extLst>
            <c:ext xmlns:c="http://schemas.openxmlformats.org/drawingml/2006/chart" xmlns:c16="http://schemas.microsoft.com/office/drawing/2014/chart" uri="{C3380CC4-5D6E-409C-BE32-E72D297353CC}">
              <c16:uniqueId val="{0000000E-BFB2-486F-8433-52F4D17A8222}"/>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noFill/>
    <a:ln w="9525">
      <a:noFill/>
      <a:round/>
    </a:ln>
    <a:effectLst/>
  </c:spPr>
  <c:txPr>
    <a:bodyPr/>
    <a:lstStyle/>
    <a:p>
      <a:pPr>
        <a:defRPr sz="800">
          <a:latin typeface="Candara" panose="020E0502030303020204" pitchFamily="34" charset="0"/>
        </a:defRPr>
      </a:pPr>
      <a:endParaRPr lang="lv-LV"/>
    </a:p>
  </c:txPr>
  <c:externalData r:id="rId1">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98553601027233415"/>
          <c:y val="0.01722532963499513"/>
          <c:w val="0.34507319571774181"/>
          <c:h val="0.920462379795931"/>
        </c:manualLayout>
      </c:layout>
      <c:barChart>
        <c:barDir val="col"/>
        <c:grouping val="percentStacked"/>
        <c:varyColors val="0"/>
        <c:ser>
          <c:idx val="0"/>
          <c:order val="0"/>
          <c:tx>
            <c:strRef>
              <c:f>Sheet1!$A$2</c:f>
              <c:strCache>
                <c:ptCount val="1"/>
                <c:pt idx="0">
                  <c:v>stikls un tā izstrādājumi</c:v>
                </c:pt>
              </c:strCache>
            </c:strRef>
          </c:tx>
          <c:invertIfNegative val="0"/>
          <c:cat>
            <c:strRef>
              <c:f>Sheet1!$B$1:$F$1</c:f>
              <c:strCache>
                <c:ptCount val="5"/>
                <c:pt idx="0">
                  <c:v>2005</c:v>
                </c:pt>
                <c:pt idx="1">
                  <c:v>2010</c:v>
                </c:pt>
                <c:pt idx="2">
                  <c:v>2014</c:v>
                </c:pt>
                <c:pt idx="3">
                  <c:v>2015</c:v>
                </c:pt>
                <c:pt idx="4">
                  <c:v>2016</c:v>
                </c:pt>
              </c:strCache>
            </c:strRef>
          </c:cat>
          <c:val>
            <c:numRef>
              <c:f>Sheet1!$B$2:$F$2</c:f>
              <c:numCache>
                <c:formatCode>0</c:formatCode>
                <c:ptCount val="5"/>
                <c:pt idx="0">
                  <c:v>64.065683057565209</c:v>
                </c:pt>
                <c:pt idx="1">
                  <c:v>47.583296843375891</c:v>
                </c:pt>
                <c:pt idx="2">
                  <c:v>45.884411773189917</c:v>
                </c:pt>
                <c:pt idx="3">
                  <c:v>48.793898530134172</c:v>
                </c:pt>
                <c:pt idx="4">
                  <c:v>44.609475601344528</c:v>
                </c:pt>
              </c:numCache>
            </c:numRef>
          </c:val>
          <c:extLst>
            <c:ext xmlns:c="http://schemas.openxmlformats.org/drawingml/2006/chart" xmlns:c16="http://schemas.microsoft.com/office/drawing/2014/chart" uri="{C3380CC4-5D6E-409C-BE32-E72D297353CC}">
              <c16:uniqueId val="{00000000-BD5D-43AD-BC54-721D6F0F68DF}"/>
            </c:ext>
          </c:extLst>
        </c:ser>
        <c:ser>
          <c:idx val="1"/>
          <c:order val="1"/>
          <c:tx>
            <c:strRef>
              <c:f>Sheet1!$A$3</c:f>
              <c:strCache>
                <c:ptCount val="1"/>
                <c:pt idx="0">
                  <c:v>cementa, un  akmens, ģipša un tml. izstrādājumi</c:v>
                </c:pt>
              </c:strCache>
            </c:strRef>
          </c:tx>
          <c:invertIfNegative val="0"/>
          <c:cat>
            <c:strRef>
              <c:f>Sheet1!$B$1:$F$1</c:f>
              <c:strCache>
                <c:ptCount val="5"/>
                <c:pt idx="0">
                  <c:v>2005</c:v>
                </c:pt>
                <c:pt idx="1">
                  <c:v>2010</c:v>
                </c:pt>
                <c:pt idx="2">
                  <c:v>2014</c:v>
                </c:pt>
                <c:pt idx="3">
                  <c:v>2015</c:v>
                </c:pt>
                <c:pt idx="4">
                  <c:v>2016</c:v>
                </c:pt>
              </c:strCache>
            </c:strRef>
          </c:cat>
          <c:val>
            <c:numRef>
              <c:f>Sheet1!$B$3:$F$3</c:f>
              <c:numCache>
                <c:formatCode>0</c:formatCode>
                <c:ptCount val="5"/>
                <c:pt idx="0">
                  <c:v>19.295182247820613</c:v>
                </c:pt>
                <c:pt idx="1">
                  <c:v>20.2835385101758</c:v>
                </c:pt>
                <c:pt idx="2">
                  <c:v>24.345154671175269</c:v>
                </c:pt>
                <c:pt idx="3">
                  <c:v>26.286516719313717</c:v>
                </c:pt>
                <c:pt idx="4">
                  <c:v>35.084621899579332</c:v>
                </c:pt>
              </c:numCache>
            </c:numRef>
          </c:val>
          <c:extLst>
            <c:ext xmlns:c="http://schemas.openxmlformats.org/drawingml/2006/chart" xmlns:c16="http://schemas.microsoft.com/office/drawing/2014/chart" uri="{C3380CC4-5D6E-409C-BE32-E72D297353CC}">
              <c16:uniqueId val="{00000001-BD5D-43AD-BC54-721D6F0F68DF}"/>
            </c:ext>
          </c:extLst>
        </c:ser>
        <c:ser>
          <c:idx val="2"/>
          <c:order val="2"/>
          <c:tx>
            <c:strRef>
              <c:f>Sheet1!$A$4</c:f>
              <c:strCache>
                <c:ptCount val="1"/>
                <c:pt idx="0">
                  <c:v>kaļķi, cements, zemes un akmens</c:v>
                </c:pt>
              </c:strCache>
            </c:strRef>
          </c:tx>
          <c:invertIfNegative val="0"/>
          <c:cat>
            <c:strRef>
              <c:f>Sheet1!$B$1:$F$1</c:f>
              <c:strCache>
                <c:ptCount val="5"/>
                <c:pt idx="0">
                  <c:v>2005</c:v>
                </c:pt>
                <c:pt idx="1">
                  <c:v>2010</c:v>
                </c:pt>
                <c:pt idx="2">
                  <c:v>2014</c:v>
                </c:pt>
                <c:pt idx="3">
                  <c:v>2015</c:v>
                </c:pt>
                <c:pt idx="4">
                  <c:v>2016</c:v>
                </c:pt>
              </c:strCache>
            </c:strRef>
          </c:cat>
          <c:val>
            <c:numRef>
              <c:f>Sheet1!$B$4:$F$4</c:f>
              <c:numCache>
                <c:formatCode>0</c:formatCode>
                <c:ptCount val="5"/>
                <c:pt idx="0">
                  <c:v>8.8004997598630812</c:v>
                </c:pt>
                <c:pt idx="1">
                  <c:v>25.542779034600304</c:v>
                </c:pt>
                <c:pt idx="2">
                  <c:v>21.294460832917604</c:v>
                </c:pt>
                <c:pt idx="3">
                  <c:v>17.002057119156248</c:v>
                </c:pt>
                <c:pt idx="4">
                  <c:v>12.203709321698359</c:v>
                </c:pt>
              </c:numCache>
            </c:numRef>
          </c:val>
          <c:extLst>
            <c:ext xmlns:c="http://schemas.openxmlformats.org/drawingml/2006/chart" xmlns:c16="http://schemas.microsoft.com/office/drawing/2014/chart" uri="{C3380CC4-5D6E-409C-BE32-E72D297353CC}">
              <c16:uniqueId val="{00000002-BD5D-43AD-BC54-721D6F0F68DF}"/>
            </c:ext>
          </c:extLst>
        </c:ser>
        <c:ser>
          <c:idx val="3"/>
          <c:order val="3"/>
          <c:tx>
            <c:strRef>
              <c:f>Sheet1!$A$5</c:f>
              <c:strCache>
                <c:ptCount val="1"/>
                <c:pt idx="0">
                  <c:v>keramikas izstrādājumi</c:v>
                </c:pt>
              </c:strCache>
            </c:strRef>
          </c:tx>
          <c:invertIfNegative val="0"/>
          <c:cat>
            <c:strRef>
              <c:f>Sheet1!$B$1:$F$1</c:f>
              <c:strCache>
                <c:ptCount val="5"/>
                <c:pt idx="0">
                  <c:v>2005</c:v>
                </c:pt>
                <c:pt idx="1">
                  <c:v>2010</c:v>
                </c:pt>
                <c:pt idx="2">
                  <c:v>2014</c:v>
                </c:pt>
                <c:pt idx="3">
                  <c:v>2015</c:v>
                </c:pt>
                <c:pt idx="4">
                  <c:v>2016</c:v>
                </c:pt>
              </c:strCache>
            </c:strRef>
          </c:cat>
          <c:val>
            <c:numRef>
              <c:f>Sheet1!$B$5:$F$5</c:f>
              <c:numCache>
                <c:formatCode>0</c:formatCode>
                <c:ptCount val="5"/>
                <c:pt idx="0">
                  <c:v>7.8386349347510746</c:v>
                </c:pt>
                <c:pt idx="1">
                  <c:v>6.5903856118480046</c:v>
                </c:pt>
                <c:pt idx="2">
                  <c:v>8.4759727227172057</c:v>
                </c:pt>
                <c:pt idx="3">
                  <c:v>7.9175276313958678</c:v>
                </c:pt>
                <c:pt idx="4">
                  <c:v>8.10219317737778</c:v>
                </c:pt>
              </c:numCache>
            </c:numRef>
          </c:val>
          <c:extLst>
            <c:ext xmlns:c="http://schemas.openxmlformats.org/drawingml/2006/chart" xmlns:c16="http://schemas.microsoft.com/office/drawing/2014/chart" uri="{C3380CC4-5D6E-409C-BE32-E72D297353CC}">
              <c16:uniqueId val="{00000003-BD5D-43AD-BC54-721D6F0F68DF}"/>
            </c:ext>
          </c:extLst>
        </c:ser>
        <c:dLbls>
          <c:showLegendKey val="0"/>
          <c:showVal val="0"/>
          <c:showCatName val="0"/>
          <c:showSerName val="0"/>
          <c:showPercent val="0"/>
          <c:showBubbleSize val="0"/>
        </c:dLbls>
        <c:gapWidth val="20"/>
        <c:overlap val="100"/>
        <c:axId val="629972168"/>
        <c:axId val="629974912"/>
      </c:barChart>
      <c:catAx>
        <c:axId val="629972168"/>
        <c:scaling>
          <c:orientation val="minMax"/>
        </c:scaling>
        <c:delete val="0"/>
        <c:axPos val="b"/>
        <c:numFmt formatCode="General" sourceLinked="0"/>
        <c:majorTickMark val="out"/>
        <c:minorTickMark val="none"/>
        <c:tickLblPos val="nextTo"/>
        <c:txPr>
          <a:bodyPr/>
          <a:lstStyle/>
          <a:p>
            <a:pPr>
              <a:defRPr sz="700"/>
            </a:pPr>
            <a:endParaRPr lang="lv-LV"/>
          </a:p>
        </c:txPr>
        <c:crossAx val="629974912"/>
        <c:crosses val="autoZero"/>
        <c:auto val="1"/>
        <c:lblAlgn val="ctr"/>
        <c:lblOffset val="100"/>
        <c:noMultiLvlLbl val="0"/>
      </c:catAx>
      <c:valAx>
        <c:axId val="629974912"/>
        <c:scaling>
          <c:orientation val="minMax"/>
        </c:scaling>
        <c:delete val="0"/>
        <c:axPos val="l"/>
        <c:numFmt formatCode="0%" sourceLinked="1"/>
        <c:majorTickMark val="out"/>
        <c:minorTickMark val="none"/>
        <c:tickLblPos val="nextTo"/>
        <c:txPr>
          <a:bodyPr/>
          <a:lstStyle/>
          <a:p>
            <a:pPr>
              <a:defRPr sz="700"/>
            </a:pPr>
            <a:endParaRPr lang="lv-LV"/>
          </a:p>
        </c:txPr>
        <c:crossAx val="629972168"/>
        <c:crosses val="autoZero"/>
        <c:crossBetween val="between"/>
      </c:valAx>
    </c:plotArea>
    <c:legend>
      <c:legendPos val="r"/>
      <c:layout>
        <c:manualLayout>
          <c:xMode val="edge"/>
          <c:yMode val="edge"/>
          <c:x val="0.48187518226888304"/>
          <c:y val="0.018061189542134811"/>
          <c:w val="0.518124817731117"/>
          <c:h val="0.76389701415069666"/>
        </c:manualLayout>
      </c:layout>
      <c:overlay val="0"/>
      <c:txPr>
        <a:bodyPr/>
        <a:lstStyle/>
        <a:p>
          <a:pPr>
            <a:defRPr sz="600">
              <a:latin typeface="Arial Narrow" panose="020B0606020202030204" pitchFamily="34" charset="0"/>
            </a:defRPr>
          </a:pPr>
          <a:endParaRPr lang="lv-LV"/>
        </a:p>
      </c:txPr>
    </c:legend>
    <c:plotVisOnly val="1"/>
    <c:dispBlanksAs val="gap"/>
    <c:showDLblsOverMax val="0"/>
  </c:chart>
  <c:spPr>
    <a:ln w="9525">
      <a:noFill/>
    </a:ln>
  </c:spPr>
  <c:txPr>
    <a:bodyPr/>
    <a:lstStyle/>
    <a:p>
      <a:pPr>
        <a:defRPr sz="800"/>
      </a:pPr>
      <a:endParaRPr lang="lv-LV"/>
    </a:p>
  </c:txPr>
  <c:externalData r:id="rId1">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98553601027233415"/>
          <c:y val="0.01722532963499513"/>
          <c:w val="0.88592589806420907"/>
          <c:h val="0.920462379795931"/>
        </c:manualLayout>
      </c:layout>
      <c:barChart>
        <c:barDir val="col"/>
        <c:grouping val="percentStacked"/>
        <c:varyColors val="0"/>
        <c:ser>
          <c:idx val="0"/>
          <c:order val="0"/>
          <c:tx>
            <c:strRef>
              <c:f>Sheet1!$A$2</c:f>
              <c:strCache>
                <c:ptCount val="1"/>
                <c:pt idx="0">
                  <c:v>stikls un tā izstrādājumi</c:v>
                </c:pt>
              </c:strCache>
            </c:strRef>
          </c:tx>
          <c:invertIfNegative val="0"/>
          <c:cat>
            <c:strRef>
              <c:f>Sheet1!$B$1:$F$1</c:f>
              <c:strCache>
                <c:ptCount val="5"/>
                <c:pt idx="0">
                  <c:v>2005</c:v>
                </c:pt>
                <c:pt idx="1">
                  <c:v>2010</c:v>
                </c:pt>
                <c:pt idx="2">
                  <c:v>2014</c:v>
                </c:pt>
                <c:pt idx="3">
                  <c:v>2015</c:v>
                </c:pt>
                <c:pt idx="4">
                  <c:v>2016</c:v>
                </c:pt>
              </c:strCache>
            </c:strRef>
          </c:cat>
          <c:val>
            <c:numRef>
              <c:f>Sheet1!$B$2:$F$2</c:f>
              <c:numCache>
                <c:formatCode>0</c:formatCode>
                <c:ptCount val="5"/>
                <c:pt idx="0">
                  <c:v>36.715356881393966</c:v>
                </c:pt>
                <c:pt idx="1">
                  <c:v>36.328304593417634</c:v>
                </c:pt>
                <c:pt idx="2">
                  <c:v>34.74175856994254</c:v>
                </c:pt>
                <c:pt idx="3">
                  <c:v>34.757901047809739</c:v>
                </c:pt>
                <c:pt idx="4">
                  <c:v>34.917409428189735</c:v>
                </c:pt>
              </c:numCache>
            </c:numRef>
          </c:val>
          <c:extLst>
            <c:ext xmlns:c="http://schemas.openxmlformats.org/drawingml/2006/chart" xmlns:c16="http://schemas.microsoft.com/office/drawing/2014/chart" uri="{C3380CC4-5D6E-409C-BE32-E72D297353CC}">
              <c16:uniqueId val="{00000000-6243-41CA-9FAC-7B688F33323A}"/>
            </c:ext>
          </c:extLst>
        </c:ser>
        <c:ser>
          <c:idx val="1"/>
          <c:order val="1"/>
          <c:tx>
            <c:strRef>
              <c:f>Sheet1!$A$3</c:f>
              <c:strCache>
                <c:ptCount val="1"/>
                <c:pt idx="0">
                  <c:v>cementa, un  akmens, ģipša un tml. izstrādājumi</c:v>
                </c:pt>
              </c:strCache>
            </c:strRef>
          </c:tx>
          <c:invertIfNegative val="0"/>
          <c:cat>
            <c:strRef>
              <c:f>Sheet1!$B$1:$F$1</c:f>
              <c:strCache>
                <c:ptCount val="5"/>
                <c:pt idx="0">
                  <c:v>2005</c:v>
                </c:pt>
                <c:pt idx="1">
                  <c:v>2010</c:v>
                </c:pt>
                <c:pt idx="2">
                  <c:v>2014</c:v>
                </c:pt>
                <c:pt idx="3">
                  <c:v>2015</c:v>
                </c:pt>
                <c:pt idx="4">
                  <c:v>2016</c:v>
                </c:pt>
              </c:strCache>
            </c:strRef>
          </c:cat>
          <c:val>
            <c:numRef>
              <c:f>Sheet1!$B$3:$F$3</c:f>
              <c:numCache>
                <c:formatCode>0</c:formatCode>
                <c:ptCount val="5"/>
                <c:pt idx="0">
                  <c:v>22.720945555922373</c:v>
                </c:pt>
                <c:pt idx="1">
                  <c:v>23.23645565120508</c:v>
                </c:pt>
                <c:pt idx="2">
                  <c:v>25.059174188357158</c:v>
                </c:pt>
                <c:pt idx="3">
                  <c:v>25.029120792240363</c:v>
                </c:pt>
                <c:pt idx="4">
                  <c:v>25.583780373505711</c:v>
                </c:pt>
              </c:numCache>
            </c:numRef>
          </c:val>
          <c:extLst>
            <c:ext xmlns:c="http://schemas.openxmlformats.org/drawingml/2006/chart" xmlns:c16="http://schemas.microsoft.com/office/drawing/2014/chart" uri="{C3380CC4-5D6E-409C-BE32-E72D297353CC}">
              <c16:uniqueId val="{00000001-6243-41CA-9FAC-7B688F33323A}"/>
            </c:ext>
          </c:extLst>
        </c:ser>
        <c:ser>
          <c:idx val="2"/>
          <c:order val="2"/>
          <c:tx>
            <c:strRef>
              <c:f>Sheet1!$A$4</c:f>
              <c:strCache>
                <c:ptCount val="1"/>
                <c:pt idx="0">
                  <c:v>kaļķi, cements, zemes un akmens</c:v>
                </c:pt>
              </c:strCache>
            </c:strRef>
          </c:tx>
          <c:invertIfNegative val="0"/>
          <c:cat>
            <c:strRef>
              <c:f>Sheet1!$B$1:$F$1</c:f>
              <c:strCache>
                <c:ptCount val="5"/>
                <c:pt idx="0">
                  <c:v>2005</c:v>
                </c:pt>
                <c:pt idx="1">
                  <c:v>2010</c:v>
                </c:pt>
                <c:pt idx="2">
                  <c:v>2014</c:v>
                </c:pt>
                <c:pt idx="3">
                  <c:v>2015</c:v>
                </c:pt>
                <c:pt idx="4">
                  <c:v>2016</c:v>
                </c:pt>
              </c:strCache>
            </c:strRef>
          </c:cat>
          <c:val>
            <c:numRef>
              <c:f>Sheet1!$B$4:$F$4</c:f>
              <c:numCache>
                <c:formatCode>0</c:formatCode>
                <c:ptCount val="5"/>
                <c:pt idx="0">
                  <c:v>15.237848492408071</c:v>
                </c:pt>
                <c:pt idx="1">
                  <c:v>16.897736654541543</c:v>
                </c:pt>
                <c:pt idx="2">
                  <c:v>16.422994791674849</c:v>
                </c:pt>
                <c:pt idx="3">
                  <c:v>16.278923866619458</c:v>
                </c:pt>
                <c:pt idx="4">
                  <c:v>15.214994659506456</c:v>
                </c:pt>
              </c:numCache>
            </c:numRef>
          </c:val>
          <c:extLst>
            <c:ext xmlns:c="http://schemas.openxmlformats.org/drawingml/2006/chart" xmlns:c16="http://schemas.microsoft.com/office/drawing/2014/chart" uri="{C3380CC4-5D6E-409C-BE32-E72D297353CC}">
              <c16:uniqueId val="{00000002-6243-41CA-9FAC-7B688F33323A}"/>
            </c:ext>
          </c:extLst>
        </c:ser>
        <c:ser>
          <c:idx val="3"/>
          <c:order val="3"/>
          <c:tx>
            <c:strRef>
              <c:f>Sheet1!$A$5</c:f>
              <c:strCache>
                <c:ptCount val="1"/>
                <c:pt idx="0">
                  <c:v>keramikas izstrādājumi</c:v>
                </c:pt>
              </c:strCache>
            </c:strRef>
          </c:tx>
          <c:invertIfNegative val="0"/>
          <c:cat>
            <c:strRef>
              <c:f>Sheet1!$B$1:$F$1</c:f>
              <c:strCache>
                <c:ptCount val="5"/>
                <c:pt idx="0">
                  <c:v>2005</c:v>
                </c:pt>
                <c:pt idx="1">
                  <c:v>2010</c:v>
                </c:pt>
                <c:pt idx="2">
                  <c:v>2014</c:v>
                </c:pt>
                <c:pt idx="3">
                  <c:v>2015</c:v>
                </c:pt>
                <c:pt idx="4">
                  <c:v>2016</c:v>
                </c:pt>
              </c:strCache>
            </c:strRef>
          </c:cat>
          <c:val>
            <c:numRef>
              <c:f>Sheet1!$B$5:$F$5</c:f>
              <c:numCache>
                <c:formatCode>0</c:formatCode>
                <c:ptCount val="5"/>
                <c:pt idx="0">
                  <c:v>25.325849070275595</c:v>
                </c:pt>
                <c:pt idx="1">
                  <c:v>23.537503100835742</c:v>
                </c:pt>
                <c:pt idx="2">
                  <c:v>23.776072450025449</c:v>
                </c:pt>
                <c:pt idx="3">
                  <c:v>23.934054293330437</c:v>
                </c:pt>
                <c:pt idx="4">
                  <c:v>24.2838155387981</c:v>
                </c:pt>
              </c:numCache>
            </c:numRef>
          </c:val>
          <c:extLst>
            <c:ext xmlns:c="http://schemas.openxmlformats.org/drawingml/2006/chart" xmlns:c16="http://schemas.microsoft.com/office/drawing/2014/chart" uri="{C3380CC4-5D6E-409C-BE32-E72D297353CC}">
              <c16:uniqueId val="{00000003-6243-41CA-9FAC-7B688F33323A}"/>
            </c:ext>
          </c:extLst>
        </c:ser>
        <c:dLbls>
          <c:showLegendKey val="0"/>
          <c:showVal val="0"/>
          <c:showCatName val="0"/>
          <c:showSerName val="0"/>
          <c:showPercent val="0"/>
          <c:showBubbleSize val="0"/>
        </c:dLbls>
        <c:gapWidth val="20"/>
        <c:overlap val="100"/>
        <c:axId val="629977264"/>
        <c:axId val="629977656"/>
      </c:barChart>
      <c:catAx>
        <c:axId val="629977264"/>
        <c:scaling>
          <c:orientation val="minMax"/>
        </c:scaling>
        <c:delete val="0"/>
        <c:axPos val="b"/>
        <c:numFmt formatCode="General" sourceLinked="0"/>
        <c:majorTickMark val="out"/>
        <c:minorTickMark val="none"/>
        <c:tickLblPos val="nextTo"/>
        <c:txPr>
          <a:bodyPr/>
          <a:lstStyle/>
          <a:p>
            <a:pPr>
              <a:defRPr sz="700"/>
            </a:pPr>
            <a:endParaRPr lang="lv-LV"/>
          </a:p>
        </c:txPr>
        <c:crossAx val="629977656"/>
        <c:crosses val="autoZero"/>
        <c:auto val="1"/>
        <c:lblAlgn val="ctr"/>
        <c:lblOffset val="100"/>
        <c:noMultiLvlLbl val="0"/>
      </c:catAx>
      <c:valAx>
        <c:axId val="629977656"/>
        <c:scaling>
          <c:orientation val="minMax"/>
        </c:scaling>
        <c:delete val="0"/>
        <c:axPos val="l"/>
        <c:numFmt formatCode="0%" sourceLinked="1"/>
        <c:majorTickMark val="out"/>
        <c:minorTickMark val="none"/>
        <c:tickLblPos val="nextTo"/>
        <c:txPr>
          <a:bodyPr/>
          <a:lstStyle/>
          <a:p>
            <a:pPr>
              <a:defRPr sz="700"/>
            </a:pPr>
            <a:endParaRPr lang="lv-LV"/>
          </a:p>
        </c:txPr>
        <c:crossAx val="629977264"/>
        <c:crosses val="autoZero"/>
        <c:crossBetween val="between"/>
      </c:valAx>
    </c:plotArea>
    <c:plotVisOnly val="1"/>
    <c:dispBlanksAs val="gap"/>
    <c:showDLblsOverMax val="0"/>
  </c:chart>
  <c:spPr>
    <a:ln w="9525">
      <a:noFill/>
    </a:ln>
  </c:spPr>
  <c:txPr>
    <a:bodyPr/>
    <a:lstStyle/>
    <a:p>
      <a:pPr>
        <a:defRPr sz="800"/>
      </a:pPr>
      <a:endParaRPr lang="lv-LV"/>
    </a:p>
  </c:txPr>
  <c:externalData r:id="rId1">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DB0E-4447-8A38-460A8F0D44A2}"/>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DB0E-4447-8A38-460A8F0D44A2}"/>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Sheet1!$B$2:$M$2</c:f>
              <c:numCache>
                <c:formatCode>0</c:formatCode>
                <c:ptCount val="12"/>
                <c:pt idx="0">
                  <c:v>2004</c:v>
                </c:pt>
                <c:pt idx="1">
                  <c:v>2005</c:v>
                </c:pt>
                <c:pt idx="2">
                  <c:v>2006</c:v>
                </c:pt>
                <c:pt idx="3">
                  <c:v>2007</c:v>
                </c:pt>
                <c:pt idx="4">
                  <c:v>2008</c:v>
                </c:pt>
                <c:pt idx="5">
                  <c:v>2009</c:v>
                </c:pt>
                <c:pt idx="6">
                  <c:v>2010</c:v>
                </c:pt>
                <c:pt idx="7">
                  <c:v>2011</c:v>
                </c:pt>
                <c:pt idx="8">
                  <c:v>2012</c:v>
                </c:pt>
                <c:pt idx="9">
                  <c:v>2013</c:v>
                </c:pt>
                <c:pt idx="10" formatCode="General">
                  <c:v>2014</c:v>
                </c:pt>
                <c:pt idx="11">
                  <c:v>2015</c:v>
                </c:pt>
              </c:numCache>
            </c:numRef>
          </c:cat>
          <c:val>
            <c:numRef>
              <c:f>Sheet1!$B$3:$M$3</c:f>
              <c:numCache>
                <c:formatCode>0.0</c:formatCode>
                <c:ptCount val="12"/>
                <c:pt idx="0">
                  <c:v>5.5269320843091343</c:v>
                </c:pt>
                <c:pt idx="1">
                  <c:v>6.010452961672474</c:v>
                </c:pt>
                <c:pt idx="2">
                  <c:v>7.7740863787375414</c:v>
                </c:pt>
                <c:pt idx="3">
                  <c:v>10.054945054945055</c:v>
                </c:pt>
                <c:pt idx="4">
                  <c:v>12.291066282420749</c:v>
                </c:pt>
                <c:pt idx="5">
                  <c:v>12.863636363636363</c:v>
                </c:pt>
                <c:pt idx="6">
                  <c:v>12.436781609195403</c:v>
                </c:pt>
                <c:pt idx="7">
                  <c:v>12.51685393258427</c:v>
                </c:pt>
                <c:pt idx="8">
                  <c:v>14.088050314465411</c:v>
                </c:pt>
                <c:pt idx="9">
                  <c:v>14.772277227722771</c:v>
                </c:pt>
                <c:pt idx="10">
                  <c:v>15.90909090909091</c:v>
                </c:pt>
                <c:pt idx="11" formatCode="General">
                  <c:v>16.041666666666668</c:v>
                </c:pt>
              </c:numCache>
            </c:numRef>
          </c:val>
          <c:extLst>
            <c:ext xmlns:c="http://schemas.openxmlformats.org/drawingml/2006/chart" xmlns:c16="http://schemas.microsoft.com/office/drawing/2014/chart" uri="{C3380CC4-5D6E-409C-BE32-E72D297353CC}">
              <c16:uniqueId val="{00000004-DB0E-4447-8A38-460A8F0D44A2}"/>
            </c:ext>
          </c:extLst>
        </c:ser>
        <c:dLbls>
          <c:showLegendKey val="0"/>
          <c:showVal val="0"/>
          <c:showCatName val="0"/>
          <c:showSerName val="0"/>
          <c:showPercent val="0"/>
          <c:showBubbleSize val="0"/>
        </c:dLbls>
        <c:gapWidth val="20"/>
        <c:axId val="629980400"/>
        <c:axId val="629975304"/>
      </c:barChart>
      <c:catAx>
        <c:axId val="629980400"/>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29975304"/>
        <c:crosses val="autoZero"/>
        <c:auto val="1"/>
        <c:lblAlgn val="ctr"/>
        <c:lblOffset val="100"/>
        <c:noMultiLvlLbl val="0"/>
      </c:catAx>
      <c:valAx>
        <c:axId val="629975304"/>
        <c:scaling>
          <c:orientation val="minMax"/>
          <c:max val="20"/>
          <c:min val="0"/>
        </c:scaling>
        <c:delete val="0"/>
        <c:axPos val="l"/>
        <c:numFmt formatCode="0" sourceLinked="0"/>
        <c:majorTickMark val="out"/>
        <c:minorTickMark val="none"/>
        <c:tickLblPos val="nextTo"/>
        <c:crossAx val="629980400"/>
        <c:crosses val="autoZero"/>
        <c:crossBetween val="between"/>
        <c:majorUnit val="5"/>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9D28-4275-93B7-9F6F9A68ACC0}"/>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9D28-4275-93B7-9F6F9A68ACC0}"/>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Sheet1!$B$2:$M$2</c:f>
              <c:numCache>
                <c:formatCode>0</c:formatCode>
                <c:ptCount val="12"/>
                <c:pt idx="0">
                  <c:v>2004</c:v>
                </c:pt>
                <c:pt idx="1">
                  <c:v>2005</c:v>
                </c:pt>
                <c:pt idx="2">
                  <c:v>2006</c:v>
                </c:pt>
                <c:pt idx="3">
                  <c:v>2007</c:v>
                </c:pt>
                <c:pt idx="4">
                  <c:v>2008</c:v>
                </c:pt>
                <c:pt idx="5">
                  <c:v>2009</c:v>
                </c:pt>
                <c:pt idx="6">
                  <c:v>2010</c:v>
                </c:pt>
                <c:pt idx="7">
                  <c:v>2011</c:v>
                </c:pt>
                <c:pt idx="8">
                  <c:v>2012</c:v>
                </c:pt>
                <c:pt idx="9">
                  <c:v>2013</c:v>
                </c:pt>
                <c:pt idx="10" formatCode="General">
                  <c:v>2014</c:v>
                </c:pt>
                <c:pt idx="11">
                  <c:v>2015</c:v>
                </c:pt>
              </c:numCache>
            </c:numRef>
          </c:cat>
          <c:val>
            <c:numRef>
              <c:f>Sheet1!$B$3:$M$3</c:f>
              <c:numCache>
                <c:formatCode>0.0</c:formatCode>
                <c:ptCount val="12"/>
                <c:pt idx="0">
                  <c:v>14.269662921348313</c:v>
                </c:pt>
                <c:pt idx="1">
                  <c:v>12.366666666666667</c:v>
                </c:pt>
                <c:pt idx="2">
                  <c:v>15.857142857142858</c:v>
                </c:pt>
                <c:pt idx="3">
                  <c:v>17.486910994764397</c:v>
                </c:pt>
                <c:pt idx="4">
                  <c:v>17.649456521739129</c:v>
                </c:pt>
                <c:pt idx="5">
                  <c:v>21.820128479657388</c:v>
                </c:pt>
                <c:pt idx="6">
                  <c:v>26.948051948051948</c:v>
                </c:pt>
                <c:pt idx="7">
                  <c:v>31.940928270042193</c:v>
                </c:pt>
                <c:pt idx="8">
                  <c:v>31.682974559686887</c:v>
                </c:pt>
                <c:pt idx="9">
                  <c:v>32.205607476635521</c:v>
                </c:pt>
                <c:pt idx="10">
                  <c:v>32.537037037037031</c:v>
                </c:pt>
                <c:pt idx="11" formatCode="General">
                  <c:v>27.311072056239016</c:v>
                </c:pt>
              </c:numCache>
            </c:numRef>
          </c:val>
          <c:extLst>
            <c:ext xmlns:c="http://schemas.openxmlformats.org/drawingml/2006/chart" xmlns:c16="http://schemas.microsoft.com/office/drawing/2014/chart" uri="{C3380CC4-5D6E-409C-BE32-E72D297353CC}">
              <c16:uniqueId val="{00000004-9D28-4275-93B7-9F6F9A68ACC0}"/>
            </c:ext>
          </c:extLst>
        </c:ser>
        <c:dLbls>
          <c:showLegendKey val="0"/>
          <c:showVal val="0"/>
          <c:showCatName val="0"/>
          <c:showSerName val="0"/>
          <c:showPercent val="0"/>
          <c:showBubbleSize val="0"/>
        </c:dLbls>
        <c:gapWidth val="20"/>
        <c:axId val="629981184"/>
        <c:axId val="629987064"/>
      </c:barChart>
      <c:catAx>
        <c:axId val="629981184"/>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29987064"/>
        <c:crosses val="autoZero"/>
        <c:auto val="1"/>
        <c:lblAlgn val="ctr"/>
        <c:lblOffset val="100"/>
        <c:noMultiLvlLbl val="0"/>
      </c:catAx>
      <c:valAx>
        <c:axId val="629987064"/>
        <c:scaling>
          <c:orientation val="minMax"/>
        </c:scaling>
        <c:delete val="0"/>
        <c:axPos val="l"/>
        <c:numFmt formatCode="0" sourceLinked="0"/>
        <c:majorTickMark val="out"/>
        <c:minorTickMark val="none"/>
        <c:tickLblPos val="nextTo"/>
        <c:crossAx val="629981184"/>
        <c:crosses val="autoZero"/>
        <c:crossBetween val="between"/>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72841410287632"/>
          <c:y val="0.057971014492753624"/>
          <c:w val="0.69294856184214082"/>
          <c:h val="0.726718711443121"/>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extLst>
              <c:ext xmlns:c="http://schemas.openxmlformats.org/drawingml/2006/chart" xmlns:c16="http://schemas.microsoft.com/office/drawing/2014/chart" uri="{C3380CC4-5D6E-409C-BE32-E72D297353CC}">
                <c16:uniqueId val="{00000000-D609-43FA-92C0-977E345767BF}"/>
              </c:ext>
            </c:extLst>
          </c:dPt>
          <c:dLbls>
            <c:dLbl>
              <c:idx val="0"/>
              <c:layout>
                <c:manualLayout>
                  <c:x val="-0.20898936601996915"/>
                  <c:y val="0.045247549184557055"/>
                </c:manualLayout>
              </c:layout>
              <c:tx>
                <c:rich>
                  <a:bodyPr vertOverflow="clip"/>
                  <a:lstStyle/>
                  <a:p>
                    <a:r>
                      <a:rPr lang="en-US"/>
                      <a:t>2005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D609-43FA-92C0-977E345767BF}"/>
                </c:ext>
                <c:ext xmlns:c15="http://schemas.microsoft.com/office/drawing/2012/chart" uri="{CE6537A1-D6FC-4f65-9D91-7224C49458BB}"/>
              </c:extLst>
            </c:dLbl>
            <c:dLbl>
              <c:idx val="1"/>
              <c:layout>
                <c:manualLayout>
                  <c:x val="-0.19227047649971588"/>
                  <c:y val="-0.11989905108015345"/>
                </c:manualLayout>
              </c:layout>
              <c:tx>
                <c:rich>
                  <a:bodyPr vertOverflow="clip"/>
                  <a:lstStyle/>
                  <a:p>
                    <a:r>
                      <a:rPr lang="en-US"/>
                      <a:t>2007</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D609-43FA-92C0-977E345767BF}"/>
                </c:ext>
                <c:ext xmlns:c15="http://schemas.microsoft.com/office/drawing/2012/chart" uri="{CE6537A1-D6FC-4f65-9D91-7224C49458BB}"/>
              </c:extLst>
            </c:dLbl>
            <c:dLbl>
              <c:idx val="2"/>
              <c:layout>
                <c:manualLayout>
                  <c:x val="-0.027576372541061232"/>
                  <c:y val="0.20649482917199452"/>
                </c:manualLayout>
              </c:layout>
              <c:tx>
                <c:rich>
                  <a:bodyPr vertOverflow="clip"/>
                  <a:lstStyle/>
                  <a:p>
                    <a:r>
                      <a:rPr lang="en-US"/>
                      <a:t>2010</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D609-43FA-92C0-977E345767BF}"/>
                </c:ext>
                <c:ext xmlns:c15="http://schemas.microsoft.com/office/drawing/2012/chart" uri="{CE6537A1-D6FC-4f65-9D91-7224C49458BB}"/>
              </c:extLst>
            </c:dLbl>
            <c:dLbl>
              <c:idx val="3"/>
              <c:layout>
                <c:manualLayout>
                  <c:x val="-0.1239694780420488"/>
                  <c:y val="-0.047832738856360905"/>
                </c:manualLayout>
              </c:layout>
              <c:tx>
                <c:rich>
                  <a:bodyPr vertOverflow="clip"/>
                  <a:lstStyle/>
                  <a:p>
                    <a:r>
                      <a:rPr lang="en-US"/>
                      <a:t>2008</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D609-43FA-92C0-977E345767BF}"/>
                </c:ext>
                <c:ext xmlns:c15="http://schemas.microsoft.com/office/drawing/2012/chart" uri="{CE6537A1-D6FC-4f65-9D91-7224C49458BB}"/>
              </c:extLst>
            </c:dLbl>
            <c:dLbl>
              <c:idx val="4"/>
              <c:delete val="1"/>
              <c:extLst>
                <c:ext xmlns:c="http://schemas.openxmlformats.org/drawingml/2006/chart" xmlns:c16="http://schemas.microsoft.com/office/drawing/2014/chart" uri="{C3380CC4-5D6E-409C-BE32-E72D297353CC}">
                  <c16:uniqueId val="{00000005-D609-43FA-92C0-977E345767BF}"/>
                </c:ext>
                <c:ext xmlns:c15="http://schemas.microsoft.com/office/drawing/2012/chart" uri="{CE6537A1-D6FC-4f65-9D91-7224C49458BB}"/>
              </c:extLst>
            </c:dLbl>
            <c:dLbl>
              <c:idx val="5"/>
              <c:delete val="1"/>
              <c:extLst>
                <c:ext xmlns:c="http://schemas.openxmlformats.org/drawingml/2006/chart" xmlns:c16="http://schemas.microsoft.com/office/drawing/2014/chart" uri="{C3380CC4-5D6E-409C-BE32-E72D297353CC}">
                  <c16:uniqueId val="{00000000-D609-43FA-92C0-977E345767BF}"/>
                </c:ext>
                <c:ext xmlns:c15="http://schemas.microsoft.com/office/drawing/2012/chart" uri="{CE6537A1-D6FC-4f65-9D91-7224C49458BB}"/>
              </c:extLst>
            </c:dLbl>
            <c:dLbl>
              <c:idx val="6"/>
              <c:delete val="1"/>
              <c:extLst>
                <c:ext xmlns:c="http://schemas.openxmlformats.org/drawingml/2006/chart" xmlns:c16="http://schemas.microsoft.com/office/drawing/2014/chart" uri="{C3380CC4-5D6E-409C-BE32-E72D297353CC}">
                  <c16:uniqueId val="{00000006-D609-43FA-92C0-977E345767BF}"/>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7-D609-43FA-92C0-977E345767BF}"/>
                </c:ext>
                <c:ext xmlns:c15="http://schemas.microsoft.com/office/drawing/2012/chart" uri="{CE6537A1-D6FC-4f65-9D91-7224C49458BB}"/>
              </c:extLst>
            </c:dLbl>
            <c:dLbl>
              <c:idx val="8"/>
              <c:delete val="1"/>
              <c:extLst>
                <c:ext xmlns:c="http://schemas.openxmlformats.org/drawingml/2006/chart" xmlns:c16="http://schemas.microsoft.com/office/drawing/2014/chart" uri="{C3380CC4-5D6E-409C-BE32-E72D297353CC}">
                  <c16:uniqueId val="{00000008-D609-43FA-92C0-977E345767BF}"/>
                </c:ext>
                <c:ext xmlns:c15="http://schemas.microsoft.com/office/drawing/2012/chart" uri="{CE6537A1-D6FC-4f65-9D91-7224C49458BB}"/>
              </c:extLst>
            </c:dLbl>
            <c:dLbl>
              <c:idx val="9"/>
              <c:layout>
                <c:manualLayout>
                  <c:x val="-0.055362718835403307"/>
                  <c:y val="-0.047821970971577268"/>
                </c:manualLayout>
              </c:layout>
              <c:tx>
                <c:rich>
                  <a:bodyPr vertOverflow="clip"/>
                  <a:lstStyle/>
                  <a:p>
                    <a:r>
                      <a:rPr lang="en-US"/>
                      <a:t>2014</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D609-43FA-92C0-977E345767BF}"/>
                </c:ext>
                <c:ext xmlns:c15="http://schemas.microsoft.com/office/drawing/2012/chart" uri="{CE6537A1-D6FC-4f65-9D91-7224C49458BB}"/>
              </c:extLst>
            </c:dLbl>
            <c:dLbl>
              <c:idx val="10"/>
              <c:layout>
                <c:manualLayout>
                  <c:x val="-0.048682691305879967"/>
                  <c:y val="-0.05288250515989211"/>
                </c:manualLayout>
              </c:layout>
              <c:tx>
                <c:rich>
                  <a:bodyPr vertOverflow="clip"/>
                  <a:lstStyle/>
                  <a:p>
                    <a:r>
                      <a:rPr lang="en-US"/>
                      <a:t>2015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D609-43FA-92C0-977E345767BF}"/>
                </c:ext>
                <c:ext xmlns:c15="http://schemas.microsoft.com/office/drawing/2012/chart" uri="{CE6537A1-D6FC-4f65-9D91-7224C49458BB}"/>
              </c:extLst>
            </c:dLbl>
            <c:dLbl>
              <c:idx val="11"/>
              <c:layout>
                <c:manualLayout>
                  <c:x val="-0.045473776802943768"/>
                  <c:y val="-0.029435967255112244"/>
                </c:manualLayout>
              </c:layout>
              <c:tx>
                <c:rich>
                  <a:bodyPr/>
                  <a:lstStyle/>
                  <a:p>
                    <a:r>
                      <a:rPr lang="lv-LV"/>
                      <a:t>SK</a:t>
                    </a:r>
                    <a:endParaRPr lang="en-US"/>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D609-43FA-92C0-977E345767BF}"/>
                </c:ext>
                <c:ext xmlns:c15="http://schemas.microsoft.com/office/drawing/2012/chart" uri="{CE6537A1-D6FC-4f65-9D91-7224C49458BB}"/>
              </c:extLst>
            </c:dLbl>
            <c:dLbl>
              <c:idx val="12"/>
              <c:tx>
                <c:rich>
                  <a:bodyPr/>
                  <a:lstStyle/>
                  <a:p>
                    <a:r>
                      <a:rPr lang="lv-LV"/>
                      <a:t>FI</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D609-43FA-92C0-977E345767BF}"/>
                </c:ext>
                <c:ext xmlns:c15="http://schemas.microsoft.com/office/drawing/2012/chart" uri="{CE6537A1-D6FC-4f65-9D91-7224C49458BB}"/>
              </c:extLst>
            </c:dLbl>
            <c:dLbl>
              <c:idx val="13"/>
              <c:tx>
                <c:rich>
                  <a:bodyPr/>
                  <a:lstStyle/>
                  <a:p>
                    <a:r>
                      <a:rPr lang="lv-LV" b="0"/>
                      <a:t>SE</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D609-43FA-92C0-977E345767BF}"/>
                </c:ext>
                <c:ext xmlns:c15="http://schemas.microsoft.com/office/drawing/2012/chart" uri="{CE6537A1-D6FC-4f65-9D91-7224C49458BB}"/>
              </c:extLst>
            </c:dLbl>
            <c:spPr>
              <a:noFill/>
              <a:ln>
                <a:noFill/>
              </a:ln>
              <a:effectLst/>
            </c:spPr>
            <c:txPr>
              <a:bodyPr/>
              <a:lstStyle/>
              <a:p>
                <a:pPr>
                  <a:defRPr b="0"/>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Sheet1!$B$3:$B$13</c:f>
              <c:numCache>
                <c:formatCode>0.0</c:formatCode>
                <c:ptCount val="11"/>
                <c:pt idx="0">
                  <c:v>12.366666666666667</c:v>
                </c:pt>
                <c:pt idx="1">
                  <c:v>15.857142857142858</c:v>
                </c:pt>
                <c:pt idx="2">
                  <c:v>17.486910994764397</c:v>
                </c:pt>
                <c:pt idx="3">
                  <c:v>17.649456521739129</c:v>
                </c:pt>
                <c:pt idx="4">
                  <c:v>21.820128479657388</c:v>
                </c:pt>
                <c:pt idx="5">
                  <c:v>26.948051948051948</c:v>
                </c:pt>
                <c:pt idx="6">
                  <c:v>31.940928270042193</c:v>
                </c:pt>
                <c:pt idx="7">
                  <c:v>31.682974559686887</c:v>
                </c:pt>
                <c:pt idx="8">
                  <c:v>32.205607476635521</c:v>
                </c:pt>
                <c:pt idx="9">
                  <c:v>32.537037037037031</c:v>
                </c:pt>
                <c:pt idx="10">
                  <c:v>27.311072056239016</c:v>
                </c:pt>
              </c:numCache>
            </c:numRef>
          </c:xVal>
          <c:yVal>
            <c:numRef>
              <c:f>Sheet1!$C$3:$C$13</c:f>
              <c:numCache>
                <c:formatCode>0.0</c:formatCode>
                <c:ptCount val="11"/>
                <c:pt idx="0">
                  <c:v>0.4860204551217634</c:v>
                </c:pt>
                <c:pt idx="1">
                  <c:v>0.49025769956002513</c:v>
                </c:pt>
                <c:pt idx="2">
                  <c:v>0.57499835493847473</c:v>
                </c:pt>
                <c:pt idx="3">
                  <c:v>0.69639913655594088</c:v>
                </c:pt>
                <c:pt idx="4">
                  <c:v>0.58953073423142111</c:v>
                </c:pt>
                <c:pt idx="5">
                  <c:v>0.46150948622074511</c:v>
                </c:pt>
                <c:pt idx="6">
                  <c:v>0.39187508349041905</c:v>
                </c:pt>
                <c:pt idx="7">
                  <c:v>0.44465680733118129</c:v>
                </c:pt>
                <c:pt idx="8">
                  <c:v>0.45868649546324325</c:v>
                </c:pt>
                <c:pt idx="9">
                  <c:v>0.48895327779789943</c:v>
                </c:pt>
                <c:pt idx="10">
                  <c:v>0.58736861861861867</c:v>
                </c:pt>
              </c:numCache>
            </c:numRef>
          </c:yVal>
          <c:smooth val="1"/>
          <c:extLst>
            <c:ext xmlns:c="http://schemas.openxmlformats.org/drawingml/2006/chart" xmlns:c16="http://schemas.microsoft.com/office/drawing/2014/chart" uri="{C3380CC4-5D6E-409C-BE32-E72D297353CC}">
              <c16:uniqueId val="{0000000E-D609-43FA-92C0-977E345767BF}"/>
            </c:ext>
          </c:extLst>
        </c:ser>
        <c:dLbls>
          <c:showLegendKey val="0"/>
          <c:showVal val="0"/>
          <c:showCatName val="0"/>
          <c:showSerName val="0"/>
          <c:showPercent val="0"/>
          <c:showBubbleSize val="0"/>
        </c:dLbls>
        <c:axId val="629981576"/>
        <c:axId val="629985496"/>
      </c:scatterChart>
      <c:valAx>
        <c:axId val="629981576"/>
        <c:scaling>
          <c:orientation val="minMax"/>
        </c:scaling>
        <c:delete val="0"/>
        <c:axPos val="b"/>
        <c:title>
          <c:tx>
            <c:rich>
              <a:bodyPr vertOverflow="clip"/>
              <a:lstStyle/>
              <a:p>
                <a:pPr>
                  <a:defRPr sz="700" b="0">
                    <a:latin typeface="Arial Narrow" pitchFamily="34" charset="0"/>
                  </a:defRPr>
                </a:pPr>
                <a:r>
                  <a:rPr lang="lv-LV" sz="700" b="0">
                    <a:latin typeface="Arial Narrow" pitchFamily="34" charset="0"/>
                  </a:rPr>
                  <a:t>Produktivitāte (pievienotā vērtība </a:t>
                </a:r>
                <a:br>
                  <a:rPr lang="lv-LV" sz="700" b="0">
                    <a:latin typeface="Arial Narrow" pitchFamily="34" charset="0"/>
                  </a:rPr>
                </a:br>
                <a:r>
                  <a:rPr lang="lv-LV" sz="700" b="0">
                    <a:latin typeface="Arial Narrow" pitchFamily="34" charset="0"/>
                  </a:rPr>
                  <a:t>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29985496"/>
        <c:crosses val="autoZero"/>
        <c:crossBetween val="midCat"/>
        <c:majorUnit val="10"/>
      </c:valAx>
      <c:valAx>
        <c:axId val="629985496"/>
        <c:scaling>
          <c:orientation val="minMax"/>
          <c:min val="0.30000000000000004"/>
        </c:scaling>
        <c:delete val="0"/>
        <c:axPos val="l"/>
        <c:title>
          <c:tx>
            <c:rich>
              <a:bodyPr vertOverflow="clip"/>
              <a:lstStyle/>
              <a:p>
                <a:pPr>
                  <a:defRPr sz="700" b="0"/>
                </a:pPr>
                <a:r>
                  <a:rPr lang="lv-LV" sz="700" b="0">
                    <a:latin typeface="Arial Narrow" pitchFamily="34" charset="0"/>
                  </a:rPr>
                  <a:t>Darbaspēka izmaksas </a:t>
                </a:r>
                <a:br>
                  <a:rPr lang="lv-LV" sz="700" b="0">
                    <a:latin typeface="Arial Narrow" pitchFamily="34" charset="0"/>
                  </a:rPr>
                </a:br>
                <a:r>
                  <a:rPr lang="lv-LV" sz="700" b="0">
                    <a:latin typeface="Arial Narrow" pitchFamily="34" charset="0"/>
                  </a:rPr>
                  <a:t>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29981576"/>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8"/>
          <c:y val="0.046005165816941182"/>
          <c:w val="0.85762258292899962"/>
          <c:h val="0.831279863372076"/>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Sheet1!$B$1:$J$1</c:f>
              <c:strCache>
                <c:ptCount val="9"/>
                <c:pt idx="0">
                  <c:v>2007</c:v>
                </c:pt>
                <c:pt idx="1">
                  <c:v>2008</c:v>
                </c:pt>
                <c:pt idx="2">
                  <c:v>2009</c:v>
                </c:pt>
                <c:pt idx="3">
                  <c:v>2010</c:v>
                </c:pt>
                <c:pt idx="4">
                  <c:v>2011</c:v>
                </c:pt>
                <c:pt idx="5">
                  <c:v>2012</c:v>
                </c:pt>
                <c:pt idx="6">
                  <c:v>2013</c:v>
                </c:pt>
                <c:pt idx="7">
                  <c:v>2014</c:v>
                </c:pt>
                <c:pt idx="8">
                  <c:v>2015</c:v>
                </c:pt>
              </c:strCache>
            </c:strRef>
          </c:cat>
          <c:val>
            <c:numRef>
              <c:f>Sheet1!$B$2:$J$2</c:f>
              <c:numCache>
                <c:formatCode>0</c:formatCode>
                <c:ptCount val="9"/>
                <c:pt idx="0">
                  <c:v>33.733810364325855</c:v>
                </c:pt>
                <c:pt idx="1">
                  <c:v>39.366062694556014</c:v>
                </c:pt>
                <c:pt idx="2">
                  <c:v>35.265739314535836</c:v>
                </c:pt>
                <c:pt idx="3">
                  <c:v>31.598932010849889</c:v>
                </c:pt>
                <c:pt idx="4">
                  <c:v>31.869900214985641</c:v>
                </c:pt>
                <c:pt idx="5">
                  <c:v>33.801329812213076</c:v>
                </c:pt>
                <c:pt idx="6">
                  <c:v>35.118191713592282</c:v>
                </c:pt>
                <c:pt idx="7">
                  <c:v>37.375186420479331</c:v>
                </c:pt>
                <c:pt idx="8">
                  <c:v>39.02724647709001</c:v>
                </c:pt>
              </c:numCache>
            </c:numRef>
          </c:val>
          <c:extLst>
            <c:ext xmlns:c="http://schemas.openxmlformats.org/drawingml/2006/chart" xmlns:c16="http://schemas.microsoft.com/office/drawing/2014/chart" uri="{C3380CC4-5D6E-409C-BE32-E72D297353CC}">
              <c16:uniqueId val="{00000000-9564-4E43-A711-18EE95105818}"/>
            </c:ext>
          </c:extLst>
        </c:ser>
        <c:ser>
          <c:idx val="1"/>
          <c:order val="1"/>
          <c:tx>
            <c:strRef>
              <c:f>Sheet1!$A$3</c:f>
              <c:strCache>
                <c:ptCount val="1"/>
                <c:pt idx="0">
                  <c:v>Nemetālisko minerālu izstrādājumu raž.</c:v>
                </c:pt>
              </c:strCache>
            </c:strRef>
          </c:tx>
          <c:spPr>
            <a:ln>
              <a:solidFill>
                <a:sysClr val="windowText" lastClr="000000"/>
              </a:solidFill>
            </a:ln>
          </c:spPr>
          <c:invertIfNegative val="0"/>
          <c:dLbls>
            <c:numFmt formatCode="#,##0" sourceLinked="0"/>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2007</c:v>
                </c:pt>
                <c:pt idx="1">
                  <c:v>2008</c:v>
                </c:pt>
                <c:pt idx="2">
                  <c:v>2009</c:v>
                </c:pt>
                <c:pt idx="3">
                  <c:v>2010</c:v>
                </c:pt>
                <c:pt idx="4">
                  <c:v>2011</c:v>
                </c:pt>
                <c:pt idx="5">
                  <c:v>2012</c:v>
                </c:pt>
                <c:pt idx="6">
                  <c:v>2013</c:v>
                </c:pt>
                <c:pt idx="7">
                  <c:v>2014</c:v>
                </c:pt>
                <c:pt idx="8">
                  <c:v>2015</c:v>
                </c:pt>
              </c:strCache>
            </c:strRef>
          </c:cat>
          <c:val>
            <c:numRef>
              <c:f>Sheet1!$B$3:$J$3</c:f>
              <c:numCache>
                <c:formatCode>0</c:formatCode>
                <c:ptCount val="9"/>
                <c:pt idx="0">
                  <c:v>32.925324781476881</c:v>
                </c:pt>
                <c:pt idx="1">
                  <c:v>39.237607154304186</c:v>
                </c:pt>
                <c:pt idx="2">
                  <c:v>43.002359587511634</c:v>
                </c:pt>
                <c:pt idx="3">
                  <c:v>38.796991409188024</c:v>
                </c:pt>
                <c:pt idx="4">
                  <c:v>38.429053517086167</c:v>
                </c:pt>
                <c:pt idx="5">
                  <c:v>42.098950204412859</c:v>
                </c:pt>
                <c:pt idx="6">
                  <c:v>43.675370712234383</c:v>
                </c:pt>
                <c:pt idx="7">
                  <c:v>46.156377696412171</c:v>
                </c:pt>
                <c:pt idx="8">
                  <c:v>45.430768126610829</c:v>
                </c:pt>
              </c:numCache>
            </c:numRef>
          </c:val>
          <c:extLst>
            <c:ext xmlns:c="http://schemas.openxmlformats.org/drawingml/2006/chart" xmlns:c16="http://schemas.microsoft.com/office/drawing/2014/chart" uri="{C3380CC4-5D6E-409C-BE32-E72D297353CC}">
              <c16:uniqueId val="{00000001-9564-4E43-A711-18EE95105818}"/>
            </c:ext>
          </c:extLst>
        </c:ser>
        <c:dLbls>
          <c:showLegendKey val="0"/>
          <c:showVal val="0"/>
          <c:showCatName val="0"/>
          <c:showSerName val="0"/>
          <c:showPercent val="0"/>
          <c:showBubbleSize val="0"/>
        </c:dLbls>
        <c:gapWidth val="50"/>
        <c:overlap val="52"/>
        <c:axId val="629993336"/>
        <c:axId val="629987848"/>
      </c:barChart>
      <c:catAx>
        <c:axId val="629993336"/>
        <c:scaling>
          <c:orientation val="minMax"/>
        </c:scaling>
        <c:delete val="0"/>
        <c:axPos val="b"/>
        <c:numFmt formatCode="General" sourceLinked="0"/>
        <c:majorTickMark val="out"/>
        <c:minorTickMark val="none"/>
        <c:tickLblPos val="nextTo"/>
        <c:txPr>
          <a:bodyPr/>
          <a:lstStyle/>
          <a:p>
            <a:pPr>
              <a:defRPr sz="700"/>
            </a:pPr>
            <a:endParaRPr lang="lv-LV"/>
          </a:p>
        </c:txPr>
        <c:crossAx val="629987848"/>
        <c:crosses val="autoZero"/>
        <c:auto val="1"/>
        <c:lblAlgn val="ctr"/>
        <c:lblOffset val="100"/>
        <c:noMultiLvlLbl val="0"/>
      </c:catAx>
      <c:valAx>
        <c:axId val="629987848"/>
        <c:scaling>
          <c:orientation val="minMax"/>
          <c:max val="80"/>
        </c:scaling>
        <c:delete val="0"/>
        <c:axPos val="l"/>
        <c:numFmt formatCode="0" sourceLinked="0"/>
        <c:majorTickMark val="out"/>
        <c:minorTickMark val="none"/>
        <c:tickLblPos val="nextTo"/>
        <c:txPr>
          <a:bodyPr/>
          <a:lstStyle/>
          <a:p>
            <a:pPr>
              <a:defRPr sz="800"/>
            </a:pPr>
            <a:endParaRPr lang="lv-LV"/>
          </a:p>
        </c:txPr>
        <c:crossAx val="629993336"/>
        <c:crosses val="autoZero"/>
        <c:crossBetween val="between"/>
        <c:majorUnit val="20"/>
      </c:valAx>
      <c:spPr>
        <a:ln>
          <a:noFill/>
        </a:ln>
      </c:spPr>
    </c:plotArea>
    <c:legend>
      <c:legendPos val="r"/>
      <c:layout>
        <c:manualLayout>
          <c:xMode val="edge"/>
          <c:yMode val="edge"/>
          <c:x val="0.10756494003272012"/>
          <c:y val="0.04952826842590622"/>
          <c:w val="0.86054541388604455"/>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04801605681643"/>
          <c:y val="0.054414414414414421"/>
          <c:w val="0.85762258292899962"/>
          <c:h val="0.83127986337207582"/>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Sheet1!$B$1:$I$1</c:f>
              <c:strCache>
                <c:ptCount val="8"/>
                <c:pt idx="0">
                  <c:v>2007</c:v>
                </c:pt>
                <c:pt idx="1">
                  <c:v>2008</c:v>
                </c:pt>
                <c:pt idx="2">
                  <c:v>2009</c:v>
                </c:pt>
                <c:pt idx="3">
                  <c:v>2010</c:v>
                </c:pt>
                <c:pt idx="4">
                  <c:v>2011</c:v>
                </c:pt>
                <c:pt idx="5">
                  <c:v>2012</c:v>
                </c:pt>
                <c:pt idx="6">
                  <c:v>2013</c:v>
                </c:pt>
                <c:pt idx="7">
                  <c:v>2014</c:v>
                </c:pt>
              </c:strCache>
            </c:strRef>
          </c:cat>
          <c:val>
            <c:numRef>
              <c:f>Sheet1!$B$2:$I$2</c:f>
              <c:numCache>
                <c:formatCode>#0.0</c:formatCode>
                <c:ptCount val="8"/>
                <c:pt idx="0">
                  <c:v>37.543267740570116</c:v>
                </c:pt>
                <c:pt idx="1">
                  <c:v>40.842057643741676</c:v>
                </c:pt>
                <c:pt idx="2">
                  <c:v>38.288707041966028</c:v>
                </c:pt>
                <c:pt idx="3">
                  <c:v>37.097778599507883</c:v>
                </c:pt>
                <c:pt idx="4">
                  <c:v>40.389766440010831</c:v>
                </c:pt>
                <c:pt idx="5">
                  <c:v>42.46259667259212</c:v>
                </c:pt>
                <c:pt idx="6">
                  <c:v>42.568476309606638</c:v>
                </c:pt>
                <c:pt idx="7">
                  <c:v>43.635115226322327</c:v>
                </c:pt>
              </c:numCache>
            </c:numRef>
          </c:val>
          <c:extLst>
            <c:ext xmlns:c="http://schemas.openxmlformats.org/drawingml/2006/chart" xmlns:c16="http://schemas.microsoft.com/office/drawing/2014/chart" uri="{C3380CC4-5D6E-409C-BE32-E72D297353CC}">
              <c16:uniqueId val="{00000000-D44E-4EF2-8DD5-E7F386BD9E29}"/>
            </c:ext>
          </c:extLst>
        </c:ser>
        <c:ser>
          <c:idx val="1"/>
          <c:order val="1"/>
          <c:tx>
            <c:strRef>
              <c:f>Sheet1!$A$3</c:f>
              <c:strCache>
                <c:ptCount val="1"/>
                <c:pt idx="0">
                  <c:v>Nemetālisko minerālu izstrādājumu raž.</c:v>
                </c:pt>
              </c:strCache>
            </c:strRef>
          </c:tx>
          <c:spPr>
            <a:ln>
              <a:solidFill>
                <a:sysClr val="windowText" lastClr="000000"/>
              </a:solidFill>
            </a:ln>
          </c:spPr>
          <c:invertIfNegative val="0"/>
          <c:dLbls>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2007</c:v>
                </c:pt>
                <c:pt idx="1">
                  <c:v>2008</c:v>
                </c:pt>
                <c:pt idx="2">
                  <c:v>2009</c:v>
                </c:pt>
                <c:pt idx="3">
                  <c:v>2010</c:v>
                </c:pt>
                <c:pt idx="4">
                  <c:v>2011</c:v>
                </c:pt>
                <c:pt idx="5">
                  <c:v>2012</c:v>
                </c:pt>
                <c:pt idx="6">
                  <c:v>2013</c:v>
                </c:pt>
                <c:pt idx="7">
                  <c:v>2014</c:v>
                </c:pt>
              </c:strCache>
            </c:strRef>
          </c:cat>
          <c:val>
            <c:numRef>
              <c:f>Sheet1!$B$3:$I$3</c:f>
              <c:numCache>
                <c:formatCode>0</c:formatCode>
                <c:ptCount val="8"/>
                <c:pt idx="0">
                  <c:v>34.179318757110366</c:v>
                </c:pt>
                <c:pt idx="1">
                  <c:v>40.40933485713866</c:v>
                </c:pt>
                <c:pt idx="2">
                  <c:v>52.120866909477968</c:v>
                </c:pt>
                <c:pt idx="3">
                  <c:v>57.688649649426559</c:v>
                </c:pt>
                <c:pt idx="4">
                  <c:v>71.073962413517648</c:v>
                </c:pt>
                <c:pt idx="5">
                  <c:v>74.581264310160208</c:v>
                </c:pt>
                <c:pt idx="6">
                  <c:v>75.442332662951785</c:v>
                </c:pt>
                <c:pt idx="7">
                  <c:v>71.97769237249949</c:v>
                </c:pt>
              </c:numCache>
            </c:numRef>
          </c:val>
          <c:extLst>
            <c:ext xmlns:c="http://schemas.openxmlformats.org/drawingml/2006/chart" xmlns:c16="http://schemas.microsoft.com/office/drawing/2014/chart" uri="{C3380CC4-5D6E-409C-BE32-E72D297353CC}">
              <c16:uniqueId val="{00000001-D44E-4EF2-8DD5-E7F386BD9E29}"/>
            </c:ext>
          </c:extLst>
        </c:ser>
        <c:dLbls>
          <c:showLegendKey val="0"/>
          <c:showVal val="0"/>
          <c:showCatName val="0"/>
          <c:showSerName val="0"/>
          <c:showPercent val="0"/>
          <c:showBubbleSize val="0"/>
        </c:dLbls>
        <c:gapWidth val="50"/>
        <c:overlap val="52"/>
        <c:axId val="629992944"/>
        <c:axId val="629988632"/>
      </c:barChart>
      <c:catAx>
        <c:axId val="629992944"/>
        <c:scaling>
          <c:orientation val="minMax"/>
        </c:scaling>
        <c:delete val="0"/>
        <c:axPos val="b"/>
        <c:numFmt formatCode="General" sourceLinked="0"/>
        <c:majorTickMark val="out"/>
        <c:minorTickMark val="none"/>
        <c:tickLblPos val="nextTo"/>
        <c:txPr>
          <a:bodyPr/>
          <a:lstStyle/>
          <a:p>
            <a:pPr>
              <a:defRPr sz="700"/>
            </a:pPr>
            <a:endParaRPr lang="lv-LV"/>
          </a:p>
        </c:txPr>
        <c:crossAx val="629988632"/>
        <c:crosses val="autoZero"/>
        <c:auto val="1"/>
        <c:lblAlgn val="ctr"/>
        <c:lblOffset val="100"/>
        <c:noMultiLvlLbl val="0"/>
      </c:catAx>
      <c:valAx>
        <c:axId val="629988632"/>
        <c:scaling>
          <c:orientation val="minMax"/>
          <c:max val="100"/>
        </c:scaling>
        <c:delete val="0"/>
        <c:axPos val="l"/>
        <c:numFmt formatCode="#0.0" sourceLinked="1"/>
        <c:majorTickMark val="out"/>
        <c:minorTickMark val="none"/>
        <c:tickLblPos val="nextTo"/>
        <c:txPr>
          <a:bodyPr/>
          <a:lstStyle/>
          <a:p>
            <a:pPr>
              <a:defRPr sz="800"/>
            </a:pPr>
            <a:endParaRPr lang="lv-LV"/>
          </a:p>
        </c:txPr>
        <c:crossAx val="629992944"/>
        <c:crosses val="autoZero"/>
        <c:crossBetween val="between"/>
        <c:majorUnit val="20"/>
      </c:valAx>
      <c:spPr>
        <a:ln>
          <a:noFill/>
        </a:ln>
      </c:spPr>
    </c:plotArea>
    <c:legend>
      <c:legendPos val="r"/>
      <c:layout>
        <c:manualLayout>
          <c:xMode val="edge"/>
          <c:yMode val="edge"/>
          <c:x val="0.10458098987626546"/>
          <c:y val="0.013492232389870183"/>
          <c:w val="0.88812523434570678"/>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46717244654"/>
          <c:y val="0.044057617797775277"/>
          <c:w val="0.9310540474739486"/>
          <c:h val="0.52737980923116323"/>
        </c:manualLayout>
      </c:layout>
      <c:barChart>
        <c:barDir val="col"/>
        <c:grouping val="clustered"/>
        <c:varyColors val="0"/>
        <c:ser>
          <c:idx val="1"/>
          <c:order val="0"/>
          <c:tx>
            <c:strRef>
              <c:f>Sheet1!$B$3</c:f>
              <c:strCache>
                <c:ptCount val="1"/>
                <c:pt idx="0">
                  <c:v>Compensation per employees 1000 of euro</c:v>
                </c:pt>
              </c:strCache>
            </c:strRef>
          </c:tx>
          <c:spPr>
            <a:solidFill>
              <a:schemeClr val="accent3">
                <a:lumMod val="50000"/>
              </a:schemeClr>
            </a:solidFill>
            <a:ln w="19050"/>
          </c:spPr>
          <c:invertIfNegative val="0"/>
          <c:dPt>
            <c:idx val="12"/>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6-D899-467F-B465-63CA97668FCA}"/>
              </c:ext>
            </c:extLst>
          </c:dPt>
          <c:dPt>
            <c:idx val="19"/>
            <c:invertIfNegative val="0"/>
            <c:bubble3D val="0"/>
            <c:extLst>
              <c:ext xmlns:c="http://schemas.openxmlformats.org/drawingml/2006/chart" xmlns:c16="http://schemas.microsoft.com/office/drawing/2014/chart" uri="{C3380CC4-5D6E-409C-BE32-E72D297353CC}">
                <c16:uniqueId val="{00000001-92D3-461F-9004-8AC8D82474B4}"/>
              </c:ext>
            </c:extLst>
          </c:dPt>
          <c:dPt>
            <c:idx val="20"/>
            <c:invertIfNegative val="0"/>
            <c:bubble3D val="0"/>
            <c:spPr>
              <a:solidFill>
                <a:srgbClr val="C00000"/>
              </a:solidFill>
              <a:ln w="19050"/>
            </c:spPr>
            <c:extLst>
              <c:ext xmlns:c="http://schemas.openxmlformats.org/drawingml/2006/chart" xmlns:c16="http://schemas.microsoft.com/office/drawing/2014/chart" uri="{C3380CC4-5D6E-409C-BE32-E72D297353CC}">
                <c16:uniqueId val="{00000002-92D3-461F-9004-8AC8D82474B4}"/>
              </c:ext>
            </c:extLst>
          </c:dPt>
          <c:dPt>
            <c:idx val="22"/>
            <c:invertIfNegative val="0"/>
            <c:bubble3D val="0"/>
            <c:extLst>
              <c:ext xmlns:c="http://schemas.openxmlformats.org/drawingml/2006/chart" xmlns:c16="http://schemas.microsoft.com/office/drawing/2014/chart" uri="{C3380CC4-5D6E-409C-BE32-E72D297353CC}">
                <c16:uniqueId val="{00000003-92D3-461F-9004-8AC8D82474B4}"/>
              </c:ext>
            </c:extLst>
          </c:dPt>
          <c:dPt>
            <c:idx val="24"/>
            <c:invertIfNegative val="0"/>
            <c:bubble3D val="0"/>
            <c:extLst>
              <c:ext xmlns:c="http://schemas.openxmlformats.org/drawingml/2006/chart" xmlns:c16="http://schemas.microsoft.com/office/drawing/2014/chart" uri="{C3380CC4-5D6E-409C-BE32-E72D297353CC}">
                <c16:uniqueId val="{00000004-92D3-461F-9004-8AC8D82474B4}"/>
              </c:ext>
            </c:extLst>
          </c:dPt>
          <c:dPt>
            <c:idx val="25"/>
            <c:invertIfNegative val="0"/>
            <c:bubble3D val="0"/>
            <c:extLst>
              <c:ext xmlns:c="http://schemas.openxmlformats.org/drawingml/2006/chart" xmlns:c16="http://schemas.microsoft.com/office/drawing/2014/chart" uri="{C3380CC4-5D6E-409C-BE32-E72D297353CC}">
                <c16:uniqueId val="{00000005-92D3-461F-9004-8AC8D82474B4}"/>
              </c:ext>
            </c:extLst>
          </c:dPt>
          <c:dLbls>
            <c:dLbl>
              <c:idx val="19"/>
              <c:layout>
                <c:manualLayout>
                  <c:x val="0"/>
                  <c:y val="-0.010840108401084011"/>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92D3-461F-9004-8AC8D82474B4}"/>
                </c:ext>
                <c:ext xmlns:c15="http://schemas.microsoft.com/office/drawing/2012/chart" uri="{CE6537A1-D6FC-4f65-9D91-7224C49458BB}"/>
              </c:extLst>
            </c:dLbl>
            <c:dLbl>
              <c:idx val="20"/>
              <c:numFmt formatCode="#,##0" sourceLinked="0"/>
              <c:spPr>
                <a:noFill/>
                <a:ln>
                  <a:noFill/>
                </a:ln>
                <a:effectLst/>
              </c:spPr>
              <c:txPr>
                <a:bodyPr/>
                <a:lstStyle/>
                <a:p>
                  <a:pPr>
                    <a:defRPr sz="600" b="1"/>
                  </a:pPr>
                  <a:endParaRPr lang="lv-LV"/>
                </a:p>
              </c:txPr>
              <c:showLegendKey val="0"/>
              <c:showVal val="1"/>
              <c:showCatName val="0"/>
              <c:showSerName val="0"/>
              <c:showPercent val="0"/>
              <c:showBubbleSize val="0"/>
            </c:dLbl>
            <c:dLbl>
              <c:idx val="22"/>
              <c:layout>
                <c:manualLayout>
                  <c:x val="0"/>
                  <c:y val="0.010839254849241406"/>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92D3-461F-9004-8AC8D82474B4}"/>
                </c:ext>
                <c:ext xmlns:c15="http://schemas.microsoft.com/office/drawing/2012/chart" uri="{CE6537A1-D6FC-4f65-9D91-7224C49458BB}"/>
              </c:extLst>
            </c:dLbl>
            <c:dLbl>
              <c:idx val="24"/>
              <c:layout>
                <c:manualLayout>
                  <c:x val="-0.0040281973816717019"/>
                  <c:y val="-3.6702729232016727E-05"/>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92D3-461F-9004-8AC8D82474B4}"/>
                </c:ext>
                <c:ext xmlns:c15="http://schemas.microsoft.com/office/drawing/2012/chart" uri="{CE6537A1-D6FC-4f65-9D91-7224C49458BB}"/>
              </c:extLst>
            </c:dLbl>
            <c:dLbl>
              <c:idx val="25"/>
              <c:layout>
                <c:manualLayout>
                  <c:x val="0"/>
                  <c:y val="0.0047350290403144375"/>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92D3-461F-9004-8AC8D82474B4}"/>
                </c:ext>
                <c:ext xmlns:c15="http://schemas.microsoft.com/office/drawing/2012/chart" uri="{CE6537A1-D6FC-4f65-9D91-7224C49458BB}"/>
              </c:extLst>
            </c:dLbl>
            <c:numFmt formatCode="#,##0" sourceLinked="0"/>
            <c:spPr>
              <a:noFill/>
              <a:ln>
                <a:noFill/>
              </a:ln>
              <a:effectLst/>
            </c:spPr>
            <c:txPr>
              <a:bodyPr/>
              <a:lstStyle/>
              <a:p>
                <a:pPr>
                  <a:defRPr sz="600" b="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Sheet1!$A$4:$A$30</c:f>
              <c:strCache>
                <c:ptCount val="27"/>
                <c:pt idx="0">
                  <c:v>Beļģija</c:v>
                </c:pt>
                <c:pt idx="1">
                  <c:v>Dānija</c:v>
                </c:pt>
                <c:pt idx="2">
                  <c:v>Apv. Karaliste</c:v>
                </c:pt>
                <c:pt idx="3">
                  <c:v>Nīderlande</c:v>
                </c:pt>
                <c:pt idx="4">
                  <c:v>Zviedrija</c:v>
                </c:pt>
                <c:pt idx="5">
                  <c:v>Austrija</c:v>
                </c:pt>
                <c:pt idx="6">
                  <c:v>Francija</c:v>
                </c:pt>
                <c:pt idx="7">
                  <c:v>Somija</c:v>
                </c:pt>
                <c:pt idx="8">
                  <c:v>Vācija</c:v>
                </c:pt>
                <c:pt idx="9">
                  <c:v>Īrija</c:v>
                </c:pt>
                <c:pt idx="10">
                  <c:v>Itālija</c:v>
                </c:pt>
                <c:pt idx="11">
                  <c:v>Spānija</c:v>
                </c:pt>
                <c:pt idx="12">
                  <c:v>ES-28</c:v>
                </c:pt>
                <c:pt idx="13">
                  <c:v>Kipra</c:v>
                </c:pt>
                <c:pt idx="14">
                  <c:v>Slovēnija</c:v>
                </c:pt>
                <c:pt idx="15">
                  <c:v>Grieķija</c:v>
                </c:pt>
                <c:pt idx="16">
                  <c:v>Igaunija</c:v>
                </c:pt>
                <c:pt idx="17">
                  <c:v>Portugāle</c:v>
                </c:pt>
                <c:pt idx="18">
                  <c:v>Slovākija</c:v>
                </c:pt>
                <c:pt idx="19">
                  <c:v>Čehija</c:v>
                </c:pt>
                <c:pt idx="20">
                  <c:v>Latvija</c:v>
                </c:pt>
                <c:pt idx="21">
                  <c:v>Lietuva</c:v>
                </c:pt>
                <c:pt idx="22">
                  <c:v>Horvātija</c:v>
                </c:pt>
                <c:pt idx="23">
                  <c:v>Ungārija</c:v>
                </c:pt>
                <c:pt idx="24">
                  <c:v>Polija</c:v>
                </c:pt>
                <c:pt idx="25">
                  <c:v>Bulgārija</c:v>
                </c:pt>
                <c:pt idx="26">
                  <c:v>Rumānija</c:v>
                </c:pt>
              </c:strCache>
            </c:strRef>
          </c:cat>
          <c:val>
            <c:numRef>
              <c:f>Sheet1!$B$4:$B$30</c:f>
              <c:numCache>
                <c:formatCode>#,##0.0</c:formatCode>
                <c:ptCount val="27"/>
                <c:pt idx="0">
                  <c:v>62.5763358778626</c:v>
                </c:pt>
                <c:pt idx="1">
                  <c:v>61.375</c:v>
                </c:pt>
                <c:pt idx="2">
                  <c:v>61.0586588624507</c:v>
                </c:pt>
                <c:pt idx="3">
                  <c:v>56.45</c:v>
                </c:pt>
                <c:pt idx="4">
                  <c:v>53.352941176470587</c:v>
                </c:pt>
                <c:pt idx="5">
                  <c:v>52.052202283849923</c:v>
                </c:pt>
                <c:pt idx="6">
                  <c:v>50.096774193548384</c:v>
                </c:pt>
                <c:pt idx="7">
                  <c:v>48.217054263565892</c:v>
                </c:pt>
                <c:pt idx="8">
                  <c:v>45.428571428571431</c:v>
                </c:pt>
                <c:pt idx="9">
                  <c:v>44.00606980273141</c:v>
                </c:pt>
                <c:pt idx="10">
                  <c:v>39.393442622950815</c:v>
                </c:pt>
                <c:pt idx="11">
                  <c:v>37.718676122931441</c:v>
                </c:pt>
                <c:pt idx="12">
                  <c:v>35.310137442449161</c:v>
                </c:pt>
                <c:pt idx="13">
                  <c:v>25.197740112994349</c:v>
                </c:pt>
                <c:pt idx="14">
                  <c:v>25.112107623318384</c:v>
                </c:pt>
                <c:pt idx="15">
                  <c:v>23.843137254901961</c:v>
                </c:pt>
                <c:pt idx="16">
                  <c:v>19.74468085106383</c:v>
                </c:pt>
                <c:pt idx="17">
                  <c:v>18.808777429467085</c:v>
                </c:pt>
                <c:pt idx="18">
                  <c:v>17.226368159203982</c:v>
                </c:pt>
                <c:pt idx="19">
                  <c:v>16.161492849668644</c:v>
                </c:pt>
                <c:pt idx="20">
                  <c:v>16.041666666666668</c:v>
                </c:pt>
                <c:pt idx="21">
                  <c:v>15.46419098143236</c:v>
                </c:pt>
                <c:pt idx="22">
                  <c:v>15.176663927691044</c:v>
                </c:pt>
                <c:pt idx="23">
                  <c:v>13.641975308641975</c:v>
                </c:pt>
                <c:pt idx="24">
                  <c:v>10.850508905852418</c:v>
                </c:pt>
                <c:pt idx="25">
                  <c:v>7.47309312119794</c:v>
                </c:pt>
                <c:pt idx="26">
                  <c:v>7.4501992031872506</c:v>
                </c:pt>
              </c:numCache>
            </c:numRef>
          </c:val>
          <c:extLst>
            <c:ext xmlns:c="http://schemas.openxmlformats.org/drawingml/2006/chart" xmlns:c16="http://schemas.microsoft.com/office/drawing/2014/chart" uri="{C3380CC4-5D6E-409C-BE32-E72D297353CC}">
              <c16:uniqueId val="{00000006-92D3-461F-9004-8AC8D82474B4}"/>
            </c:ext>
          </c:extLst>
        </c:ser>
        <c:dLbls>
          <c:showLegendKey val="0"/>
          <c:showVal val="0"/>
          <c:showCatName val="0"/>
          <c:showSerName val="0"/>
          <c:showPercent val="0"/>
          <c:showBubbleSize val="0"/>
        </c:dLbls>
        <c:gapWidth val="20"/>
        <c:axId val="629989024"/>
        <c:axId val="629992552"/>
      </c:barChart>
      <c:catAx>
        <c:axId val="629989024"/>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29992552"/>
        <c:crosses val="autoZero"/>
        <c:auto val="1"/>
        <c:lblAlgn val="ctr"/>
        <c:lblOffset val="100"/>
        <c:tickLblSkip val="1"/>
        <c:noMultiLvlLbl val="0"/>
      </c:catAx>
      <c:valAx>
        <c:axId val="629992552"/>
        <c:scaling>
          <c:orientation val="minMax"/>
        </c:scaling>
        <c:delete val="0"/>
        <c:axPos val="l"/>
        <c:numFmt formatCode="0" sourceLinked="0"/>
        <c:majorTickMark val="out"/>
        <c:minorTickMark val="none"/>
        <c:tickLblPos val="nextTo"/>
        <c:txPr>
          <a:bodyPr/>
          <a:lstStyle/>
          <a:p>
            <a:pPr>
              <a:defRPr sz="600"/>
            </a:pPr>
            <a:endParaRPr lang="lv-LV"/>
          </a:p>
        </c:txPr>
        <c:crossAx val="629989024"/>
        <c:crosses val="autoZero"/>
        <c:crossBetween val="between"/>
      </c:valAx>
    </c:plotArea>
    <c:plotVisOnly val="1"/>
    <c:dispBlanksAs val="gap"/>
    <c:showDLblsOverMax val="0"/>
  </c:chart>
  <c:spPr>
    <a:ln w="9525">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98553601027233415"/>
          <c:y val="0.01722532963499513"/>
          <c:w val="0.34507319571774181"/>
          <c:h val="0.920462379795931"/>
        </c:manualLayout>
      </c:layout>
      <c:barChart>
        <c:barDir val="col"/>
        <c:grouping val="percentStacked"/>
        <c:varyColors val="0"/>
        <c:ser>
          <c:idx val="0"/>
          <c:order val="0"/>
          <c:tx>
            <c:strRef>
              <c:f>Sheet1!$A$2</c:f>
              <c:strCache>
                <c:ptCount val="1"/>
                <c:pt idx="0">
                  <c:v>Graudaugu kultūras</c:v>
                </c:pt>
              </c:strCache>
            </c:strRef>
          </c:tx>
          <c:invertIfNegative val="0"/>
          <c:cat>
            <c:strRef>
              <c:f>Sheet1!$B$1:$F$1</c:f>
              <c:strCache>
                <c:ptCount val="5"/>
                <c:pt idx="0">
                  <c:v>2005</c:v>
                </c:pt>
                <c:pt idx="1">
                  <c:v>2010</c:v>
                </c:pt>
                <c:pt idx="2">
                  <c:v>2014</c:v>
                </c:pt>
                <c:pt idx="3">
                  <c:v>2015</c:v>
                </c:pt>
                <c:pt idx="4">
                  <c:v>2016</c:v>
                </c:pt>
              </c:strCache>
            </c:strRef>
          </c:cat>
          <c:val>
            <c:numRef>
              <c:f>Sheet1!$B$2:$F$2</c:f>
              <c:numCache>
                <c:formatCode>0</c:formatCode>
                <c:ptCount val="5"/>
                <c:pt idx="0">
                  <c:v>41.66358929482783</c:v>
                </c:pt>
                <c:pt idx="1">
                  <c:v>47.532388269669049</c:v>
                </c:pt>
                <c:pt idx="2">
                  <c:v>51.073158394915531</c:v>
                </c:pt>
                <c:pt idx="3">
                  <c:v>53.189327703761492</c:v>
                </c:pt>
                <c:pt idx="4">
                  <c:v>50.68248768125536</c:v>
                </c:pt>
              </c:numCache>
            </c:numRef>
          </c:val>
          <c:extLst>
            <c:ext xmlns:c="http://schemas.openxmlformats.org/drawingml/2006/chart" xmlns:c16="http://schemas.microsoft.com/office/drawing/2014/chart" uri="{C3380CC4-5D6E-409C-BE32-E72D297353CC}">
              <c16:uniqueId val="{00000000-5FAC-428C-9098-9FE859AF59F6}"/>
            </c:ext>
          </c:extLst>
        </c:ser>
        <c:ser>
          <c:idx val="1"/>
          <c:order val="1"/>
          <c:tx>
            <c:strRef>
              <c:f>Sheet1!$A$3</c:f>
              <c:strCache>
                <c:ptCount val="1"/>
                <c:pt idx="0">
                  <c:v>Augļi, dārzeņi</c:v>
                </c:pt>
              </c:strCache>
            </c:strRef>
          </c:tx>
          <c:invertIfNegative val="0"/>
          <c:cat>
            <c:strRef>
              <c:f>Sheet1!$B$1:$F$1</c:f>
              <c:strCache>
                <c:ptCount val="5"/>
                <c:pt idx="0">
                  <c:v>2005</c:v>
                </c:pt>
                <c:pt idx="1">
                  <c:v>2010</c:v>
                </c:pt>
                <c:pt idx="2">
                  <c:v>2014</c:v>
                </c:pt>
                <c:pt idx="3">
                  <c:v>2015</c:v>
                </c:pt>
                <c:pt idx="4">
                  <c:v>2016</c:v>
                </c:pt>
              </c:strCache>
            </c:strRef>
          </c:cat>
          <c:val>
            <c:numRef>
              <c:f>Sheet1!$B$3:$F$3</c:f>
              <c:numCache>
                <c:formatCode>0</c:formatCode>
                <c:ptCount val="5"/>
                <c:pt idx="0">
                  <c:v>10.965957263695033</c:v>
                </c:pt>
                <c:pt idx="1">
                  <c:v>10.241575777543108</c:v>
                </c:pt>
                <c:pt idx="2">
                  <c:v>13.189120702335019</c:v>
                </c:pt>
                <c:pt idx="3">
                  <c:v>14.157803377062811</c:v>
                </c:pt>
                <c:pt idx="4">
                  <c:v>14.875001171809849</c:v>
                </c:pt>
              </c:numCache>
            </c:numRef>
          </c:val>
          <c:extLst>
            <c:ext xmlns:c="http://schemas.openxmlformats.org/drawingml/2006/chart" xmlns:c16="http://schemas.microsoft.com/office/drawing/2014/chart" uri="{C3380CC4-5D6E-409C-BE32-E72D297353CC}">
              <c16:uniqueId val="{00000001-5FAC-428C-9098-9FE859AF59F6}"/>
            </c:ext>
          </c:extLst>
        </c:ser>
        <c:ser>
          <c:idx val="2"/>
          <c:order val="2"/>
          <c:tx>
            <c:strRef>
              <c:f>Sheet1!$A$4</c:f>
              <c:strCache>
                <c:ptCount val="1"/>
                <c:pt idx="0">
                  <c:v>Eļļas augu sēklas</c:v>
                </c:pt>
              </c:strCache>
            </c:strRef>
          </c:tx>
          <c:invertIfNegative val="0"/>
          <c:cat>
            <c:strRef>
              <c:f>Sheet1!$B$1:$F$1</c:f>
              <c:strCache>
                <c:ptCount val="5"/>
                <c:pt idx="0">
                  <c:v>2005</c:v>
                </c:pt>
                <c:pt idx="1">
                  <c:v>2010</c:v>
                </c:pt>
                <c:pt idx="2">
                  <c:v>2014</c:v>
                </c:pt>
                <c:pt idx="3">
                  <c:v>2015</c:v>
                </c:pt>
                <c:pt idx="4">
                  <c:v>2016</c:v>
                </c:pt>
              </c:strCache>
            </c:strRef>
          </c:cat>
          <c:val>
            <c:numRef>
              <c:f>Sheet1!$B$4:$F$4</c:f>
              <c:numCache>
                <c:formatCode>0</c:formatCode>
                <c:ptCount val="5"/>
                <c:pt idx="0">
                  <c:v>10.965957263695033</c:v>
                </c:pt>
                <c:pt idx="1">
                  <c:v>10.241575777543108</c:v>
                </c:pt>
                <c:pt idx="2">
                  <c:v>13.189120702335019</c:v>
                </c:pt>
                <c:pt idx="3">
                  <c:v>14.157803377062811</c:v>
                </c:pt>
                <c:pt idx="4">
                  <c:v>14.875001171809849</c:v>
                </c:pt>
              </c:numCache>
            </c:numRef>
          </c:val>
          <c:extLst>
            <c:ext xmlns:c="http://schemas.openxmlformats.org/drawingml/2006/chart" xmlns:c16="http://schemas.microsoft.com/office/drawing/2014/chart" uri="{C3380CC4-5D6E-409C-BE32-E72D297353CC}">
              <c16:uniqueId val="{00000002-5FAC-428C-9098-9FE859AF59F6}"/>
            </c:ext>
          </c:extLst>
        </c:ser>
        <c:ser>
          <c:idx val="3"/>
          <c:order val="3"/>
          <c:tx>
            <c:strRef>
              <c:f>Sheet1!$A$5</c:f>
              <c:strCache>
                <c:ptCount val="1"/>
                <c:pt idx="0">
                  <c:v>Zivis un vēžveidīgie</c:v>
                </c:pt>
              </c:strCache>
            </c:strRef>
          </c:tx>
          <c:invertIfNegative val="0"/>
          <c:cat>
            <c:strRef>
              <c:f>Sheet1!$B$1:$F$1</c:f>
              <c:strCache>
                <c:ptCount val="5"/>
                <c:pt idx="0">
                  <c:v>2005</c:v>
                </c:pt>
                <c:pt idx="1">
                  <c:v>2010</c:v>
                </c:pt>
                <c:pt idx="2">
                  <c:v>2014</c:v>
                </c:pt>
                <c:pt idx="3">
                  <c:v>2015</c:v>
                </c:pt>
                <c:pt idx="4">
                  <c:v>2016</c:v>
                </c:pt>
              </c:strCache>
            </c:strRef>
          </c:cat>
          <c:val>
            <c:numRef>
              <c:f>Sheet1!$B$5:$F$5</c:f>
              <c:numCache>
                <c:formatCode>0</c:formatCode>
                <c:ptCount val="5"/>
                <c:pt idx="0">
                  <c:v>21.145683319932868</c:v>
                </c:pt>
                <c:pt idx="1">
                  <c:v>15.803748645607705</c:v>
                </c:pt>
                <c:pt idx="2">
                  <c:v>14.556658775146976</c:v>
                </c:pt>
                <c:pt idx="3">
                  <c:v>10.940867694185719</c:v>
                </c:pt>
                <c:pt idx="4">
                  <c:v>12.699249134190872</c:v>
                </c:pt>
              </c:numCache>
            </c:numRef>
          </c:val>
          <c:extLst>
            <c:ext xmlns:c="http://schemas.openxmlformats.org/drawingml/2006/chart" xmlns:c16="http://schemas.microsoft.com/office/drawing/2014/chart" uri="{C3380CC4-5D6E-409C-BE32-E72D297353CC}">
              <c16:uniqueId val="{00000003-5FAC-428C-9098-9FE859AF59F6}"/>
            </c:ext>
          </c:extLst>
        </c:ser>
        <c:ser>
          <c:idx val="4"/>
          <c:order val="4"/>
          <c:tx>
            <c:strRef>
              <c:f>Sheet1!$A$6</c:f>
              <c:strCache>
                <c:ptCount val="1"/>
                <c:pt idx="0">
                  <c:v>Citas lauks. preces</c:v>
                </c:pt>
              </c:strCache>
            </c:strRef>
          </c:tx>
          <c:invertIfNegative val="0"/>
          <c:cat>
            <c:strRef>
              <c:f>Sheet1!$B$1:$F$1</c:f>
              <c:strCache>
                <c:ptCount val="5"/>
                <c:pt idx="0">
                  <c:v>2005</c:v>
                </c:pt>
                <c:pt idx="1">
                  <c:v>2010</c:v>
                </c:pt>
                <c:pt idx="2">
                  <c:v>2014</c:v>
                </c:pt>
                <c:pt idx="3">
                  <c:v>2015</c:v>
                </c:pt>
                <c:pt idx="4">
                  <c:v>2016</c:v>
                </c:pt>
              </c:strCache>
            </c:strRef>
          </c:cat>
          <c:val>
            <c:numRef>
              <c:f>Sheet1!$B$6:$F$6</c:f>
              <c:numCache>
                <c:formatCode>0</c:formatCode>
                <c:ptCount val="5"/>
                <c:pt idx="0">
                  <c:v>2.12904057837425</c:v>
                </c:pt>
                <c:pt idx="1">
                  <c:v>10.218690436808069</c:v>
                </c:pt>
                <c:pt idx="2">
                  <c:v>9.8369845658931236</c:v>
                </c:pt>
                <c:pt idx="3">
                  <c:v>9.05084337370939</c:v>
                </c:pt>
                <c:pt idx="4">
                  <c:v>8.679496232092939</c:v>
                </c:pt>
              </c:numCache>
            </c:numRef>
          </c:val>
          <c:extLst>
            <c:ext xmlns:c="http://schemas.openxmlformats.org/drawingml/2006/chart" xmlns:c16="http://schemas.microsoft.com/office/drawing/2014/chart" uri="{C3380CC4-5D6E-409C-BE32-E72D297353CC}">
              <c16:uniqueId val="{00000004-5FAC-428C-9098-9FE859AF59F6}"/>
            </c:ext>
          </c:extLst>
        </c:ser>
        <c:dLbls>
          <c:showLegendKey val="0"/>
          <c:showVal val="0"/>
          <c:showCatName val="0"/>
          <c:showSerName val="0"/>
          <c:showPercent val="0"/>
          <c:showBubbleSize val="0"/>
        </c:dLbls>
        <c:gapWidth val="20"/>
        <c:overlap val="100"/>
        <c:axId val="629828304"/>
        <c:axId val="629824776"/>
      </c:barChart>
      <c:catAx>
        <c:axId val="629828304"/>
        <c:scaling>
          <c:orientation val="minMax"/>
        </c:scaling>
        <c:delete val="0"/>
        <c:axPos val="b"/>
        <c:numFmt formatCode="General" sourceLinked="0"/>
        <c:majorTickMark val="out"/>
        <c:minorTickMark val="none"/>
        <c:tickLblPos val="nextTo"/>
        <c:txPr>
          <a:bodyPr/>
          <a:lstStyle/>
          <a:p>
            <a:pPr>
              <a:defRPr sz="700"/>
            </a:pPr>
            <a:endParaRPr lang="lv-LV"/>
          </a:p>
        </c:txPr>
        <c:crossAx val="629824776"/>
        <c:crosses val="autoZero"/>
        <c:auto val="1"/>
        <c:lblAlgn val="ctr"/>
        <c:lblOffset val="100"/>
        <c:noMultiLvlLbl val="0"/>
      </c:catAx>
      <c:valAx>
        <c:axId val="629824776"/>
        <c:scaling>
          <c:orientation val="minMax"/>
        </c:scaling>
        <c:delete val="0"/>
        <c:axPos val="l"/>
        <c:numFmt formatCode="0%" sourceLinked="1"/>
        <c:majorTickMark val="out"/>
        <c:minorTickMark val="none"/>
        <c:tickLblPos val="nextTo"/>
        <c:txPr>
          <a:bodyPr/>
          <a:lstStyle/>
          <a:p>
            <a:pPr>
              <a:defRPr sz="700"/>
            </a:pPr>
            <a:endParaRPr lang="lv-LV"/>
          </a:p>
        </c:txPr>
        <c:crossAx val="629828304"/>
        <c:crosses val="autoZero"/>
        <c:crossBetween val="between"/>
      </c:valAx>
    </c:plotArea>
    <c:legend>
      <c:legendPos val="r"/>
      <c:layout>
        <c:manualLayout>
          <c:xMode val="edge"/>
          <c:yMode val="edge"/>
          <c:x val="0.60805820772039509"/>
          <c:y val="0.089599620180333878"/>
          <c:w val="0.26853164223193288"/>
          <c:h val="0.65033254338353341"/>
        </c:manualLayout>
      </c:layout>
      <c:overlay val="0"/>
      <c:txPr>
        <a:bodyPr/>
        <a:lstStyle/>
        <a:p>
          <a:pPr>
            <a:defRPr sz="600">
              <a:latin typeface="Arial Narrow" panose="020B0606020202030204" pitchFamily="34" charset="0"/>
            </a:defRPr>
          </a:pPr>
          <a:endParaRPr lang="lv-LV"/>
        </a:p>
      </c:txPr>
    </c:legend>
    <c:plotVisOnly val="1"/>
    <c:dispBlanksAs val="gap"/>
    <c:showDLblsOverMax val="0"/>
  </c:chart>
  <c:spPr>
    <a:ln w="9525">
      <a:noFill/>
    </a:ln>
  </c:spPr>
  <c:txPr>
    <a:bodyPr/>
    <a:lstStyle/>
    <a:p>
      <a:pPr>
        <a:defRPr sz="800"/>
      </a:pPr>
      <a:endParaRPr lang="lv-LV"/>
    </a:p>
  </c:txPr>
  <c:externalData r:id="rId1">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5206365820586629"/>
          <c:y val="0.098667178797772245"/>
          <c:w val="0.92848141716424415"/>
          <c:h val="0.4689729637453855"/>
        </c:manualLayout>
      </c:layout>
      <c:barChart>
        <c:barDir val="col"/>
        <c:grouping val="clustered"/>
        <c:varyColors val="0"/>
        <c:ser>
          <c:idx val="1"/>
          <c:order val="0"/>
          <c:tx>
            <c:strRef>
              <c:f>Sheet1!$B$3</c:f>
              <c:strCache>
                <c:ptCount val="1"/>
                <c:pt idx="0">
                  <c:v>Productivity</c:v>
                </c:pt>
              </c:strCache>
            </c:strRef>
          </c:tx>
          <c:spPr>
            <a:solidFill>
              <a:schemeClr val="accent3">
                <a:lumMod val="50000"/>
              </a:schemeClr>
            </a:solidFill>
            <a:ln w="19050"/>
          </c:spPr>
          <c:invertIfNegative val="0"/>
          <c:dPt>
            <c:idx val="11"/>
            <c:invertIfNegative val="0"/>
            <c:bubble3D val="0"/>
            <c:extLst>
              <c:ext xmlns:c="http://schemas.openxmlformats.org/drawingml/2006/chart" xmlns:c16="http://schemas.microsoft.com/office/drawing/2014/chart" uri="{C3380CC4-5D6E-409C-BE32-E72D297353CC}">
                <c16:uniqueId val="{00000006-EE1D-4F8C-BA8E-B204CDECC9A3}"/>
              </c:ext>
            </c:extLst>
          </c:dPt>
          <c:dPt>
            <c:idx val="17"/>
            <c:invertIfNegative val="0"/>
            <c:bubble3D val="0"/>
            <c:extLst>
              <c:ext xmlns:c="http://schemas.openxmlformats.org/drawingml/2006/chart" xmlns:c16="http://schemas.microsoft.com/office/drawing/2014/chart" uri="{C3380CC4-5D6E-409C-BE32-E72D297353CC}">
                <c16:uniqueId val="{00000001-23E4-4AB1-B65E-2AEEF0C8EEA8}"/>
              </c:ext>
            </c:extLst>
          </c:dPt>
          <c:dPt>
            <c:idx val="19"/>
            <c:invertIfNegative val="0"/>
            <c:bubble3D val="0"/>
            <c:spPr>
              <a:solidFill>
                <a:srgbClr val="C00000"/>
              </a:solidFill>
              <a:ln w="19050"/>
            </c:spPr>
            <c:extLst>
              <c:ext xmlns:c="http://schemas.openxmlformats.org/drawingml/2006/chart" xmlns:c16="http://schemas.microsoft.com/office/drawing/2014/chart" uri="{C3380CC4-5D6E-409C-BE32-E72D297353CC}">
                <c16:uniqueId val="{00000008-96D5-4E10-A580-28120D2CBBD8}"/>
              </c:ext>
            </c:extLst>
          </c:dPt>
          <c:dPt>
            <c:idx val="20"/>
            <c:invertIfNegative val="0"/>
            <c:bubble3D val="0"/>
            <c:extLst>
              <c:ext xmlns:c="http://schemas.openxmlformats.org/drawingml/2006/chart" xmlns:c16="http://schemas.microsoft.com/office/drawing/2014/chart" uri="{C3380CC4-5D6E-409C-BE32-E72D297353CC}">
                <c16:uniqueId val="{00000002-23E4-4AB1-B65E-2AEEF0C8EEA8}"/>
              </c:ext>
            </c:extLst>
          </c:dPt>
          <c:dPt>
            <c:idx val="22"/>
            <c:invertIfNegative val="0"/>
            <c:bubble3D val="0"/>
            <c:extLst>
              <c:ext xmlns:c="http://schemas.openxmlformats.org/drawingml/2006/chart" xmlns:c16="http://schemas.microsoft.com/office/drawing/2014/chart" uri="{C3380CC4-5D6E-409C-BE32-E72D297353CC}">
                <c16:uniqueId val="{00000003-23E4-4AB1-B65E-2AEEF0C8EEA8}"/>
              </c:ext>
            </c:extLst>
          </c:dPt>
          <c:dPt>
            <c:idx val="24"/>
            <c:invertIfNegative val="0"/>
            <c:bubble3D val="0"/>
            <c:extLst>
              <c:ext xmlns:c="http://schemas.openxmlformats.org/drawingml/2006/chart" xmlns:c16="http://schemas.microsoft.com/office/drawing/2014/chart" uri="{C3380CC4-5D6E-409C-BE32-E72D297353CC}">
                <c16:uniqueId val="{00000004-23E4-4AB1-B65E-2AEEF0C8EEA8}"/>
              </c:ext>
            </c:extLst>
          </c:dPt>
          <c:dPt>
            <c:idx val="25"/>
            <c:invertIfNegative val="0"/>
            <c:bubble3D val="0"/>
            <c:extLst>
              <c:ext xmlns:c="http://schemas.openxmlformats.org/drawingml/2006/chart" xmlns:c16="http://schemas.microsoft.com/office/drawing/2014/chart" uri="{C3380CC4-5D6E-409C-BE32-E72D297353CC}">
                <c16:uniqueId val="{00000005-23E4-4AB1-B65E-2AEEF0C8EEA8}"/>
              </c:ext>
            </c:extLst>
          </c:dPt>
          <c:dLbls>
            <c:dLbl>
              <c:idx val="17"/>
              <c:layout>
                <c:manualLayout>
                  <c:x val="0"/>
                  <c:y val="0.010840108401084011"/>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23E4-4AB1-B65E-2AEEF0C8EEA8}"/>
                </c:ext>
                <c:ext xmlns:c15="http://schemas.microsoft.com/office/drawing/2012/chart" uri="{CE6537A1-D6FC-4f65-9D91-7224C49458BB}"/>
              </c:extLst>
            </c:dLbl>
            <c:dLbl>
              <c:idx val="19"/>
              <c:numFmt formatCode="#,##0" sourceLinked="0"/>
              <c:spPr>
                <a:noFill/>
                <a:ln>
                  <a:noFill/>
                </a:ln>
                <a:effectLst/>
              </c:spPr>
              <c:txPr>
                <a:bodyPr/>
                <a:lstStyle/>
                <a:p>
                  <a:pPr>
                    <a:defRPr sz="600" b="1"/>
                  </a:pPr>
                  <a:endParaRPr lang="lv-LV"/>
                </a:p>
              </c:txPr>
              <c:showLegendKey val="0"/>
              <c:showVal val="1"/>
              <c:showCatName val="0"/>
              <c:showSerName val="0"/>
              <c:showPercent val="0"/>
              <c:showBubbleSize val="0"/>
            </c:dLbl>
            <c:dLbl>
              <c:idx val="22"/>
              <c:layout>
                <c:manualLayout>
                  <c:x val="0"/>
                  <c:y val="0.010840108401084011"/>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23E4-4AB1-B65E-2AEEF0C8EEA8}"/>
                </c:ext>
                <c:ext xmlns:c15="http://schemas.microsoft.com/office/drawing/2012/chart" uri="{CE6537A1-D6FC-4f65-9D91-7224C49458BB}"/>
              </c:extLst>
            </c:dLbl>
            <c:dLbl>
              <c:idx val="24"/>
              <c:layout>
                <c:manualLayout>
                  <c:x val="0.0040281973816717019"/>
                  <c:y val="-3.6702729232016727E-05"/>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23E4-4AB1-B65E-2AEEF0C8EEA8}"/>
                </c:ext>
                <c:ext xmlns:c15="http://schemas.microsoft.com/office/drawing/2012/chart" uri="{CE6537A1-D6FC-4f65-9D91-7224C49458BB}"/>
              </c:extLst>
            </c:dLbl>
            <c:dLbl>
              <c:idx val="25"/>
              <c:layout>
                <c:manualLayout>
                  <c:x val="0"/>
                  <c:y val="0.0047350290403144375"/>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23E4-4AB1-B65E-2AEEF0C8EEA8}"/>
                </c:ext>
                <c:ext xmlns:c15="http://schemas.microsoft.com/office/drawing/2012/chart" uri="{CE6537A1-D6FC-4f65-9D91-7224C49458BB}"/>
              </c:extLst>
            </c:dLbl>
            <c:numFmt formatCode="#,##0" sourceLinked="0"/>
            <c:spPr>
              <a:noFill/>
              <a:ln>
                <a:noFill/>
              </a:ln>
              <a:effectLst/>
            </c:spPr>
            <c:txPr>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Sheet1!$A$4:$A$29</c:f>
              <c:strCache>
                <c:ptCount val="26"/>
                <c:pt idx="0">
                  <c:v>Beļģija</c:v>
                </c:pt>
                <c:pt idx="1">
                  <c:v>Austrija</c:v>
                </c:pt>
                <c:pt idx="2">
                  <c:v>Dānija</c:v>
                </c:pt>
                <c:pt idx="3">
                  <c:v>Nīderlande</c:v>
                </c:pt>
                <c:pt idx="4">
                  <c:v>Francija</c:v>
                </c:pt>
                <c:pt idx="5">
                  <c:v>Zviedrija</c:v>
                </c:pt>
                <c:pt idx="6">
                  <c:v>Somija</c:v>
                </c:pt>
                <c:pt idx="7">
                  <c:v>Vācija</c:v>
                </c:pt>
                <c:pt idx="8">
                  <c:v>Spānija</c:v>
                </c:pt>
                <c:pt idx="9">
                  <c:v>Apv. Karaliste</c:v>
                </c:pt>
                <c:pt idx="10">
                  <c:v>Itālija</c:v>
                </c:pt>
                <c:pt idx="11">
                  <c:v>Grieķija</c:v>
                </c:pt>
                <c:pt idx="12">
                  <c:v>Īrija</c:v>
                </c:pt>
                <c:pt idx="13">
                  <c:v>Kipra</c:v>
                </c:pt>
                <c:pt idx="14">
                  <c:v>Slovākija</c:v>
                </c:pt>
                <c:pt idx="15">
                  <c:v>Portugāle</c:v>
                </c:pt>
                <c:pt idx="16">
                  <c:v>Slovēnija</c:v>
                </c:pt>
                <c:pt idx="17">
                  <c:v>Čehija</c:v>
                </c:pt>
                <c:pt idx="18">
                  <c:v>Polija</c:v>
                </c:pt>
                <c:pt idx="19">
                  <c:v>Latvija</c:v>
                </c:pt>
                <c:pt idx="20">
                  <c:v>Igaunija</c:v>
                </c:pt>
                <c:pt idx="21">
                  <c:v>Ungārija</c:v>
                </c:pt>
                <c:pt idx="22">
                  <c:v>Horvātija</c:v>
                </c:pt>
                <c:pt idx="23">
                  <c:v>Lietuva</c:v>
                </c:pt>
                <c:pt idx="24">
                  <c:v>Bulgārija</c:v>
                </c:pt>
                <c:pt idx="25">
                  <c:v>Rumānija</c:v>
                </c:pt>
              </c:strCache>
            </c:strRef>
          </c:cat>
          <c:val>
            <c:numRef>
              <c:f>Sheet1!$B$4:$B$29</c:f>
              <c:numCache>
                <c:formatCode>#,##0.0</c:formatCode>
                <c:ptCount val="26"/>
                <c:pt idx="0">
                  <c:v>89.0037037037037</c:v>
                </c:pt>
                <c:pt idx="1">
                  <c:v>82.649491094147578</c:v>
                </c:pt>
                <c:pt idx="2">
                  <c:v>79.808333333333337</c:v>
                </c:pt>
                <c:pt idx="3">
                  <c:v>77.523809523809518</c:v>
                </c:pt>
                <c:pt idx="4">
                  <c:v>77.353535353535349</c:v>
                </c:pt>
                <c:pt idx="5">
                  <c:v>68.966666666666669</c:v>
                </c:pt>
                <c:pt idx="6">
                  <c:v>64.402985074626869</c:v>
                </c:pt>
                <c:pt idx="7">
                  <c:v>62.937190082644626</c:v>
                </c:pt>
                <c:pt idx="8">
                  <c:v>61.839080459770116</c:v>
                </c:pt>
                <c:pt idx="9">
                  <c:v>57.186051899907326</c:v>
                </c:pt>
                <c:pt idx="10">
                  <c:v>55.775641025641029</c:v>
                </c:pt>
                <c:pt idx="11">
                  <c:v>48.71908687381103</c:v>
                </c:pt>
                <c:pt idx="12">
                  <c:v>47.221526908635795</c:v>
                </c:pt>
                <c:pt idx="13">
                  <c:v>42.673796791443849</c:v>
                </c:pt>
                <c:pt idx="14">
                  <c:v>37.395192845164893</c:v>
                </c:pt>
                <c:pt idx="15">
                  <c:v>33.895713211331156</c:v>
                </c:pt>
                <c:pt idx="16">
                  <c:v>32.997159090909093</c:v>
                </c:pt>
                <c:pt idx="17">
                  <c:v>30.039164490861616</c:v>
                </c:pt>
                <c:pt idx="18">
                  <c:v>28.54979375368297</c:v>
                </c:pt>
                <c:pt idx="19">
                  <c:v>27.311072056239016</c:v>
                </c:pt>
                <c:pt idx="20">
                  <c:v>26.234042553191486</c:v>
                </c:pt>
                <c:pt idx="21">
                  <c:v>25.559006211180122</c:v>
                </c:pt>
                <c:pt idx="22">
                  <c:v>23.6431784107946</c:v>
                </c:pt>
                <c:pt idx="23">
                  <c:v>23.020594965675055</c:v>
                </c:pt>
                <c:pt idx="24">
                  <c:v>20.089285714285715</c:v>
                </c:pt>
                <c:pt idx="25">
                  <c:v>19.758945386064031</c:v>
                </c:pt>
              </c:numCache>
            </c:numRef>
          </c:val>
          <c:extLst>
            <c:ext xmlns:c="http://schemas.openxmlformats.org/drawingml/2006/chart" xmlns:c16="http://schemas.microsoft.com/office/drawing/2014/chart" uri="{C3380CC4-5D6E-409C-BE32-E72D297353CC}">
              <c16:uniqueId val="{00000006-23E4-4AB1-B65E-2AEEF0C8EEA8}"/>
            </c:ext>
          </c:extLst>
        </c:ser>
        <c:dLbls>
          <c:showLegendKey val="0"/>
          <c:showVal val="0"/>
          <c:showCatName val="0"/>
          <c:showSerName val="0"/>
          <c:showPercent val="0"/>
          <c:showBubbleSize val="0"/>
        </c:dLbls>
        <c:gapWidth val="20"/>
        <c:axId val="629989416"/>
        <c:axId val="629990200"/>
      </c:barChart>
      <c:catAx>
        <c:axId val="629989416"/>
        <c:scaling>
          <c:orientation val="minMax"/>
        </c:scaling>
        <c:delete val="0"/>
        <c:axPos val="b"/>
        <c:numFmt formatCode="General" sourceLinked="0"/>
        <c:majorTickMark val="out"/>
        <c:minorTickMark val="none"/>
        <c:tickLblPos val="nextTo"/>
        <c:txPr>
          <a:bodyPr rot="-5400000" vert="horz" anchor="ctr" anchorCtr="1"/>
          <a:lstStyle/>
          <a:p>
            <a:pPr>
              <a:defRPr sz="600"/>
            </a:pPr>
            <a:endParaRPr lang="lv-LV"/>
          </a:p>
        </c:txPr>
        <c:crossAx val="629990200"/>
        <c:crosses val="autoZero"/>
        <c:auto val="1"/>
        <c:lblAlgn val="ctr"/>
        <c:lblOffset val="100"/>
        <c:tickLblSkip val="1"/>
        <c:noMultiLvlLbl val="0"/>
      </c:catAx>
      <c:valAx>
        <c:axId val="629990200"/>
        <c:scaling>
          <c:orientation val="minMax"/>
        </c:scaling>
        <c:delete val="0"/>
        <c:axPos val="l"/>
        <c:numFmt formatCode="0" sourceLinked="0"/>
        <c:majorTickMark val="out"/>
        <c:minorTickMark val="none"/>
        <c:tickLblPos val="nextTo"/>
        <c:txPr>
          <a:bodyPr/>
          <a:lstStyle/>
          <a:p>
            <a:pPr>
              <a:defRPr sz="600"/>
            </a:pPr>
            <a:endParaRPr lang="lv-LV"/>
          </a:p>
        </c:txPr>
        <c:crossAx val="629989416"/>
        <c:crosses val="autoZero"/>
        <c:crossBetween val="between"/>
      </c:valAx>
    </c:plotArea>
    <c:plotVisOnly val="1"/>
    <c:dispBlanksAs val="gap"/>
    <c:showDLblsOverMax val="0"/>
  </c:chart>
  <c:spPr>
    <a:ln w="9525">
      <a:noFill/>
    </a:ln>
  </c:spPr>
  <c:externalData r:id="rId1">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1619797525309326"/>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0D82-4A76-AFB6-8C9E728D7930}"/>
              </c:ext>
            </c:extLst>
          </c:dPt>
          <c:dPt>
            <c:idx val="5"/>
            <c:bubble3D val="0"/>
            <c:extLst>
              <c:ext xmlns:c="http://schemas.openxmlformats.org/drawingml/2006/chart" xmlns:c16="http://schemas.microsoft.com/office/drawing/2014/chart" uri="{C3380CC4-5D6E-409C-BE32-E72D297353CC}">
                <c16:uniqueId val="{00000001-0D82-4A76-AFB6-8C9E728D7930}"/>
              </c:ext>
            </c:extLst>
          </c:dPt>
          <c:dPt>
            <c:idx val="11"/>
            <c:bubble3D val="0"/>
            <c:extLst>
              <c:ext xmlns:c="http://schemas.openxmlformats.org/drawingml/2006/chart" xmlns:c16="http://schemas.microsoft.com/office/drawing/2014/chart" uri="{C3380CC4-5D6E-409C-BE32-E72D297353CC}">
                <c16:uniqueId val="{00000002-0D82-4A76-AFB6-8C9E728D7930}"/>
              </c:ext>
            </c:extLst>
          </c:dPt>
          <c:dPt>
            <c:idx val="12"/>
            <c:bubble3D val="0"/>
            <c:extLst>
              <c:ext xmlns:c="http://schemas.openxmlformats.org/drawingml/2006/chart" xmlns:c16="http://schemas.microsoft.com/office/drawing/2014/chart" uri="{C3380CC4-5D6E-409C-BE32-E72D297353CC}">
                <c16:uniqueId val="{00000003-0D82-4A76-AFB6-8C9E728D7930}"/>
              </c:ext>
            </c:extLst>
          </c:dPt>
          <c:dPt>
            <c:idx val="13"/>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4-0D82-4A76-AFB6-8C9E728D7930}"/>
              </c:ext>
            </c:extLst>
          </c:dPt>
          <c:dPt>
            <c:idx val="14"/>
            <c:bubble3D val="0"/>
            <c:extLst>
              <c:ext xmlns:c="http://schemas.openxmlformats.org/drawingml/2006/chart" xmlns:c16="http://schemas.microsoft.com/office/drawing/2014/chart" uri="{C3380CC4-5D6E-409C-BE32-E72D297353CC}">
                <c16:uniqueId val="{00000005-0D82-4A76-AFB6-8C9E728D7930}"/>
              </c:ext>
            </c:extLst>
          </c:dPt>
          <c:dLbls>
            <c:dLbl>
              <c:idx val="0"/>
              <c:layout>
                <c:manualLayout>
                  <c:x val="-0.066459309408753886"/>
                  <c:y val="0.095238095238095233"/>
                </c:manualLayout>
              </c:layout>
              <c:tx>
                <c:rich>
                  <a:bodyPr vertOverflow="clip"/>
                  <a:lstStyle/>
                  <a:p>
                    <a:r>
                      <a:rPr lang="en-US"/>
                      <a:t>EU-28</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0D82-4A76-AFB6-8C9E728D7930}"/>
                </c:ext>
                <c:ext xmlns:c15="http://schemas.microsoft.com/office/drawing/2012/chart" uri="{CE6537A1-D6FC-4f65-9D91-7224C49458BB}"/>
              </c:extLst>
            </c:dLbl>
            <c:dLbl>
              <c:idx val="1"/>
              <c:layout>
                <c:manualLayout>
                  <c:x val="-0.016614745586708203"/>
                  <c:y val="-0.047619047619047616"/>
                </c:manualLayout>
              </c:layout>
              <c:tx>
                <c:rich>
                  <a:bodyPr vertOverflow="clip"/>
                  <a:lstStyle/>
                  <a:p>
                    <a:r>
                      <a:rPr lang="en-US"/>
                      <a:t>BE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0D82-4A76-AFB6-8C9E728D7930}"/>
                </c:ext>
                <c:ext xmlns:c15="http://schemas.microsoft.com/office/drawing/2012/chart" uri="{CE6537A1-D6FC-4f65-9D91-7224C49458BB}"/>
              </c:extLst>
            </c:dLbl>
            <c:dLbl>
              <c:idx val="2"/>
              <c:layout>
                <c:manualLayout>
                  <c:x val="-0.095534787123572176"/>
                  <c:y val="0.0380952380952381"/>
                </c:manualLayout>
              </c:layout>
              <c:tx>
                <c:rich>
                  <a:bodyPr vertOverflow="clip"/>
                  <a:lstStyle/>
                  <a:p>
                    <a:r>
                      <a:rPr lang="en-US"/>
                      <a:t>BG</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0D82-4A76-AFB6-8C9E728D7930}"/>
                </c:ext>
                <c:ext xmlns:c15="http://schemas.microsoft.com/office/drawing/2012/chart" uri="{CE6537A1-D6FC-4f65-9D91-7224C49458BB}"/>
              </c:extLst>
            </c:dLbl>
            <c:dLbl>
              <c:idx val="3"/>
              <c:layout>
                <c:manualLayout>
                  <c:x val="-0.024922118380062305"/>
                  <c:y val="0.066666666666666666"/>
                </c:manualLayout>
              </c:layout>
              <c:tx>
                <c:rich>
                  <a:bodyPr vertOverflow="clip"/>
                  <a:lstStyle/>
                  <a:p>
                    <a:r>
                      <a:rPr lang="en-US"/>
                      <a:t>CZ</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0D82-4A76-AFB6-8C9E728D7930}"/>
                </c:ext>
                <c:ext xmlns:c15="http://schemas.microsoft.com/office/drawing/2012/chart" uri="{CE6537A1-D6FC-4f65-9D91-7224C49458BB}"/>
              </c:extLst>
            </c:dLbl>
            <c:dLbl>
              <c:idx val="4"/>
              <c:layout>
                <c:manualLayout>
                  <c:x val="-0.049844236760124609"/>
                  <c:y val="-0.066666666666666652"/>
                </c:manualLayout>
              </c:layout>
              <c:tx>
                <c:rich>
                  <a:bodyPr vertOverflow="clip"/>
                  <a:lstStyle/>
                  <a:p>
                    <a:r>
                      <a:rPr lang="en-US"/>
                      <a:t>DK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0D82-4A76-AFB6-8C9E728D7930}"/>
                </c:ext>
                <c:ext xmlns:c15="http://schemas.microsoft.com/office/drawing/2012/chart" uri="{CE6537A1-D6FC-4f65-9D91-7224C49458BB}"/>
              </c:extLst>
            </c:dLbl>
            <c:dLbl>
              <c:idx val="5"/>
              <c:layout>
                <c:manualLayout>
                  <c:x val="-0.15368639667705089"/>
                  <c:y val="-0.11428571428571428"/>
                </c:manualLayout>
              </c:layout>
              <c:tx>
                <c:rich>
                  <a:bodyPr vertOverflow="clip"/>
                  <a:lstStyle/>
                  <a:p>
                    <a:r>
                      <a:rPr lang="en-US"/>
                      <a:t>IT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0D82-4A76-AFB6-8C9E728D7930}"/>
                </c:ext>
                <c:ext xmlns:c15="http://schemas.microsoft.com/office/drawing/2012/chart" uri="{CE6537A1-D6FC-4f65-9D91-7224C49458BB}"/>
              </c:extLst>
            </c:dLbl>
            <c:dLbl>
              <c:idx val="6"/>
              <c:layout>
                <c:manualLayout>
                  <c:x val="-0.07476635514018691"/>
                  <c:y val="-0.07619122609673791"/>
                </c:manualLayout>
              </c:layout>
              <c:tx>
                <c:rich>
                  <a:bodyPr vertOverflow="clip"/>
                  <a:lstStyle/>
                  <a:p>
                    <a:r>
                      <a:rPr lang="en-US"/>
                      <a:t>EE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0D82-4A76-AFB6-8C9E728D7930}"/>
                </c:ext>
                <c:ext xmlns:c15="http://schemas.microsoft.com/office/drawing/2012/chart" uri="{CE6537A1-D6FC-4f65-9D91-7224C49458BB}"/>
              </c:extLst>
            </c:dLbl>
            <c:dLbl>
              <c:idx val="7"/>
              <c:layout>
                <c:manualLayout>
                  <c:x val="-0.049844236760124609"/>
                  <c:y val="-0.066666666666666666"/>
                </c:manualLayout>
              </c:layout>
              <c:tx>
                <c:rich>
                  <a:bodyPr vertOverflow="clip"/>
                  <a:lstStyle/>
                  <a:p>
                    <a:r>
                      <a:rPr lang="en-US"/>
                      <a:t>EL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0D82-4A76-AFB6-8C9E728D7930}"/>
                </c:ext>
                <c:ext xmlns:c15="http://schemas.microsoft.com/office/drawing/2012/chart" uri="{CE6537A1-D6FC-4f65-9D91-7224C49458BB}"/>
              </c:extLst>
            </c:dLbl>
            <c:dLbl>
              <c:idx val="8"/>
              <c:layout>
                <c:manualLayout>
                  <c:x val="-0.012461059190031076"/>
                  <c:y val="0.066666666666666707"/>
                </c:manualLayout>
              </c:layout>
              <c:tx>
                <c:rich>
                  <a:bodyPr vertOverflow="clip"/>
                  <a:lstStyle/>
                  <a:p>
                    <a:r>
                      <a:rPr lang="en-US"/>
                      <a:t>ES</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0D82-4A76-AFB6-8C9E728D7930}"/>
                </c:ext>
                <c:ext xmlns:c15="http://schemas.microsoft.com/office/drawing/2012/chart" uri="{CE6537A1-D6FC-4f65-9D91-7224C49458BB}"/>
              </c:extLst>
            </c:dLbl>
            <c:dLbl>
              <c:idx val="9"/>
              <c:layout>
                <c:manualLayout>
                  <c:x val="-0.087227414330218064"/>
                  <c:y val="0.085714285714285715"/>
                </c:manualLayout>
              </c:layout>
              <c:tx>
                <c:rich>
                  <a:bodyPr vertOverflow="clip"/>
                  <a:lstStyle/>
                  <a:p>
                    <a:r>
                      <a:rPr lang="en-US"/>
                      <a:t>FR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0D82-4A76-AFB6-8C9E728D7930}"/>
                </c:ext>
                <c:ext xmlns:c15="http://schemas.microsoft.com/office/drawing/2012/chart" uri="{CE6537A1-D6FC-4f65-9D91-7224C49458BB}"/>
              </c:extLst>
            </c:dLbl>
            <c:dLbl>
              <c:idx val="10"/>
              <c:layout>
                <c:manualLayout>
                  <c:x val="-0.049844236760124609"/>
                  <c:y val="-0.07619047619047617"/>
                </c:manualLayout>
              </c:layout>
              <c:tx>
                <c:rich>
                  <a:bodyPr vertOverflow="clip"/>
                  <a:lstStyle/>
                  <a:p>
                    <a:r>
                      <a:rPr lang="en-US"/>
                      <a:t>HR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E-0D82-4A76-AFB6-8C9E728D7930}"/>
                </c:ext>
                <c:ext xmlns:c15="http://schemas.microsoft.com/office/drawing/2012/chart" uri="{CE6537A1-D6FC-4f65-9D91-7224C49458BB}"/>
              </c:extLst>
            </c:dLbl>
            <c:dLbl>
              <c:idx val="11"/>
              <c:layout>
                <c:manualLayout>
                  <c:x val="0.037383177570093455"/>
                  <c:y val="-0.047619047619047616"/>
                </c:manualLayout>
              </c:layout>
              <c:tx>
                <c:rich>
                  <a:bodyPr vertOverflow="clip"/>
                  <a:lstStyle/>
                  <a:p>
                    <a:r>
                      <a:rPr lang="en-US"/>
                      <a:t>DE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0D82-4A76-AFB6-8C9E728D7930}"/>
                </c:ext>
                <c:ext xmlns:c15="http://schemas.microsoft.com/office/drawing/2012/chart" uri="{CE6537A1-D6FC-4f65-9D91-7224C49458BB}"/>
              </c:extLst>
            </c:dLbl>
            <c:dLbl>
              <c:idx val="12"/>
              <c:layout>
                <c:manualLayout>
                  <c:x val="-0.062305950073997758"/>
                  <c:y val="-0.0761904761904762"/>
                </c:manualLayout>
              </c:layout>
              <c:tx>
                <c:rich>
                  <a:bodyPr vertOverflow="clip"/>
                  <a:lstStyle/>
                  <a:p>
                    <a:r>
                      <a:rPr lang="en-US"/>
                      <a:t>CY</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0D82-4A76-AFB6-8C9E728D7930}"/>
                </c:ext>
                <c:ext xmlns:c15="http://schemas.microsoft.com/office/drawing/2012/chart" uri="{CE6537A1-D6FC-4f65-9D91-7224C49458BB}"/>
              </c:extLst>
            </c:dLbl>
            <c:dLbl>
              <c:idx val="13"/>
              <c:layout>
                <c:manualLayout>
                  <c:x val="-0.033229491173416406"/>
                  <c:y val="0.085714285714285715"/>
                </c:manualLayout>
              </c:layout>
              <c:tx>
                <c:rich>
                  <a:bodyPr vertOverflow="clip"/>
                  <a:lstStyle/>
                  <a:p>
                    <a:r>
                      <a:rPr lang="en-US"/>
                      <a:t>LV</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0D82-4A76-AFB6-8C9E728D7930}"/>
                </c:ext>
                <c:ext xmlns:c15="http://schemas.microsoft.com/office/drawing/2012/chart" uri="{CE6537A1-D6FC-4f65-9D91-7224C49458BB}"/>
              </c:extLst>
            </c:dLbl>
            <c:dLbl>
              <c:idx val="14"/>
              <c:layout>
                <c:manualLayout>
                  <c:x val="-0.0872274143302181"/>
                  <c:y val="0.057142857142857141"/>
                </c:manualLayout>
              </c:layout>
              <c:tx>
                <c:rich>
                  <a:bodyPr vertOverflow="clip"/>
                  <a:lstStyle/>
                  <a:p>
                    <a:r>
                      <a:rPr lang="en-US"/>
                      <a:t>LT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0D82-4A76-AFB6-8C9E728D7930}"/>
                </c:ext>
                <c:ext xmlns:c15="http://schemas.microsoft.com/office/drawing/2012/chart" uri="{CE6537A1-D6FC-4f65-9D91-7224C49458BB}"/>
              </c:extLst>
            </c:dLbl>
            <c:dLbl>
              <c:idx val="15"/>
              <c:layout>
                <c:manualLayout>
                  <c:x val="-0.041536863966770511"/>
                  <c:y val="-0.057142857142857141"/>
                </c:manualLayout>
              </c:layout>
              <c:tx>
                <c:rich>
                  <a:bodyPr vertOverflow="clip"/>
                  <a:lstStyle/>
                  <a:p>
                    <a:r>
                      <a:rPr lang="en-US"/>
                      <a:t>HU</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F-0D82-4A76-AFB6-8C9E728D7930}"/>
                </c:ext>
                <c:ext xmlns:c15="http://schemas.microsoft.com/office/drawing/2012/chart" uri="{CE6537A1-D6FC-4f65-9D91-7224C49458BB}"/>
              </c:extLst>
            </c:dLbl>
            <c:dLbl>
              <c:idx val="16"/>
              <c:layout>
                <c:manualLayout>
                  <c:x val="-0.033229491173416406"/>
                  <c:y val="-0.095238095238095191"/>
                </c:manualLayout>
              </c:layout>
              <c:tx>
                <c:rich>
                  <a:bodyPr vertOverflow="clip"/>
                  <a:lstStyle/>
                  <a:p>
                    <a:r>
                      <a:rPr lang="en-US"/>
                      <a:t>NL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0-0D82-4A76-AFB6-8C9E728D7930}"/>
                </c:ext>
                <c:ext xmlns:c15="http://schemas.microsoft.com/office/drawing/2012/chart" uri="{CE6537A1-D6FC-4f65-9D91-7224C49458BB}"/>
              </c:extLst>
            </c:dLbl>
            <c:dLbl>
              <c:idx val="17"/>
              <c:layout>
                <c:manualLayout>
                  <c:x val="-0.016614745586708203"/>
                  <c:y val="-0.0095238095238095247"/>
                </c:manualLayout>
              </c:layout>
              <c:tx>
                <c:rich>
                  <a:bodyPr vertOverflow="clip"/>
                  <a:lstStyle/>
                  <a:p>
                    <a:r>
                      <a:rPr lang="en-US"/>
                      <a:t>AT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1-0D82-4A76-AFB6-8C9E728D7930}"/>
                </c:ext>
                <c:ext xmlns:c15="http://schemas.microsoft.com/office/drawing/2012/chart" uri="{CE6537A1-D6FC-4f65-9D91-7224C49458BB}"/>
              </c:extLst>
            </c:dLbl>
            <c:dLbl>
              <c:idx val="18"/>
              <c:layout>
                <c:manualLayout>
                  <c:x val="-0.066458982346832812"/>
                  <c:y val="0.076190476190476281"/>
                </c:manualLayout>
              </c:layout>
              <c:tx>
                <c:rich>
                  <a:bodyPr vertOverflow="clip"/>
                  <a:lstStyle/>
                  <a:p>
                    <a:r>
                      <a:rPr lang="en-US"/>
                      <a:t>PL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2-0D82-4A76-AFB6-8C9E728D7930}"/>
                </c:ext>
                <c:ext xmlns:c15="http://schemas.microsoft.com/office/drawing/2012/chart" uri="{CE6537A1-D6FC-4f65-9D91-7224C49458BB}"/>
              </c:extLst>
            </c:dLbl>
            <c:dLbl>
              <c:idx val="19"/>
              <c:layout>
                <c:manualLayout>
                  <c:x val="-0.033229491173416406"/>
                  <c:y val="-0.047619047619047616"/>
                </c:manualLayout>
              </c:layout>
              <c:tx>
                <c:rich>
                  <a:bodyPr vertOverflow="clip"/>
                  <a:lstStyle/>
                  <a:p>
                    <a:r>
                      <a:rPr lang="en-US"/>
                      <a:t>PT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3-0D82-4A76-AFB6-8C9E728D7930}"/>
                </c:ext>
                <c:ext xmlns:c15="http://schemas.microsoft.com/office/drawing/2012/chart" uri="{CE6537A1-D6FC-4f65-9D91-7224C49458BB}"/>
              </c:extLst>
            </c:dLbl>
            <c:dLbl>
              <c:idx val="20"/>
              <c:layout>
                <c:manualLayout>
                  <c:x val="-0.053997923156801658"/>
                  <c:y val="-0.085714285714285673"/>
                </c:manualLayout>
              </c:layout>
              <c:tx>
                <c:rich>
                  <a:bodyPr vertOverflow="clip"/>
                  <a:lstStyle/>
                  <a:p>
                    <a:r>
                      <a:rPr lang="en-US"/>
                      <a:t>RO</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4-0D82-4A76-AFB6-8C9E728D7930}"/>
                </c:ext>
                <c:ext xmlns:c15="http://schemas.microsoft.com/office/drawing/2012/chart" uri="{CE6537A1-D6FC-4f65-9D91-7224C49458BB}"/>
              </c:extLst>
            </c:dLbl>
            <c:dLbl>
              <c:idx val="21"/>
              <c:layout>
                <c:manualLayout>
                  <c:x val="-0.033229491173416406"/>
                  <c:y val="-0.066666666666666666"/>
                </c:manualLayout>
              </c:layout>
              <c:tx>
                <c:rich>
                  <a:bodyPr vertOverflow="clip"/>
                  <a:lstStyle/>
                  <a:p>
                    <a:r>
                      <a:rPr lang="en-US"/>
                      <a:t>SI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5-0D82-4A76-AFB6-8C9E728D7930}"/>
                </c:ext>
                <c:ext xmlns:c15="http://schemas.microsoft.com/office/drawing/2012/chart" uri="{CE6537A1-D6FC-4f65-9D91-7224C49458BB}"/>
              </c:extLst>
            </c:dLbl>
            <c:dLbl>
              <c:idx val="22"/>
              <c:layout>
                <c:manualLayout>
                  <c:x val="-0.041536863966770511"/>
                  <c:y val="-0.066666666666666666"/>
                </c:manualLayout>
              </c:layout>
              <c:tx>
                <c:rich>
                  <a:bodyPr vertOverflow="clip"/>
                  <a:lstStyle/>
                  <a:p>
                    <a:r>
                      <a:rPr lang="en-US"/>
                      <a:t>SK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6-0D82-4A76-AFB6-8C9E728D7930}"/>
                </c:ext>
                <c:ext xmlns:c15="http://schemas.microsoft.com/office/drawing/2012/chart" uri="{CE6537A1-D6FC-4f65-9D91-7224C49458BB}"/>
              </c:extLst>
            </c:dLbl>
            <c:dLbl>
              <c:idx val="23"/>
              <c:layout>
                <c:manualLayout>
                  <c:x val="-0.033229491173416406"/>
                  <c:y val="-0.0761904761904762"/>
                </c:manualLayout>
              </c:layout>
              <c:tx>
                <c:rich>
                  <a:bodyPr vertOverflow="clip"/>
                  <a:lstStyle/>
                  <a:p>
                    <a:r>
                      <a:rPr lang="en-US"/>
                      <a:t>FI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7-0D82-4A76-AFB6-8C9E728D7930}"/>
                </c:ext>
                <c:ext xmlns:c15="http://schemas.microsoft.com/office/drawing/2012/chart" uri="{CE6537A1-D6FC-4f65-9D91-7224C49458BB}"/>
              </c:extLst>
            </c:dLbl>
            <c:dLbl>
              <c:idx val="24"/>
              <c:layout>
                <c:manualLayout>
                  <c:x val="-0.058151609553478714"/>
                  <c:y val="0.0761904761904762"/>
                </c:manualLayout>
              </c:layout>
              <c:tx>
                <c:rich>
                  <a:bodyPr vertOverflow="clip"/>
                  <a:lstStyle/>
                  <a:p>
                    <a:r>
                      <a:rPr lang="en-US"/>
                      <a:t>SE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8-0D82-4A76-AFB6-8C9E728D7930}"/>
                </c:ext>
                <c:ext xmlns:c15="http://schemas.microsoft.com/office/drawing/2012/chart" uri="{CE6537A1-D6FC-4f65-9D91-7224C49458BB}"/>
              </c:extLst>
            </c:dLbl>
            <c:dLbl>
              <c:idx val="25"/>
              <c:layout>
                <c:manualLayout>
                  <c:x val="-0.053997923156801658"/>
                  <c:y val="-0.066666666666666666"/>
                </c:manualLayout>
              </c:layout>
              <c:tx>
                <c:rich>
                  <a:bodyPr vertOverflow="clip"/>
                  <a:lstStyle/>
                  <a:p>
                    <a:r>
                      <a:rPr lang="en-US"/>
                      <a:t>UK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9-0D82-4A76-AFB6-8C9E728D793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Sheet1!$B$3:$B$28</c:f>
              <c:numCache>
                <c:formatCode>0.0</c:formatCode>
                <c:ptCount val="26"/>
                <c:pt idx="0">
                  <c:v>46.629454550570493</c:v>
                </c:pt>
                <c:pt idx="1">
                  <c:v>77.453020134228183</c:v>
                </c:pt>
                <c:pt idx="2">
                  <c:v>12.091049382716047</c:v>
                </c:pt>
                <c:pt idx="3">
                  <c:v>29.445050946142647</c:v>
                </c:pt>
                <c:pt idx="4">
                  <c:v>66.850000000000009</c:v>
                </c:pt>
                <c:pt idx="5">
                  <c:v>59.3875</c:v>
                </c:pt>
                <c:pt idx="6">
                  <c:v>19.240000000000002</c:v>
                </c:pt>
                <c:pt idx="7">
                  <c:v>35.919145690312739</c:v>
                </c:pt>
                <c:pt idx="8">
                  <c:v>49.939939939939947</c:v>
                </c:pt>
                <c:pt idx="9">
                  <c:v>70.65094339622641</c:v>
                </c:pt>
                <c:pt idx="10">
                  <c:v>22.022696929238982</c:v>
                </c:pt>
                <c:pt idx="11">
                  <c:v>50.941437444543034</c:v>
                </c:pt>
                <c:pt idx="12">
                  <c:v>42.598187311178251</c:v>
                </c:pt>
                <c:pt idx="13">
                  <c:v>26.948051948051948</c:v>
                </c:pt>
                <c:pt idx="14">
                  <c:v>19.084065244667503</c:v>
                </c:pt>
                <c:pt idx="15">
                  <c:v>22.495419567607183</c:v>
                </c:pt>
                <c:pt idx="16">
                  <c:v>71.8076923076923</c:v>
                </c:pt>
                <c:pt idx="17">
                  <c:v>73.444344434443451</c:v>
                </c:pt>
                <c:pt idx="18">
                  <c:v>21.67248645394341</c:v>
                </c:pt>
                <c:pt idx="19">
                  <c:v>32.634940255459412</c:v>
                </c:pt>
                <c:pt idx="20">
                  <c:v>10.007898894154819</c:v>
                </c:pt>
                <c:pt idx="21">
                  <c:v>32.067669172932327</c:v>
                </c:pt>
                <c:pt idx="22">
                  <c:v>27.087235091177924</c:v>
                </c:pt>
                <c:pt idx="23">
                  <c:v>64.213836477987414</c:v>
                </c:pt>
                <c:pt idx="24">
                  <c:v>73.305882352941182</c:v>
                </c:pt>
                <c:pt idx="25">
                  <c:v>53.370323398858588</c:v>
                </c:pt>
              </c:numCache>
            </c:numRef>
          </c:xVal>
          <c:yVal>
            <c:numRef>
              <c:f>Sheet1!$C$3:$C$28</c:f>
              <c:numCache>
                <c:formatCode>0.0</c:formatCode>
                <c:ptCount val="26"/>
                <c:pt idx="0">
                  <c:v>0.68444728900257179</c:v>
                </c:pt>
                <c:pt idx="1">
                  <c:v>0.70771201555079222</c:v>
                </c:pt>
                <c:pt idx="2">
                  <c:v>0.43890312318433367</c:v>
                </c:pt>
                <c:pt idx="3">
                  <c:v>0.53877420324636738</c:v>
                </c:pt>
                <c:pt idx="4">
                  <c:v>0.86611817501869848</c:v>
                </c:pt>
                <c:pt idx="5">
                  <c:v>0.68270676131527042</c:v>
                </c:pt>
                <c:pt idx="6">
                  <c:v>0.6583506583506582</c:v>
                </c:pt>
                <c:pt idx="7">
                  <c:v>0.8903412080629588</c:v>
                </c:pt>
                <c:pt idx="8">
                  <c:v>0.729700498668169</c:v>
                </c:pt>
                <c:pt idx="9">
                  <c:v>0.685002029379063</c:v>
                </c:pt>
                <c:pt idx="10">
                  <c:v>0.71047806541654668</c:v>
                </c:pt>
                <c:pt idx="11">
                  <c:v>0.70853481303001986</c:v>
                </c:pt>
                <c:pt idx="12">
                  <c:v>0.73663487405233541</c:v>
                </c:pt>
                <c:pt idx="13">
                  <c:v>0.46150948622074511</c:v>
                </c:pt>
                <c:pt idx="14">
                  <c:v>0.5651944047700016</c:v>
                </c:pt>
                <c:pt idx="15">
                  <c:v>0.55724379948515557</c:v>
                </c:pt>
                <c:pt idx="16">
                  <c:v>0.70076057846813067</c:v>
                </c:pt>
                <c:pt idx="17" formatCode="0.00">
                  <c:v>0.60801376549357578</c:v>
                </c:pt>
                <c:pt idx="18">
                  <c:v>0.45211583238695846</c:v>
                </c:pt>
                <c:pt idx="19">
                  <c:v>0.57455409491146148</c:v>
                </c:pt>
                <c:pt idx="20">
                  <c:v>0.66506433346551519</c:v>
                </c:pt>
                <c:pt idx="21">
                  <c:v>0.73730062273465491</c:v>
                </c:pt>
                <c:pt idx="22">
                  <c:v>0.54080544112386475</c:v>
                </c:pt>
                <c:pt idx="23">
                  <c:v>0.67926826125058</c:v>
                </c:pt>
                <c:pt idx="24" formatCode="0.00">
                  <c:v>0.58578077355159675</c:v>
                </c:pt>
                <c:pt idx="25">
                  <c:v>0.841609694370757</c:v>
                </c:pt>
              </c:numCache>
            </c:numRef>
          </c:yVal>
          <c:smooth val="0"/>
          <c:extLst>
            <c:ext xmlns:c="http://schemas.openxmlformats.org/drawingml/2006/chart" xmlns:c16="http://schemas.microsoft.com/office/drawing/2014/chart" uri="{C3380CC4-5D6E-409C-BE32-E72D297353CC}">
              <c16:uniqueId val="{0000001A-0D82-4A76-AFB6-8C9E728D7930}"/>
            </c:ext>
          </c:extLst>
        </c:ser>
        <c:dLbls>
          <c:showLegendKey val="0"/>
          <c:showVal val="0"/>
          <c:showCatName val="0"/>
          <c:showSerName val="0"/>
          <c:showPercent val="0"/>
          <c:showBubbleSize val="0"/>
        </c:dLbls>
        <c:axId val="629991376"/>
        <c:axId val="629981968"/>
      </c:scatterChart>
      <c:valAx>
        <c:axId val="629991376"/>
        <c:scaling>
          <c:orientation val="minMax"/>
          <c:max val="80"/>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29981968"/>
        <c:crosses val="autoZero"/>
        <c:crossBetween val="midCat"/>
        <c:majorUnit val="10"/>
      </c:valAx>
      <c:valAx>
        <c:axId val="629981968"/>
        <c:scaling>
          <c:orientation val="minMax"/>
          <c:min val="0.30000000000000004"/>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29991376"/>
        <c:crosses val="autoZero"/>
        <c:crossBetween val="midCat"/>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2572178477690286"/>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DCDD-45CA-B630-0EDF29BDA2D7}"/>
              </c:ext>
            </c:extLst>
          </c:dPt>
          <c:dPt>
            <c:idx val="5"/>
            <c:bubble3D val="0"/>
            <c:extLst>
              <c:ext xmlns:c="http://schemas.openxmlformats.org/drawingml/2006/chart" xmlns:c16="http://schemas.microsoft.com/office/drawing/2014/chart" uri="{C3380CC4-5D6E-409C-BE32-E72D297353CC}">
                <c16:uniqueId val="{00000001-DCDD-45CA-B630-0EDF29BDA2D7}"/>
              </c:ext>
            </c:extLst>
          </c:dPt>
          <c:dPt>
            <c:idx val="11"/>
            <c:bubble3D val="0"/>
            <c:extLst>
              <c:ext xmlns:c="http://schemas.openxmlformats.org/drawingml/2006/chart" xmlns:c16="http://schemas.microsoft.com/office/drawing/2014/chart" uri="{C3380CC4-5D6E-409C-BE32-E72D297353CC}">
                <c16:uniqueId val="{00000002-DCDD-45CA-B630-0EDF29BDA2D7}"/>
              </c:ext>
            </c:extLst>
          </c:dPt>
          <c:dPt>
            <c:idx val="12"/>
            <c:bubble3D val="0"/>
            <c:extLst>
              <c:ext xmlns:c="http://schemas.openxmlformats.org/drawingml/2006/chart" xmlns:c16="http://schemas.microsoft.com/office/drawing/2014/chart" uri="{C3380CC4-5D6E-409C-BE32-E72D297353CC}">
                <c16:uniqueId val="{00000003-DCDD-45CA-B630-0EDF29BDA2D7}"/>
              </c:ext>
            </c:extLst>
          </c:dPt>
          <c:dPt>
            <c:idx val="13"/>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4-DCDD-45CA-B630-0EDF29BDA2D7}"/>
              </c:ext>
            </c:extLst>
          </c:dPt>
          <c:dPt>
            <c:idx val="14"/>
            <c:bubble3D val="0"/>
            <c:extLst>
              <c:ext xmlns:c="http://schemas.openxmlformats.org/drawingml/2006/chart" xmlns:c16="http://schemas.microsoft.com/office/drawing/2014/chart" uri="{C3380CC4-5D6E-409C-BE32-E72D297353CC}">
                <c16:uniqueId val="{00000005-DCDD-45CA-B630-0EDF29BDA2D7}"/>
              </c:ext>
            </c:extLst>
          </c:dPt>
          <c:dLbls>
            <c:dLbl>
              <c:idx val="0"/>
              <c:tx>
                <c:rich>
                  <a:bodyPr/>
                  <a:lstStyle/>
                  <a:p>
                    <a:fld id="{b8ac75b4-dd8a-4f8e-82c3-d0cbbce650ef}" type="CELLRANGE">
                      <a:rPr lang="en-US"/>
                      <a:t>BE</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0-DCDD-45CA-B630-0EDF29BDA2D7}"/>
                </c:ext>
                <c:ext xmlns:c15="http://schemas.microsoft.com/office/drawing/2012/chart" uri="{CE6537A1-D6FC-4f65-9D91-7224C49458BB}">
                  <c15:showDataLabelsRange val="1"/>
                </c:ext>
              </c:extLst>
            </c:dLbl>
            <c:dLbl>
              <c:idx val="1"/>
              <c:tx>
                <c:rich>
                  <a:bodyPr vertOverflow="clip"/>
                  <a:lstStyle/>
                  <a:p>
                    <a:fld id="{8b0c9a0d-1f8f-49e9-a177-cab6621c7213}" type="CELLRANGE">
                      <a:rPr lang="lv-LV"/>
                      <a:t>BG</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2"/>
              <c:layout>
                <c:manualLayout>
                  <c:x val="0.033229491173416406"/>
                  <c:y val="-0.0095238095238096114"/>
                </c:manualLayout>
              </c:layout>
              <c:tx>
                <c:rich>
                  <a:bodyPr vertOverflow="clip"/>
                  <a:lstStyle/>
                  <a:p>
                    <a:fld id="{5e03c399-f55a-4044-8f76-aafdda6277df}" type="CELLRANGE">
                      <a:rPr lang="en-US"/>
                      <a:t>CZ</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7-DCDD-45CA-B630-0EDF29BDA2D7}"/>
                </c:ext>
                <c:ext xmlns:c15="http://schemas.microsoft.com/office/drawing/2012/chart" uri="{CE6537A1-D6FC-4f65-9D91-7224C49458BB}">
                  <c15:showDataLabelsRange val="1"/>
                </c:ext>
              </c:extLst>
            </c:dLbl>
            <c:dLbl>
              <c:idx val="3"/>
              <c:layout>
                <c:manualLayout>
                  <c:x val="-1.5230007516136065E-16"/>
                  <c:y val="-0.03809523809523814"/>
                </c:manualLayout>
              </c:layout>
              <c:tx>
                <c:rich>
                  <a:bodyPr vertOverflow="clip"/>
                  <a:lstStyle/>
                  <a:p>
                    <a:fld id="{55d675bc-bf70-448f-a5e4-6c84b953e8cf}" type="CELLRANGE">
                      <a:rPr lang="en-US"/>
                      <a:t>DK</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8-DCDD-45CA-B630-0EDF29BDA2D7}"/>
                </c:ext>
                <c:ext xmlns:c15="http://schemas.microsoft.com/office/drawing/2012/chart" uri="{CE6537A1-D6FC-4f65-9D91-7224C49458BB}">
                  <c15:showDataLabelsRange val="1"/>
                </c:ext>
              </c:extLst>
            </c:dLbl>
            <c:dLbl>
              <c:idx val="4"/>
              <c:layout>
                <c:manualLayout>
                  <c:x val="-0.033229491173416559"/>
                  <c:y val="-0.076190476190476239"/>
                </c:manualLayout>
              </c:layout>
              <c:tx>
                <c:rich>
                  <a:bodyPr vertOverflow="clip"/>
                  <a:lstStyle/>
                  <a:p>
                    <a:fld id="{5f4736c9-730b-4764-8c13-27e11371429c}" type="CELLRANGE">
                      <a:rPr lang="en-US"/>
                      <a:t>DE</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9-DCDD-45CA-B630-0EDF29BDA2D7}"/>
                </c:ext>
                <c:ext xmlns:c15="http://schemas.microsoft.com/office/drawing/2012/chart" uri="{CE6537A1-D6FC-4f65-9D91-7224C49458BB}">
                  <c15:showDataLabelsRange val="1"/>
                </c:ext>
              </c:extLst>
            </c:dLbl>
            <c:dLbl>
              <c:idx val="5"/>
              <c:layout>
                <c:manualLayout>
                  <c:x val="-0.024922118380062305"/>
                  <c:y val="-0.0380952380952381"/>
                </c:manualLayout>
              </c:layout>
              <c:tx>
                <c:rich>
                  <a:bodyPr vertOverflow="clip"/>
                  <a:lstStyle/>
                  <a:p>
                    <a:fld id="{1ae04e5b-88c2-4755-a239-861a28cb870b}" type="CELLRANGE">
                      <a:rPr lang="en-US"/>
                      <a:t>EE</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1-DCDD-45CA-B630-0EDF29BDA2D7}"/>
                </c:ext>
                <c:ext xmlns:c15="http://schemas.microsoft.com/office/drawing/2012/chart" uri="{CE6537A1-D6FC-4f65-9D91-7224C49458BB}">
                  <c15:showDataLabelsRange val="1"/>
                </c:ext>
              </c:extLst>
            </c:dLbl>
            <c:dLbl>
              <c:idx val="6"/>
              <c:tx>
                <c:rich>
                  <a:bodyPr vertOverflow="clip"/>
                  <a:lstStyle/>
                  <a:p>
                    <a:fld id="{d90add8f-d206-4c35-ba1e-9dc79990c204}" type="CELLRANGE">
                      <a:rPr lang="lv-LV"/>
                      <a:t>IE</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7"/>
              <c:tx>
                <c:rich>
                  <a:bodyPr vertOverflow="clip"/>
                  <a:lstStyle/>
                  <a:p>
                    <a:fld id="{9e538050-6297-488d-9fb8-fa08d04abaf9}" type="CELLRANGE">
                      <a:rPr lang="lv-LV"/>
                      <a:t>EL</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8"/>
              <c:layout>
                <c:manualLayout>
                  <c:x val="-0.04569055036344756"/>
                  <c:y val="0.057142857142857141"/>
                </c:manualLayout>
              </c:layout>
              <c:tx>
                <c:rich>
                  <a:bodyPr vertOverflow="clip"/>
                  <a:lstStyle/>
                  <a:p>
                    <a:fld id="{3bf4a5de-ca32-4471-8348-f5e37f7a0f3c}" type="CELLRANGE">
                      <a:rPr lang="en-US"/>
                      <a:t>ES</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C-DCDD-45CA-B630-0EDF29BDA2D7}"/>
                </c:ext>
                <c:ext xmlns:c15="http://schemas.microsoft.com/office/drawing/2012/chart" uri="{CE6537A1-D6FC-4f65-9D91-7224C49458BB}">
                  <c15:showDataLabelsRange val="1"/>
                </c:ext>
              </c:extLst>
            </c:dLbl>
            <c:dLbl>
              <c:idx val="9"/>
              <c:layout>
                <c:manualLayout>
                  <c:x val="-0.049844236760124762"/>
                  <c:y val="0.0761904761904761"/>
                </c:manualLayout>
              </c:layout>
              <c:tx>
                <c:rich>
                  <a:bodyPr vertOverflow="clip"/>
                  <a:lstStyle/>
                  <a:p>
                    <a:fld id="{7d470001-1330-4eb9-87e2-00bd2987f572}" type="CELLRANGE">
                      <a:rPr lang="en-US"/>
                      <a:t>FR</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D-DCDD-45CA-B630-0EDF29BDA2D7}"/>
                </c:ext>
                <c:ext xmlns:c15="http://schemas.microsoft.com/office/drawing/2012/chart" uri="{CE6537A1-D6FC-4f65-9D91-7224C49458BB}">
                  <c15:showDataLabelsRange val="1"/>
                </c:ext>
              </c:extLst>
            </c:dLbl>
            <c:dLbl>
              <c:idx val="10"/>
              <c:tx>
                <c:rich>
                  <a:bodyPr vertOverflow="clip"/>
                  <a:lstStyle/>
                  <a:p>
                    <a:fld id="{0386cdcf-fdb0-4339-922e-c55c9bf838d6}" type="CELLRANGE">
                      <a:rPr lang="en-US"/>
                      <a:t>HR</a:t>
                    </a:fld>
                    <a:endParaRPr lang="lv-LV"/>
                  </a:p>
                </c:rich>
              </c:tx>
              <c:dLblPos val="l"/>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E-DCDD-45CA-B630-0EDF29BDA2D7}"/>
                </c:ext>
                <c:ext xmlns:c15="http://schemas.microsoft.com/office/drawing/2012/chart" uri="{CE6537A1-D6FC-4f65-9D91-7224C49458BB}">
                  <c15:showDataLabelsRange val="1"/>
                </c:ext>
              </c:extLst>
            </c:dLbl>
            <c:dLbl>
              <c:idx val="11"/>
              <c:layout>
                <c:manualLayout>
                  <c:x val="-0.012461059190031305"/>
                  <c:y val="-0.019047619047619049"/>
                </c:manualLayout>
              </c:layout>
              <c:tx>
                <c:rich>
                  <a:bodyPr vertOverflow="clip"/>
                  <a:lstStyle/>
                  <a:p>
                    <a:fld id="{3252891a-67d2-4dd7-a658-fe06a5bce014}" type="CELLRANGE">
                      <a:rPr lang="en-US"/>
                      <a:t>IT</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2-DCDD-45CA-B630-0EDF29BDA2D7}"/>
                </c:ext>
                <c:ext xmlns:c15="http://schemas.microsoft.com/office/drawing/2012/chart" uri="{CE6537A1-D6FC-4f65-9D91-7224C49458BB}">
                  <c15:showDataLabelsRange val="1"/>
                </c:ext>
              </c:extLst>
            </c:dLbl>
            <c:dLbl>
              <c:idx val="12"/>
              <c:tx>
                <c:rich>
                  <a:bodyPr vertOverflow="clip"/>
                  <a:lstStyle/>
                  <a:p>
                    <a:fld id="{e16e0aba-e15e-47fb-8c11-38d8d4eab73a}" type="CELLRANGE">
                      <a:rPr lang="lv-LV"/>
                      <a:t>CY</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3"/>
              <c:layout>
                <c:manualLayout>
                  <c:x val="-0.012461059190031152"/>
                  <c:y val="-0.0095238095238095247"/>
                </c:manualLayout>
              </c:layout>
              <c:tx>
                <c:rich>
                  <a:bodyPr vertOverflow="clip"/>
                  <a:lstStyle/>
                  <a:p>
                    <a:fld id="{4bf95e3e-9907-4dd1-9b65-1ae8912bdae2}" type="CELLRANGE">
                      <a:rPr lang="en-US"/>
                      <a:t>LV</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4-DCDD-45CA-B630-0EDF29BDA2D7}"/>
                </c:ext>
                <c:ext xmlns:c15="http://schemas.microsoft.com/office/drawing/2012/chart" uri="{CE6537A1-D6FC-4f65-9D91-7224C49458BB}">
                  <c15:showDataLabelsRange val="1"/>
                </c:ext>
              </c:extLst>
            </c:dLbl>
            <c:dLbl>
              <c:idx val="14"/>
              <c:tx>
                <c:rich>
                  <a:bodyPr vertOverflow="clip"/>
                  <a:lstStyle/>
                  <a:p>
                    <a:fld id="{ff222dd4-498c-4a64-bf5f-70139f5c4a91}" type="CELLRANGE">
                      <a:rPr lang="en-US"/>
                      <a:t>LT</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5-DCDD-45CA-B630-0EDF29BDA2D7}"/>
                </c:ext>
                <c:ext xmlns:c15="http://schemas.microsoft.com/office/drawing/2012/chart" uri="{CE6537A1-D6FC-4f65-9D91-7224C49458BB}">
                  <c15:showDataLabelsRange val="1"/>
                </c:ext>
              </c:extLst>
            </c:dLbl>
            <c:dLbl>
              <c:idx val="15"/>
              <c:layout>
                <c:manualLayout>
                  <c:x val="-0.0083073727933541015"/>
                  <c:y val="0.047619047619047533"/>
                </c:manualLayout>
              </c:layout>
              <c:tx>
                <c:rich>
                  <a:bodyPr vertOverflow="clip"/>
                  <a:lstStyle/>
                  <a:p>
                    <a:fld id="{23a4ed27-1dc3-4e0b-981a-c137e02fc09d}" type="CELLRANGE">
                      <a:rPr lang="en-US"/>
                      <a:t>HU</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F-DCDD-45CA-B630-0EDF29BDA2D7}"/>
                </c:ext>
                <c:ext xmlns:c15="http://schemas.microsoft.com/office/drawing/2012/chart" uri="{CE6537A1-D6FC-4f65-9D91-7224C49458BB}">
                  <c15:showDataLabelsRange val="1"/>
                </c:ext>
              </c:extLst>
            </c:dLbl>
            <c:dLbl>
              <c:idx val="16"/>
              <c:layout>
                <c:manualLayout>
                  <c:x val="-0.053997923156801811"/>
                  <c:y val="-0.057142857142857141"/>
                </c:manualLayout>
              </c:layout>
              <c:tx>
                <c:rich>
                  <a:bodyPr vertOverflow="clip"/>
                  <a:lstStyle/>
                  <a:p>
                    <a:fld id="{f862ec2c-492b-4184-938b-ea761bcd7f85}" type="CELLRANGE">
                      <a:rPr lang="en-US"/>
                      <a:t>NL</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0-DCDD-45CA-B630-0EDF29BDA2D7}"/>
                </c:ext>
                <c:ext xmlns:c15="http://schemas.microsoft.com/office/drawing/2012/chart" uri="{CE6537A1-D6FC-4f65-9D91-7224C49458BB}">
                  <c15:showDataLabelsRange val="1"/>
                </c:ext>
              </c:extLst>
            </c:dLbl>
            <c:dLbl>
              <c:idx val="17"/>
              <c:tx>
                <c:rich>
                  <a:bodyPr/>
                  <a:lstStyle/>
                  <a:p>
                    <a:fld id="{a04a9380-e583-43a1-8815-ed116ae501e2}" type="CELLRANGE">
                      <a:rPr lang="lv-LV"/>
                      <a:t>AT</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8"/>
              <c:tx>
                <c:rich>
                  <a:bodyPr vertOverflow="clip"/>
                  <a:lstStyle/>
                  <a:p>
                    <a:fld id="{31f10d44-4910-40d6-bd76-d928b1c1b9a0}" type="CELLRANGE">
                      <a:rPr lang="en-US"/>
                      <a:t>PL</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2-DCDD-45CA-B630-0EDF29BDA2D7}"/>
                </c:ext>
                <c:ext xmlns:c15="http://schemas.microsoft.com/office/drawing/2012/chart" uri="{CE6537A1-D6FC-4f65-9D91-7224C49458BB}">
                  <c15:showDataLabelsRange val="1"/>
                </c:ext>
              </c:extLst>
            </c:dLbl>
            <c:dLbl>
              <c:idx val="19"/>
              <c:tx>
                <c:rich>
                  <a:bodyPr vertOverflow="clip"/>
                  <a:lstStyle/>
                  <a:p>
                    <a:fld id="{bc0a34ae-f196-4604-ad0f-5501f2a5901e}" type="CELLRANGE">
                      <a:rPr lang="en-US"/>
                      <a:t>PT</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3-DCDD-45CA-B630-0EDF29BDA2D7}"/>
                </c:ext>
                <c:ext xmlns:c15="http://schemas.microsoft.com/office/drawing/2012/chart" uri="{CE6537A1-D6FC-4f65-9D91-7224C49458BB}">
                  <c15:showDataLabelsRange val="1"/>
                </c:ext>
              </c:extLst>
            </c:dLbl>
            <c:dLbl>
              <c:idx val="20"/>
              <c:tx>
                <c:rich>
                  <a:bodyPr vertOverflow="clip"/>
                  <a:lstStyle/>
                  <a:p>
                    <a:fld id="{c22d8755-b66b-46f4-9df9-9674c3846447}" type="CELLRANGE">
                      <a:rPr lang="en-US"/>
                      <a:t>RO</a:t>
                    </a:fld>
                    <a:endParaRPr lang="lv-LV"/>
                  </a:p>
                </c:rich>
              </c:tx>
              <c:dLblPos val="l"/>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4-DCDD-45CA-B630-0EDF29BDA2D7}"/>
                </c:ext>
                <c:ext xmlns:c15="http://schemas.microsoft.com/office/drawing/2012/chart" uri="{CE6537A1-D6FC-4f65-9D91-7224C49458BB}">
                  <c15:showDataLabelsRange val="1"/>
                </c:ext>
              </c:extLst>
            </c:dLbl>
            <c:dLbl>
              <c:idx val="21"/>
              <c:tx>
                <c:rich>
                  <a:bodyPr vertOverflow="clip"/>
                  <a:lstStyle/>
                  <a:p>
                    <a:fld id="{c397ea81-5d0c-4e5d-935d-5b23ebc7bcc7}" type="CELLRANGE">
                      <a:rPr lang="lv-LV"/>
                      <a:t>SI</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22"/>
              <c:tx>
                <c:rich>
                  <a:bodyPr vertOverflow="clip"/>
                  <a:lstStyle/>
                  <a:p>
                    <a:fld id="{d3000b30-d484-4fa0-8ec4-9e9f56f01388}" type="CELLRANGE">
                      <a:rPr lang="lv-LV"/>
                      <a:t>SK</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23"/>
              <c:layout>
                <c:manualLayout>
                  <c:x val="-0.024922118380062457"/>
                  <c:y val="0.047619047619047575"/>
                </c:manualLayout>
              </c:layout>
              <c:tx>
                <c:rich>
                  <a:bodyPr vertOverflow="clip"/>
                  <a:lstStyle/>
                  <a:p>
                    <a:fld id="{add9e6e1-3657-49c3-b75e-ab141d15b208}" type="CELLRANGE">
                      <a:rPr lang="en-US"/>
                      <a:t>FI</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7-DCDD-45CA-B630-0EDF29BDA2D7}"/>
                </c:ext>
                <c:ext xmlns:c15="http://schemas.microsoft.com/office/drawing/2012/chart" uri="{CE6537A1-D6FC-4f65-9D91-7224C49458BB}">
                  <c15:showDataLabelsRange val="1"/>
                </c:ext>
              </c:extLst>
            </c:dLbl>
            <c:dLbl>
              <c:idx val="24"/>
              <c:layout>
                <c:manualLayout>
                  <c:x val="-0.024922118380062305"/>
                  <c:y val="-0.009523809523809568"/>
                </c:manualLayout>
              </c:layout>
              <c:tx>
                <c:rich>
                  <a:bodyPr vertOverflow="clip"/>
                  <a:lstStyle/>
                  <a:p>
                    <a:fld id="{ef9ee682-9995-41c9-90bd-8d0c539e6360}" type="CELLRANGE">
                      <a:rPr lang="en-US"/>
                      <a:t>SE</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8-DCDD-45CA-B630-0EDF29BDA2D7}"/>
                </c:ext>
                <c:ext xmlns:c15="http://schemas.microsoft.com/office/drawing/2012/chart" uri="{CE6537A1-D6FC-4f65-9D91-7224C49458BB}">
                  <c15:showDataLabelsRange val="1"/>
                </c:ext>
              </c:extLst>
            </c:dLbl>
            <c:dLbl>
              <c:idx val="25"/>
              <c:tx>
                <c:rich>
                  <a:bodyPr vertOverflow="clip"/>
                  <a:lstStyle/>
                  <a:p>
                    <a:fld id="{9038dab4-ef4e-452a-a15d-cf1b3db56f22}" type="CELLRANGE">
                      <a:rPr lang="lv-LV"/>
                      <a:t>UK</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Sheet1!$B$3:$B$28</c:f>
              <c:numCache>
                <c:formatCode>#,##0.0</c:formatCode>
                <c:ptCount val="26"/>
                <c:pt idx="0">
                  <c:v>89.0037037037037</c:v>
                </c:pt>
                <c:pt idx="1">
                  <c:v>20.089285714285715</c:v>
                </c:pt>
                <c:pt idx="2">
                  <c:v>30.039164490861616</c:v>
                </c:pt>
                <c:pt idx="3">
                  <c:v>79.808333333333337</c:v>
                </c:pt>
                <c:pt idx="4">
                  <c:v>62.937190082644626</c:v>
                </c:pt>
                <c:pt idx="5">
                  <c:v>26.234042553191486</c:v>
                </c:pt>
                <c:pt idx="6">
                  <c:v>47.221526908635795</c:v>
                </c:pt>
                <c:pt idx="7">
                  <c:v>48.71908687381103</c:v>
                </c:pt>
                <c:pt idx="8">
                  <c:v>61.839080459770116</c:v>
                </c:pt>
                <c:pt idx="9">
                  <c:v>77.353535353535349</c:v>
                </c:pt>
                <c:pt idx="10">
                  <c:v>23.6431784107946</c:v>
                </c:pt>
                <c:pt idx="11">
                  <c:v>55.775641025641029</c:v>
                </c:pt>
                <c:pt idx="12">
                  <c:v>42.673796791443849</c:v>
                </c:pt>
                <c:pt idx="13">
                  <c:v>27.311072056239016</c:v>
                </c:pt>
                <c:pt idx="14">
                  <c:v>23.020594965675055</c:v>
                </c:pt>
                <c:pt idx="15">
                  <c:v>25.559006211180122</c:v>
                </c:pt>
                <c:pt idx="16">
                  <c:v>77.523809523809518</c:v>
                </c:pt>
                <c:pt idx="17">
                  <c:v>82.649491094147578</c:v>
                </c:pt>
                <c:pt idx="18">
                  <c:v>28.54979375368297</c:v>
                </c:pt>
                <c:pt idx="19">
                  <c:v>33.895713211331156</c:v>
                </c:pt>
                <c:pt idx="20">
                  <c:v>19.758945386064031</c:v>
                </c:pt>
                <c:pt idx="21">
                  <c:v>32.997159090909093</c:v>
                </c:pt>
                <c:pt idx="22">
                  <c:v>37.395192845164893</c:v>
                </c:pt>
                <c:pt idx="23">
                  <c:v>64.402985074626869</c:v>
                </c:pt>
                <c:pt idx="24">
                  <c:v>68.966666666666669</c:v>
                </c:pt>
                <c:pt idx="25">
                  <c:v>57.186051899907326</c:v>
                </c:pt>
              </c:numCache>
            </c:numRef>
          </c:xVal>
          <c:yVal>
            <c:numRef>
              <c:f>Sheet1!$C$3:$C$28</c:f>
              <c:numCache>
                <c:formatCode>#,##0.0</c:formatCode>
                <c:ptCount val="26"/>
                <c:pt idx="0">
                  <c:v>0.70307563925857852</c:v>
                </c:pt>
                <c:pt idx="1">
                  <c:v>0.37199396869963075</c:v>
                </c:pt>
                <c:pt idx="2">
                  <c:v>0.53801406009761765</c:v>
                </c:pt>
                <c:pt idx="3">
                  <c:v>0.769029967630782</c:v>
                </c:pt>
                <c:pt idx="4">
                  <c:v>0.72180806561141153</c:v>
                </c:pt>
                <c:pt idx="5">
                  <c:v>0.75263584752635859</c:v>
                </c:pt>
                <c:pt idx="6">
                  <c:v>0.93190696454763844</c:v>
                </c:pt>
                <c:pt idx="7">
                  <c:v>0.48940033126357407</c:v>
                </c:pt>
                <c:pt idx="8">
                  <c:v>0.60994885180205116</c:v>
                </c:pt>
                <c:pt idx="9">
                  <c:v>0.64763393120413815</c:v>
                </c:pt>
                <c:pt idx="10">
                  <c:v>0.641904555470509</c:v>
                </c:pt>
                <c:pt idx="11">
                  <c:v>0.70628399599819869</c:v>
                </c:pt>
                <c:pt idx="12">
                  <c:v>0.59047335853758687</c:v>
                </c:pt>
                <c:pt idx="13">
                  <c:v>0.58736861861861867</c:v>
                </c:pt>
                <c:pt idx="14">
                  <c:v>0.67175461817951709</c:v>
                </c:pt>
                <c:pt idx="15">
                  <c:v>0.5337443559395767</c:v>
                </c:pt>
                <c:pt idx="16">
                  <c:v>0.72816339066339075</c:v>
                </c:pt>
                <c:pt idx="17">
                  <c:v>0.62979458911073372</c:v>
                </c:pt>
                <c:pt idx="18">
                  <c:v>0.38005559687984386</c:v>
                </c:pt>
                <c:pt idx="19">
                  <c:v>0.55490136207487772</c:v>
                </c:pt>
                <c:pt idx="20">
                  <c:v>0.377054496463251</c:v>
                </c:pt>
                <c:pt idx="21">
                  <c:v>0.76103847467998886</c:v>
                </c:pt>
                <c:pt idx="22">
                  <c:v>0.46065728904059683</c:v>
                </c:pt>
                <c:pt idx="23">
                  <c:v>0.74867731996730347</c:v>
                </c:pt>
                <c:pt idx="24">
                  <c:v>0.77360475364626269</c:v>
                </c:pt>
                <c:pt idx="25">
                  <c:v>1.0677194321671584</c:v>
                </c:pt>
              </c:numCache>
            </c:numRef>
          </c:yVal>
          <c:smooth val="0"/>
          <c:extLst>
            <c:ext xmlns:c="http://schemas.openxmlformats.org/drawingml/2006/chart" xmlns:c16="http://schemas.microsoft.com/office/drawing/2014/chart" uri="{C3380CC4-5D6E-409C-BE32-E72D297353CC}">
              <c16:uniqueId val="{0000001A-DCDD-45CA-B630-0EDF29BDA2D7}"/>
            </c:ext>
            <c:ext xmlns:c15="http://schemas.microsoft.com/office/drawing/2012/chart" uri="{02D57815-91ED-43cb-92C2-25804820EDAC}">
              <c15:datalabelsRange>
                <c15:f>Sheet1!$A$3:$A$28</c15:f>
                <c15:dlblRangeCache>
                  <c:ptCount val="26"/>
                  <c:pt idx="0">
                    <c:v>BE</c:v>
                  </c:pt>
                  <c:pt idx="1">
                    <c:v>BG</c:v>
                  </c:pt>
                  <c:pt idx="2">
                    <c:v>CZ</c:v>
                  </c:pt>
                  <c:pt idx="3">
                    <c:v>DK</c:v>
                  </c:pt>
                  <c:pt idx="4">
                    <c:v>DE</c:v>
                  </c:pt>
                  <c:pt idx="5">
                    <c:v>EE</c:v>
                  </c:pt>
                  <c:pt idx="6">
                    <c:v>IE</c:v>
                  </c:pt>
                  <c:pt idx="7">
                    <c:v>EL</c:v>
                  </c:pt>
                  <c:pt idx="8">
                    <c:v>ES</c:v>
                  </c:pt>
                  <c:pt idx="9">
                    <c:v>FR</c:v>
                  </c:pt>
                  <c:pt idx="10">
                    <c:v>HR</c:v>
                  </c:pt>
                  <c:pt idx="11">
                    <c:v>IT</c:v>
                  </c:pt>
                  <c:pt idx="12">
                    <c:v>CY</c:v>
                  </c:pt>
                  <c:pt idx="13">
                    <c:v>LV</c:v>
                  </c:pt>
                  <c:pt idx="14">
                    <c:v>LT</c:v>
                  </c:pt>
                  <c:pt idx="15">
                    <c:v>HU</c:v>
                  </c:pt>
                  <c:pt idx="16">
                    <c:v>NL</c:v>
                  </c:pt>
                  <c:pt idx="17">
                    <c:v>AT</c:v>
                  </c:pt>
                  <c:pt idx="18">
                    <c:v>PL</c:v>
                  </c:pt>
                  <c:pt idx="19">
                    <c:v>PT</c:v>
                  </c:pt>
                  <c:pt idx="20">
                    <c:v>RO</c:v>
                  </c:pt>
                  <c:pt idx="21">
                    <c:v>SI</c:v>
                  </c:pt>
                  <c:pt idx="22">
                    <c:v>SK</c:v>
                  </c:pt>
                  <c:pt idx="23">
                    <c:v>FI</c:v>
                  </c:pt>
                  <c:pt idx="24">
                    <c:v>SE</c:v>
                  </c:pt>
                  <c:pt idx="25">
                    <c:v>UK</c:v>
                  </c:pt>
                </c15:dlblRangeCache>
              </c15:datalabelsRange>
            </c:ext>
          </c:extLst>
        </c:ser>
        <c:dLbls>
          <c:showLegendKey val="0"/>
          <c:showVal val="0"/>
          <c:showCatName val="0"/>
          <c:showSerName val="0"/>
          <c:showPercent val="0"/>
          <c:showBubbleSize val="0"/>
        </c:dLbls>
        <c:axId val="629992160"/>
        <c:axId val="629990984"/>
      </c:scatterChart>
      <c:valAx>
        <c:axId val="629992160"/>
        <c:scaling>
          <c:orientation val="minMax"/>
          <c:max val="80"/>
          <c:min val="10"/>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29990984"/>
        <c:crosses val="autoZero"/>
        <c:crossBetween val="midCat"/>
        <c:majorUnit val="10"/>
      </c:valAx>
      <c:valAx>
        <c:axId val="629990984"/>
        <c:scaling>
          <c:orientation val="minMax"/>
          <c:min val="0.1"/>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29992160"/>
        <c:crosses val="autoZero"/>
        <c:crossBetween val="midCat"/>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1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59412201441466"/>
          <c:y val="0.098301682877875565"/>
          <c:w val="0.77357359176256812"/>
          <c:h val="0.70084292348071875"/>
        </c:manualLayout>
      </c:layout>
      <c:barChart>
        <c:barDir val="col"/>
        <c:grouping val="clustered"/>
        <c:varyColors val="0"/>
        <c:ser>
          <c:idx val="4"/>
          <c:order val="0"/>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2336-4028-A533-3C7E67C1CE32}"/>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2336-4028-A533-3C7E67C1CE32}"/>
              </c:ext>
            </c:extLst>
          </c:dPt>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Sheet1!$A$3:$A$5</c:f>
              <c:strCache>
                <c:ptCount val="3"/>
                <c:pt idx="0">
                  <c:v>2005</c:v>
                </c:pt>
                <c:pt idx="1">
                  <c:v>2010</c:v>
                </c:pt>
                <c:pt idx="2">
                  <c:v>2015</c:v>
                </c:pt>
              </c:strCache>
            </c:strRef>
          </c:cat>
          <c:val>
            <c:numRef>
              <c:f>Sheet1!$B$3:$B$5</c:f>
              <c:numCache>
                <c:formatCode>0.0</c:formatCode>
                <c:ptCount val="3"/>
                <c:pt idx="0">
                  <c:v>1.16154205569172</c:v>
                </c:pt>
                <c:pt idx="1">
                  <c:v>1.3601871759200708</c:v>
                </c:pt>
                <c:pt idx="2">
                  <c:v>1.0935510448655532</c:v>
                </c:pt>
              </c:numCache>
            </c:numRef>
          </c:val>
          <c:extLst>
            <c:ext xmlns:c="http://schemas.openxmlformats.org/drawingml/2006/chart" xmlns:c16="http://schemas.microsoft.com/office/drawing/2014/chart" uri="{C3380CC4-5D6E-409C-BE32-E72D297353CC}">
              <c16:uniqueId val="{00000004-2336-4028-A533-3C7E67C1CE32}"/>
            </c:ext>
          </c:extLst>
        </c:ser>
        <c:dLbls>
          <c:showLegendKey val="0"/>
          <c:showVal val="0"/>
          <c:showCatName val="0"/>
          <c:showSerName val="0"/>
          <c:showPercent val="0"/>
          <c:showBubbleSize val="0"/>
        </c:dLbls>
        <c:gapWidth val="20"/>
        <c:axId val="629991768"/>
        <c:axId val="629982360"/>
      </c:barChart>
      <c:catAx>
        <c:axId val="629991768"/>
        <c:scaling>
          <c:orientation val="minMax"/>
        </c:scaling>
        <c:delete val="0"/>
        <c:axPos val="b"/>
        <c:numFmt formatCode="General" sourceLinked="0"/>
        <c:majorTickMark val="out"/>
        <c:minorTickMark val="none"/>
        <c:tickLblPos val="nextTo"/>
        <c:crossAx val="629982360"/>
        <c:crosses val="autoZero"/>
        <c:auto val="1"/>
        <c:lblAlgn val="ctr"/>
        <c:lblOffset val="100"/>
        <c:noMultiLvlLbl val="0"/>
      </c:catAx>
      <c:valAx>
        <c:axId val="629982360"/>
        <c:scaling>
          <c:orientation val="minMax"/>
          <c:min val="0"/>
        </c:scaling>
        <c:delete val="0"/>
        <c:axPos val="l"/>
        <c:numFmt formatCode="0.0" sourceLinked="0"/>
        <c:majorTickMark val="out"/>
        <c:minorTickMark val="none"/>
        <c:tickLblPos val="nextTo"/>
        <c:crossAx val="629991768"/>
        <c:crosses val="autoZero"/>
        <c:crossBetween val="between"/>
        <c:majorUnit val="1"/>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mbria Math" panose="02040503050406030204" pitchFamily="18" charset="0"/>
          <a:ea typeface="Cambria Math" panose="02040503050406030204" pitchFamily="18" charset="0"/>
          <a:cs typeface="Arial"/>
        </a:defRPr>
      </a:pPr>
      <a:endParaRPr lang="lv-LV"/>
    </a:p>
  </c:txPr>
  <c:externalData r:id="rId1">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73546128124922"/>
          <c:y val="0.048706240487062395"/>
          <c:w val="0.84631315184653555"/>
          <c:h val="0.73779794474843186"/>
        </c:manualLayout>
      </c:layout>
      <c:lineChart>
        <c:grouping val="standard"/>
        <c:varyColors val="0"/>
        <c:ser>
          <c:idx val="0"/>
          <c:order val="0"/>
          <c:tx>
            <c:strRef>
              <c:f>Sheet1!$A$2</c:f>
              <c:strCache>
                <c:ptCount val="1"/>
                <c:pt idx="0">
                  <c:v>Nodarbinātie</c:v>
                </c:pt>
              </c:strCache>
            </c:strRef>
          </c:tx>
          <c:spPr>
            <a:ln w="19050">
              <a:solidFill>
                <a:srgbClr val="0070C0"/>
              </a:solidFill>
              <a:prstDash val="dash"/>
            </a:ln>
          </c:spPr>
          <c:marker>
            <c:symbol val="none"/>
          </c:marker>
          <c:cat>
            <c:numRef>
              <c:f>Sheet1!$B$1:$L$1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Sheet1!$B$2:$L$2</c:f>
              <c:numCache>
                <c:formatCode>0.0</c:formatCode>
                <c:ptCount val="11"/>
                <c:pt idx="0">
                  <c:v>115.27606858643038</c:v>
                </c:pt>
                <c:pt idx="1">
                  <c:v>111.62523586840594</c:v>
                </c:pt>
                <c:pt idx="2">
                  <c:v>121.60964804331775</c:v>
                </c:pt>
                <c:pt idx="3">
                  <c:v>82.869800639921237</c:v>
                </c:pt>
                <c:pt idx="4">
                  <c:v>82.631881204364589</c:v>
                </c:pt>
                <c:pt idx="5">
                  <c:v>96.82500615308885</c:v>
                </c:pt>
                <c:pt idx="6">
                  <c:v>103.87234391664616</c:v>
                </c:pt>
                <c:pt idx="7">
                  <c:v>105.54598408401017</c:v>
                </c:pt>
                <c:pt idx="8">
                  <c:v>94.298137665107888</c:v>
                </c:pt>
                <c:pt idx="9">
                  <c:v>92.796783985560751</c:v>
                </c:pt>
                <c:pt idx="10">
                  <c:v>92.148658626630564</c:v>
                </c:pt>
              </c:numCache>
            </c:numRef>
          </c:val>
          <c:smooth val="0"/>
          <c:extLst>
            <c:ext xmlns:c="http://schemas.openxmlformats.org/drawingml/2006/chart" xmlns:c16="http://schemas.microsoft.com/office/drawing/2014/chart" uri="{C3380CC4-5D6E-409C-BE32-E72D297353CC}">
              <c16:uniqueId val="{00000000-223E-4037-9D45-EFFBEA78BBF0}"/>
            </c:ext>
          </c:extLst>
        </c:ser>
        <c:ser>
          <c:idx val="1"/>
          <c:order val="1"/>
          <c:tx>
            <c:strRef>
              <c:f>Sheet1!$A$3</c:f>
              <c:strCache>
                <c:ptCount val="1"/>
                <c:pt idx="0">
                  <c:v>Ražošanas apjomi</c:v>
                </c:pt>
              </c:strCache>
            </c:strRef>
          </c:tx>
          <c:marker>
            <c:symbol val="none"/>
          </c:marker>
          <c:cat>
            <c:numRef>
              <c:f>Sheet1!$B$1:$L$1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Sheet1!$B$3:$L$3</c:f>
              <c:numCache>
                <c:formatCode>0.0</c:formatCode>
                <c:ptCount val="11"/>
                <c:pt idx="0">
                  <c:v>138.03650715342872</c:v>
                </c:pt>
                <c:pt idx="1">
                  <c:v>120.96694622594968</c:v>
                </c:pt>
                <c:pt idx="2">
                  <c:v>118.2535767143562</c:v>
                </c:pt>
                <c:pt idx="3">
                  <c:v>93.8825851011347</c:v>
                </c:pt>
                <c:pt idx="4">
                  <c:v>106.11741489886532</c:v>
                </c:pt>
                <c:pt idx="5">
                  <c:v>125.94967932905774</c:v>
                </c:pt>
                <c:pt idx="6">
                  <c:v>118.94425259003455</c:v>
                </c:pt>
                <c:pt idx="7">
                  <c:v>88.998519980266423</c:v>
                </c:pt>
                <c:pt idx="8">
                  <c:v>93.438579181055758</c:v>
                </c:pt>
                <c:pt idx="9">
                  <c:v>101.134681795757</c:v>
                </c:pt>
                <c:pt idx="10">
                  <c:v>104.76832757770104</c:v>
                </c:pt>
              </c:numCache>
            </c:numRef>
          </c:val>
          <c:smooth val="0"/>
          <c:extLst>
            <c:ext xmlns:c="http://schemas.openxmlformats.org/drawingml/2006/chart" xmlns:c16="http://schemas.microsoft.com/office/drawing/2014/chart" uri="{C3380CC4-5D6E-409C-BE32-E72D297353CC}">
              <c16:uniqueId val="{00000001-223E-4037-9D45-EFFBEA78BBF0}"/>
            </c:ext>
          </c:extLst>
        </c:ser>
        <c:dLbls>
          <c:showLegendKey val="0"/>
          <c:showVal val="0"/>
          <c:showCatName val="0"/>
          <c:showSerName val="0"/>
          <c:showPercent val="0"/>
          <c:showBubbleSize val="0"/>
        </c:dLbls>
        <c:smooth val="0"/>
        <c:axId val="629983144"/>
        <c:axId val="629983536"/>
      </c:lineChart>
      <c:catAx>
        <c:axId val="629983144"/>
        <c:scaling>
          <c:orientation val="minMax"/>
        </c:scaling>
        <c:delete val="0"/>
        <c:axPos val="b"/>
        <c:numFmt formatCode="General" sourceLinked="1"/>
        <c:majorTickMark val="cross"/>
        <c:minorTickMark val="none"/>
        <c:tickLblPos val="nextTo"/>
        <c:spPr>
          <a:ln w="6350">
            <a:solidFill>
              <a:srgbClr val="000000"/>
            </a:solidFill>
          </a:ln>
        </c:spPr>
        <c:txPr>
          <a:bodyPr rot="-5400000" vert="horz"/>
          <a:lstStyle/>
          <a:p>
            <a:pPr>
              <a:defRPr sz="700" b="0" i="0" u="none" strike="noStrike" baseline="0">
                <a:solidFill>
                  <a:srgbClr val="000000"/>
                </a:solidFill>
                <a:latin typeface="Arial Narrow" pitchFamily="34" charset="0"/>
                <a:ea typeface="Times New Roman"/>
                <a:cs typeface="Times New Roman" pitchFamily="18" charset="0"/>
              </a:defRPr>
            </a:pPr>
            <a:endParaRPr lang="lv-LV"/>
          </a:p>
        </c:txPr>
        <c:crossAx val="629983536"/>
        <c:crosses val="autoZero"/>
        <c:auto val="1"/>
        <c:lblAlgn val="ctr"/>
        <c:lblOffset val="0"/>
        <c:noMultiLvlLbl val="0"/>
      </c:catAx>
      <c:valAx>
        <c:axId val="629983536"/>
        <c:scaling>
          <c:orientation val="minMax"/>
          <c:max val="200"/>
          <c:min val="50"/>
        </c:scaling>
        <c:delete val="0"/>
        <c:axPos val="l"/>
        <c:numFmt formatCode="0" sourceLinked="0"/>
        <c:majorTickMark val="cross"/>
        <c:minorTickMark val="none"/>
        <c:tickLblPos val="nextTo"/>
        <c:spPr>
          <a:ln w="6350">
            <a:solidFill>
              <a:sysClr val="windowText" lastClr="000000"/>
            </a:solidFill>
          </a:ln>
        </c:spPr>
        <c:txPr>
          <a:bodyPr rot="0" vert="horz"/>
          <a:lstStyle/>
          <a:p>
            <a:pPr>
              <a:defRPr sz="700" b="0" i="0" u="none" strike="noStrike" baseline="0">
                <a:solidFill>
                  <a:srgbClr val="000000"/>
                </a:solidFill>
                <a:latin typeface="Arial Narrow" pitchFamily="34" charset="0"/>
                <a:ea typeface="Times New Roman"/>
                <a:cs typeface="Times New Roman"/>
              </a:defRPr>
            </a:pPr>
            <a:endParaRPr lang="lv-LV"/>
          </a:p>
        </c:txPr>
        <c:crossAx val="629983144"/>
        <c:crosses val="autoZero"/>
        <c:crossBetween val="between"/>
        <c:majorUnit val="50"/>
      </c:valAx>
      <c:spPr>
        <a:solidFill>
          <a:sysClr val="window" lastClr="FFFFFF"/>
        </a:solidFill>
        <a:ln w="6350">
          <a:noFill/>
        </a:ln>
      </c:spPr>
    </c:plotArea>
    <c:legend>
      <c:legendPos val="t"/>
      <c:layout>
        <c:manualLayout>
          <c:xMode val="edge"/>
          <c:yMode val="edge"/>
          <c:x val="0.14280650412978177"/>
          <c:y val="0.031201248049921998"/>
          <c:w val="0.65805884790716951"/>
          <c:h val="0.19964223582144541"/>
        </c:manualLayout>
      </c:layout>
      <c:overlay val="0"/>
      <c:txPr>
        <a:bodyPr/>
        <a:lstStyle/>
        <a:p>
          <a:pPr>
            <a:defRPr sz="700" b="0">
              <a:latin typeface="Arial Narrow" pitchFamily="34" charset="0"/>
            </a:defRPr>
          </a:pPr>
          <a:endParaRPr lang="lv-LV"/>
        </a:p>
      </c:txPr>
    </c:legend>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1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7354822834645707"/>
          <c:y val="0.054187037037040774"/>
          <c:w val="0.8789631193571017"/>
          <c:h val="0.6487709948803928"/>
        </c:manualLayout>
      </c:layout>
      <c:lineChart>
        <c:grouping val="standard"/>
        <c:varyColors val="0"/>
        <c:ser>
          <c:idx val="9"/>
          <c:order val="0"/>
          <c:tx>
            <c:strRef>
              <c:f>Sheet1!$A$3</c:f>
              <c:strCache>
                <c:ptCount val="1"/>
                <c:pt idx="0">
                  <c:v>Eksports, kopā</c:v>
                </c:pt>
              </c:strCache>
            </c:strRef>
          </c:tx>
          <c:spPr>
            <a:ln w="25400">
              <a:solidFill>
                <a:schemeClr val="accent5">
                  <a:lumMod val="75000"/>
                </a:schemeClr>
              </a:solidFill>
            </a:ln>
            <a:effectLst/>
          </c:spPr>
          <c:marker>
            <c:symbol val="none"/>
          </c:marker>
          <c:cat>
            <c:numRef>
              <c:f>Sheet1!$B$2:$M$2</c:f>
              <c:numCache>
                <c:formatCode>0</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Sheet1!$B$3:$M$3</c:f>
              <c:numCache>
                <c:formatCode>0.0</c:formatCode>
                <c:ptCount val="12"/>
                <c:pt idx="0">
                  <c:v>531.817974</c:v>
                </c:pt>
                <c:pt idx="1">
                  <c:v>684.76855399999988</c:v>
                </c:pt>
                <c:pt idx="2">
                  <c:v>824.25943599999994</c:v>
                </c:pt>
                <c:pt idx="3">
                  <c:v>1039.6003109999997</c:v>
                </c:pt>
                <c:pt idx="4">
                  <c:v>630.50779199999988</c:v>
                </c:pt>
                <c:pt idx="5">
                  <c:v>913.54508600000008</c:v>
                </c:pt>
                <c:pt idx="6">
                  <c:v>1220.2352020000003</c:v>
                </c:pt>
                <c:pt idx="7">
                  <c:v>1364.3578160000002</c:v>
                </c:pt>
                <c:pt idx="8">
                  <c:v>1038.057963</c:v>
                </c:pt>
                <c:pt idx="9">
                  <c:v>909.864203</c:v>
                </c:pt>
                <c:pt idx="10">
                  <c:v>872.91007900000011</c:v>
                </c:pt>
                <c:pt idx="11" formatCode="0">
                  <c:v>812.521475</c:v>
                </c:pt>
              </c:numCache>
            </c:numRef>
          </c:val>
          <c:smooth val="0"/>
          <c:extLst>
            <c:ext xmlns:c="http://schemas.openxmlformats.org/drawingml/2006/chart" xmlns:c16="http://schemas.microsoft.com/office/drawing/2014/chart" uri="{C3380CC4-5D6E-409C-BE32-E72D297353CC}">
              <c16:uniqueId val="{00000000-F93D-4CA9-9BF7-041D92E86911}"/>
            </c:ext>
          </c:extLst>
        </c:ser>
        <c:dLbls>
          <c:showLegendKey val="0"/>
          <c:showVal val="0"/>
          <c:showCatName val="0"/>
          <c:showSerName val="0"/>
          <c:showPercent val="0"/>
          <c:showBubbleSize val="0"/>
        </c:dLbls>
        <c:smooth val="0"/>
        <c:axId val="629984712"/>
        <c:axId val="629985104"/>
      </c:lineChart>
      <c:catAx>
        <c:axId val="629984712"/>
        <c:scaling>
          <c:orientation val="minMax"/>
        </c:scaling>
        <c:delete val="0"/>
        <c:axPos val="b"/>
        <c:numFmt formatCode="0" sourceLinked="1"/>
        <c:majorTickMark val="out"/>
        <c:minorTickMark val="none"/>
        <c:tickLblPos val="low"/>
        <c:spPr>
          <a:noFill/>
          <a:ln w="3175">
            <a:solidFill>
              <a:sysClr val="window" lastClr="FFFFFF">
                <a:lumMod val="50000"/>
              </a:sysClr>
            </a:solidFill>
            <a:round/>
          </a:ln>
          <a:effectLst/>
        </c:spPr>
        <c:txPr>
          <a:bodyPr rot="-5400000" vert="horz"/>
          <a:lstStyle/>
          <a:p>
            <a:pPr>
              <a:defRPr sz="700"/>
            </a:pPr>
            <a:endParaRPr lang="lv-LV"/>
          </a:p>
        </c:txPr>
        <c:crossAx val="629985104"/>
        <c:crosses val="autoZero"/>
        <c:lblAlgn val="ctr"/>
        <c:lblOffset val="100"/>
        <c:noMultiLvlLbl val="0"/>
      </c:catAx>
      <c:valAx>
        <c:axId val="629985104"/>
        <c:scaling>
          <c:orientation val="minMax"/>
        </c:scaling>
        <c:delete val="0"/>
        <c:axPos val="l"/>
        <c:numFmt formatCode="0" sourceLinked="0"/>
        <c:majorTickMark val="out"/>
        <c:minorTickMark val="none"/>
        <c:tickLblPos val="nextTo"/>
        <c:spPr>
          <a:noFill/>
          <a:ln w="3175">
            <a:solidFill>
              <a:sysClr val="window" lastClr="FFFFFF">
                <a:lumMod val="50000"/>
              </a:sysClr>
            </a:solidFill>
            <a:round/>
          </a:ln>
          <a:effectLst/>
        </c:spPr>
        <c:txPr>
          <a:bodyPr rot="0"/>
          <a:lstStyle/>
          <a:p>
            <a:pPr>
              <a:defRPr/>
            </a:pPr>
            <a:endParaRPr lang="lv-LV"/>
          </a:p>
        </c:txPr>
        <c:crossAx val="629984712"/>
        <c:crosses val="autoZero"/>
        <c:crossBetween val="between"/>
      </c:valAx>
      <c:spPr>
        <a:noFill/>
        <a:ln w="24631">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Arial Narrow" panose="020B0606020202030204" pitchFamily="34" charset="0"/>
          <a:ea typeface="Arial"/>
          <a:cs typeface="Arial"/>
        </a:defRPr>
      </a:pPr>
      <a:endParaRPr lang="lv-LV"/>
    </a:p>
  </c:txPr>
  <c:externalData r:id="rId1">
    <c:autoUpdate val="0"/>
  </c:externalData>
</c:chartSpace>
</file>

<file path=word/charts/chart1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5939056398438"/>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ECB1-46A2-A348-7E2DD24500E2}"/>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ECB1-46A2-A348-7E2DD24500E2}"/>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Sheet1!$B$2:$L$2</c:f>
              <c:numCache>
                <c:formatCode>0</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Sheet1!$B$3:$L$3</c:f>
              <c:numCache>
                <c:formatCode>0</c:formatCode>
                <c:ptCount val="11"/>
                <c:pt idx="0">
                  <c:v>41.842484185680568</c:v>
                </c:pt>
                <c:pt idx="1">
                  <c:v>47.55337180555555</c:v>
                </c:pt>
                <c:pt idx="2">
                  <c:v>59.5563176300578</c:v>
                </c:pt>
                <c:pt idx="3">
                  <c:v>64.691991972619775</c:v>
                </c:pt>
                <c:pt idx="4">
                  <c:v>54.970164952048812</c:v>
                </c:pt>
                <c:pt idx="5">
                  <c:v>79.7855970305677</c:v>
                </c:pt>
                <c:pt idx="6">
                  <c:v>93.147725343511482</c:v>
                </c:pt>
                <c:pt idx="7">
                  <c:v>95.077199721254374</c:v>
                </c:pt>
                <c:pt idx="8">
                  <c:v>72.08735854166666</c:v>
                </c:pt>
                <c:pt idx="9">
                  <c:v>74.093176140065154</c:v>
                </c:pt>
                <c:pt idx="10">
                  <c:v>71.31618292483661</c:v>
                </c:pt>
              </c:numCache>
            </c:numRef>
          </c:val>
          <c:extLst>
            <c:ext xmlns:c="http://schemas.openxmlformats.org/drawingml/2006/chart" xmlns:c16="http://schemas.microsoft.com/office/drawing/2014/chart" uri="{C3380CC4-5D6E-409C-BE32-E72D297353CC}">
              <c16:uniqueId val="{00000004-ECB1-46A2-A348-7E2DD24500E2}"/>
            </c:ext>
          </c:extLst>
        </c:ser>
        <c:dLbls>
          <c:showLegendKey val="0"/>
          <c:showVal val="0"/>
          <c:showCatName val="0"/>
          <c:showSerName val="0"/>
          <c:showPercent val="0"/>
          <c:showBubbleSize val="0"/>
        </c:dLbls>
        <c:gapWidth val="20"/>
        <c:axId val="630000000"/>
        <c:axId val="630002744"/>
      </c:barChart>
      <c:catAx>
        <c:axId val="630000000"/>
        <c:scaling>
          <c:orientation val="minMax"/>
        </c:scaling>
        <c:delete val="0"/>
        <c:axPos val="b"/>
        <c:numFmt formatCode="0" sourceLinked="1"/>
        <c:majorTickMark val="out"/>
        <c:minorTickMark val="none"/>
        <c:tickLblPos val="low"/>
        <c:txPr>
          <a:bodyPr rot="-5400000" vert="horz"/>
          <a:lstStyle/>
          <a:p>
            <a:pPr>
              <a:defRPr/>
            </a:pPr>
            <a:endParaRPr lang="lv-LV"/>
          </a:p>
        </c:txPr>
        <c:crossAx val="630002744"/>
        <c:crosses val="autoZero"/>
        <c:auto val="1"/>
        <c:lblAlgn val="ctr"/>
        <c:lblOffset val="100"/>
        <c:noMultiLvlLbl val="0"/>
      </c:catAx>
      <c:valAx>
        <c:axId val="630002744"/>
        <c:scaling>
          <c:orientation val="minMax"/>
          <c:min val="30"/>
        </c:scaling>
        <c:delete val="0"/>
        <c:axPos val="l"/>
        <c:numFmt formatCode="0" sourceLinked="0"/>
        <c:majorTickMark val="out"/>
        <c:minorTickMark val="none"/>
        <c:tickLblPos val="nextTo"/>
        <c:crossAx val="630000000"/>
        <c:crosses val="autoZero"/>
        <c:crossBetween val="between"/>
        <c:majorUnit val="10"/>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1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572372897835"/>
          <c:y val="0.044057785459744363"/>
          <c:w val="0.9310540474739486"/>
          <c:h val="0.73334186885175934"/>
        </c:manualLayout>
      </c:layout>
      <c:barChart>
        <c:barDir val="col"/>
        <c:grouping val="clustered"/>
        <c:varyColors val="0"/>
        <c:ser>
          <c:idx val="1"/>
          <c:order val="0"/>
          <c:tx>
            <c:strRef>
              <c:f>Sheet1!$B$3</c:f>
              <c:strCache>
                <c:ptCount val="1"/>
              </c:strCache>
            </c:strRef>
          </c:tx>
          <c:spPr>
            <a:solidFill>
              <a:schemeClr val="accent3">
                <a:lumMod val="50000"/>
              </a:schemeClr>
            </a:solidFill>
            <a:ln w="19050"/>
          </c:spPr>
          <c:invertIfNegative val="0"/>
          <c:dPt>
            <c:idx val="8"/>
            <c:invertIfNegative val="0"/>
            <c:bubble3D val="0"/>
            <c:extLst>
              <c:ext xmlns:c="http://schemas.openxmlformats.org/drawingml/2006/chart" xmlns:c16="http://schemas.microsoft.com/office/drawing/2014/chart" uri="{C3380CC4-5D6E-409C-BE32-E72D297353CC}">
                <c16:uniqueId val="{00000000-2FB4-4856-9444-74ACB678DAE3}"/>
              </c:ext>
            </c:extLst>
          </c:dPt>
          <c:dPt>
            <c:idx val="9"/>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2-2FB4-4856-9444-74ACB678DAE3}"/>
              </c:ext>
            </c:extLst>
          </c:dPt>
          <c:dPt>
            <c:idx val="10"/>
            <c:invertIfNegative val="0"/>
            <c:bubble3D val="0"/>
            <c:spPr>
              <a:ln w="19050"/>
            </c:spPr>
            <c:extLst>
              <c:ext xmlns:c="http://schemas.openxmlformats.org/drawingml/2006/chart" xmlns:c16="http://schemas.microsoft.com/office/drawing/2014/chart" uri="{C3380CC4-5D6E-409C-BE32-E72D297353CC}">
                <c16:uniqueId val="{00000004-2FB4-4856-9444-74ACB678DAE3}"/>
              </c:ext>
            </c:extLst>
          </c:dPt>
          <c:dPt>
            <c:idx val="11"/>
            <c:invertIfNegative val="0"/>
            <c:bubble3D val="0"/>
            <c:extLst>
              <c:ext xmlns:c="http://schemas.openxmlformats.org/drawingml/2006/chart" xmlns:c16="http://schemas.microsoft.com/office/drawing/2014/chart" uri="{C3380CC4-5D6E-409C-BE32-E72D297353CC}">
                <c16:uniqueId val="{00000005-2FB4-4856-9444-74ACB678DAE3}"/>
              </c:ext>
            </c:extLst>
          </c:dPt>
          <c:dPt>
            <c:idx val="25"/>
            <c:invertIfNegative val="0"/>
            <c:bubble3D val="0"/>
            <c:extLst>
              <c:ext xmlns:c="http://schemas.openxmlformats.org/drawingml/2006/chart" xmlns:c16="http://schemas.microsoft.com/office/drawing/2014/chart" uri="{C3380CC4-5D6E-409C-BE32-E72D297353CC}">
                <c16:uniqueId val="{00000006-2FB4-4856-9444-74ACB678DAE3}"/>
              </c:ext>
            </c:extLst>
          </c:dPt>
          <c:dLbls>
            <c:dLbl>
              <c:idx val="8"/>
              <c:spPr>
                <a:noFill/>
                <a:ln>
                  <a:noFill/>
                </a:ln>
                <a:effectLst/>
              </c:spPr>
              <c:txPr>
                <a:bodyPr wrap="square" lIns="38100" tIns="19050" rIns="38100" bIns="19050" anchor="ctr">
                  <a:spAutoFit/>
                </a:bodyPr>
                <a:lstStyle/>
                <a:p>
                  <a:pPr>
                    <a:defRPr sz="600" b="0"/>
                  </a:pPr>
                  <a:endParaRPr lang="lv-LV"/>
                </a:p>
              </c:txPr>
              <c:showLegendKey val="0"/>
              <c:showVal val="1"/>
              <c:showCatName val="0"/>
              <c:showSerName val="0"/>
              <c:showPercent val="0"/>
              <c:showBubbleSize val="0"/>
            </c:dLbl>
            <c:dLbl>
              <c:idx val="9"/>
              <c:spPr>
                <a:noFill/>
                <a:ln>
                  <a:noFill/>
                </a:ln>
                <a:effectLst/>
              </c:spPr>
              <c:txPr>
                <a:bodyPr wrap="square" lIns="38100" tIns="19050" rIns="38100" bIns="19050" anchor="ctr">
                  <a:spAutoFit/>
                </a:bodyPr>
                <a:lstStyle/>
                <a:p>
                  <a:pPr>
                    <a:defRPr sz="600" b="0"/>
                  </a:pPr>
                  <a:endParaRPr lang="lv-LV"/>
                </a:p>
              </c:txPr>
              <c:showLegendKey val="0"/>
              <c:showVal val="1"/>
              <c:showCatName val="0"/>
              <c:showSerName val="0"/>
              <c:showPercent val="0"/>
              <c:showBubbleSize val="0"/>
            </c:dLbl>
            <c:dLbl>
              <c:idx val="10"/>
              <c:spPr>
                <a:noFill/>
                <a:ln>
                  <a:noFill/>
                </a:ln>
                <a:effectLst/>
              </c:spPr>
              <c:txPr>
                <a:bodyPr wrap="square" lIns="38100" tIns="19050" rIns="38100" bIns="19050" anchor="ctr">
                  <a:spAutoFit/>
                </a:bodyPr>
                <a:lstStyle/>
                <a:p>
                  <a:pPr>
                    <a:defRPr sz="600" b="1"/>
                  </a:pPr>
                  <a:endParaRPr lang="lv-LV"/>
                </a:p>
              </c:txPr>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Sheet1!$A$4:$A$31</c:f>
              <c:strCache>
                <c:ptCount val="28"/>
                <c:pt idx="0">
                  <c:v>BE</c:v>
                </c:pt>
                <c:pt idx="1">
                  <c:v>NL</c:v>
                </c:pt>
                <c:pt idx="2">
                  <c:v>AT</c:v>
                </c:pt>
                <c:pt idx="3">
                  <c:v>FI</c:v>
                </c:pt>
                <c:pt idx="4">
                  <c:v>DK</c:v>
                </c:pt>
                <c:pt idx="5">
                  <c:v>SE</c:v>
                </c:pt>
                <c:pt idx="6">
                  <c:v>SI</c:v>
                </c:pt>
                <c:pt idx="7">
                  <c:v>FR</c:v>
                </c:pt>
                <c:pt idx="8">
                  <c:v>LT</c:v>
                </c:pt>
                <c:pt idx="9">
                  <c:v>EU-28</c:v>
                </c:pt>
                <c:pt idx="10">
                  <c:v>LV</c:v>
                </c:pt>
                <c:pt idx="11">
                  <c:v>ES</c:v>
                </c:pt>
                <c:pt idx="12">
                  <c:v>DE</c:v>
                </c:pt>
                <c:pt idx="13">
                  <c:v>SK</c:v>
                </c:pt>
                <c:pt idx="14">
                  <c:v>EL</c:v>
                </c:pt>
                <c:pt idx="15">
                  <c:v>IE</c:v>
                </c:pt>
                <c:pt idx="16">
                  <c:v>IT</c:v>
                </c:pt>
                <c:pt idx="17">
                  <c:v>BG</c:v>
                </c:pt>
                <c:pt idx="18">
                  <c:v>UK</c:v>
                </c:pt>
                <c:pt idx="19">
                  <c:v>EE</c:v>
                </c:pt>
                <c:pt idx="20">
                  <c:v>CZ</c:v>
                </c:pt>
                <c:pt idx="21">
                  <c:v>HU</c:v>
                </c:pt>
                <c:pt idx="22">
                  <c:v>PT</c:v>
                </c:pt>
                <c:pt idx="23">
                  <c:v>PL</c:v>
                </c:pt>
                <c:pt idx="24">
                  <c:v>RO</c:v>
                </c:pt>
                <c:pt idx="25">
                  <c:v>HR</c:v>
                </c:pt>
                <c:pt idx="26">
                  <c:v>MT</c:v>
                </c:pt>
                <c:pt idx="27">
                  <c:v>CY</c:v>
                </c:pt>
              </c:strCache>
            </c:strRef>
          </c:cat>
          <c:val>
            <c:numRef>
              <c:f>Sheet1!$B$4:$B$31</c:f>
              <c:numCache>
                <c:formatCode>0</c:formatCode>
                <c:ptCount val="28"/>
                <c:pt idx="0">
                  <c:v>294.34050147826088</c:v>
                </c:pt>
                <c:pt idx="1">
                  <c:v>293.2663083611111</c:v>
                </c:pt>
                <c:pt idx="2">
                  <c:v>157.80249240266764</c:v>
                </c:pt>
                <c:pt idx="3">
                  <c:v>126.60626822916666</c:v>
                </c:pt>
                <c:pt idx="4">
                  <c:v>118.0698233076923</c:v>
                </c:pt>
                <c:pt idx="5">
                  <c:v>102.77530011428571</c:v>
                </c:pt>
                <c:pt idx="6">
                  <c:v>80.470879184177988</c:v>
                </c:pt>
                <c:pt idx="7">
                  <c:v>76.955679862337661</c:v>
                </c:pt>
                <c:pt idx="8">
                  <c:v>74.335151742993844</c:v>
                </c:pt>
                <c:pt idx="9">
                  <c:v>74.1080080075973</c:v>
                </c:pt>
                <c:pt idx="10">
                  <c:v>73.3421169117647</c:v>
                </c:pt>
                <c:pt idx="11">
                  <c:v>71.2120365729952</c:v>
                </c:pt>
                <c:pt idx="12">
                  <c:v>70.076002207401032</c:v>
                </c:pt>
                <c:pt idx="13">
                  <c:v>66.430317467916069</c:v>
                </c:pt>
                <c:pt idx="14">
                  <c:v>61.152720358649788</c:v>
                </c:pt>
                <c:pt idx="15">
                  <c:v>56.669017077464787</c:v>
                </c:pt>
                <c:pt idx="16">
                  <c:v>56.56994310557095</c:v>
                </c:pt>
                <c:pt idx="17">
                  <c:v>54.273539066747212</c:v>
                </c:pt>
                <c:pt idx="18">
                  <c:v>53.696520842529765</c:v>
                </c:pt>
                <c:pt idx="19">
                  <c:v>51.491518113207547</c:v>
                </c:pt>
                <c:pt idx="20">
                  <c:v>48.367813298446052</c:v>
                </c:pt>
                <c:pt idx="21">
                  <c:v>43.370769727927737</c:v>
                </c:pt>
                <c:pt idx="22">
                  <c:v>41.66922800928613</c:v>
                </c:pt>
                <c:pt idx="23">
                  <c:v>40.062240776112183</c:v>
                </c:pt>
                <c:pt idx="24">
                  <c:v>31.929005914127423</c:v>
                </c:pt>
                <c:pt idx="25">
                  <c:v>22.868652120094815</c:v>
                </c:pt>
                <c:pt idx="26">
                  <c:v>15.950573376623375</c:v>
                </c:pt>
                <c:pt idx="27">
                  <c:v>15.438576271186442</c:v>
                </c:pt>
              </c:numCache>
            </c:numRef>
          </c:val>
          <c:extLst>
            <c:ext xmlns:c="http://schemas.openxmlformats.org/drawingml/2006/chart" xmlns:c16="http://schemas.microsoft.com/office/drawing/2014/chart" uri="{C3380CC4-5D6E-409C-BE32-E72D297353CC}">
              <c16:uniqueId val="{00000007-2FB4-4856-9444-74ACB678DAE3}"/>
            </c:ext>
          </c:extLst>
        </c:ser>
        <c:dLbls>
          <c:showLegendKey val="0"/>
          <c:showVal val="0"/>
          <c:showCatName val="0"/>
          <c:showSerName val="0"/>
          <c:showPercent val="0"/>
          <c:showBubbleSize val="0"/>
        </c:dLbls>
        <c:gapWidth val="20"/>
        <c:axId val="629994120"/>
        <c:axId val="630001568"/>
      </c:barChart>
      <c:catAx>
        <c:axId val="629994120"/>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30001568"/>
        <c:crosses val="autoZero"/>
        <c:auto val="1"/>
        <c:lblAlgn val="ctr"/>
        <c:lblOffset val="100"/>
        <c:tickLblSkip val="1"/>
        <c:noMultiLvlLbl val="0"/>
      </c:catAx>
      <c:valAx>
        <c:axId val="630001568"/>
        <c:scaling>
          <c:orientation val="minMax"/>
        </c:scaling>
        <c:delete val="0"/>
        <c:axPos val="l"/>
        <c:numFmt formatCode="0" sourceLinked="0"/>
        <c:majorTickMark val="out"/>
        <c:minorTickMark val="none"/>
        <c:tickLblPos val="nextTo"/>
        <c:txPr>
          <a:bodyPr/>
          <a:lstStyle/>
          <a:p>
            <a:pPr>
              <a:defRPr sz="600"/>
            </a:pPr>
            <a:endParaRPr lang="lv-LV"/>
          </a:p>
        </c:txPr>
        <c:crossAx val="629994120"/>
        <c:crosses val="autoZero"/>
        <c:crossBetween val="between"/>
      </c:valAx>
    </c:plotArea>
    <c:plotVisOnly val="1"/>
    <c:dispBlanksAs val="gap"/>
    <c:showDLblsOverMax val="0"/>
  </c:chart>
  <c:spPr>
    <a:ln w="9525">
      <a:noFill/>
    </a:ln>
  </c:spPr>
  <c:externalData r:id="rId1">
    <c:autoUpdate val="0"/>
  </c:externalData>
</c:chartSpace>
</file>

<file path=word/charts/chart1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449061330451076"/>
          <c:y val="0.15218914041994749"/>
          <c:w val="0.52181675566416263"/>
          <c:h val="0.709344652230971"/>
        </c:manualLayout>
      </c:layout>
      <c:pieChart>
        <c:varyColors val="1"/>
        <c:ser>
          <c:idx val="0"/>
          <c:order val="0"/>
          <c:tx>
            <c:strRef>
              <c:f>Sheet1!$B$1</c:f>
              <c:strCache>
                <c:ptCount val="1"/>
                <c:pt idx="0">
                  <c:v>Column1</c:v>
                </c:pt>
              </c:strCache>
            </c:strRef>
          </c:tx>
          <c:dPt>
            <c:idx val="0"/>
            <c:bubble3D val="0"/>
            <c:spPr>
              <a:solidFill>
                <a:schemeClr val="accent1"/>
              </a:solidFill>
              <a:ln>
                <a:noFill/>
              </a:ln>
              <a:effectLst/>
            </c:spPr>
            <c:extLst>
              <c:ext xmlns:c="http://schemas.openxmlformats.org/drawingml/2006/chart" xmlns:c16="http://schemas.microsoft.com/office/drawing/2014/chart" uri="{C3380CC4-5D6E-409C-BE32-E72D297353CC}">
                <c16:uniqueId val="{00000001-0DBC-4B1B-87FE-0E963E52D667}"/>
              </c:ext>
            </c:extLst>
          </c:dPt>
          <c:dPt>
            <c:idx val="1"/>
            <c:bubble3D val="0"/>
            <c:spPr>
              <a:solidFill>
                <a:schemeClr val="accent2"/>
              </a:solidFill>
              <a:ln>
                <a:noFill/>
              </a:ln>
              <a:effectLst/>
            </c:spPr>
            <c:extLst>
              <c:ext xmlns:c="http://schemas.openxmlformats.org/drawingml/2006/chart" xmlns:c16="http://schemas.microsoft.com/office/drawing/2014/chart" uri="{C3380CC4-5D6E-409C-BE32-E72D297353CC}">
                <c16:uniqueId val="{00000003-0DBC-4B1B-87FE-0E963E52D667}"/>
              </c:ext>
            </c:extLst>
          </c:dPt>
          <c:dPt>
            <c:idx val="2"/>
            <c:bubble3D val="0"/>
            <c:spPr>
              <a:solidFill>
                <a:schemeClr val="accent3"/>
              </a:solidFill>
              <a:ln>
                <a:noFill/>
              </a:ln>
              <a:effectLst/>
            </c:spPr>
            <c:extLst>
              <c:ext xmlns:c="http://schemas.openxmlformats.org/drawingml/2006/chart" xmlns:c16="http://schemas.microsoft.com/office/drawing/2014/chart" uri="{C3380CC4-5D6E-409C-BE32-E72D297353CC}">
                <c16:uniqueId val="{00000005-0DBC-4B1B-87FE-0E963E52D667}"/>
              </c:ext>
            </c:extLst>
          </c:dPt>
          <c:dPt>
            <c:idx val="3"/>
            <c:bubble3D val="0"/>
            <c:spPr>
              <a:solidFill>
                <a:schemeClr val="accent4"/>
              </a:solidFill>
              <a:ln>
                <a:noFill/>
              </a:ln>
              <a:effectLst/>
            </c:spPr>
            <c:extLst>
              <c:ext xmlns:c="http://schemas.openxmlformats.org/drawingml/2006/chart" xmlns:c16="http://schemas.microsoft.com/office/drawing/2014/chart" uri="{C3380CC4-5D6E-409C-BE32-E72D297353CC}">
                <c16:uniqueId val="{00000007-0DBC-4B1B-87FE-0E963E52D667}"/>
              </c:ext>
            </c:extLst>
          </c:dPt>
          <c:dPt>
            <c:idx val="4"/>
            <c:bubble3D val="0"/>
            <c:spPr>
              <a:solidFill>
                <a:schemeClr val="accent5"/>
              </a:solidFill>
              <a:ln>
                <a:noFill/>
              </a:ln>
              <a:effectLst/>
            </c:spPr>
            <c:extLst>
              <c:ext xmlns:c="http://schemas.openxmlformats.org/drawingml/2006/chart" xmlns:c16="http://schemas.microsoft.com/office/drawing/2014/chart" uri="{C3380CC4-5D6E-409C-BE32-E72D297353CC}">
                <c16:uniqueId val="{00000009-0DBC-4B1B-87FE-0E963E52D667}"/>
              </c:ext>
            </c:extLst>
          </c:dPt>
          <c:dPt>
            <c:idx val="5"/>
            <c:bubble3D val="0"/>
            <c:spPr>
              <a:solidFill>
                <a:schemeClr val="accent6"/>
              </a:solidFill>
              <a:ln>
                <a:noFill/>
              </a:ln>
              <a:effectLst/>
            </c:spPr>
            <c:extLst>
              <c:ext xmlns:c="http://schemas.openxmlformats.org/drawingml/2006/chart" xmlns:c16="http://schemas.microsoft.com/office/drawing/2014/chart" uri="{C3380CC4-5D6E-409C-BE32-E72D297353CC}">
                <c16:uniqueId val="{0000000B-0DBC-4B1B-87FE-0E963E52D667}"/>
              </c:ext>
            </c:extLst>
          </c:dPt>
          <c:dPt>
            <c:idx val="6"/>
            <c:bubble3D val="0"/>
            <c:spPr>
              <a:solidFill>
                <a:schemeClr val="accent1">
                  <a:lumMod val="60000"/>
                </a:schemeClr>
              </a:solidFill>
              <a:ln>
                <a:noFill/>
              </a:ln>
              <a:effectLst/>
            </c:spPr>
            <c:extLst>
              <c:ext xmlns:c="http://schemas.openxmlformats.org/drawingml/2006/chart" xmlns:c16="http://schemas.microsoft.com/office/drawing/2014/chart" uri="{C3380CC4-5D6E-409C-BE32-E72D297353CC}">
                <c16:uniqueId val="{0000000D-0DBC-4B1B-87FE-0E963E52D667}"/>
              </c:ext>
            </c:extLst>
          </c:dPt>
          <c:dLbls>
            <c:dLbl>
              <c:idx val="0"/>
              <c:layout>
                <c:manualLayout>
                  <c:x val="-0.030670045554650496"/>
                  <c:y val="3.6555319164491624E-07"/>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1-0DBC-4B1B-87FE-0E963E52D667}"/>
                </c:ext>
                <c:ext xmlns:c15="http://schemas.microsoft.com/office/drawing/2012/chart" uri="{CE6537A1-D6FC-4f65-9D91-7224C49458BB}">
                  <c15:layout>
                    <c:manualLayout>
                      <c:w val="0.26758620689655177"/>
                      <c:h val="0.29986108978717491"/>
                    </c:manualLayout>
                  </c15:layout>
                </c:ext>
              </c:extLst>
            </c:dLbl>
            <c:dLbl>
              <c:idx val="1"/>
              <c:layout>
                <c:manualLayout>
                  <c:x val="-0.0078851905642984572"/>
                  <c:y val="0.01734835228929717"/>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3-0DBC-4B1B-87FE-0E963E52D667}"/>
                </c:ext>
                <c:ext xmlns:c15="http://schemas.microsoft.com/office/drawing/2012/chart" uri="{CE6537A1-D6FC-4f65-9D91-7224C49458BB}">
                  <c15:layout>
                    <c:manualLayout>
                      <c:w val="0.26091893685703083"/>
                      <c:h val="0.23486573231270882"/>
                    </c:manualLayout>
                  </c15:layout>
                </c:ext>
              </c:extLst>
            </c:dLbl>
            <c:dLbl>
              <c:idx val="2"/>
              <c:layout>
                <c:manualLayout>
                  <c:x val="-8.53772588772636E-05"/>
                  <c:y val="-0.060236220472440948"/>
                </c:manualLayout>
              </c:layout>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5-0DBC-4B1B-87FE-0E963E52D667}"/>
                </c:ext>
                <c:ext xmlns:c15="http://schemas.microsoft.com/office/drawing/2012/chart" uri="{CE6537A1-D6FC-4f65-9D91-7224C49458BB}">
                  <c15:layout>
                    <c:manualLayout>
                      <c:w val="0.26191389869369774"/>
                      <c:h val="0.29986108978717491"/>
                    </c:manualLayout>
                  </c15:layout>
                </c:ext>
              </c:extLst>
            </c:dLbl>
            <c:dLbl>
              <c:idx val="3"/>
              <c:layout>
                <c:manualLayout>
                  <c:x val="0.0077246809666033124"/>
                  <c:y val="-0.12767018328837029"/>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7-0DBC-4B1B-87FE-0E963E52D667}"/>
                </c:ext>
                <c:ext xmlns:c15="http://schemas.microsoft.com/office/drawing/2012/chart" uri="{CE6537A1-D6FC-4f65-9D91-7224C49458BB}">
                  <c15:layout>
                    <c:manualLayout>
                      <c:w val="0.28536398467432944"/>
                      <c:h val="0.24140913444315282"/>
                    </c:manualLayout>
                  </c15:layout>
                </c:ext>
              </c:extLst>
            </c:dLbl>
            <c:dLbl>
              <c:idx val="4"/>
              <c:layout>
                <c:manualLayout>
                  <c:x val="0.022877183455516266"/>
                  <c:y val="-0.0052091329809399716"/>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9-0DBC-4B1B-87FE-0E963E52D667}"/>
                </c:ext>
                <c:ext xmlns:c15="http://schemas.microsoft.com/office/drawing/2012/chart" uri="{CE6537A1-D6FC-4f65-9D91-7224C49458BB}">
                  <c15:layout>
                    <c:manualLayout>
                      <c:w val="0.26724168099677192"/>
                      <c:h val="0.24265666010498688"/>
                    </c:manualLayout>
                  </c15:layout>
                </c:ext>
              </c:extLst>
            </c:dLbl>
            <c:dLbl>
              <c:idx val="5"/>
              <c:layout>
                <c:manualLayout>
                  <c:x val="-0.11153075693124569"/>
                  <c:y val="-0.0079595551948764918"/>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B-0DBC-4B1B-87FE-0E963E52D667}"/>
                </c:ext>
                <c:ext xmlns:c15="http://schemas.microsoft.com/office/drawing/2012/chart" uri="{CE6537A1-D6FC-4f65-9D91-7224C49458BB}">
                  <c15:layout>
                    <c:manualLayout>
                      <c:w val="0.25226053639846741"/>
                      <c:h val="0.27141154709421766"/>
                    </c:manualLayout>
                  </c15:layout>
                </c:ext>
              </c:extLst>
            </c:dLbl>
            <c:dLbl>
              <c:idx val="6"/>
              <c:layout>
                <c:manualLayout>
                  <c:x val="0.061253563830011716"/>
                  <c:y val="-0.10185112277631962"/>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D-0DBC-4B1B-87FE-0E963E52D667}"/>
                </c:ext>
                <c:ext xmlns:c15="http://schemas.microsoft.com/office/drawing/2012/chart" uri="{CE6537A1-D6FC-4f65-9D91-7224C49458BB}">
                  <c15:layout>
                    <c:manualLayout>
                      <c:w val="0.21118773946360153"/>
                      <c:h val="0.37562499999999993"/>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outEnd"/>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Sheet1!$A$2:$A$8</c:f>
              <c:strCache>
                <c:ptCount val="7"/>
                <c:pt idx="0">
                  <c:v>Lietuva</c:v>
                </c:pt>
                <c:pt idx="1">
                  <c:v>Polija</c:v>
                </c:pt>
                <c:pt idx="2">
                  <c:v>Igaunija</c:v>
                </c:pt>
                <c:pt idx="3">
                  <c:v>Dānija</c:v>
                </c:pt>
                <c:pt idx="4">
                  <c:v>Zviedrija</c:v>
                </c:pt>
                <c:pt idx="5">
                  <c:v>Turcija</c:v>
                </c:pt>
                <c:pt idx="6">
                  <c:v>Citas valstis</c:v>
                </c:pt>
              </c:strCache>
            </c:strRef>
          </c:cat>
          <c:val>
            <c:numRef>
              <c:f>Sheet1!$B$2:$B$8</c:f>
              <c:numCache>
                <c:formatCode>0</c:formatCode>
                <c:ptCount val="7"/>
                <c:pt idx="0">
                  <c:v>0.11182308046187653</c:v>
                </c:pt>
                <c:pt idx="1">
                  <c:v>0.11122409092953089</c:v>
                </c:pt>
                <c:pt idx="2">
                  <c:v>0.098998160382107347</c:v>
                </c:pt>
                <c:pt idx="3">
                  <c:v>0.088706077364470434</c:v>
                </c:pt>
                <c:pt idx="4">
                  <c:v>0.0850630824254694</c:v>
                </c:pt>
                <c:pt idx="5">
                  <c:v>0.080204010337701692</c:v>
                </c:pt>
                <c:pt idx="6">
                  <c:v>0.42398149809884367</c:v>
                </c:pt>
              </c:numCache>
            </c:numRef>
          </c:val>
          <c:extLst>
            <c:ext xmlns:c="http://schemas.openxmlformats.org/drawingml/2006/chart" xmlns:c16="http://schemas.microsoft.com/office/drawing/2014/chart" uri="{C3380CC4-5D6E-409C-BE32-E72D297353CC}">
              <c16:uniqueId val="{0000000E-0DBC-4B1B-87FE-0E963E52D667}"/>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noFill/>
    <a:ln w="9525">
      <a:noFill/>
      <a:round/>
    </a:ln>
    <a:effectLst/>
  </c:spPr>
  <c:txPr>
    <a:bodyPr/>
    <a:lstStyle/>
    <a:p>
      <a:pPr>
        <a:defRPr sz="800">
          <a:latin typeface="Candara" panose="020E0502030303020204" pitchFamily="34" charset="0"/>
        </a:defRPr>
      </a:pPr>
      <a:endParaRPr lang="lv-LV"/>
    </a:p>
  </c:txPr>
  <c:externalData r:id="rId1">
    <c:autoUpdate val="0"/>
  </c:externalData>
</c:chartSpace>
</file>

<file path=word/charts/chart1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98553601027233415"/>
          <c:y val="0.01722532963499513"/>
          <c:w val="0.34507319571774181"/>
          <c:h val="0.920462379795931"/>
        </c:manualLayout>
      </c:layout>
      <c:barChart>
        <c:barDir val="col"/>
        <c:grouping val="percentStacked"/>
        <c:varyColors val="0"/>
        <c:ser>
          <c:idx val="0"/>
          <c:order val="0"/>
          <c:tx>
            <c:strRef>
              <c:f>Sheet1!$A$2</c:f>
              <c:strCache>
                <c:ptCount val="1"/>
                <c:pt idx="0">
                  <c:v>dzelzs un tērauds</c:v>
                </c:pt>
              </c:strCache>
            </c:strRef>
          </c:tx>
          <c:invertIfNegative val="0"/>
          <c:cat>
            <c:strRef>
              <c:f>Sheet1!$B$1:$F$1</c:f>
              <c:strCache>
                <c:ptCount val="5"/>
                <c:pt idx="0">
                  <c:v>2005</c:v>
                </c:pt>
                <c:pt idx="1">
                  <c:v>2010</c:v>
                </c:pt>
                <c:pt idx="2">
                  <c:v>2014</c:v>
                </c:pt>
                <c:pt idx="3">
                  <c:v>2015</c:v>
                </c:pt>
                <c:pt idx="4">
                  <c:v>2016</c:v>
                </c:pt>
              </c:strCache>
            </c:strRef>
          </c:cat>
          <c:val>
            <c:numRef>
              <c:f>Sheet1!$B$2:$F$2</c:f>
              <c:numCache>
                <c:formatCode>0</c:formatCode>
                <c:ptCount val="5"/>
                <c:pt idx="0">
                  <c:v>62.96462663427922</c:v>
                </c:pt>
                <c:pt idx="1">
                  <c:v>60.183569791631719</c:v>
                </c:pt>
                <c:pt idx="2">
                  <c:v>39.377311451388088</c:v>
                </c:pt>
                <c:pt idx="3">
                  <c:v>42.617557632760473</c:v>
                </c:pt>
                <c:pt idx="4">
                  <c:v>37.328217640041025</c:v>
                </c:pt>
              </c:numCache>
            </c:numRef>
          </c:val>
          <c:extLst>
            <c:ext xmlns:c="http://schemas.openxmlformats.org/drawingml/2006/chart" xmlns:c16="http://schemas.microsoft.com/office/drawing/2014/chart" uri="{C3380CC4-5D6E-409C-BE32-E72D297353CC}">
              <c16:uniqueId val="{00000000-BEBD-4982-9394-315635D4250E}"/>
            </c:ext>
          </c:extLst>
        </c:ser>
        <c:ser>
          <c:idx val="1"/>
          <c:order val="1"/>
          <c:tx>
            <c:strRef>
              <c:f>Sheet1!$A$3</c:f>
              <c:strCache>
                <c:ptCount val="1"/>
                <c:pt idx="0">
                  <c:v>dzelzs un tērauda izstrādājumi</c:v>
                </c:pt>
              </c:strCache>
            </c:strRef>
          </c:tx>
          <c:invertIfNegative val="0"/>
          <c:cat>
            <c:strRef>
              <c:f>Sheet1!$B$1:$F$1</c:f>
              <c:strCache>
                <c:ptCount val="5"/>
                <c:pt idx="0">
                  <c:v>2005</c:v>
                </c:pt>
                <c:pt idx="1">
                  <c:v>2010</c:v>
                </c:pt>
                <c:pt idx="2">
                  <c:v>2014</c:v>
                </c:pt>
                <c:pt idx="3">
                  <c:v>2015</c:v>
                </c:pt>
                <c:pt idx="4">
                  <c:v>2016</c:v>
                </c:pt>
              </c:strCache>
            </c:strRef>
          </c:cat>
          <c:val>
            <c:numRef>
              <c:f>Sheet1!$B$3:$F$3</c:f>
              <c:numCache>
                <c:formatCode>0</c:formatCode>
                <c:ptCount val="5"/>
                <c:pt idx="0">
                  <c:v>19.075907904894176</c:v>
                </c:pt>
                <c:pt idx="1">
                  <c:v>21.267670626224383</c:v>
                </c:pt>
                <c:pt idx="2">
                  <c:v>37.519447723563204</c:v>
                </c:pt>
                <c:pt idx="3">
                  <c:v>36.832024023404593</c:v>
                </c:pt>
                <c:pt idx="4">
                  <c:v>41.865699514693091</c:v>
                </c:pt>
              </c:numCache>
            </c:numRef>
          </c:val>
          <c:extLst>
            <c:ext xmlns:c="http://schemas.openxmlformats.org/drawingml/2006/chart" xmlns:c16="http://schemas.microsoft.com/office/drawing/2014/chart" uri="{C3380CC4-5D6E-409C-BE32-E72D297353CC}">
              <c16:uniqueId val="{00000001-BEBD-4982-9394-315635D4250E}"/>
            </c:ext>
          </c:extLst>
        </c:ser>
        <c:ser>
          <c:idx val="2"/>
          <c:order val="2"/>
          <c:tx>
            <c:strRef>
              <c:f>Sheet1!$A$4</c:f>
              <c:strCache>
                <c:ptCount val="1"/>
                <c:pt idx="0">
                  <c:v>pārējie metāli un to izstrādājumi</c:v>
                </c:pt>
              </c:strCache>
            </c:strRef>
          </c:tx>
          <c:invertIfNegative val="0"/>
          <c:cat>
            <c:strRef>
              <c:f>Sheet1!$B$1:$F$1</c:f>
              <c:strCache>
                <c:ptCount val="5"/>
                <c:pt idx="0">
                  <c:v>2005</c:v>
                </c:pt>
                <c:pt idx="1">
                  <c:v>2010</c:v>
                </c:pt>
                <c:pt idx="2">
                  <c:v>2014</c:v>
                </c:pt>
                <c:pt idx="3">
                  <c:v>2015</c:v>
                </c:pt>
                <c:pt idx="4">
                  <c:v>2016</c:v>
                </c:pt>
              </c:strCache>
            </c:strRef>
          </c:cat>
          <c:val>
            <c:numRef>
              <c:f>Sheet1!$B$4:$F$4</c:f>
              <c:numCache>
                <c:formatCode>0</c:formatCode>
                <c:ptCount val="5"/>
                <c:pt idx="0">
                  <c:v>17.959465460826596</c:v>
                </c:pt>
                <c:pt idx="1">
                  <c:v>18.548759582143898</c:v>
                </c:pt>
                <c:pt idx="2">
                  <c:v>23.103240825048704</c:v>
                </c:pt>
                <c:pt idx="3">
                  <c:v>20.550418343834931</c:v>
                </c:pt>
                <c:pt idx="4">
                  <c:v>20.806082845265891</c:v>
                </c:pt>
              </c:numCache>
            </c:numRef>
          </c:val>
          <c:extLst>
            <c:ext xmlns:c="http://schemas.openxmlformats.org/drawingml/2006/chart" xmlns:c16="http://schemas.microsoft.com/office/drawing/2014/chart" uri="{C3380CC4-5D6E-409C-BE32-E72D297353CC}">
              <c16:uniqueId val="{00000002-BEBD-4982-9394-315635D4250E}"/>
            </c:ext>
          </c:extLst>
        </c:ser>
        <c:dLbls>
          <c:showLegendKey val="0"/>
          <c:showVal val="0"/>
          <c:showCatName val="0"/>
          <c:showSerName val="0"/>
          <c:showPercent val="0"/>
          <c:showBubbleSize val="0"/>
        </c:dLbls>
        <c:gapWidth val="20"/>
        <c:overlap val="100"/>
        <c:axId val="629997256"/>
        <c:axId val="629997648"/>
      </c:barChart>
      <c:catAx>
        <c:axId val="629997256"/>
        <c:scaling>
          <c:orientation val="minMax"/>
        </c:scaling>
        <c:delete val="0"/>
        <c:axPos val="b"/>
        <c:numFmt formatCode="General" sourceLinked="0"/>
        <c:majorTickMark val="out"/>
        <c:minorTickMark val="none"/>
        <c:tickLblPos val="nextTo"/>
        <c:txPr>
          <a:bodyPr/>
          <a:lstStyle/>
          <a:p>
            <a:pPr>
              <a:defRPr sz="700"/>
            </a:pPr>
            <a:endParaRPr lang="lv-LV"/>
          </a:p>
        </c:txPr>
        <c:crossAx val="629997648"/>
        <c:crosses val="autoZero"/>
        <c:auto val="1"/>
        <c:lblAlgn val="ctr"/>
        <c:lblOffset val="100"/>
        <c:noMultiLvlLbl val="0"/>
      </c:catAx>
      <c:valAx>
        <c:axId val="629997648"/>
        <c:scaling>
          <c:orientation val="minMax"/>
        </c:scaling>
        <c:delete val="0"/>
        <c:axPos val="l"/>
        <c:numFmt formatCode="0%" sourceLinked="1"/>
        <c:majorTickMark val="out"/>
        <c:minorTickMark val="none"/>
        <c:tickLblPos val="nextTo"/>
        <c:txPr>
          <a:bodyPr/>
          <a:lstStyle/>
          <a:p>
            <a:pPr>
              <a:defRPr sz="700"/>
            </a:pPr>
            <a:endParaRPr lang="lv-LV"/>
          </a:p>
        </c:txPr>
        <c:crossAx val="629997256"/>
        <c:crosses val="autoZero"/>
        <c:crossBetween val="between"/>
      </c:valAx>
    </c:plotArea>
    <c:legend>
      <c:legendPos val="r"/>
      <c:layout>
        <c:manualLayout>
          <c:xMode val="edge"/>
          <c:yMode val="edge"/>
          <c:x val="0.48187518226888304"/>
          <c:y val="0.018061189542134811"/>
          <c:w val="0.518124817731117"/>
          <c:h val="0.74345756601579638"/>
        </c:manualLayout>
      </c:layout>
      <c:overlay val="0"/>
      <c:txPr>
        <a:bodyPr/>
        <a:lstStyle/>
        <a:p>
          <a:pPr>
            <a:defRPr sz="600">
              <a:latin typeface="Arial Narrow" panose="020B0606020202030204" pitchFamily="34" charset="0"/>
            </a:defRPr>
          </a:pPr>
          <a:endParaRPr lang="lv-LV"/>
        </a:p>
      </c:txPr>
    </c:legend>
    <c:plotVisOnly val="1"/>
    <c:dispBlanksAs val="gap"/>
    <c:showDLblsOverMax val="0"/>
  </c:chart>
  <c:spPr>
    <a:ln w="9525">
      <a:noFill/>
    </a:ln>
  </c:spPr>
  <c:txPr>
    <a:bodyPr/>
    <a:lstStyle/>
    <a:p>
      <a:pPr>
        <a:defRPr sz="800"/>
      </a:pPr>
      <a:endParaRPr lang="lv-LV"/>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98553601027233415"/>
          <c:y val="0.01722532963499513"/>
          <c:w val="0.88592589806420907"/>
          <c:h val="0.920462379795931"/>
        </c:manualLayout>
      </c:layout>
      <c:barChart>
        <c:barDir val="col"/>
        <c:grouping val="percentStacked"/>
        <c:varyColors val="0"/>
        <c:ser>
          <c:idx val="0"/>
          <c:order val="0"/>
          <c:tx>
            <c:strRef>
              <c:f>Sheet1!$A$2</c:f>
              <c:strCache>
                <c:ptCount val="1"/>
                <c:pt idx="0">
                  <c:v>1</c:v>
                </c:pt>
              </c:strCache>
            </c:strRef>
          </c:tx>
          <c:invertIfNegative val="0"/>
          <c:cat>
            <c:strRef>
              <c:f>Sheet1!$B$1:$F$1</c:f>
              <c:strCache>
                <c:ptCount val="5"/>
                <c:pt idx="0">
                  <c:v>2005</c:v>
                </c:pt>
                <c:pt idx="1">
                  <c:v>2010</c:v>
                </c:pt>
                <c:pt idx="2">
                  <c:v>2014</c:v>
                </c:pt>
                <c:pt idx="3">
                  <c:v>2015</c:v>
                </c:pt>
                <c:pt idx="4">
                  <c:v>2016</c:v>
                </c:pt>
              </c:strCache>
            </c:strRef>
          </c:cat>
          <c:val>
            <c:numRef>
              <c:f>Sheet1!$B$2:$F$2</c:f>
              <c:numCache>
                <c:formatCode>0</c:formatCode>
                <c:ptCount val="5"/>
                <c:pt idx="0">
                  <c:v>12.290563190860638</c:v>
                </c:pt>
                <c:pt idx="1">
                  <c:v>15.838915647466539</c:v>
                </c:pt>
                <c:pt idx="2">
                  <c:v>17.759132317063507</c:v>
                </c:pt>
                <c:pt idx="3">
                  <c:v>17.718601018142831</c:v>
                </c:pt>
                <c:pt idx="4">
                  <c:v>15.989638730433049</c:v>
                </c:pt>
              </c:numCache>
            </c:numRef>
          </c:val>
          <c:extLst>
            <c:ext xmlns:c="http://schemas.openxmlformats.org/drawingml/2006/chart" xmlns:c16="http://schemas.microsoft.com/office/drawing/2014/chart" uri="{C3380CC4-5D6E-409C-BE32-E72D297353CC}">
              <c16:uniqueId val="{00000000-5C31-44FE-8285-EE4612BFA9FC}"/>
            </c:ext>
          </c:extLst>
        </c:ser>
        <c:ser>
          <c:idx val="1"/>
          <c:order val="1"/>
          <c:tx>
            <c:strRef>
              <c:f>Sheet1!$A$3</c:f>
              <c:strCache>
                <c:ptCount val="1"/>
                <c:pt idx="0">
                  <c:v>3</c:v>
                </c:pt>
              </c:strCache>
            </c:strRef>
          </c:tx>
          <c:invertIfNegative val="0"/>
          <c:cat>
            <c:strRef>
              <c:f>Sheet1!$B$1:$F$1</c:f>
              <c:strCache>
                <c:ptCount val="5"/>
                <c:pt idx="0">
                  <c:v>2005</c:v>
                </c:pt>
                <c:pt idx="1">
                  <c:v>2010</c:v>
                </c:pt>
                <c:pt idx="2">
                  <c:v>2014</c:v>
                </c:pt>
                <c:pt idx="3">
                  <c:v>2015</c:v>
                </c:pt>
                <c:pt idx="4">
                  <c:v>2016</c:v>
                </c:pt>
              </c:strCache>
            </c:strRef>
          </c:cat>
          <c:val>
            <c:numRef>
              <c:f>Sheet1!$B$3:$F$3</c:f>
              <c:numCache>
                <c:formatCode>0</c:formatCode>
                <c:ptCount val="5"/>
                <c:pt idx="0">
                  <c:v>6.8127620065450119</c:v>
                </c:pt>
                <c:pt idx="1">
                  <c:v>8.7700837976379855</c:v>
                </c:pt>
                <c:pt idx="2">
                  <c:v>9.4499430141463066</c:v>
                </c:pt>
                <c:pt idx="3">
                  <c:v>9.0676701103366284</c:v>
                </c:pt>
                <c:pt idx="4">
                  <c:v>9.3971417165203839</c:v>
                </c:pt>
              </c:numCache>
            </c:numRef>
          </c:val>
          <c:extLst>
            <c:ext xmlns:c="http://schemas.openxmlformats.org/drawingml/2006/chart" xmlns:c16="http://schemas.microsoft.com/office/drawing/2014/chart" uri="{C3380CC4-5D6E-409C-BE32-E72D297353CC}">
              <c16:uniqueId val="{00000001-5C31-44FE-8285-EE4612BFA9FC}"/>
            </c:ext>
          </c:extLst>
        </c:ser>
        <c:ser>
          <c:idx val="2"/>
          <c:order val="2"/>
          <c:tx>
            <c:strRef>
              <c:f>Sheet1!$A$4</c:f>
              <c:strCache>
                <c:ptCount val="1"/>
                <c:pt idx="0">
                  <c:v>4</c:v>
                </c:pt>
              </c:strCache>
            </c:strRef>
          </c:tx>
          <c:invertIfNegative val="0"/>
          <c:cat>
            <c:strRef>
              <c:f>Sheet1!$B$1:$F$1</c:f>
              <c:strCache>
                <c:ptCount val="5"/>
                <c:pt idx="0">
                  <c:v>2005</c:v>
                </c:pt>
                <c:pt idx="1">
                  <c:v>2010</c:v>
                </c:pt>
                <c:pt idx="2">
                  <c:v>2014</c:v>
                </c:pt>
                <c:pt idx="3">
                  <c:v>2015</c:v>
                </c:pt>
                <c:pt idx="4">
                  <c:v>2016</c:v>
                </c:pt>
              </c:strCache>
            </c:strRef>
          </c:cat>
          <c:val>
            <c:numRef>
              <c:f>Sheet1!$B$4:$F$4</c:f>
              <c:numCache>
                <c:formatCode>0</c:formatCode>
                <c:ptCount val="5"/>
                <c:pt idx="0">
                  <c:v>17.513187290509759</c:v>
                </c:pt>
                <c:pt idx="1">
                  <c:v>15.845833338000681</c:v>
                </c:pt>
                <c:pt idx="2">
                  <c:v>16.575083362396647</c:v>
                </c:pt>
                <c:pt idx="3">
                  <c:v>16.693579989759385</c:v>
                </c:pt>
                <c:pt idx="4">
                  <c:v>17.337750244219059</c:v>
                </c:pt>
              </c:numCache>
            </c:numRef>
          </c:val>
          <c:extLst>
            <c:ext xmlns:c="http://schemas.openxmlformats.org/drawingml/2006/chart" xmlns:c16="http://schemas.microsoft.com/office/drawing/2014/chart" uri="{C3380CC4-5D6E-409C-BE32-E72D297353CC}">
              <c16:uniqueId val="{00000002-5C31-44FE-8285-EE4612BFA9FC}"/>
            </c:ext>
          </c:extLst>
        </c:ser>
        <c:ser>
          <c:idx val="3"/>
          <c:order val="3"/>
          <c:tx>
            <c:strRef>
              <c:f>Sheet1!$A$5</c:f>
              <c:strCache>
                <c:ptCount val="1"/>
                <c:pt idx="0">
                  <c:v>4</c:v>
                </c:pt>
              </c:strCache>
            </c:strRef>
          </c:tx>
          <c:invertIfNegative val="0"/>
          <c:cat>
            <c:strRef>
              <c:f>Sheet1!$B$1:$F$1</c:f>
              <c:strCache>
                <c:ptCount val="5"/>
                <c:pt idx="0">
                  <c:v>2005</c:v>
                </c:pt>
                <c:pt idx="1">
                  <c:v>2010</c:v>
                </c:pt>
                <c:pt idx="2">
                  <c:v>2014</c:v>
                </c:pt>
                <c:pt idx="3">
                  <c:v>2015</c:v>
                </c:pt>
                <c:pt idx="4">
                  <c:v>2016</c:v>
                </c:pt>
              </c:strCache>
            </c:strRef>
          </c:cat>
          <c:val>
            <c:numRef>
              <c:f>Sheet1!$B$5:$F$5</c:f>
              <c:numCache>
                <c:formatCode>0</c:formatCode>
                <c:ptCount val="5"/>
                <c:pt idx="0">
                  <c:v>17.513187290509759</c:v>
                </c:pt>
                <c:pt idx="1">
                  <c:v>15.845833338000681</c:v>
                </c:pt>
                <c:pt idx="2">
                  <c:v>16.575083362396647</c:v>
                </c:pt>
                <c:pt idx="3">
                  <c:v>16.693579989759385</c:v>
                </c:pt>
                <c:pt idx="4">
                  <c:v>17.337750244219059</c:v>
                </c:pt>
              </c:numCache>
            </c:numRef>
          </c:val>
          <c:extLst>
            <c:ext xmlns:c="http://schemas.openxmlformats.org/drawingml/2006/chart" xmlns:c16="http://schemas.microsoft.com/office/drawing/2014/chart" uri="{C3380CC4-5D6E-409C-BE32-E72D297353CC}">
              <c16:uniqueId val="{00000003-5C31-44FE-8285-EE4612BFA9FC}"/>
            </c:ext>
          </c:extLst>
        </c:ser>
        <c:ser>
          <c:idx val="4"/>
          <c:order val="4"/>
          <c:tx>
            <c:strRef>
              <c:f>Sheet1!$A$6</c:f>
              <c:strCache>
                <c:ptCount val="1"/>
                <c:pt idx="0">
                  <c:v>5</c:v>
                </c:pt>
              </c:strCache>
            </c:strRef>
          </c:tx>
          <c:invertIfNegative val="0"/>
          <c:cat>
            <c:strRef>
              <c:f>Sheet1!$B$1:$F$1</c:f>
              <c:strCache>
                <c:ptCount val="5"/>
                <c:pt idx="0">
                  <c:v>2005</c:v>
                </c:pt>
                <c:pt idx="1">
                  <c:v>2010</c:v>
                </c:pt>
                <c:pt idx="2">
                  <c:v>2014</c:v>
                </c:pt>
                <c:pt idx="3">
                  <c:v>2015</c:v>
                </c:pt>
                <c:pt idx="4">
                  <c:v>2016</c:v>
                </c:pt>
              </c:strCache>
            </c:strRef>
          </c:cat>
          <c:val>
            <c:numRef>
              <c:f>Sheet1!$B$6:$F$6</c:f>
              <c:numCache>
                <c:formatCode>0</c:formatCode>
                <c:ptCount val="5"/>
                <c:pt idx="0">
                  <c:v>22.531679873110658</c:v>
                </c:pt>
                <c:pt idx="1">
                  <c:v>19.750946349416274</c:v>
                </c:pt>
                <c:pt idx="2">
                  <c:v>18.59664953627405</c:v>
                </c:pt>
                <c:pt idx="3">
                  <c:v>17.689451712133984</c:v>
                </c:pt>
                <c:pt idx="4">
                  <c:v>18.026718246578927</c:v>
                </c:pt>
              </c:numCache>
            </c:numRef>
          </c:val>
          <c:extLst>
            <c:ext xmlns:c="http://schemas.openxmlformats.org/drawingml/2006/chart" xmlns:c16="http://schemas.microsoft.com/office/drawing/2014/chart" uri="{C3380CC4-5D6E-409C-BE32-E72D297353CC}">
              <c16:uniqueId val="{00000004-5C31-44FE-8285-EE4612BFA9FC}"/>
            </c:ext>
          </c:extLst>
        </c:ser>
        <c:dLbls>
          <c:showLegendKey val="0"/>
          <c:showVal val="0"/>
          <c:showCatName val="0"/>
          <c:showSerName val="0"/>
          <c:showPercent val="0"/>
          <c:showBubbleSize val="0"/>
        </c:dLbls>
        <c:gapWidth val="20"/>
        <c:overlap val="100"/>
        <c:axId val="629823992"/>
        <c:axId val="629818504"/>
      </c:barChart>
      <c:catAx>
        <c:axId val="629823992"/>
        <c:scaling>
          <c:orientation val="minMax"/>
        </c:scaling>
        <c:delete val="0"/>
        <c:axPos val="b"/>
        <c:numFmt formatCode="General" sourceLinked="0"/>
        <c:majorTickMark val="out"/>
        <c:minorTickMark val="none"/>
        <c:tickLblPos val="nextTo"/>
        <c:txPr>
          <a:bodyPr/>
          <a:lstStyle/>
          <a:p>
            <a:pPr>
              <a:defRPr sz="700"/>
            </a:pPr>
            <a:endParaRPr lang="lv-LV"/>
          </a:p>
        </c:txPr>
        <c:crossAx val="629818504"/>
        <c:crosses val="autoZero"/>
        <c:auto val="1"/>
        <c:lblAlgn val="ctr"/>
        <c:lblOffset val="100"/>
        <c:noMultiLvlLbl val="0"/>
      </c:catAx>
      <c:valAx>
        <c:axId val="629818504"/>
        <c:scaling>
          <c:orientation val="minMax"/>
        </c:scaling>
        <c:delete val="0"/>
        <c:axPos val="l"/>
        <c:numFmt formatCode="0%" sourceLinked="1"/>
        <c:majorTickMark val="out"/>
        <c:minorTickMark val="none"/>
        <c:tickLblPos val="nextTo"/>
        <c:txPr>
          <a:bodyPr/>
          <a:lstStyle/>
          <a:p>
            <a:pPr>
              <a:defRPr sz="700"/>
            </a:pPr>
            <a:endParaRPr lang="lv-LV"/>
          </a:p>
        </c:txPr>
        <c:crossAx val="629823992"/>
        <c:crosses val="autoZero"/>
        <c:crossBetween val="between"/>
      </c:valAx>
    </c:plotArea>
    <c:plotVisOnly val="1"/>
    <c:dispBlanksAs val="gap"/>
    <c:showDLblsOverMax val="0"/>
  </c:chart>
  <c:spPr>
    <a:ln w="9525">
      <a:noFill/>
    </a:ln>
  </c:spPr>
  <c:txPr>
    <a:bodyPr/>
    <a:lstStyle/>
    <a:p>
      <a:pPr>
        <a:defRPr sz="800"/>
      </a:pPr>
      <a:endParaRPr lang="lv-LV"/>
    </a:p>
  </c:txPr>
  <c:externalData r:id="rId1">
    <c:autoUpdate val="0"/>
  </c:externalData>
</c:chartSpace>
</file>

<file path=word/charts/chart1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98553601027233415"/>
          <c:y val="0.01722532963499513"/>
          <c:w val="0.88592589806420907"/>
          <c:h val="0.920462379795931"/>
        </c:manualLayout>
      </c:layout>
      <c:barChart>
        <c:barDir val="col"/>
        <c:grouping val="percentStacked"/>
        <c:varyColors val="0"/>
        <c:ser>
          <c:idx val="0"/>
          <c:order val="0"/>
          <c:tx>
            <c:strRef>
              <c:f>Sheet1!$A$2</c:f>
              <c:strCache>
                <c:ptCount val="1"/>
                <c:pt idx="0">
                  <c:v>dzelzs un tērauds</c:v>
                </c:pt>
              </c:strCache>
            </c:strRef>
          </c:tx>
          <c:invertIfNegative val="0"/>
          <c:cat>
            <c:strRef>
              <c:f>Sheet1!$B$1:$F$1</c:f>
              <c:strCache>
                <c:ptCount val="5"/>
                <c:pt idx="0">
                  <c:v>2005</c:v>
                </c:pt>
                <c:pt idx="1">
                  <c:v>2010</c:v>
                </c:pt>
                <c:pt idx="2">
                  <c:v>2014</c:v>
                </c:pt>
                <c:pt idx="3">
                  <c:v>2015</c:v>
                </c:pt>
                <c:pt idx="4">
                  <c:v>2016</c:v>
                </c:pt>
              </c:strCache>
            </c:strRef>
          </c:cat>
          <c:val>
            <c:numRef>
              <c:f>Sheet1!$B$2:$F$2</c:f>
              <c:numCache>
                <c:formatCode>0</c:formatCode>
                <c:ptCount val="5"/>
                <c:pt idx="0">
                  <c:v>39.23290518232772</c:v>
                </c:pt>
                <c:pt idx="1">
                  <c:v>36.446442290105487</c:v>
                </c:pt>
                <c:pt idx="2">
                  <c:v>33.707133161513966</c:v>
                </c:pt>
                <c:pt idx="3">
                  <c:v>31.879754540052215</c:v>
                </c:pt>
                <c:pt idx="4">
                  <c:v>30.78259654243891</c:v>
                </c:pt>
              </c:numCache>
            </c:numRef>
          </c:val>
          <c:extLst>
            <c:ext xmlns:c="http://schemas.openxmlformats.org/drawingml/2006/chart" xmlns:c16="http://schemas.microsoft.com/office/drawing/2014/chart" uri="{C3380CC4-5D6E-409C-BE32-E72D297353CC}">
              <c16:uniqueId val="{00000000-7860-4804-AE46-35FBDDF9D320}"/>
            </c:ext>
          </c:extLst>
        </c:ser>
        <c:ser>
          <c:idx val="1"/>
          <c:order val="1"/>
          <c:tx>
            <c:strRef>
              <c:f>Sheet1!$A$3</c:f>
              <c:strCache>
                <c:ptCount val="1"/>
                <c:pt idx="0">
                  <c:v>dzelzs un tērauda izstrādājumi</c:v>
                </c:pt>
              </c:strCache>
            </c:strRef>
          </c:tx>
          <c:invertIfNegative val="0"/>
          <c:cat>
            <c:strRef>
              <c:f>Sheet1!$B$1:$F$1</c:f>
              <c:strCache>
                <c:ptCount val="5"/>
                <c:pt idx="0">
                  <c:v>2005</c:v>
                </c:pt>
                <c:pt idx="1">
                  <c:v>2010</c:v>
                </c:pt>
                <c:pt idx="2">
                  <c:v>2014</c:v>
                </c:pt>
                <c:pt idx="3">
                  <c:v>2015</c:v>
                </c:pt>
                <c:pt idx="4">
                  <c:v>2016</c:v>
                </c:pt>
              </c:strCache>
            </c:strRef>
          </c:cat>
          <c:val>
            <c:numRef>
              <c:f>Sheet1!$B$3:$F$3</c:f>
              <c:numCache>
                <c:formatCode>0</c:formatCode>
                <c:ptCount val="5"/>
                <c:pt idx="0">
                  <c:v>27.049408832250883</c:v>
                </c:pt>
                <c:pt idx="1">
                  <c:v>26.556116483432994</c:v>
                </c:pt>
                <c:pt idx="2">
                  <c:v>29.237655147946523</c:v>
                </c:pt>
                <c:pt idx="3">
                  <c:v>29.568828867496428</c:v>
                </c:pt>
                <c:pt idx="4">
                  <c:v>30.148772349096969</c:v>
                </c:pt>
              </c:numCache>
            </c:numRef>
          </c:val>
          <c:extLst>
            <c:ext xmlns:c="http://schemas.openxmlformats.org/drawingml/2006/chart" xmlns:c16="http://schemas.microsoft.com/office/drawing/2014/chart" uri="{C3380CC4-5D6E-409C-BE32-E72D297353CC}">
              <c16:uniqueId val="{00000001-7860-4804-AE46-35FBDDF9D320}"/>
            </c:ext>
          </c:extLst>
        </c:ser>
        <c:ser>
          <c:idx val="2"/>
          <c:order val="2"/>
          <c:tx>
            <c:strRef>
              <c:f>Sheet1!$A$4</c:f>
              <c:strCache>
                <c:ptCount val="1"/>
                <c:pt idx="0">
                  <c:v>pārējie metāli un to izstrādājumi</c:v>
                </c:pt>
              </c:strCache>
            </c:strRef>
          </c:tx>
          <c:invertIfNegative val="0"/>
          <c:cat>
            <c:strRef>
              <c:f>Sheet1!$B$1:$F$1</c:f>
              <c:strCache>
                <c:ptCount val="5"/>
                <c:pt idx="0">
                  <c:v>2005</c:v>
                </c:pt>
                <c:pt idx="1">
                  <c:v>2010</c:v>
                </c:pt>
                <c:pt idx="2">
                  <c:v>2014</c:v>
                </c:pt>
                <c:pt idx="3">
                  <c:v>2015</c:v>
                </c:pt>
                <c:pt idx="4">
                  <c:v>2016</c:v>
                </c:pt>
              </c:strCache>
            </c:strRef>
          </c:cat>
          <c:val>
            <c:numRef>
              <c:f>Sheet1!$B$4:$F$4</c:f>
              <c:numCache>
                <c:formatCode>0</c:formatCode>
                <c:ptCount val="5"/>
                <c:pt idx="0">
                  <c:v>33.7176859854214</c:v>
                </c:pt>
                <c:pt idx="1">
                  <c:v>36.997441226461518</c:v>
                </c:pt>
                <c:pt idx="2">
                  <c:v>37.055211690539515</c:v>
                </c:pt>
                <c:pt idx="3">
                  <c:v>38.551416592451353</c:v>
                </c:pt>
                <c:pt idx="4">
                  <c:v>39.06863110846411</c:v>
                </c:pt>
              </c:numCache>
            </c:numRef>
          </c:val>
          <c:extLst>
            <c:ext xmlns:c="http://schemas.openxmlformats.org/drawingml/2006/chart" xmlns:c16="http://schemas.microsoft.com/office/drawing/2014/chart" uri="{C3380CC4-5D6E-409C-BE32-E72D297353CC}">
              <c16:uniqueId val="{00000002-7860-4804-AE46-35FBDDF9D320}"/>
            </c:ext>
          </c:extLst>
        </c:ser>
        <c:dLbls>
          <c:showLegendKey val="0"/>
          <c:showVal val="0"/>
          <c:showCatName val="0"/>
          <c:showSerName val="0"/>
          <c:showPercent val="0"/>
          <c:showBubbleSize val="0"/>
        </c:dLbls>
        <c:gapWidth val="20"/>
        <c:overlap val="100"/>
        <c:axId val="630005488"/>
        <c:axId val="629999216"/>
      </c:barChart>
      <c:catAx>
        <c:axId val="630005488"/>
        <c:scaling>
          <c:orientation val="minMax"/>
        </c:scaling>
        <c:delete val="0"/>
        <c:axPos val="b"/>
        <c:numFmt formatCode="General" sourceLinked="0"/>
        <c:majorTickMark val="out"/>
        <c:minorTickMark val="none"/>
        <c:tickLblPos val="nextTo"/>
        <c:txPr>
          <a:bodyPr/>
          <a:lstStyle/>
          <a:p>
            <a:pPr>
              <a:defRPr sz="700"/>
            </a:pPr>
            <a:endParaRPr lang="lv-LV"/>
          </a:p>
        </c:txPr>
        <c:crossAx val="629999216"/>
        <c:crosses val="autoZero"/>
        <c:auto val="1"/>
        <c:lblAlgn val="ctr"/>
        <c:lblOffset val="100"/>
        <c:noMultiLvlLbl val="0"/>
      </c:catAx>
      <c:valAx>
        <c:axId val="629999216"/>
        <c:scaling>
          <c:orientation val="minMax"/>
        </c:scaling>
        <c:delete val="0"/>
        <c:axPos val="l"/>
        <c:numFmt formatCode="0%" sourceLinked="1"/>
        <c:majorTickMark val="out"/>
        <c:minorTickMark val="none"/>
        <c:tickLblPos val="nextTo"/>
        <c:txPr>
          <a:bodyPr/>
          <a:lstStyle/>
          <a:p>
            <a:pPr>
              <a:defRPr sz="700"/>
            </a:pPr>
            <a:endParaRPr lang="lv-LV"/>
          </a:p>
        </c:txPr>
        <c:crossAx val="630005488"/>
        <c:crosses val="autoZero"/>
        <c:crossBetween val="between"/>
      </c:valAx>
    </c:plotArea>
    <c:plotVisOnly val="1"/>
    <c:dispBlanksAs val="gap"/>
    <c:showDLblsOverMax val="0"/>
  </c:chart>
  <c:spPr>
    <a:ln w="9525">
      <a:noFill/>
    </a:ln>
  </c:spPr>
  <c:txPr>
    <a:bodyPr/>
    <a:lstStyle/>
    <a:p>
      <a:pPr>
        <a:defRPr sz="800"/>
      </a:pPr>
      <a:endParaRPr lang="lv-LV"/>
    </a:p>
  </c:txPr>
  <c:externalData r:id="rId1">
    <c:autoUpdate val="0"/>
  </c:externalData>
</c:chartSpace>
</file>

<file path=word/charts/chart1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3F76-4675-ACBB-D9278F3767F0}"/>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3F76-4675-ACBB-D9278F3767F0}"/>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Sheet1!$B$2:$M$2</c:f>
              <c:numCache>
                <c:formatCode>0</c:formatCode>
                <c:ptCount val="12"/>
                <c:pt idx="0">
                  <c:v>2004</c:v>
                </c:pt>
                <c:pt idx="1">
                  <c:v>2005</c:v>
                </c:pt>
                <c:pt idx="2">
                  <c:v>2006</c:v>
                </c:pt>
                <c:pt idx="3">
                  <c:v>2007</c:v>
                </c:pt>
                <c:pt idx="4">
                  <c:v>2008</c:v>
                </c:pt>
                <c:pt idx="5">
                  <c:v>2009</c:v>
                </c:pt>
                <c:pt idx="6">
                  <c:v>2010</c:v>
                </c:pt>
                <c:pt idx="7">
                  <c:v>2011</c:v>
                </c:pt>
                <c:pt idx="8">
                  <c:v>2012</c:v>
                </c:pt>
                <c:pt idx="9">
                  <c:v>2013</c:v>
                </c:pt>
                <c:pt idx="10" formatCode="General">
                  <c:v>2014</c:v>
                </c:pt>
                <c:pt idx="11">
                  <c:v>2015</c:v>
                </c:pt>
              </c:numCache>
            </c:numRef>
          </c:cat>
          <c:val>
            <c:numRef>
              <c:f>Sheet1!$B$3:$M$3</c:f>
              <c:numCache>
                <c:formatCode>0.0</c:formatCode>
                <c:ptCount val="12"/>
                <c:pt idx="0">
                  <c:v>5.9521846661170645</c:v>
                </c:pt>
                <c:pt idx="1">
                  <c:v>6.2191103789126849</c:v>
                </c:pt>
                <c:pt idx="2">
                  <c:v>8.3066860465116275</c:v>
                </c:pt>
                <c:pt idx="3">
                  <c:v>10.144157814871017</c:v>
                </c:pt>
                <c:pt idx="4">
                  <c:v>11.445544554455445</c:v>
                </c:pt>
                <c:pt idx="5">
                  <c:v>9.89843028624192</c:v>
                </c:pt>
                <c:pt idx="6">
                  <c:v>9.57288765088208</c:v>
                </c:pt>
                <c:pt idx="7">
                  <c:v>9.3897477624084633</c:v>
                </c:pt>
                <c:pt idx="8">
                  <c:v>11.088739746457867</c:v>
                </c:pt>
                <c:pt idx="9">
                  <c:v>11.147058823529411</c:v>
                </c:pt>
                <c:pt idx="10">
                  <c:v>12.441355343179843</c:v>
                </c:pt>
                <c:pt idx="11" formatCode="General">
                  <c:v>13.298153034300791</c:v>
                </c:pt>
              </c:numCache>
            </c:numRef>
          </c:val>
          <c:extLst>
            <c:ext xmlns:c="http://schemas.openxmlformats.org/drawingml/2006/chart" xmlns:c16="http://schemas.microsoft.com/office/drawing/2014/chart" uri="{C3380CC4-5D6E-409C-BE32-E72D297353CC}">
              <c16:uniqueId val="{00000004-3F76-4675-ACBB-D9278F3767F0}"/>
            </c:ext>
          </c:extLst>
        </c:ser>
        <c:dLbls>
          <c:showLegendKey val="0"/>
          <c:showVal val="0"/>
          <c:showCatName val="0"/>
          <c:showSerName val="0"/>
          <c:showPercent val="0"/>
          <c:showBubbleSize val="0"/>
        </c:dLbls>
        <c:gapWidth val="20"/>
        <c:axId val="629994904"/>
        <c:axId val="629998040"/>
      </c:barChart>
      <c:catAx>
        <c:axId val="629994904"/>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29998040"/>
        <c:crosses val="autoZero"/>
        <c:auto val="1"/>
        <c:lblAlgn val="ctr"/>
        <c:lblOffset val="100"/>
        <c:noMultiLvlLbl val="0"/>
      </c:catAx>
      <c:valAx>
        <c:axId val="629998040"/>
        <c:scaling>
          <c:orientation val="minMax"/>
          <c:max val="20"/>
          <c:min val="0"/>
        </c:scaling>
        <c:delete val="0"/>
        <c:axPos val="l"/>
        <c:numFmt formatCode="0" sourceLinked="0"/>
        <c:majorTickMark val="out"/>
        <c:minorTickMark val="none"/>
        <c:tickLblPos val="nextTo"/>
        <c:crossAx val="629994904"/>
        <c:crosses val="autoZero"/>
        <c:crossBetween val="between"/>
        <c:majorUnit val="5"/>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1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195E-4613-AC1B-62076A0E09C7}"/>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195E-4613-AC1B-62076A0E09C7}"/>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Sheet1!$B$2:$M$2</c:f>
              <c:numCache>
                <c:formatCode>0</c:formatCode>
                <c:ptCount val="12"/>
                <c:pt idx="0">
                  <c:v>2004</c:v>
                </c:pt>
                <c:pt idx="1">
                  <c:v>2005</c:v>
                </c:pt>
                <c:pt idx="2">
                  <c:v>2006</c:v>
                </c:pt>
                <c:pt idx="3">
                  <c:v>2007</c:v>
                </c:pt>
                <c:pt idx="4">
                  <c:v>2008</c:v>
                </c:pt>
                <c:pt idx="5">
                  <c:v>2009</c:v>
                </c:pt>
                <c:pt idx="6">
                  <c:v>2010</c:v>
                </c:pt>
                <c:pt idx="7">
                  <c:v>2011</c:v>
                </c:pt>
                <c:pt idx="8">
                  <c:v>2012</c:v>
                </c:pt>
                <c:pt idx="9">
                  <c:v>2013</c:v>
                </c:pt>
                <c:pt idx="10" formatCode="General">
                  <c:v>2014</c:v>
                </c:pt>
                <c:pt idx="11">
                  <c:v>2015</c:v>
                </c:pt>
              </c:numCache>
            </c:numRef>
          </c:cat>
          <c:val>
            <c:numRef>
              <c:f>Sheet1!$B$3:$M$3</c:f>
              <c:numCache>
                <c:formatCode>0.0</c:formatCode>
                <c:ptCount val="12"/>
                <c:pt idx="0">
                  <c:v>18.093354430379744</c:v>
                </c:pt>
                <c:pt idx="1">
                  <c:v>15.948072383949643</c:v>
                </c:pt>
                <c:pt idx="2">
                  <c:v>19.430555555555557</c:v>
                </c:pt>
                <c:pt idx="3">
                  <c:v>17.716763005780347</c:v>
                </c:pt>
                <c:pt idx="4">
                  <c:v>14.91599253266957</c:v>
                </c:pt>
                <c:pt idx="5">
                  <c:v>16.591107236268527</c:v>
                </c:pt>
                <c:pt idx="6">
                  <c:v>18.786026200873362</c:v>
                </c:pt>
                <c:pt idx="7">
                  <c:v>19.488549618320612</c:v>
                </c:pt>
                <c:pt idx="8">
                  <c:v>16.801393728222997</c:v>
                </c:pt>
                <c:pt idx="9">
                  <c:v>12.527777777777779</c:v>
                </c:pt>
                <c:pt idx="10">
                  <c:v>15.423452768729643</c:v>
                </c:pt>
                <c:pt idx="11">
                  <c:v>16.748366013071895</c:v>
                </c:pt>
              </c:numCache>
            </c:numRef>
          </c:val>
          <c:extLst>
            <c:ext xmlns:c="http://schemas.openxmlformats.org/drawingml/2006/chart" xmlns:c16="http://schemas.microsoft.com/office/drawing/2014/chart" uri="{C3380CC4-5D6E-409C-BE32-E72D297353CC}">
              <c16:uniqueId val="{00000004-195E-4613-AC1B-62076A0E09C7}"/>
            </c:ext>
          </c:extLst>
        </c:ser>
        <c:dLbls>
          <c:showLegendKey val="0"/>
          <c:showVal val="0"/>
          <c:showCatName val="0"/>
          <c:showSerName val="0"/>
          <c:showPercent val="0"/>
          <c:showBubbleSize val="0"/>
        </c:dLbls>
        <c:gapWidth val="20"/>
        <c:axId val="630001176"/>
        <c:axId val="630000392"/>
      </c:barChart>
      <c:catAx>
        <c:axId val="630001176"/>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30000392"/>
        <c:crosses val="autoZero"/>
        <c:auto val="1"/>
        <c:lblAlgn val="ctr"/>
        <c:lblOffset val="100"/>
        <c:noMultiLvlLbl val="0"/>
      </c:catAx>
      <c:valAx>
        <c:axId val="630000392"/>
        <c:scaling>
          <c:orientation val="minMax"/>
        </c:scaling>
        <c:delete val="0"/>
        <c:axPos val="l"/>
        <c:numFmt formatCode="0" sourceLinked="0"/>
        <c:majorTickMark val="out"/>
        <c:minorTickMark val="none"/>
        <c:tickLblPos val="nextTo"/>
        <c:crossAx val="630001176"/>
        <c:crosses val="autoZero"/>
        <c:crossBetween val="between"/>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17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72841410287632"/>
          <c:y val="0.057971014492753624"/>
          <c:w val="0.69294856184214082"/>
          <c:h val="0.726718711443121"/>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extLst>
              <c:ext xmlns:c="http://schemas.openxmlformats.org/drawingml/2006/chart" xmlns:c16="http://schemas.microsoft.com/office/drawing/2014/chart" uri="{C3380CC4-5D6E-409C-BE32-E72D297353CC}">
                <c16:uniqueId val="{00000000-E68A-44D9-8A10-8FDB9A4ABD2B}"/>
              </c:ext>
            </c:extLst>
          </c:dPt>
          <c:dLbls>
            <c:dLbl>
              <c:idx val="0"/>
              <c:layout>
                <c:manualLayout>
                  <c:x val="-0.22680412371134021"/>
                  <c:y val="0.017094017094017096"/>
                </c:manualLayout>
              </c:layout>
              <c:tx>
                <c:rich>
                  <a:bodyPr vertOverflow="clip"/>
                  <a:lstStyle/>
                  <a:p>
                    <a:r>
                      <a:rPr lang="en-US" sz="800" b="0"/>
                      <a:t>2005</a:t>
                    </a:r>
                    <a:endParaRPr lang="en-US"/>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E68A-44D9-8A10-8FDB9A4ABD2B}"/>
                </c:ext>
                <c:ext xmlns:c15="http://schemas.microsoft.com/office/drawing/2012/chart" uri="{CE6537A1-D6FC-4f65-9D91-7224C49458BB}"/>
              </c:extLst>
            </c:dLbl>
            <c:dLbl>
              <c:idx val="1"/>
              <c:delete val="1"/>
              <c:extLst>
                <c:ext xmlns:c="http://schemas.openxmlformats.org/drawingml/2006/chart" xmlns:c16="http://schemas.microsoft.com/office/drawing/2014/chart" uri="{C3380CC4-5D6E-409C-BE32-E72D297353CC}">
                  <c16:uniqueId val="{00000002-E68A-44D9-8A10-8FDB9A4ABD2B}"/>
                </c:ext>
                <c:ext xmlns:c15="http://schemas.microsoft.com/office/drawing/2012/chart" uri="{CE6537A1-D6FC-4f65-9D91-7224C49458BB}"/>
              </c:extLst>
            </c:dLbl>
            <c:dLbl>
              <c:idx val="2"/>
              <c:layout>
                <c:manualLayout>
                  <c:x val="-0.21305841924398625"/>
                  <c:y val="0.028490028490028491"/>
                </c:manualLayout>
              </c:layout>
              <c:tx>
                <c:rich>
                  <a:bodyPr vertOverflow="clip"/>
                  <a:lstStyle/>
                  <a:p>
                    <a:r>
                      <a:rPr lang="en-US" sz="800" b="0"/>
                      <a:t>2007</a:t>
                    </a:r>
                    <a:endParaRPr lang="en-US"/>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E68A-44D9-8A10-8FDB9A4ABD2B}"/>
                </c:ext>
                <c:ext xmlns:c15="http://schemas.microsoft.com/office/drawing/2012/chart" uri="{CE6537A1-D6FC-4f65-9D91-7224C49458BB}"/>
              </c:extLst>
            </c:dLbl>
            <c:dLbl>
              <c:idx val="3"/>
              <c:layout>
                <c:manualLayout>
                  <c:x val="-0.21305841924398625"/>
                  <c:y val="0.034188034188034191"/>
                </c:manualLayout>
              </c:layout>
              <c:tx>
                <c:rich>
                  <a:bodyPr vertOverflow="clip"/>
                  <a:lstStyle/>
                  <a:p>
                    <a:r>
                      <a:rPr lang="en-US" sz="800" b="0"/>
                      <a:t>2008</a:t>
                    </a:r>
                    <a:endParaRPr lang="en-US"/>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E68A-44D9-8A10-8FDB9A4ABD2B}"/>
                </c:ext>
                <c:ext xmlns:c15="http://schemas.microsoft.com/office/drawing/2012/chart" uri="{CE6537A1-D6FC-4f65-9D91-7224C49458BB}"/>
              </c:extLst>
            </c:dLbl>
            <c:dLbl>
              <c:idx val="4"/>
              <c:layout>
                <c:manualLayout>
                  <c:x val="-0.22680466488080742"/>
                  <c:y val="0"/>
                </c:manualLayout>
              </c:layout>
              <c:tx>
                <c:rich>
                  <a:bodyPr vertOverflow="clip"/>
                  <a:lstStyle/>
                  <a:p>
                    <a:r>
                      <a:rPr lang="en-US" sz="800" b="0"/>
                      <a:t>2009</a:t>
                    </a:r>
                    <a:endParaRPr lang="en-US"/>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E68A-44D9-8A10-8FDB9A4ABD2B}"/>
                </c:ext>
                <c:ext xmlns:c15="http://schemas.microsoft.com/office/drawing/2012/chart" uri="{CE6537A1-D6FC-4f65-9D91-7224C49458BB}"/>
              </c:extLst>
            </c:dLbl>
            <c:dLbl>
              <c:idx val="5"/>
              <c:layout>
                <c:manualLayout>
                  <c:x val="-0.20618556701030927"/>
                  <c:y val="0.039886039886039885"/>
                </c:manualLayout>
              </c:layout>
              <c:tx>
                <c:rich>
                  <a:bodyPr vertOverflow="clip"/>
                  <a:lstStyle/>
                  <a:p>
                    <a:r>
                      <a:rPr lang="en-US" sz="800" b="0"/>
                      <a:t>2010</a:t>
                    </a:r>
                    <a:endParaRPr lang="en-US"/>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E68A-44D9-8A10-8FDB9A4ABD2B}"/>
                </c:ext>
                <c:ext xmlns:c15="http://schemas.microsoft.com/office/drawing/2012/chart" uri="{CE6537A1-D6FC-4f65-9D91-7224C49458BB}"/>
              </c:extLst>
            </c:dLbl>
            <c:dLbl>
              <c:idx val="6"/>
              <c:layout>
                <c:manualLayout>
                  <c:x val="0"/>
                  <c:y val="-0.07407407407407407"/>
                </c:manualLayout>
              </c:layout>
              <c:tx>
                <c:rich>
                  <a:bodyPr vertOverflow="clip"/>
                  <a:lstStyle/>
                  <a:p>
                    <a:r>
                      <a:rPr lang="en-US" sz="800" b="0"/>
                      <a:t>2011</a:t>
                    </a:r>
                    <a:endParaRPr lang="en-US"/>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E68A-44D9-8A10-8FDB9A4ABD2B}"/>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7-E68A-44D9-8A10-8FDB9A4ABD2B}"/>
                </c:ext>
                <c:ext xmlns:c15="http://schemas.microsoft.com/office/drawing/2012/chart" uri="{CE6537A1-D6FC-4f65-9D91-7224C49458BB}"/>
              </c:extLst>
            </c:dLbl>
            <c:dLbl>
              <c:idx val="8"/>
              <c:layout>
                <c:manualLayout>
                  <c:x val="-0.054982817869415807"/>
                  <c:y val="-0.068376068376068369"/>
                </c:manualLayout>
              </c:layout>
              <c:tx>
                <c:rich>
                  <a:bodyPr vertOverflow="clip"/>
                  <a:lstStyle/>
                  <a:p>
                    <a:r>
                      <a:rPr lang="en-US" sz="800" b="0"/>
                      <a:t>2013</a:t>
                    </a:r>
                    <a:endParaRPr lang="en-US"/>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E68A-44D9-8A10-8FDB9A4ABD2B}"/>
                </c:ext>
                <c:ext xmlns:c15="http://schemas.microsoft.com/office/drawing/2012/chart" uri="{CE6537A1-D6FC-4f65-9D91-7224C49458BB}"/>
              </c:extLst>
            </c:dLbl>
            <c:dLbl>
              <c:idx val="9"/>
              <c:layout>
                <c:manualLayout>
                  <c:x val="-0.0068728522336769758"/>
                  <c:y val="-0.022792022792022793"/>
                </c:manualLayout>
              </c:layout>
              <c:tx>
                <c:rich>
                  <a:bodyPr vertOverflow="clip"/>
                  <a:lstStyle/>
                  <a:p>
                    <a:r>
                      <a:rPr lang="en-US" sz="800" b="0"/>
                      <a:t>2014</a:t>
                    </a:r>
                    <a:endParaRPr lang="en-US"/>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E68A-44D9-8A10-8FDB9A4ABD2B}"/>
                </c:ext>
                <c:ext xmlns:c15="http://schemas.microsoft.com/office/drawing/2012/chart" uri="{CE6537A1-D6FC-4f65-9D91-7224C49458BB}"/>
              </c:extLst>
            </c:dLbl>
            <c:dLbl>
              <c:idx val="10"/>
              <c:tx>
                <c:rich>
                  <a:bodyPr vertOverflow="clip"/>
                  <a:lstStyle/>
                  <a:p>
                    <a:r>
                      <a:rPr lang="en-US"/>
                      <a:t>2015</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A6D9-450C-AB9E-3D1A1FDB287A}"/>
                </c:ext>
                <c:ext xmlns:c15="http://schemas.microsoft.com/office/drawing/2012/chart" uri="{CE6537A1-D6FC-4f65-9D91-7224C49458BB}"/>
              </c:extLst>
            </c:dLbl>
            <c:spPr>
              <a:noFill/>
              <a:ln>
                <a:noFill/>
              </a:ln>
              <a:effectLst/>
            </c:spPr>
            <c:txPr>
              <a:bodyPr/>
              <a:lstStyle/>
              <a:p>
                <a:pPr>
                  <a:defRPr sz="800" b="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Sheet1!$B$3:$B$13</c:f>
              <c:numCache>
                <c:formatCode>0.0</c:formatCode>
                <c:ptCount val="11"/>
                <c:pt idx="0">
                  <c:v>15.948072383949643</c:v>
                </c:pt>
                <c:pt idx="1">
                  <c:v>19.430555555555557</c:v>
                </c:pt>
                <c:pt idx="2">
                  <c:v>17.716763005780347</c:v>
                </c:pt>
                <c:pt idx="3">
                  <c:v>14.91599253266957</c:v>
                </c:pt>
                <c:pt idx="4">
                  <c:v>16.591107236268527</c:v>
                </c:pt>
                <c:pt idx="5">
                  <c:v>18.786026200873362</c:v>
                </c:pt>
                <c:pt idx="6">
                  <c:v>19.488549618320612</c:v>
                </c:pt>
                <c:pt idx="7">
                  <c:v>16.801393728222997</c:v>
                </c:pt>
                <c:pt idx="8">
                  <c:v>12.527777777777779</c:v>
                </c:pt>
                <c:pt idx="9">
                  <c:v>15.423452768729643</c:v>
                </c:pt>
                <c:pt idx="10">
                  <c:v>16.748366013071895</c:v>
                </c:pt>
              </c:numCache>
            </c:numRef>
          </c:xVal>
          <c:yVal>
            <c:numRef>
              <c:f>Sheet1!$C$3:$C$13</c:f>
              <c:numCache>
                <c:formatCode>0.0</c:formatCode>
                <c:ptCount val="11"/>
                <c:pt idx="0">
                  <c:v>0.38996000451889612</c:v>
                </c:pt>
                <c:pt idx="1">
                  <c:v>0.42750635836228529</c:v>
                </c:pt>
                <c:pt idx="2">
                  <c:v>0.57257399738097414</c:v>
                </c:pt>
                <c:pt idx="3">
                  <c:v>0.767333754652061</c:v>
                </c:pt>
                <c:pt idx="4">
                  <c:v>0.596610590558039</c:v>
                </c:pt>
                <c:pt idx="5">
                  <c:v>0.50957491214597783</c:v>
                </c:pt>
                <c:pt idx="6">
                  <c:v>0.48180844374285492</c:v>
                </c:pt>
                <c:pt idx="7">
                  <c:v>0.65998927980784061</c:v>
                </c:pt>
                <c:pt idx="8">
                  <c:v>0.88978740054780214</c:v>
                </c:pt>
                <c:pt idx="9">
                  <c:v>0.80665176142686623</c:v>
                </c:pt>
                <c:pt idx="10">
                  <c:v>0.79399703970654478</c:v>
                </c:pt>
              </c:numCache>
            </c:numRef>
          </c:yVal>
          <c:smooth val="1"/>
          <c:extLst>
            <c:ext xmlns:c="http://schemas.openxmlformats.org/drawingml/2006/chart" xmlns:c16="http://schemas.microsoft.com/office/drawing/2014/chart" uri="{C3380CC4-5D6E-409C-BE32-E72D297353CC}">
              <c16:uniqueId val="{0000000A-E68A-44D9-8A10-8FDB9A4ABD2B}"/>
            </c:ext>
          </c:extLst>
        </c:ser>
        <c:dLbls>
          <c:showLegendKey val="0"/>
          <c:showVal val="0"/>
          <c:showCatName val="0"/>
          <c:showSerName val="0"/>
          <c:showPercent val="0"/>
          <c:showBubbleSize val="0"/>
        </c:dLbls>
        <c:axId val="630000784"/>
        <c:axId val="630004312"/>
      </c:scatterChart>
      <c:valAx>
        <c:axId val="630000784"/>
        <c:scaling>
          <c:orientation val="minMax"/>
          <c:max val="20"/>
          <c:min val="12"/>
        </c:scaling>
        <c:delete val="0"/>
        <c:axPos val="b"/>
        <c:title>
          <c:tx>
            <c:rich>
              <a:bodyPr vertOverflow="clip"/>
              <a:lstStyle/>
              <a:p>
                <a:pPr>
                  <a:defRPr sz="700" b="0">
                    <a:latin typeface="Arial Narrow" pitchFamily="34" charset="0"/>
                  </a:defRPr>
                </a:pPr>
                <a:r>
                  <a:rPr lang="lv-LV" sz="700" b="0">
                    <a:latin typeface="Arial Narrow" pitchFamily="34" charset="0"/>
                  </a:rPr>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30004312"/>
        <c:crosses val="autoZero"/>
        <c:crossBetween val="midCat"/>
        <c:majorUnit val="2"/>
      </c:valAx>
      <c:valAx>
        <c:axId val="630004312"/>
        <c:scaling>
          <c:orientation val="minMax"/>
          <c:min val="0.30000000000000004"/>
        </c:scaling>
        <c:delete val="0"/>
        <c:axPos val="l"/>
        <c:title>
          <c:tx>
            <c:rich>
              <a:bodyPr vertOverflow="clip"/>
              <a:lstStyle/>
              <a:p>
                <a:pPr>
                  <a:defRPr sz="700" b="0"/>
                </a:pPr>
                <a:r>
                  <a:rPr lang="lv-LV" sz="700" b="0">
                    <a:latin typeface="Arial Narrow" pitchFamily="34" charset="0"/>
                  </a:rPr>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30000784"/>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1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8"/>
          <c:y val="0.046005165816941182"/>
          <c:w val="0.85762258292899962"/>
          <c:h val="0.831279863372076"/>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Sheet1!$B$1:$J$1</c:f>
              <c:strCache>
                <c:ptCount val="9"/>
                <c:pt idx="0">
                  <c:v>2007</c:v>
                </c:pt>
                <c:pt idx="1">
                  <c:v>2008</c:v>
                </c:pt>
                <c:pt idx="2">
                  <c:v>2009</c:v>
                </c:pt>
                <c:pt idx="3">
                  <c:v>2010</c:v>
                </c:pt>
                <c:pt idx="4">
                  <c:v>2011</c:v>
                </c:pt>
                <c:pt idx="5">
                  <c:v>2012</c:v>
                </c:pt>
                <c:pt idx="6">
                  <c:v>2013</c:v>
                </c:pt>
                <c:pt idx="7">
                  <c:v>2014</c:v>
                </c:pt>
                <c:pt idx="8">
                  <c:v>2015</c:v>
                </c:pt>
              </c:strCache>
            </c:strRef>
          </c:cat>
          <c:val>
            <c:numRef>
              <c:f>Sheet1!$B$2:$J$2</c:f>
              <c:numCache>
                <c:formatCode>#0.0</c:formatCode>
                <c:ptCount val="9"/>
                <c:pt idx="0">
                  <c:v>33.733810364325855</c:v>
                </c:pt>
                <c:pt idx="1">
                  <c:v>39.366062694556014</c:v>
                </c:pt>
                <c:pt idx="2">
                  <c:v>35.265739314535836</c:v>
                </c:pt>
                <c:pt idx="3">
                  <c:v>31.598932010849889</c:v>
                </c:pt>
                <c:pt idx="4">
                  <c:v>31.869900214985641</c:v>
                </c:pt>
                <c:pt idx="5">
                  <c:v>33.801329812213076</c:v>
                </c:pt>
                <c:pt idx="6">
                  <c:v>35.118191713592282</c:v>
                </c:pt>
                <c:pt idx="7">
                  <c:v>37.375186420479331</c:v>
                </c:pt>
                <c:pt idx="8" formatCode="0">
                  <c:v>39.02724647709001</c:v>
                </c:pt>
              </c:numCache>
            </c:numRef>
          </c:val>
          <c:extLst>
            <c:ext xmlns:c="http://schemas.openxmlformats.org/drawingml/2006/chart" xmlns:c16="http://schemas.microsoft.com/office/drawing/2014/chart" uri="{C3380CC4-5D6E-409C-BE32-E72D297353CC}">
              <c16:uniqueId val="{00000000-5AB3-49A1-AB14-AB3328983576}"/>
            </c:ext>
          </c:extLst>
        </c:ser>
        <c:ser>
          <c:idx val="1"/>
          <c:order val="1"/>
          <c:tx>
            <c:strRef>
              <c:f>Sheet1!$A$3</c:f>
              <c:strCache>
                <c:ptCount val="1"/>
                <c:pt idx="0">
                  <c:v>Metālu un metālu izstrādājumu ražošana</c:v>
                </c:pt>
              </c:strCache>
            </c:strRef>
          </c:tx>
          <c:spPr>
            <a:ln>
              <a:solidFill>
                <a:sysClr val="windowText" lastClr="000000"/>
              </a:solidFill>
            </a:ln>
          </c:spPr>
          <c:invertIfNegative val="0"/>
          <c:dLbls>
            <c:numFmt formatCode="#,##0" sourceLinked="0"/>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2007</c:v>
                </c:pt>
                <c:pt idx="1">
                  <c:v>2008</c:v>
                </c:pt>
                <c:pt idx="2">
                  <c:v>2009</c:v>
                </c:pt>
                <c:pt idx="3">
                  <c:v>2010</c:v>
                </c:pt>
                <c:pt idx="4">
                  <c:v>2011</c:v>
                </c:pt>
                <c:pt idx="5">
                  <c:v>2012</c:v>
                </c:pt>
                <c:pt idx="6">
                  <c:v>2013</c:v>
                </c:pt>
                <c:pt idx="7">
                  <c:v>2014</c:v>
                </c:pt>
                <c:pt idx="8">
                  <c:v>2015</c:v>
                </c:pt>
              </c:strCache>
            </c:strRef>
          </c:cat>
          <c:val>
            <c:numRef>
              <c:f>Sheet1!$B$3:$J$3</c:f>
              <c:numCache>
                <c:formatCode>0</c:formatCode>
                <c:ptCount val="9"/>
                <c:pt idx="0">
                  <c:v>30.678100549298538</c:v>
                </c:pt>
                <c:pt idx="1">
                  <c:v>34.423238454828265</c:v>
                </c:pt>
                <c:pt idx="2">
                  <c:v>31.821106194735254</c:v>
                </c:pt>
                <c:pt idx="3">
                  <c:v>28.54518771999242</c:v>
                </c:pt>
                <c:pt idx="4">
                  <c:v>26.965392961737933</c:v>
                </c:pt>
                <c:pt idx="5">
                  <c:v>30.84742571264168</c:v>
                </c:pt>
                <c:pt idx="6">
                  <c:v>30.361473581816018</c:v>
                </c:pt>
                <c:pt idx="7">
                  <c:v>33.451075898214413</c:v>
                </c:pt>
                <c:pt idx="8">
                  <c:v>34.7360671429676</c:v>
                </c:pt>
              </c:numCache>
            </c:numRef>
          </c:val>
          <c:extLst>
            <c:ext xmlns:c="http://schemas.openxmlformats.org/drawingml/2006/chart" xmlns:c16="http://schemas.microsoft.com/office/drawing/2014/chart" uri="{C3380CC4-5D6E-409C-BE32-E72D297353CC}">
              <c16:uniqueId val="{00000001-5AB3-49A1-AB14-AB3328983576}"/>
            </c:ext>
          </c:extLst>
        </c:ser>
        <c:dLbls>
          <c:showLegendKey val="0"/>
          <c:showVal val="0"/>
          <c:showCatName val="0"/>
          <c:showSerName val="0"/>
          <c:showPercent val="0"/>
          <c:showBubbleSize val="0"/>
        </c:dLbls>
        <c:gapWidth val="50"/>
        <c:overlap val="52"/>
        <c:axId val="630003528"/>
        <c:axId val="630003920"/>
      </c:barChart>
      <c:catAx>
        <c:axId val="630003528"/>
        <c:scaling>
          <c:orientation val="minMax"/>
        </c:scaling>
        <c:delete val="0"/>
        <c:axPos val="b"/>
        <c:numFmt formatCode="General" sourceLinked="0"/>
        <c:majorTickMark val="out"/>
        <c:minorTickMark val="none"/>
        <c:tickLblPos val="nextTo"/>
        <c:txPr>
          <a:bodyPr/>
          <a:lstStyle/>
          <a:p>
            <a:pPr>
              <a:defRPr sz="700"/>
            </a:pPr>
            <a:endParaRPr lang="lv-LV"/>
          </a:p>
        </c:txPr>
        <c:crossAx val="630003920"/>
        <c:crosses val="autoZero"/>
        <c:auto val="1"/>
        <c:lblAlgn val="ctr"/>
        <c:lblOffset val="100"/>
        <c:noMultiLvlLbl val="0"/>
      </c:catAx>
      <c:valAx>
        <c:axId val="630003920"/>
        <c:scaling>
          <c:orientation val="minMax"/>
          <c:max val="80"/>
        </c:scaling>
        <c:delete val="0"/>
        <c:axPos val="l"/>
        <c:numFmt formatCode="0" sourceLinked="0"/>
        <c:majorTickMark val="out"/>
        <c:minorTickMark val="none"/>
        <c:tickLblPos val="nextTo"/>
        <c:txPr>
          <a:bodyPr/>
          <a:lstStyle/>
          <a:p>
            <a:pPr>
              <a:defRPr sz="800"/>
            </a:pPr>
            <a:endParaRPr lang="lv-LV"/>
          </a:p>
        </c:txPr>
        <c:crossAx val="630003528"/>
        <c:crosses val="autoZero"/>
        <c:crossBetween val="between"/>
        <c:majorUnit val="20"/>
      </c:valAx>
      <c:spPr>
        <a:ln>
          <a:noFill/>
        </a:ln>
      </c:spPr>
    </c:plotArea>
    <c:legend>
      <c:legendPos val="r"/>
      <c:layout>
        <c:manualLayout>
          <c:xMode val="edge"/>
          <c:yMode val="edge"/>
          <c:x val="0.10756494003272012"/>
          <c:y val="0.037516256413894208"/>
          <c:w val="0.86652448712969166"/>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1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738"/>
          <c:y val="0.046005165816941182"/>
          <c:w val="0.85762258292899962"/>
          <c:h val="0.83127986337207582"/>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Sheet1!$B$1:$J$1</c:f>
              <c:strCache>
                <c:ptCount val="9"/>
                <c:pt idx="0">
                  <c:v>2007</c:v>
                </c:pt>
                <c:pt idx="1">
                  <c:v>2008</c:v>
                </c:pt>
                <c:pt idx="2">
                  <c:v>2009</c:v>
                </c:pt>
                <c:pt idx="3">
                  <c:v>2010</c:v>
                </c:pt>
                <c:pt idx="4">
                  <c:v>2011</c:v>
                </c:pt>
                <c:pt idx="5">
                  <c:v>2012</c:v>
                </c:pt>
                <c:pt idx="6">
                  <c:v>2013</c:v>
                </c:pt>
                <c:pt idx="7">
                  <c:v>2014</c:v>
                </c:pt>
                <c:pt idx="8">
                  <c:v>2015</c:v>
                </c:pt>
              </c:strCache>
            </c:strRef>
          </c:cat>
          <c:val>
            <c:numRef>
              <c:f>Sheet1!$B$2:$J$2</c:f>
              <c:numCache>
                <c:formatCode>0</c:formatCode>
                <c:ptCount val="9"/>
                <c:pt idx="0">
                  <c:v>37.543267740570116</c:v>
                </c:pt>
                <c:pt idx="1">
                  <c:v>40.842057643741676</c:v>
                </c:pt>
                <c:pt idx="2">
                  <c:v>38.288707041966028</c:v>
                </c:pt>
                <c:pt idx="3">
                  <c:v>37.097778599507883</c:v>
                </c:pt>
                <c:pt idx="4">
                  <c:v>40.389766440010831</c:v>
                </c:pt>
                <c:pt idx="5">
                  <c:v>42.46259667259212</c:v>
                </c:pt>
                <c:pt idx="6">
                  <c:v>42.568476309606638</c:v>
                </c:pt>
                <c:pt idx="7">
                  <c:v>43.635115226322327</c:v>
                </c:pt>
                <c:pt idx="8">
                  <c:v>42.45554310298936</c:v>
                </c:pt>
              </c:numCache>
            </c:numRef>
          </c:val>
          <c:extLst>
            <c:ext xmlns:c="http://schemas.openxmlformats.org/drawingml/2006/chart" xmlns:c16="http://schemas.microsoft.com/office/drawing/2014/chart" uri="{C3380CC4-5D6E-409C-BE32-E72D297353CC}">
              <c16:uniqueId val="{00000000-6F5A-41D8-B6DF-B8AC2FB735C9}"/>
            </c:ext>
          </c:extLst>
        </c:ser>
        <c:ser>
          <c:idx val="1"/>
          <c:order val="1"/>
          <c:tx>
            <c:strRef>
              <c:f>Sheet1!$A$3</c:f>
              <c:strCache>
                <c:ptCount val="1"/>
                <c:pt idx="0">
                  <c:v>Metālu un metālu izstrādājumu ražošana</c:v>
                </c:pt>
              </c:strCache>
            </c:strRef>
          </c:tx>
          <c:spPr>
            <a:ln>
              <a:solidFill>
                <a:sysClr val="windowText" lastClr="000000"/>
              </a:solidFill>
            </a:ln>
          </c:spPr>
          <c:invertIfNegative val="0"/>
          <c:dLbls>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2007</c:v>
                </c:pt>
                <c:pt idx="1">
                  <c:v>2008</c:v>
                </c:pt>
                <c:pt idx="2">
                  <c:v>2009</c:v>
                </c:pt>
                <c:pt idx="3">
                  <c:v>2010</c:v>
                </c:pt>
                <c:pt idx="4">
                  <c:v>2011</c:v>
                </c:pt>
                <c:pt idx="5">
                  <c:v>2012</c:v>
                </c:pt>
                <c:pt idx="6">
                  <c:v>2013</c:v>
                </c:pt>
                <c:pt idx="7">
                  <c:v>2014</c:v>
                </c:pt>
                <c:pt idx="8">
                  <c:v>2015</c:v>
                </c:pt>
              </c:strCache>
            </c:strRef>
          </c:cat>
          <c:val>
            <c:numRef>
              <c:f>Sheet1!$B$3:$J$3</c:f>
              <c:numCache>
                <c:formatCode>0</c:formatCode>
                <c:ptCount val="9"/>
                <c:pt idx="0">
                  <c:v>34.070875124585413</c:v>
                </c:pt>
                <c:pt idx="1">
                  <c:v>34.091426481951132</c:v>
                </c:pt>
                <c:pt idx="2">
                  <c:v>38.948151105023911</c:v>
                </c:pt>
                <c:pt idx="3">
                  <c:v>40.75544667146675</c:v>
                </c:pt>
                <c:pt idx="4">
                  <c:v>42.86608571861035</c:v>
                </c:pt>
                <c:pt idx="5">
                  <c:v>37.196202896285278</c:v>
                </c:pt>
                <c:pt idx="6">
                  <c:v>27.133142912408463</c:v>
                </c:pt>
                <c:pt idx="7">
                  <c:v>33.0711578470292</c:v>
                </c:pt>
                <c:pt idx="8">
                  <c:v>34.597082377351171</c:v>
                </c:pt>
              </c:numCache>
            </c:numRef>
          </c:val>
          <c:extLst>
            <c:ext xmlns:c="http://schemas.openxmlformats.org/drawingml/2006/chart" xmlns:c16="http://schemas.microsoft.com/office/drawing/2014/chart" uri="{C3380CC4-5D6E-409C-BE32-E72D297353CC}">
              <c16:uniqueId val="{00000001-6F5A-41D8-B6DF-B8AC2FB735C9}"/>
            </c:ext>
          </c:extLst>
        </c:ser>
        <c:dLbls>
          <c:showLegendKey val="0"/>
          <c:showVal val="0"/>
          <c:showCatName val="0"/>
          <c:showSerName val="0"/>
          <c:showPercent val="0"/>
          <c:showBubbleSize val="0"/>
        </c:dLbls>
        <c:gapWidth val="50"/>
        <c:overlap val="52"/>
        <c:axId val="629995688"/>
        <c:axId val="630001960"/>
      </c:barChart>
      <c:catAx>
        <c:axId val="629995688"/>
        <c:scaling>
          <c:orientation val="minMax"/>
        </c:scaling>
        <c:delete val="0"/>
        <c:axPos val="b"/>
        <c:numFmt formatCode="General" sourceLinked="0"/>
        <c:majorTickMark val="out"/>
        <c:minorTickMark val="none"/>
        <c:tickLblPos val="nextTo"/>
        <c:txPr>
          <a:bodyPr/>
          <a:lstStyle/>
          <a:p>
            <a:pPr>
              <a:defRPr sz="700"/>
            </a:pPr>
            <a:endParaRPr lang="lv-LV"/>
          </a:p>
        </c:txPr>
        <c:crossAx val="630001960"/>
        <c:crosses val="autoZero"/>
        <c:auto val="1"/>
        <c:lblAlgn val="ctr"/>
        <c:lblOffset val="100"/>
        <c:noMultiLvlLbl val="0"/>
      </c:catAx>
      <c:valAx>
        <c:axId val="630001960"/>
        <c:scaling>
          <c:orientation val="minMax"/>
          <c:max val="100"/>
        </c:scaling>
        <c:delete val="0"/>
        <c:axPos val="l"/>
        <c:numFmt formatCode="0" sourceLinked="1"/>
        <c:majorTickMark val="out"/>
        <c:minorTickMark val="none"/>
        <c:tickLblPos val="nextTo"/>
        <c:txPr>
          <a:bodyPr/>
          <a:lstStyle/>
          <a:p>
            <a:pPr>
              <a:defRPr sz="800"/>
            </a:pPr>
            <a:endParaRPr lang="lv-LV"/>
          </a:p>
        </c:txPr>
        <c:crossAx val="629995688"/>
        <c:crosses val="autoZero"/>
        <c:crossBetween val="between"/>
        <c:majorUnit val="20"/>
      </c:valAx>
      <c:spPr>
        <a:ln>
          <a:noFill/>
        </a:ln>
      </c:spPr>
    </c:plotArea>
    <c:legend>
      <c:legendPos val="r"/>
      <c:layout>
        <c:manualLayout>
          <c:xMode val="edge"/>
          <c:yMode val="edge"/>
          <c:x val="0.10640146068697935"/>
          <c:y val="0.04952826842590622"/>
          <c:w val="0.87716672372475168"/>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17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46717244654"/>
          <c:y val="0.044057617797775277"/>
          <c:w val="0.9310540474739486"/>
          <c:h val="0.5056995924289952"/>
        </c:manualLayout>
      </c:layout>
      <c:barChart>
        <c:barDir val="col"/>
        <c:grouping val="clustered"/>
        <c:varyColors val="0"/>
        <c:ser>
          <c:idx val="1"/>
          <c:order val="0"/>
          <c:tx>
            <c:strRef>
              <c:f>Sheet1!$B$3</c:f>
              <c:strCache>
                <c:ptCount val="1"/>
                <c:pt idx="0">
                  <c:v>Compensation per employees 1000 of euro</c:v>
                </c:pt>
              </c:strCache>
            </c:strRef>
          </c:tx>
          <c:spPr>
            <a:solidFill>
              <a:schemeClr val="accent3">
                <a:lumMod val="50000"/>
              </a:schemeClr>
            </a:solidFill>
            <a:ln w="19050"/>
          </c:spPr>
          <c:invertIfNegative val="0"/>
          <c:dPt>
            <c:idx val="12"/>
            <c:invertIfNegative val="0"/>
            <c:bubble3D val="0"/>
            <c:spPr>
              <a:solidFill>
                <a:schemeClr val="accent1">
                  <a:alpha val="99000"/>
                </a:schemeClr>
              </a:solidFill>
              <a:ln w="19050"/>
            </c:spPr>
            <c:extLst>
              <c:ext xmlns:c="http://schemas.openxmlformats.org/drawingml/2006/chart" xmlns:c16="http://schemas.microsoft.com/office/drawing/2014/chart" uri="{C3380CC4-5D6E-409C-BE32-E72D297353CC}">
                <c16:uniqueId val="{00000001-7C6B-42A0-B0F1-AC7BB2679A0E}"/>
              </c:ext>
            </c:extLst>
          </c:dPt>
          <c:dPt>
            <c:idx val="13"/>
            <c:invertIfNegative val="0"/>
            <c:bubble3D val="0"/>
            <c:extLst>
              <c:ext xmlns:c="http://schemas.openxmlformats.org/drawingml/2006/chart" xmlns:c16="http://schemas.microsoft.com/office/drawing/2014/chart" uri="{C3380CC4-5D6E-409C-BE32-E72D297353CC}">
                <c16:uniqueId val="{00000006-DE05-4DD1-BAB4-2B6FAB80CD12}"/>
              </c:ext>
            </c:extLst>
          </c:dPt>
          <c:dPt>
            <c:idx val="19"/>
            <c:invertIfNegative val="0"/>
            <c:bubble3D val="0"/>
            <c:extLst>
              <c:ext xmlns:c="http://schemas.openxmlformats.org/drawingml/2006/chart" xmlns:c16="http://schemas.microsoft.com/office/drawing/2014/chart" uri="{C3380CC4-5D6E-409C-BE32-E72D297353CC}">
                <c16:uniqueId val="{00000000-C9C6-4FAB-B8F2-17287487C52B}"/>
              </c:ext>
            </c:extLst>
          </c:dPt>
          <c:dPt>
            <c:idx val="20"/>
            <c:invertIfNegative val="0"/>
            <c:bubble3D val="0"/>
            <c:extLst>
              <c:ext xmlns:c="http://schemas.openxmlformats.org/drawingml/2006/chart" xmlns:c16="http://schemas.microsoft.com/office/drawing/2014/chart" uri="{C3380CC4-5D6E-409C-BE32-E72D297353CC}">
                <c16:uniqueId val="{00000001-C9C6-4FAB-B8F2-17287487C52B}"/>
              </c:ext>
            </c:extLst>
          </c:dPt>
          <c:dPt>
            <c:idx val="22"/>
            <c:invertIfNegative val="0"/>
            <c:bubble3D val="0"/>
            <c:extLst>
              <c:ext xmlns:c="http://schemas.openxmlformats.org/drawingml/2006/chart" xmlns:c16="http://schemas.microsoft.com/office/drawing/2014/chart" uri="{C3380CC4-5D6E-409C-BE32-E72D297353CC}">
                <c16:uniqueId val="{00000002-C9C6-4FAB-B8F2-17287487C52B}"/>
              </c:ext>
            </c:extLst>
          </c:dPt>
          <c:dPt>
            <c:idx val="24"/>
            <c:invertIfNegative val="0"/>
            <c:bubble3D val="0"/>
            <c:spPr>
              <a:solidFill>
                <a:srgbClr val="C00000"/>
              </a:solidFill>
              <a:ln w="19050"/>
            </c:spPr>
            <c:extLst>
              <c:ext xmlns:c="http://schemas.openxmlformats.org/drawingml/2006/chart" xmlns:c16="http://schemas.microsoft.com/office/drawing/2014/chart" uri="{C3380CC4-5D6E-409C-BE32-E72D297353CC}">
                <c16:uniqueId val="{00000003-C9C6-4FAB-B8F2-17287487C52B}"/>
              </c:ext>
            </c:extLst>
          </c:dPt>
          <c:dPt>
            <c:idx val="25"/>
            <c:invertIfNegative val="0"/>
            <c:bubble3D val="0"/>
            <c:extLst>
              <c:ext xmlns:c="http://schemas.openxmlformats.org/drawingml/2006/chart" xmlns:c16="http://schemas.microsoft.com/office/drawing/2014/chart" uri="{C3380CC4-5D6E-409C-BE32-E72D297353CC}">
                <c16:uniqueId val="{00000005-C9C6-4FAB-B8F2-17287487C52B}"/>
              </c:ext>
            </c:extLst>
          </c:dPt>
          <c:dLbls>
            <c:dLbl>
              <c:idx val="12"/>
              <c:numFmt formatCode="#,##0" sourceLinked="0"/>
              <c:spPr>
                <a:noFill/>
                <a:ln>
                  <a:noFill/>
                </a:ln>
                <a:effectLst/>
              </c:spPr>
              <c:txPr>
                <a:bodyPr/>
                <a:lstStyle/>
                <a:p>
                  <a:pPr>
                    <a:defRPr sz="600" b="1"/>
                  </a:pPr>
                  <a:endParaRPr lang="lv-LV"/>
                </a:p>
              </c:txPr>
              <c:showLegendKey val="0"/>
              <c:showVal val="1"/>
              <c:showCatName val="0"/>
              <c:showSerName val="0"/>
              <c:showPercent val="0"/>
              <c:showBubbleSize val="0"/>
            </c:dLbl>
            <c:dLbl>
              <c:idx val="19"/>
              <c:layout>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C9C6-4FAB-B8F2-17287487C52B}"/>
                </c:ext>
                <c:ext xmlns:c15="http://schemas.microsoft.com/office/drawing/2012/chart" uri="{CE6537A1-D6FC-4f65-9D91-7224C49458BB}"/>
              </c:extLst>
            </c:dLbl>
            <c:dLbl>
              <c:idx val="22"/>
              <c:layout>
                <c:manualLayout>
                  <c:x val="0"/>
                  <c:y val="0.010839254849241406"/>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C9C6-4FAB-B8F2-17287487C52B}"/>
                </c:ext>
                <c:ext xmlns:c15="http://schemas.microsoft.com/office/drawing/2012/chart" uri="{CE6537A1-D6FC-4f65-9D91-7224C49458BB}"/>
              </c:extLst>
            </c:dLbl>
            <c:dLbl>
              <c:idx val="24"/>
              <c:layout>
                <c:manualLayout>
                  <c:x val="-0.0040281973816717019"/>
                  <c:y val="-3.6702729232016727E-05"/>
                </c:manualLayout>
              </c:layout>
              <c:numFmt formatCode="#,##0" sourceLinked="0"/>
              <c:txPr>
                <a:bodyPr/>
                <a:lstStyle/>
                <a:p>
                  <a:pPr>
                    <a:defRPr sz="600" b="1"/>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C9C6-4FAB-B8F2-17287487C52B}"/>
                </c:ext>
                <c:ext xmlns:c15="http://schemas.microsoft.com/office/drawing/2012/chart" uri="{CE6537A1-D6FC-4f65-9D91-7224C49458BB}"/>
              </c:extLst>
            </c:dLbl>
            <c:dLbl>
              <c:idx val="25"/>
              <c:layout>
                <c:manualLayout>
                  <c:x val="0"/>
                  <c:y val="0.0047346520709301582"/>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C9C6-4FAB-B8F2-17287487C52B}"/>
                </c:ext>
                <c:ext xmlns:c15="http://schemas.microsoft.com/office/drawing/2012/chart" uri="{CE6537A1-D6FC-4f65-9D91-7224C49458BB}"/>
              </c:extLst>
            </c:dLbl>
            <c:numFmt formatCode="#,##0" sourceLinked="0"/>
            <c:spPr>
              <a:noFill/>
              <a:ln>
                <a:noFill/>
              </a:ln>
              <a:effectLst/>
            </c:spPr>
            <c:txPr>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Sheet1!$A$4:$A$31</c:f>
              <c:strCache>
                <c:ptCount val="28"/>
                <c:pt idx="0">
                  <c:v>Beļģija</c:v>
                </c:pt>
                <c:pt idx="1">
                  <c:v>Apv. Karaliste</c:v>
                </c:pt>
                <c:pt idx="2">
                  <c:v>Dānija</c:v>
                </c:pt>
                <c:pt idx="3">
                  <c:v>Austrija</c:v>
                </c:pt>
                <c:pt idx="4">
                  <c:v>Nīderlande</c:v>
                </c:pt>
                <c:pt idx="5">
                  <c:v>Francija</c:v>
                </c:pt>
                <c:pt idx="6">
                  <c:v>Vācija</c:v>
                </c:pt>
                <c:pt idx="7">
                  <c:v>Zviedrija</c:v>
                </c:pt>
                <c:pt idx="8">
                  <c:v>Somija</c:v>
                </c:pt>
                <c:pt idx="9">
                  <c:v>Īrija</c:v>
                </c:pt>
                <c:pt idx="10">
                  <c:v>Itālija</c:v>
                </c:pt>
                <c:pt idx="11">
                  <c:v>Spānija</c:v>
                </c:pt>
                <c:pt idx="12">
                  <c:v>ES-28</c:v>
                </c:pt>
                <c:pt idx="13">
                  <c:v>Slovēnija</c:v>
                </c:pt>
                <c:pt idx="14">
                  <c:v>Grieķija</c:v>
                </c:pt>
                <c:pt idx="15">
                  <c:v>Portugāle</c:v>
                </c:pt>
                <c:pt idx="16">
                  <c:v>Malta</c:v>
                </c:pt>
                <c:pt idx="17">
                  <c:v>Kipra</c:v>
                </c:pt>
                <c:pt idx="18">
                  <c:v>Igaunija</c:v>
                </c:pt>
                <c:pt idx="19">
                  <c:v>Slovākija</c:v>
                </c:pt>
                <c:pt idx="20">
                  <c:v>Lietuva</c:v>
                </c:pt>
                <c:pt idx="21">
                  <c:v>Čehija</c:v>
                </c:pt>
                <c:pt idx="22">
                  <c:v>Ungārija</c:v>
                </c:pt>
                <c:pt idx="23">
                  <c:v>Horvātija</c:v>
                </c:pt>
                <c:pt idx="24">
                  <c:v>Latvija</c:v>
                </c:pt>
                <c:pt idx="25">
                  <c:v>Polija</c:v>
                </c:pt>
                <c:pt idx="26">
                  <c:v>Rumānija</c:v>
                </c:pt>
                <c:pt idx="27">
                  <c:v>Bulgārija</c:v>
                </c:pt>
              </c:strCache>
            </c:strRef>
          </c:cat>
          <c:val>
            <c:numRef>
              <c:f>Sheet1!$B$4:$B$31</c:f>
              <c:numCache>
                <c:formatCode>#,##0.0</c:formatCode>
                <c:ptCount val="28"/>
                <c:pt idx="0">
                  <c:v>60.87942332896462</c:v>
                </c:pt>
                <c:pt idx="1">
                  <c:v>58.678479993096111</c:v>
                </c:pt>
                <c:pt idx="2">
                  <c:v>57.65405405405405</c:v>
                </c:pt>
                <c:pt idx="3">
                  <c:v>54.737860499401087</c:v>
                </c:pt>
                <c:pt idx="4">
                  <c:v>53.574257425742573</c:v>
                </c:pt>
                <c:pt idx="5">
                  <c:v>49.877005347593581</c:v>
                </c:pt>
                <c:pt idx="6">
                  <c:v>47.122082585278278</c:v>
                </c:pt>
                <c:pt idx="7">
                  <c:v>47.04563106796116</c:v>
                </c:pt>
                <c:pt idx="8">
                  <c:v>45.911602209944753</c:v>
                </c:pt>
                <c:pt idx="9">
                  <c:v>45.302013422818789</c:v>
                </c:pt>
                <c:pt idx="10">
                  <c:v>39.703736813874485</c:v>
                </c:pt>
                <c:pt idx="11">
                  <c:v>38.540065861690451</c:v>
                </c:pt>
                <c:pt idx="12">
                  <c:v>38.283415850067051</c:v>
                </c:pt>
                <c:pt idx="13">
                  <c:v>24.082119205298014</c:v>
                </c:pt>
                <c:pt idx="14">
                  <c:v>21.438372947806908</c:v>
                </c:pt>
                <c:pt idx="15">
                  <c:v>18.975106253794777</c:v>
                </c:pt>
                <c:pt idx="16">
                  <c:v>18.818181818181817</c:v>
                </c:pt>
                <c:pt idx="17">
                  <c:v>17.707641196013288</c:v>
                </c:pt>
                <c:pt idx="18">
                  <c:v>16.993150684931507</c:v>
                </c:pt>
                <c:pt idx="19">
                  <c:v>16.773809523809526</c:v>
                </c:pt>
                <c:pt idx="20">
                  <c:v>15.401301518438178</c:v>
                </c:pt>
                <c:pt idx="21">
                  <c:v>14.547074140057559</c:v>
                </c:pt>
                <c:pt idx="22">
                  <c:v>13.544587773415591</c:v>
                </c:pt>
                <c:pt idx="23">
                  <c:v>13.369348876883707</c:v>
                </c:pt>
                <c:pt idx="24">
                  <c:v>13.298153034300791</c:v>
                </c:pt>
                <c:pt idx="25">
                  <c:v>13.267931392931393</c:v>
                </c:pt>
                <c:pt idx="26">
                  <c:v>8.1926083866382378</c:v>
                </c:pt>
                <c:pt idx="27">
                  <c:v>7.145161290322581</c:v>
                </c:pt>
              </c:numCache>
            </c:numRef>
          </c:val>
          <c:extLst>
            <c:ext xmlns:c="http://schemas.openxmlformats.org/drawingml/2006/chart" xmlns:c16="http://schemas.microsoft.com/office/drawing/2014/chart" uri="{C3380CC4-5D6E-409C-BE32-E72D297353CC}">
              <c16:uniqueId val="{00000006-C9C6-4FAB-B8F2-17287487C52B}"/>
            </c:ext>
          </c:extLst>
        </c:ser>
        <c:dLbls>
          <c:showLegendKey val="0"/>
          <c:showVal val="0"/>
          <c:showCatName val="0"/>
          <c:showSerName val="0"/>
          <c:showPercent val="0"/>
          <c:showBubbleSize val="0"/>
        </c:dLbls>
        <c:gapWidth val="20"/>
        <c:axId val="629996080"/>
        <c:axId val="629996472"/>
      </c:barChart>
      <c:catAx>
        <c:axId val="629996080"/>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29996472"/>
        <c:crosses val="autoZero"/>
        <c:auto val="1"/>
        <c:lblAlgn val="ctr"/>
        <c:lblOffset val="100"/>
        <c:tickLblSkip val="1"/>
        <c:noMultiLvlLbl val="0"/>
      </c:catAx>
      <c:valAx>
        <c:axId val="629996472"/>
        <c:scaling>
          <c:orientation val="minMax"/>
        </c:scaling>
        <c:delete val="0"/>
        <c:axPos val="l"/>
        <c:numFmt formatCode="0" sourceLinked="0"/>
        <c:majorTickMark val="out"/>
        <c:minorTickMark val="none"/>
        <c:tickLblPos val="nextTo"/>
        <c:txPr>
          <a:bodyPr/>
          <a:lstStyle/>
          <a:p>
            <a:pPr>
              <a:defRPr sz="600"/>
            </a:pPr>
            <a:endParaRPr lang="lv-LV"/>
          </a:p>
        </c:txPr>
        <c:crossAx val="629996080"/>
        <c:crosses val="autoZero"/>
        <c:crossBetween val="between"/>
      </c:valAx>
    </c:plotArea>
    <c:plotVisOnly val="1"/>
    <c:dispBlanksAs val="gap"/>
    <c:showDLblsOverMax val="0"/>
  </c:chart>
  <c:spPr>
    <a:ln w="9525">
      <a:noFill/>
    </a:ln>
  </c:spPr>
  <c:externalData r:id="rId1">
    <c:autoUpdate val="0"/>
  </c:externalData>
</c:chartSpace>
</file>

<file path=word/charts/chart17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5206365820586629"/>
          <c:y val="0.098667178797772245"/>
          <c:w val="0.92848141716424415"/>
          <c:h val="0.44729274694321747"/>
        </c:manualLayout>
      </c:layout>
      <c:barChart>
        <c:barDir val="col"/>
        <c:grouping val="clustered"/>
        <c:varyColors val="0"/>
        <c:ser>
          <c:idx val="1"/>
          <c:order val="0"/>
          <c:tx>
            <c:strRef>
              <c:f>Sheet1!$B$3</c:f>
              <c:strCache>
                <c:ptCount val="1"/>
                <c:pt idx="0">
                  <c:v>Productivity</c:v>
                </c:pt>
              </c:strCache>
            </c:strRef>
          </c:tx>
          <c:spPr>
            <a:solidFill>
              <a:schemeClr val="accent3">
                <a:lumMod val="50000"/>
              </a:schemeClr>
            </a:solidFill>
            <a:ln w="19050"/>
          </c:spPr>
          <c:invertIfNegative val="0"/>
          <c:dPt>
            <c:idx val="13"/>
            <c:invertIfNegative val="0"/>
            <c:bubble3D val="0"/>
            <c:extLst>
              <c:ext xmlns:c="http://schemas.openxmlformats.org/drawingml/2006/chart" xmlns:c16="http://schemas.microsoft.com/office/drawing/2014/chart" uri="{C3380CC4-5D6E-409C-BE32-E72D297353CC}">
                <c16:uniqueId val="{00000008-29E5-4316-89AC-282052D43D08}"/>
              </c:ext>
            </c:extLst>
          </c:dPt>
          <c:dPt>
            <c:idx val="17"/>
            <c:invertIfNegative val="0"/>
            <c:bubble3D val="0"/>
            <c:extLst>
              <c:ext xmlns:c="http://schemas.openxmlformats.org/drawingml/2006/chart" xmlns:c16="http://schemas.microsoft.com/office/drawing/2014/chart" uri="{C3380CC4-5D6E-409C-BE32-E72D297353CC}">
                <c16:uniqueId val="{00000000-F0D2-480A-9D6B-9D434DFAC93C}"/>
              </c:ext>
            </c:extLst>
          </c:dPt>
          <c:dPt>
            <c:idx val="19"/>
            <c:invertIfNegative val="0"/>
            <c:bubble3D val="0"/>
            <c:extLst>
              <c:ext xmlns:c="http://schemas.openxmlformats.org/drawingml/2006/chart" xmlns:c16="http://schemas.microsoft.com/office/drawing/2014/chart" uri="{C3380CC4-5D6E-409C-BE32-E72D297353CC}">
                <c16:uniqueId val="{00000001-F0D2-480A-9D6B-9D434DFAC93C}"/>
              </c:ext>
            </c:extLst>
          </c:dPt>
          <c:dPt>
            <c:idx val="20"/>
            <c:invertIfNegative val="0"/>
            <c:bubble3D val="0"/>
            <c:extLst>
              <c:ext xmlns:c="http://schemas.openxmlformats.org/drawingml/2006/chart" xmlns:c16="http://schemas.microsoft.com/office/drawing/2014/chart" uri="{C3380CC4-5D6E-409C-BE32-E72D297353CC}">
                <c16:uniqueId val="{00000002-F0D2-480A-9D6B-9D434DFAC93C}"/>
              </c:ext>
            </c:extLst>
          </c:dPt>
          <c:dPt>
            <c:idx val="22"/>
            <c:invertIfNegative val="0"/>
            <c:bubble3D val="0"/>
            <c:extLst>
              <c:ext xmlns:c="http://schemas.openxmlformats.org/drawingml/2006/chart" xmlns:c16="http://schemas.microsoft.com/office/drawing/2014/chart" uri="{C3380CC4-5D6E-409C-BE32-E72D297353CC}">
                <c16:uniqueId val="{00000003-F0D2-480A-9D6B-9D434DFAC93C}"/>
              </c:ext>
            </c:extLst>
          </c:dPt>
          <c:dPt>
            <c:idx val="23"/>
            <c:invertIfNegative val="0"/>
            <c:bubble3D val="0"/>
            <c:spPr>
              <a:solidFill>
                <a:srgbClr val="C00000"/>
              </a:solidFill>
              <a:ln w="19050"/>
            </c:spPr>
            <c:extLst>
              <c:ext xmlns:c="http://schemas.openxmlformats.org/drawingml/2006/chart" xmlns:c16="http://schemas.microsoft.com/office/drawing/2014/chart" uri="{C3380CC4-5D6E-409C-BE32-E72D297353CC}">
                <c16:uniqueId val="{00000005-F0D2-480A-9D6B-9D434DFAC93C}"/>
              </c:ext>
            </c:extLst>
          </c:dPt>
          <c:dPt>
            <c:idx val="24"/>
            <c:invertIfNegative val="0"/>
            <c:bubble3D val="0"/>
            <c:extLst>
              <c:ext xmlns:c="http://schemas.openxmlformats.org/drawingml/2006/chart" xmlns:c16="http://schemas.microsoft.com/office/drawing/2014/chart" uri="{C3380CC4-5D6E-409C-BE32-E72D297353CC}">
                <c16:uniqueId val="{00000006-F0D2-480A-9D6B-9D434DFAC93C}"/>
              </c:ext>
            </c:extLst>
          </c:dPt>
          <c:dPt>
            <c:idx val="25"/>
            <c:invertIfNegative val="0"/>
            <c:bubble3D val="0"/>
            <c:extLst>
              <c:ext xmlns:c="http://schemas.openxmlformats.org/drawingml/2006/chart" xmlns:c16="http://schemas.microsoft.com/office/drawing/2014/chart" uri="{C3380CC4-5D6E-409C-BE32-E72D297353CC}">
                <c16:uniqueId val="{00000007-F0D2-480A-9D6B-9D434DFAC93C}"/>
              </c:ext>
            </c:extLst>
          </c:dPt>
          <c:dLbls>
            <c:dLbl>
              <c:idx val="17"/>
              <c:layout>
                <c:manualLayout>
                  <c:x val="-3.1718089619462218E-07"/>
                  <c:y val="0"/>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F0D2-480A-9D6B-9D434DFAC93C}"/>
                </c:ext>
                <c:ext xmlns:c15="http://schemas.microsoft.com/office/drawing/2012/chart" uri="{CE6537A1-D6FC-4f65-9D91-7224C49458BB}"/>
              </c:extLst>
            </c:dLbl>
            <c:dLbl>
              <c:idx val="19"/>
              <c:layout>
                <c:manualLayout>
                  <c:x val="0.0040281973816717019"/>
                  <c:y val="0"/>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F0D2-480A-9D6B-9D434DFAC93C}"/>
                </c:ext>
                <c:ext xmlns:c15="http://schemas.microsoft.com/office/drawing/2012/chart" uri="{CE6537A1-D6FC-4f65-9D91-7224C49458BB}"/>
              </c:extLst>
            </c:dLbl>
            <c:dLbl>
              <c:idx val="22"/>
              <c:layout>
                <c:manualLayout>
                  <c:x val="0"/>
                  <c:y val="0.010840108401084011"/>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F0D2-480A-9D6B-9D434DFAC93C}"/>
                </c:ext>
                <c:ext xmlns:c15="http://schemas.microsoft.com/office/drawing/2012/chart" uri="{CE6537A1-D6FC-4f65-9D91-7224C49458BB}"/>
              </c:extLst>
            </c:dLbl>
            <c:dLbl>
              <c:idx val="23"/>
              <c:layout>
                <c:manualLayout>
                  <c:x val="0"/>
                  <c:y val="0.010840108401084011"/>
                </c:manualLayout>
              </c:layout>
              <c:numFmt formatCode="#,##0" sourceLinked="0"/>
              <c:txPr>
                <a:bodyPr/>
                <a:lstStyle/>
                <a:p>
                  <a:pPr>
                    <a:defRPr sz="600" b="1"/>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F0D2-480A-9D6B-9D434DFAC93C}"/>
                </c:ext>
                <c:ext xmlns:c15="http://schemas.microsoft.com/office/drawing/2012/chart" uri="{CE6537A1-D6FC-4f65-9D91-7224C49458BB}"/>
              </c:extLst>
            </c:dLbl>
            <c:dLbl>
              <c:idx val="24"/>
              <c:layout>
                <c:manualLayout>
                  <c:x val="0.0040281973816717019"/>
                  <c:y val="-3.6702729232016727E-05"/>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F0D2-480A-9D6B-9D434DFAC93C}"/>
                </c:ext>
                <c:ext xmlns:c15="http://schemas.microsoft.com/office/drawing/2012/chart" uri="{CE6537A1-D6FC-4f65-9D91-7224C49458BB}"/>
              </c:extLst>
            </c:dLbl>
            <c:dLbl>
              <c:idx val="25"/>
              <c:layout>
                <c:manualLayout>
                  <c:x val="-1.4769886443141018E-16"/>
                  <c:y val="0.0047346520709301582"/>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F0D2-480A-9D6B-9D434DFAC93C}"/>
                </c:ext>
                <c:ext xmlns:c15="http://schemas.microsoft.com/office/drawing/2012/chart" uri="{CE6537A1-D6FC-4f65-9D91-7224C49458BB}"/>
              </c:extLst>
            </c:dLbl>
            <c:numFmt formatCode="#,##0" sourceLinked="0"/>
            <c:spPr>
              <a:noFill/>
              <a:ln>
                <a:noFill/>
              </a:ln>
              <a:effectLst/>
            </c:spPr>
            <c:txPr>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Sheet1!$A$4:$A$29</c:f>
              <c:strCache>
                <c:ptCount val="26"/>
                <c:pt idx="0">
                  <c:v>Beļģija</c:v>
                </c:pt>
                <c:pt idx="1">
                  <c:v>Austrija</c:v>
                </c:pt>
                <c:pt idx="2">
                  <c:v>Spānija</c:v>
                </c:pt>
                <c:pt idx="3">
                  <c:v>Zviedrija</c:v>
                </c:pt>
                <c:pt idx="4">
                  <c:v>Nīderlande</c:v>
                </c:pt>
                <c:pt idx="5">
                  <c:v>Francija</c:v>
                </c:pt>
                <c:pt idx="6">
                  <c:v>Dānija</c:v>
                </c:pt>
                <c:pt idx="7">
                  <c:v>Grieķija</c:v>
                </c:pt>
                <c:pt idx="8">
                  <c:v>Somija</c:v>
                </c:pt>
                <c:pt idx="9">
                  <c:v>Vācija</c:v>
                </c:pt>
                <c:pt idx="10">
                  <c:v>Īrija</c:v>
                </c:pt>
                <c:pt idx="11">
                  <c:v>Itālija</c:v>
                </c:pt>
                <c:pt idx="12">
                  <c:v>Apv. Karaliste</c:v>
                </c:pt>
                <c:pt idx="13">
                  <c:v>Slovākija</c:v>
                </c:pt>
                <c:pt idx="14">
                  <c:v>Slovēnija</c:v>
                </c:pt>
                <c:pt idx="15">
                  <c:v>Portugāle</c:v>
                </c:pt>
                <c:pt idx="16">
                  <c:v>Polija</c:v>
                </c:pt>
                <c:pt idx="17">
                  <c:v>Lietuva</c:v>
                </c:pt>
                <c:pt idx="18">
                  <c:v>Čehija</c:v>
                </c:pt>
                <c:pt idx="19">
                  <c:v>Kipra</c:v>
                </c:pt>
                <c:pt idx="20">
                  <c:v>Ungārija</c:v>
                </c:pt>
                <c:pt idx="21">
                  <c:v>Horvātija</c:v>
                </c:pt>
                <c:pt idx="22">
                  <c:v>Igaunija</c:v>
                </c:pt>
                <c:pt idx="23">
                  <c:v>Latvija</c:v>
                </c:pt>
                <c:pt idx="24">
                  <c:v>Rumānija</c:v>
                </c:pt>
                <c:pt idx="25">
                  <c:v>Bulgārija</c:v>
                </c:pt>
              </c:strCache>
            </c:strRef>
          </c:cat>
          <c:val>
            <c:numRef>
              <c:f>Sheet1!$B$4:$B$29</c:f>
              <c:numCache>
                <c:formatCode>#,##0.0</c:formatCode>
                <c:ptCount val="26"/>
                <c:pt idx="0">
                  <c:v>124.99254658385092</c:v>
                </c:pt>
                <c:pt idx="1">
                  <c:v>85.1288752703677</c:v>
                </c:pt>
                <c:pt idx="2">
                  <c:v>77.950651130911581</c:v>
                </c:pt>
                <c:pt idx="3">
                  <c:v>73.26761904761905</c:v>
                </c:pt>
                <c:pt idx="4">
                  <c:v>71.5925925925926</c:v>
                </c:pt>
                <c:pt idx="5">
                  <c:v>68.184415584415589</c:v>
                </c:pt>
                <c:pt idx="6">
                  <c:v>66.615384615384613</c:v>
                </c:pt>
                <c:pt idx="7">
                  <c:v>65.8818565400844</c:v>
                </c:pt>
                <c:pt idx="8">
                  <c:v>63.559027777777779</c:v>
                </c:pt>
                <c:pt idx="9">
                  <c:v>61.431669535284</c:v>
                </c:pt>
                <c:pt idx="10">
                  <c:v>58.456572769953056</c:v>
                </c:pt>
                <c:pt idx="11">
                  <c:v>58.092182209910753</c:v>
                </c:pt>
                <c:pt idx="12">
                  <c:v>50.50410092918063</c:v>
                </c:pt>
                <c:pt idx="13">
                  <c:v>39.589529435730292</c:v>
                </c:pt>
                <c:pt idx="14">
                  <c:v>28.941903584672435</c:v>
                </c:pt>
                <c:pt idx="15">
                  <c:v>27.496227510156704</c:v>
                </c:pt>
                <c:pt idx="16">
                  <c:v>23.950918762088975</c:v>
                </c:pt>
                <c:pt idx="17">
                  <c:v>23.233082706766915</c:v>
                </c:pt>
                <c:pt idx="18">
                  <c:v>23.206167858426873</c:v>
                </c:pt>
                <c:pt idx="19">
                  <c:v>19.971751412429381</c:v>
                </c:pt>
                <c:pt idx="20">
                  <c:v>18.56436175932896</c:v>
                </c:pt>
                <c:pt idx="21">
                  <c:v>18.259151962075322</c:v>
                </c:pt>
                <c:pt idx="22">
                  <c:v>18.150943396226417</c:v>
                </c:pt>
                <c:pt idx="23">
                  <c:v>16.748366013071895</c:v>
                </c:pt>
                <c:pt idx="24">
                  <c:v>16.277008310249307</c:v>
                </c:pt>
                <c:pt idx="25">
                  <c:v>12.524916943521594</c:v>
                </c:pt>
              </c:numCache>
            </c:numRef>
          </c:val>
          <c:extLst>
            <c:ext xmlns:c="http://schemas.openxmlformats.org/drawingml/2006/chart" xmlns:c16="http://schemas.microsoft.com/office/drawing/2014/chart" uri="{C3380CC4-5D6E-409C-BE32-E72D297353CC}">
              <c16:uniqueId val="{00000008-F0D2-480A-9D6B-9D434DFAC93C}"/>
            </c:ext>
          </c:extLst>
        </c:ser>
        <c:dLbls>
          <c:showLegendKey val="0"/>
          <c:showVal val="0"/>
          <c:showCatName val="0"/>
          <c:showSerName val="0"/>
          <c:showPercent val="0"/>
          <c:showBubbleSize val="0"/>
        </c:dLbls>
        <c:gapWidth val="20"/>
        <c:axId val="629998432"/>
        <c:axId val="630011368"/>
      </c:barChart>
      <c:catAx>
        <c:axId val="629998432"/>
        <c:scaling>
          <c:orientation val="minMax"/>
        </c:scaling>
        <c:delete val="0"/>
        <c:axPos val="b"/>
        <c:numFmt formatCode="General" sourceLinked="0"/>
        <c:majorTickMark val="out"/>
        <c:minorTickMark val="none"/>
        <c:tickLblPos val="nextTo"/>
        <c:txPr>
          <a:bodyPr rot="-5400000" vert="horz" anchor="ctr" anchorCtr="1"/>
          <a:lstStyle/>
          <a:p>
            <a:pPr>
              <a:defRPr sz="600"/>
            </a:pPr>
            <a:endParaRPr lang="lv-LV"/>
          </a:p>
        </c:txPr>
        <c:crossAx val="630011368"/>
        <c:crosses val="autoZero"/>
        <c:auto val="1"/>
        <c:lblAlgn val="ctr"/>
        <c:lblOffset val="100"/>
        <c:tickLblSkip val="1"/>
        <c:noMultiLvlLbl val="0"/>
      </c:catAx>
      <c:valAx>
        <c:axId val="630011368"/>
        <c:scaling>
          <c:orientation val="minMax"/>
        </c:scaling>
        <c:delete val="0"/>
        <c:axPos val="l"/>
        <c:numFmt formatCode="0" sourceLinked="0"/>
        <c:majorTickMark val="out"/>
        <c:minorTickMark val="none"/>
        <c:tickLblPos val="nextTo"/>
        <c:txPr>
          <a:bodyPr/>
          <a:lstStyle/>
          <a:p>
            <a:pPr>
              <a:defRPr sz="600"/>
            </a:pPr>
            <a:endParaRPr lang="lv-LV"/>
          </a:p>
        </c:txPr>
        <c:crossAx val="629998432"/>
        <c:crosses val="autoZero"/>
        <c:crossBetween val="between"/>
      </c:valAx>
    </c:plotArea>
    <c:plotVisOnly val="1"/>
    <c:dispBlanksAs val="gap"/>
    <c:showDLblsOverMax val="0"/>
  </c:chart>
  <c:spPr>
    <a:ln w="9525">
      <a:noFill/>
    </a:ln>
  </c:spPr>
  <c:externalData r:id="rId1">
    <c:autoUpdate val="0"/>
  </c:externalData>
</c:chartSpace>
</file>

<file path=word/charts/chart17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2572178477690286"/>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CA68-4E8C-9593-AB633977BBDB}"/>
              </c:ext>
            </c:extLst>
          </c:dPt>
          <c:dPt>
            <c:idx val="5"/>
            <c:bubble3D val="0"/>
            <c:extLst>
              <c:ext xmlns:c="http://schemas.openxmlformats.org/drawingml/2006/chart" xmlns:c16="http://schemas.microsoft.com/office/drawing/2014/chart" uri="{C3380CC4-5D6E-409C-BE32-E72D297353CC}">
                <c16:uniqueId val="{00000001-CA68-4E8C-9593-AB633977BBDB}"/>
              </c:ext>
            </c:extLst>
          </c:dPt>
          <c:dPt>
            <c:idx val="11"/>
            <c:bubble3D val="0"/>
            <c:extLst>
              <c:ext xmlns:c="http://schemas.openxmlformats.org/drawingml/2006/chart" xmlns:c16="http://schemas.microsoft.com/office/drawing/2014/chart" uri="{C3380CC4-5D6E-409C-BE32-E72D297353CC}">
                <c16:uniqueId val="{00000002-CA68-4E8C-9593-AB633977BBDB}"/>
              </c:ext>
            </c:extLst>
          </c:dPt>
          <c:dPt>
            <c:idx val="12"/>
            <c:bubble3D val="0"/>
            <c:extLst>
              <c:ext xmlns:c="http://schemas.openxmlformats.org/drawingml/2006/chart" xmlns:c16="http://schemas.microsoft.com/office/drawing/2014/chart" uri="{C3380CC4-5D6E-409C-BE32-E72D297353CC}">
                <c16:uniqueId val="{00000003-CA68-4E8C-9593-AB633977BBDB}"/>
              </c:ext>
            </c:extLst>
          </c:dPt>
          <c:dPt>
            <c:idx val="13"/>
            <c:bubble3D val="0"/>
            <c:extLst>
              <c:ext xmlns:c="http://schemas.openxmlformats.org/drawingml/2006/chart" xmlns:c16="http://schemas.microsoft.com/office/drawing/2014/chart" uri="{C3380CC4-5D6E-409C-BE32-E72D297353CC}">
                <c16:uniqueId val="{00000004-CA68-4E8C-9593-AB633977BBDB}"/>
              </c:ext>
            </c:extLst>
          </c:dPt>
          <c:dPt>
            <c:idx val="14"/>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5-CA68-4E8C-9593-AB633977BBDB}"/>
              </c:ext>
            </c:extLst>
          </c:dPt>
          <c:dLbls>
            <c:dLbl>
              <c:idx val="0"/>
              <c:layout>
                <c:manualLayout>
                  <c:x val="-0.095535441247414241"/>
                  <c:y val="0.066666666666666666"/>
                </c:manualLayout>
              </c:layout>
              <c:tx>
                <c:rich>
                  <a:bodyPr vertOverflow="clip"/>
                  <a:lstStyle/>
                  <a:p>
                    <a:r>
                      <a:rPr lang="en-US"/>
                      <a:t>EU-28</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CA68-4E8C-9593-AB633977BBDB}"/>
                </c:ext>
                <c:ext xmlns:c15="http://schemas.microsoft.com/office/drawing/2012/chart" uri="{CE6537A1-D6FC-4f65-9D91-7224C49458BB}"/>
              </c:extLst>
            </c:dLbl>
            <c:dLbl>
              <c:idx val="1"/>
              <c:layout>
                <c:manualLayout>
                  <c:x val="-0.033229491173416406"/>
                  <c:y val="-0.057142857142857141"/>
                </c:manualLayout>
              </c:layout>
              <c:tx>
                <c:rich>
                  <a:bodyPr vertOverflow="clip"/>
                  <a:lstStyle/>
                  <a:p>
                    <a:r>
                      <a:rPr lang="en-US"/>
                      <a:t>BE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CA68-4E8C-9593-AB633977BBDB}"/>
                </c:ext>
                <c:ext xmlns:c15="http://schemas.microsoft.com/office/drawing/2012/chart" uri="{CE6537A1-D6FC-4f65-9D91-7224C49458BB}"/>
              </c:extLst>
            </c:dLbl>
            <c:dLbl>
              <c:idx val="2"/>
              <c:layout>
                <c:manualLayout>
                  <c:x val="-0.09138110072689512"/>
                  <c:y val="0.0095238095238095247"/>
                </c:manualLayout>
              </c:layout>
              <c:tx>
                <c:rich>
                  <a:bodyPr vertOverflow="clip"/>
                  <a:lstStyle/>
                  <a:p>
                    <a:r>
                      <a:rPr lang="en-US"/>
                      <a:t>BG</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CA68-4E8C-9593-AB633977BBDB}"/>
                </c:ext>
                <c:ext xmlns:c15="http://schemas.microsoft.com/office/drawing/2012/chart" uri="{CE6537A1-D6FC-4f65-9D91-7224C49458BB}"/>
              </c:extLst>
            </c:dLbl>
            <c:dLbl>
              <c:idx val="3"/>
              <c:layout>
                <c:manualLayout>
                  <c:x val="-0.041536863966770511"/>
                  <c:y val="-0.0761904761904762"/>
                </c:manualLayout>
              </c:layout>
              <c:tx>
                <c:rich>
                  <a:bodyPr vertOverflow="clip"/>
                  <a:lstStyle/>
                  <a:p>
                    <a:r>
                      <a:rPr lang="en-US"/>
                      <a:t>CZ</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CA68-4E8C-9593-AB633977BBDB}"/>
                </c:ext>
                <c:ext xmlns:c15="http://schemas.microsoft.com/office/drawing/2012/chart" uri="{CE6537A1-D6FC-4f65-9D91-7224C49458BB}"/>
              </c:extLst>
            </c:dLbl>
            <c:dLbl>
              <c:idx val="4"/>
              <c:layout>
                <c:manualLayout>
                  <c:x val="-0.033229491173416406"/>
                  <c:y val="-0.0761904761904762"/>
                </c:manualLayout>
              </c:layout>
              <c:tx>
                <c:rich>
                  <a:bodyPr vertOverflow="clip"/>
                  <a:lstStyle/>
                  <a:p>
                    <a:r>
                      <a:rPr lang="en-US"/>
                      <a:t>DK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CA68-4E8C-9593-AB633977BBDB}"/>
                </c:ext>
                <c:ext xmlns:c15="http://schemas.microsoft.com/office/drawing/2012/chart" uri="{CE6537A1-D6FC-4f65-9D91-7224C49458BB}"/>
              </c:extLst>
            </c:dLbl>
            <c:dLbl>
              <c:idx val="5"/>
              <c:layout>
                <c:manualLayout>
                  <c:x val="-0.049844236760124609"/>
                  <c:y val="-0.066666666666666666"/>
                </c:manualLayout>
              </c:layout>
              <c:tx>
                <c:rich>
                  <a:bodyPr vertOverflow="clip"/>
                  <a:lstStyle/>
                  <a:p>
                    <a:r>
                      <a:rPr lang="en-US"/>
                      <a:t>DE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CA68-4E8C-9593-AB633977BBDB}"/>
                </c:ext>
                <c:ext xmlns:c15="http://schemas.microsoft.com/office/drawing/2012/chart" uri="{CE6537A1-D6FC-4f65-9D91-7224C49458BB}"/>
              </c:extLst>
            </c:dLbl>
            <c:dLbl>
              <c:idx val="6"/>
              <c:layout>
                <c:manualLayout>
                  <c:x val="-0.087227414330218064"/>
                  <c:y val="-0.019047619047619049"/>
                </c:manualLayout>
              </c:layout>
              <c:tx>
                <c:rich>
                  <a:bodyPr vertOverflow="clip"/>
                  <a:lstStyle/>
                  <a:p>
                    <a:r>
                      <a:rPr lang="en-US"/>
                      <a:t>EE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CA68-4E8C-9593-AB633977BBDB}"/>
                </c:ext>
                <c:ext xmlns:c15="http://schemas.microsoft.com/office/drawing/2012/chart" uri="{CE6537A1-D6FC-4f65-9D91-7224C49458BB}"/>
              </c:extLst>
            </c:dLbl>
            <c:dLbl>
              <c:idx val="7"/>
              <c:layout>
                <c:manualLayout>
                  <c:x val="-0.09138110072689512"/>
                  <c:y val="-0.028571428571428571"/>
                </c:manualLayout>
              </c:layout>
              <c:tx>
                <c:rich>
                  <a:bodyPr/>
                  <a:lstStyle/>
                  <a:p>
                    <a:r>
                      <a:rPr lang="en-US"/>
                      <a:t>IE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CA68-4E8C-9593-AB633977BBDB}"/>
                </c:ext>
                <c:ext xmlns:c15="http://schemas.microsoft.com/office/drawing/2012/chart" uri="{CE6537A1-D6FC-4f65-9D91-7224C49458BB}"/>
              </c:extLst>
            </c:dLbl>
            <c:dLbl>
              <c:idx val="8"/>
              <c:layout>
                <c:manualLayout>
                  <c:x val="-0.020768431983385256"/>
                  <c:y val="-0.028571428571428571"/>
                </c:manualLayout>
              </c:layout>
              <c:tx>
                <c:rich>
                  <a:bodyPr vertOverflow="clip"/>
                  <a:lstStyle/>
                  <a:p>
                    <a:r>
                      <a:rPr lang="en-US"/>
                      <a:t>EL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CA68-4E8C-9593-AB633977BBDB}"/>
                </c:ext>
                <c:ext xmlns:c15="http://schemas.microsoft.com/office/drawing/2012/chart" uri="{CE6537A1-D6FC-4f65-9D91-7224C49458BB}"/>
              </c:extLst>
            </c:dLbl>
            <c:dLbl>
              <c:idx val="9"/>
              <c:layout>
                <c:manualLayout>
                  <c:x val="-0.053997923156801658"/>
                  <c:y val="-0.0666666666666667"/>
                </c:manualLayout>
              </c:layout>
              <c:tx>
                <c:rich>
                  <a:bodyPr vertOverflow="clip"/>
                  <a:lstStyle/>
                  <a:p>
                    <a:r>
                      <a:rPr lang="en-US"/>
                      <a:t>ES</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CA68-4E8C-9593-AB633977BBDB}"/>
                </c:ext>
                <c:ext xmlns:c15="http://schemas.microsoft.com/office/drawing/2012/chart" uri="{CE6537A1-D6FC-4f65-9D91-7224C49458BB}"/>
              </c:extLst>
            </c:dLbl>
            <c:dLbl>
              <c:idx val="10"/>
              <c:layout>
                <c:manualLayout>
                  <c:x val="-0.012461059190031152"/>
                  <c:y val="0"/>
                </c:manualLayout>
              </c:layout>
              <c:tx>
                <c:rich>
                  <a:bodyPr vertOverflow="clip"/>
                  <a:lstStyle/>
                  <a:p>
                    <a:r>
                      <a:rPr lang="en-US"/>
                      <a:t>FR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E-CA68-4E8C-9593-AB633977BBDB}"/>
                </c:ext>
                <c:ext xmlns:c15="http://schemas.microsoft.com/office/drawing/2012/chart" uri="{CE6537A1-D6FC-4f65-9D91-7224C49458BB}"/>
              </c:extLst>
            </c:dLbl>
            <c:dLbl>
              <c:idx val="11"/>
              <c:layout>
                <c:manualLayout>
                  <c:x val="-0.049844563822045607"/>
                  <c:y val="-0.066666666666666666"/>
                </c:manualLayout>
              </c:layout>
              <c:tx>
                <c:rich>
                  <a:bodyPr vertOverflow="clip"/>
                  <a:lstStyle/>
                  <a:p>
                    <a:r>
                      <a:rPr lang="en-US"/>
                      <a:t>HR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CA68-4E8C-9593-AB633977BBDB}"/>
                </c:ext>
                <c:ext xmlns:c15="http://schemas.microsoft.com/office/drawing/2012/chart" uri="{CE6537A1-D6FC-4f65-9D91-7224C49458BB}"/>
              </c:extLst>
            </c:dLbl>
            <c:dLbl>
              <c:idx val="12"/>
              <c:layout>
                <c:manualLayout>
                  <c:x val="-0.037383177570093455"/>
                  <c:y val="0.0761904761904762"/>
                </c:manualLayout>
              </c:layout>
              <c:tx>
                <c:rich>
                  <a:bodyPr vertOverflow="clip"/>
                  <a:lstStyle/>
                  <a:p>
                    <a:r>
                      <a:rPr lang="en-US"/>
                      <a:t>IT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CA68-4E8C-9593-AB633977BBDB}"/>
                </c:ext>
                <c:ext xmlns:c15="http://schemas.microsoft.com/office/drawing/2012/chart" uri="{CE6537A1-D6FC-4f65-9D91-7224C49458BB}"/>
              </c:extLst>
            </c:dLbl>
            <c:dLbl>
              <c:idx val="13"/>
              <c:layout>
                <c:manualLayout>
                  <c:x val="-0.0083073727933541015"/>
                  <c:y val="0.057142857142857141"/>
                </c:manualLayout>
              </c:layout>
              <c:tx>
                <c:rich>
                  <a:bodyPr vertOverflow="clip"/>
                  <a:lstStyle/>
                  <a:p>
                    <a:r>
                      <a:rPr lang="en-US"/>
                      <a:t>CY</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CA68-4E8C-9593-AB633977BBDB}"/>
                </c:ext>
                <c:ext xmlns:c15="http://schemas.microsoft.com/office/drawing/2012/chart" uri="{CE6537A1-D6FC-4f65-9D91-7224C49458BB}"/>
              </c:extLst>
            </c:dLbl>
            <c:dLbl>
              <c:idx val="14"/>
              <c:layout>
                <c:manualLayout>
                  <c:x val="-0.016614745586708203"/>
                  <c:y val="-0.019047619047619049"/>
                </c:manualLayout>
              </c:layout>
              <c:tx>
                <c:rich>
                  <a:bodyPr vertOverflow="clip"/>
                  <a:lstStyle/>
                  <a:p>
                    <a:r>
                      <a:rPr lang="en-US"/>
                      <a:t>LV</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CA68-4E8C-9593-AB633977BBDB}"/>
                </c:ext>
                <c:ext xmlns:c15="http://schemas.microsoft.com/office/drawing/2012/chart" uri="{CE6537A1-D6FC-4f65-9D91-7224C49458BB}"/>
              </c:extLst>
            </c:dLbl>
            <c:dLbl>
              <c:idx val="15"/>
              <c:layout>
                <c:manualLayout>
                  <c:x val="-0.012461059190031152"/>
                  <c:y val="-0.0095238095238095247"/>
                </c:manualLayout>
              </c:layout>
              <c:tx>
                <c:rich>
                  <a:bodyPr vertOverflow="clip"/>
                  <a:lstStyle/>
                  <a:p>
                    <a:r>
                      <a:rPr lang="en-US"/>
                      <a:t>LT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F-CA68-4E8C-9593-AB633977BBDB}"/>
                </c:ext>
                <c:ext xmlns:c15="http://schemas.microsoft.com/office/drawing/2012/chart" uri="{CE6537A1-D6FC-4f65-9D91-7224C49458BB}"/>
              </c:extLst>
            </c:dLbl>
            <c:dLbl>
              <c:idx val="17"/>
              <c:layout>
                <c:manualLayout>
                  <c:x val="-0.099688473520249218"/>
                  <c:y val="0.0095238095238095247"/>
                </c:manualLayout>
              </c:layout>
              <c:tx>
                <c:rich>
                  <a:bodyPr vertOverflow="clip"/>
                  <a:lstStyle/>
                  <a:p>
                    <a:r>
                      <a:rPr lang="en-US"/>
                      <a:t>HU</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0-CA68-4E8C-9593-AB633977BBDB}"/>
                </c:ext>
                <c:ext xmlns:c15="http://schemas.microsoft.com/office/drawing/2012/chart" uri="{CE6537A1-D6FC-4f65-9D91-7224C49458BB}"/>
              </c:extLst>
            </c:dLbl>
            <c:dLbl>
              <c:idx val="18"/>
              <c:layout>
                <c:manualLayout>
                  <c:x val="-0.024922118380062305"/>
                  <c:y val="-0.057142857142857141"/>
                </c:manualLayout>
              </c:layout>
              <c:tx>
                <c:rich>
                  <a:bodyPr vertOverflow="clip"/>
                  <a:lstStyle/>
                  <a:p>
                    <a:r>
                      <a:rPr lang="en-US"/>
                      <a:t>NL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1-CA68-4E8C-9593-AB633977BBDB}"/>
                </c:ext>
                <c:ext xmlns:c15="http://schemas.microsoft.com/office/drawing/2012/chart" uri="{CE6537A1-D6FC-4f65-9D91-7224C49458BB}"/>
              </c:extLst>
            </c:dLbl>
            <c:dLbl>
              <c:idx val="19"/>
              <c:layout>
                <c:manualLayout>
                  <c:x val="-0.024922118380062305"/>
                  <c:y val="-0.066666666666666666"/>
                </c:manualLayout>
              </c:layout>
              <c:tx>
                <c:rich>
                  <a:bodyPr vertOverflow="clip"/>
                  <a:lstStyle/>
                  <a:p>
                    <a:r>
                      <a:rPr lang="en-US"/>
                      <a:t>AT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2-CA68-4E8C-9593-AB633977BBDB}"/>
                </c:ext>
                <c:ext xmlns:c15="http://schemas.microsoft.com/office/drawing/2012/chart" uri="{CE6537A1-D6FC-4f65-9D91-7224C49458BB}"/>
              </c:extLst>
            </c:dLbl>
            <c:dLbl>
              <c:idx val="20"/>
              <c:layout>
                <c:manualLayout>
                  <c:x val="-0.09968847352024926"/>
                  <c:y val="0.0380952380952381"/>
                </c:manualLayout>
              </c:layout>
              <c:tx>
                <c:rich>
                  <a:bodyPr vertOverflow="clip"/>
                  <a:lstStyle/>
                  <a:p>
                    <a:r>
                      <a:rPr lang="en-US"/>
                      <a:t>PL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3-CA68-4E8C-9593-AB633977BBDB}"/>
                </c:ext>
                <c:ext xmlns:c15="http://schemas.microsoft.com/office/drawing/2012/chart" uri="{CE6537A1-D6FC-4f65-9D91-7224C49458BB}"/>
              </c:extLst>
            </c:dLbl>
            <c:dLbl>
              <c:idx val="21"/>
              <c:layout>
                <c:manualLayout>
                  <c:x val="-0.020768431983385256"/>
                  <c:y val="0.066666666666666707"/>
                </c:manualLayout>
              </c:layout>
              <c:tx>
                <c:rich>
                  <a:bodyPr vertOverflow="clip"/>
                  <a:lstStyle/>
                  <a:p>
                    <a:r>
                      <a:rPr lang="en-US"/>
                      <a:t>PT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4-CA68-4E8C-9593-AB633977BBDB}"/>
                </c:ext>
                <c:ext xmlns:c15="http://schemas.microsoft.com/office/drawing/2012/chart" uri="{CE6537A1-D6FC-4f65-9D91-7224C49458BB}"/>
              </c:extLst>
            </c:dLbl>
            <c:dLbl>
              <c:idx val="22"/>
              <c:layout>
                <c:manualLayout>
                  <c:x val="-0.016614745586708203"/>
                  <c:y val="0.028571428571428571"/>
                </c:manualLayout>
              </c:layout>
              <c:tx>
                <c:rich>
                  <a:bodyPr vertOverflow="clip"/>
                  <a:lstStyle/>
                  <a:p>
                    <a:r>
                      <a:rPr lang="en-US"/>
                      <a:t>RO</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5-CA68-4E8C-9593-AB633977BBDB}"/>
                </c:ext>
                <c:ext xmlns:c15="http://schemas.microsoft.com/office/drawing/2012/chart" uri="{CE6537A1-D6FC-4f65-9D91-7224C49458BB}"/>
              </c:extLst>
            </c:dLbl>
            <c:dLbl>
              <c:idx val="23"/>
              <c:layout>
                <c:manualLayout>
                  <c:x val="-0.041536863966770511"/>
                  <c:y val="-0.095238095238095233"/>
                </c:manualLayout>
              </c:layout>
              <c:tx>
                <c:rich>
                  <a:bodyPr vertOverflow="clip"/>
                  <a:lstStyle/>
                  <a:p>
                    <a:r>
                      <a:rPr lang="en-US"/>
                      <a:t>SI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6-CA68-4E8C-9593-AB633977BBDB}"/>
                </c:ext>
                <c:ext xmlns:c15="http://schemas.microsoft.com/office/drawing/2012/chart" uri="{CE6537A1-D6FC-4f65-9D91-7224C49458BB}"/>
              </c:extLst>
            </c:dLbl>
            <c:dLbl>
              <c:idx val="24"/>
              <c:layout>
                <c:manualLayout>
                  <c:x val="-0.041536863966770511"/>
                  <c:y val="-0.076190476190476281"/>
                </c:manualLayout>
              </c:layout>
              <c:tx>
                <c:rich>
                  <a:bodyPr vertOverflow="clip"/>
                  <a:lstStyle/>
                  <a:p>
                    <a:r>
                      <a:rPr lang="en-US"/>
                      <a:t>SK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7-CA68-4E8C-9593-AB633977BBDB}"/>
                </c:ext>
                <c:ext xmlns:c15="http://schemas.microsoft.com/office/drawing/2012/chart" uri="{CE6537A1-D6FC-4f65-9D91-7224C49458BB}"/>
              </c:extLst>
            </c:dLbl>
            <c:dLbl>
              <c:idx val="25"/>
              <c:layout>
                <c:manualLayout>
                  <c:x val="-0.049844236760124609"/>
                  <c:y val="0.0761904761904762"/>
                </c:manualLayout>
              </c:layout>
              <c:tx>
                <c:rich>
                  <a:bodyPr vertOverflow="clip"/>
                  <a:lstStyle/>
                  <a:p>
                    <a:r>
                      <a:rPr lang="en-US"/>
                      <a:t>FI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8-CA68-4E8C-9593-AB633977BBDB}"/>
                </c:ext>
                <c:ext xmlns:c15="http://schemas.microsoft.com/office/drawing/2012/chart" uri="{CE6537A1-D6FC-4f65-9D91-7224C49458BB}"/>
              </c:extLst>
            </c:dLbl>
            <c:dLbl>
              <c:idx val="26"/>
              <c:layout>
                <c:manualLayout>
                  <c:x val="-0.062305295950155763"/>
                  <c:y val="-0.066666666666666666"/>
                </c:manualLayout>
              </c:layout>
              <c:tx>
                <c:rich>
                  <a:bodyPr vertOverflow="clip"/>
                  <a:lstStyle/>
                  <a:p>
                    <a:r>
                      <a:rPr lang="en-US"/>
                      <a:t>SE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9-CA68-4E8C-9593-AB633977BBDB}"/>
                </c:ext>
                <c:ext xmlns:c15="http://schemas.microsoft.com/office/drawing/2012/chart" uri="{CE6537A1-D6FC-4f65-9D91-7224C49458BB}"/>
              </c:extLst>
            </c:dLbl>
            <c:dLbl>
              <c:idx val="27"/>
              <c:layout>
                <c:manualLayout>
                  <c:x val="-0.016614745586708203"/>
                  <c:y val="-0.028571428571428574"/>
                </c:manualLayout>
              </c:layout>
              <c:tx>
                <c:rich>
                  <a:bodyPr vertOverflow="clip"/>
                  <a:lstStyle/>
                  <a:p>
                    <a:r>
                      <a:rPr lang="en-US"/>
                      <a:t>UK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A-CA68-4E8C-9593-AB633977BBD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Sheet1!$B$3:$B$30</c:f>
              <c:numCache>
                <c:formatCode>0.0</c:formatCode>
                <c:ptCount val="28"/>
                <c:pt idx="0">
                  <c:v>45.970886496092291</c:v>
                </c:pt>
                <c:pt idx="1">
                  <c:v>67.223768736616691</c:v>
                </c:pt>
                <c:pt idx="2">
                  <c:v>10.043423448662278</c:v>
                </c:pt>
                <c:pt idx="3">
                  <c:v>20.329922452163537</c:v>
                </c:pt>
                <c:pt idx="4">
                  <c:v>61.864864864864863</c:v>
                </c:pt>
                <c:pt idx="5">
                  <c:v>56.675430643699</c:v>
                </c:pt>
                <c:pt idx="6">
                  <c:v>17.133333333333333</c:v>
                </c:pt>
                <c:pt idx="7">
                  <c:v>39.083109919571051</c:v>
                </c:pt>
                <c:pt idx="8">
                  <c:v>36.976061776061776</c:v>
                </c:pt>
                <c:pt idx="9">
                  <c:v>47.859984089101033</c:v>
                </c:pt>
                <c:pt idx="10">
                  <c:v>62.254278728606359</c:v>
                </c:pt>
                <c:pt idx="11">
                  <c:v>16.944367561583171</c:v>
                </c:pt>
                <c:pt idx="12">
                  <c:v>50.411111111111111</c:v>
                </c:pt>
                <c:pt idx="13">
                  <c:v>27.022587268993838</c:v>
                </c:pt>
                <c:pt idx="14">
                  <c:v>18.786026200873362</c:v>
                </c:pt>
                <c:pt idx="15">
                  <c:v>18.624689312344657</c:v>
                </c:pt>
                <c:pt idx="16">
                  <c:v>46.173633440514472</c:v>
                </c:pt>
                <c:pt idx="17">
                  <c:v>17.045025013896609</c:v>
                </c:pt>
                <c:pt idx="18">
                  <c:v>71.4</c:v>
                </c:pt>
                <c:pt idx="19">
                  <c:v>77.013941940412522</c:v>
                </c:pt>
                <c:pt idx="20">
                  <c:v>17.603783231083845</c:v>
                </c:pt>
                <c:pt idx="21">
                  <c:v>25.726250826537363</c:v>
                </c:pt>
                <c:pt idx="22">
                  <c:v>13.712019230769231</c:v>
                </c:pt>
                <c:pt idx="23">
                  <c:v>27.519122896481388</c:v>
                </c:pt>
                <c:pt idx="24">
                  <c:v>30.307569174479763</c:v>
                </c:pt>
                <c:pt idx="25">
                  <c:v>60.501730103806231</c:v>
                </c:pt>
                <c:pt idx="26">
                  <c:v>69.8212962962963</c:v>
                </c:pt>
                <c:pt idx="27">
                  <c:v>48.523805548598936</c:v>
                </c:pt>
              </c:numCache>
            </c:numRef>
          </c:xVal>
          <c:yVal>
            <c:numRef>
              <c:f>Sheet1!$C$3:$C$30</c:f>
              <c:numCache>
                <c:formatCode>0.0</c:formatCode>
                <c:ptCount val="28"/>
                <c:pt idx="0">
                  <c:v>0.72679848806039515</c:v>
                </c:pt>
                <c:pt idx="1">
                  <c:v>0.80031550563136222</c:v>
                </c:pt>
                <c:pt idx="2">
                  <c:v>0.4586571957771044</c:v>
                </c:pt>
                <c:pt idx="3">
                  <c:v>0.68454562980649458</c:v>
                </c:pt>
                <c:pt idx="4">
                  <c:v>0.85293432357652543</c:v>
                </c:pt>
                <c:pt idx="5">
                  <c:v>0.74055483815688172</c:v>
                </c:pt>
                <c:pt idx="6">
                  <c:v>0.7195403696498055</c:v>
                </c:pt>
                <c:pt idx="7">
                  <c:v>0.905290777018001</c:v>
                </c:pt>
                <c:pt idx="8">
                  <c:v>0.77308778810191414</c:v>
                </c:pt>
                <c:pt idx="9">
                  <c:v>0.75027606204333919</c:v>
                </c:pt>
                <c:pt idx="10">
                  <c:v>0.74175624459979583</c:v>
                </c:pt>
                <c:pt idx="11">
                  <c:v>0.81453911713199378</c:v>
                </c:pt>
                <c:pt idx="12">
                  <c:v>0.70117014982934889</c:v>
                </c:pt>
                <c:pt idx="13">
                  <c:v>0.76153713553979507</c:v>
                </c:pt>
                <c:pt idx="14">
                  <c:v>0.50957491214597783</c:v>
                </c:pt>
                <c:pt idx="15">
                  <c:v>0.58503980270740508</c:v>
                </c:pt>
                <c:pt idx="16">
                  <c:v>1.2779722168859862</c:v>
                </c:pt>
                <c:pt idx="17">
                  <c:v>0.65309308309947733</c:v>
                </c:pt>
                <c:pt idx="18">
                  <c:v>0.6832830219466427</c:v>
                </c:pt>
                <c:pt idx="19">
                  <c:v>0.57206550635280973</c:v>
                </c:pt>
                <c:pt idx="20">
                  <c:v>0.60131851225574529</c:v>
                </c:pt>
                <c:pt idx="21">
                  <c:v>0.70358499616850667</c:v>
                </c:pt>
                <c:pt idx="22">
                  <c:v>0.46367006753002554</c:v>
                </c:pt>
                <c:pt idx="23">
                  <c:v>0.76873082001717985</c:v>
                </c:pt>
                <c:pt idx="24">
                  <c:v>0.47854695431761368</c:v>
                </c:pt>
                <c:pt idx="25">
                  <c:v>0.711178388815577</c:v>
                </c:pt>
                <c:pt idx="26">
                  <c:v>0.57929560115408929</c:v>
                </c:pt>
                <c:pt idx="27">
                  <c:v>0.895314062666337</c:v>
                </c:pt>
              </c:numCache>
            </c:numRef>
          </c:yVal>
          <c:smooth val="0"/>
          <c:extLst>
            <c:ext xmlns:c="http://schemas.openxmlformats.org/drawingml/2006/chart" xmlns:c16="http://schemas.microsoft.com/office/drawing/2014/chart" uri="{C3380CC4-5D6E-409C-BE32-E72D297353CC}">
              <c16:uniqueId val="{0000001B-CA68-4E8C-9593-AB633977BBDB}"/>
            </c:ext>
          </c:extLst>
        </c:ser>
        <c:dLbls>
          <c:showLegendKey val="0"/>
          <c:showVal val="0"/>
          <c:showCatName val="0"/>
          <c:showSerName val="0"/>
          <c:showPercent val="0"/>
          <c:showBubbleSize val="0"/>
        </c:dLbls>
        <c:axId val="630012152"/>
        <c:axId val="630016856"/>
      </c:scatterChart>
      <c:valAx>
        <c:axId val="630012152"/>
        <c:scaling>
          <c:orientation val="minMax"/>
          <c:max val="80"/>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30016856"/>
        <c:crosses val="autoZero"/>
        <c:crossBetween val="midCat"/>
        <c:majorUnit val="10"/>
      </c:valAx>
      <c:valAx>
        <c:axId val="630016856"/>
        <c:scaling>
          <c:orientation val="minMax"/>
          <c:max val="0.9"/>
          <c:min val="0.4"/>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30012152"/>
        <c:crosses val="autoZero"/>
        <c:crossBetween val="midCat"/>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179.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1619797525309326"/>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8604-49EB-9121-5F61225BA0CA}"/>
              </c:ext>
            </c:extLst>
          </c:dPt>
          <c:dPt>
            <c:idx val="5"/>
            <c:bubble3D val="0"/>
            <c:extLst>
              <c:ext xmlns:c="http://schemas.openxmlformats.org/drawingml/2006/chart" xmlns:c16="http://schemas.microsoft.com/office/drawing/2014/chart" uri="{C3380CC4-5D6E-409C-BE32-E72D297353CC}">
                <c16:uniqueId val="{00000001-8604-49EB-9121-5F61225BA0CA}"/>
              </c:ext>
            </c:extLst>
          </c:dPt>
          <c:dPt>
            <c:idx val="11"/>
            <c:bubble3D val="0"/>
            <c:extLst>
              <c:ext xmlns:c="http://schemas.openxmlformats.org/drawingml/2006/chart" xmlns:c16="http://schemas.microsoft.com/office/drawing/2014/chart" uri="{C3380CC4-5D6E-409C-BE32-E72D297353CC}">
                <c16:uniqueId val="{00000002-8604-49EB-9121-5F61225BA0CA}"/>
              </c:ext>
            </c:extLst>
          </c:dPt>
          <c:dPt>
            <c:idx val="12"/>
            <c:bubble3D val="0"/>
            <c:extLst>
              <c:ext xmlns:c="http://schemas.openxmlformats.org/drawingml/2006/chart" xmlns:c16="http://schemas.microsoft.com/office/drawing/2014/chart" uri="{C3380CC4-5D6E-409C-BE32-E72D297353CC}">
                <c16:uniqueId val="{00000003-8604-49EB-9121-5F61225BA0CA}"/>
              </c:ext>
            </c:extLst>
          </c:dPt>
          <c:dPt>
            <c:idx val="13"/>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4-8604-49EB-9121-5F61225BA0CA}"/>
              </c:ext>
            </c:extLst>
          </c:dPt>
          <c:dPt>
            <c:idx val="14"/>
            <c:bubble3D val="0"/>
            <c:extLst>
              <c:ext xmlns:c="http://schemas.openxmlformats.org/drawingml/2006/chart" xmlns:c16="http://schemas.microsoft.com/office/drawing/2014/chart" uri="{C3380CC4-5D6E-409C-BE32-E72D297353CC}">
                <c16:uniqueId val="{00000005-8604-49EB-9121-5F61225BA0CA}"/>
              </c:ext>
            </c:extLst>
          </c:dPt>
          <c:dLbls>
            <c:dLbl>
              <c:idx val="0"/>
              <c:tx>
                <c:rich>
                  <a:bodyPr/>
                  <a:lstStyle/>
                  <a:p>
                    <a:fld id="{f7d634a5-7b1a-49a4-bde2-7c14681ba1bc}" type="CELLRANGE">
                      <a:rPr lang="en-US"/>
                      <a:t>BE</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0-8604-49EB-9121-5F61225BA0CA}"/>
                </c:ext>
                <c:ext xmlns:c15="http://schemas.microsoft.com/office/drawing/2012/chart" uri="{CE6537A1-D6FC-4f65-9D91-7224C49458BB}">
                  <c15:showDataLabelsRange val="1"/>
                </c:ext>
              </c:extLst>
            </c:dLbl>
            <c:dLbl>
              <c:idx val="1"/>
              <c:tx>
                <c:rich>
                  <a:bodyPr vertOverflow="clip"/>
                  <a:lstStyle/>
                  <a:p>
                    <a:fld id="{e01b4631-a90d-44f4-890b-8643846c83e1}" type="CELLRANGE">
                      <a:rPr lang="en-US"/>
                      <a:t>BG</a:t>
                    </a:fld>
                    <a:endParaRPr lang="lv-LV"/>
                  </a:p>
                </c:rich>
              </c:tx>
              <c:dLblPos val="l"/>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6-8604-49EB-9121-5F61225BA0CA}"/>
                </c:ext>
                <c:ext xmlns:c15="http://schemas.microsoft.com/office/drawing/2012/chart" uri="{CE6537A1-D6FC-4f65-9D91-7224C49458BB}">
                  <c15:showDataLabelsRange val="1"/>
                </c:ext>
              </c:extLst>
            </c:dLbl>
            <c:dLbl>
              <c:idx val="2"/>
              <c:layout>
                <c:manualLayout>
                  <c:x val="-0.020768431983385256"/>
                  <c:y val="0.019047619047619049"/>
                </c:manualLayout>
              </c:layout>
              <c:tx>
                <c:rich>
                  <a:bodyPr vertOverflow="clip"/>
                  <a:lstStyle/>
                  <a:p>
                    <a:fld id="{c059ff2e-1816-4027-85df-f029bf191c58}" type="CELLRANGE">
                      <a:rPr lang="en-US"/>
                      <a:t>CZ</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7-8604-49EB-9121-5F61225BA0CA}"/>
                </c:ext>
                <c:ext xmlns:c15="http://schemas.microsoft.com/office/drawing/2012/chart" uri="{CE6537A1-D6FC-4f65-9D91-7224C49458BB}">
                  <c15:showDataLabelsRange val="1"/>
                </c:ext>
              </c:extLst>
            </c:dLbl>
            <c:dLbl>
              <c:idx val="3"/>
              <c:tx>
                <c:rich>
                  <a:bodyPr vertOverflow="clip"/>
                  <a:lstStyle/>
                  <a:p>
                    <a:fld id="{8d45bbb8-edbe-41eb-9df0-836df59ae33a}" type="CELLRANGE">
                      <a:rPr lang="en-US"/>
                      <a:t>DK</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8-8604-49EB-9121-5F61225BA0CA}"/>
                </c:ext>
                <c:ext xmlns:c15="http://schemas.microsoft.com/office/drawing/2012/chart" uri="{CE6537A1-D6FC-4f65-9D91-7224C49458BB}">
                  <c15:showDataLabelsRange val="1"/>
                </c:ext>
              </c:extLst>
            </c:dLbl>
            <c:dLbl>
              <c:idx val="4"/>
              <c:layout>
                <c:manualLayout>
                  <c:x val="-0.072118461827785543"/>
                  <c:y val="-0.095475815523059615"/>
                </c:manualLayout>
              </c:layout>
              <c:tx>
                <c:rich>
                  <a:bodyPr vertOverflow="clip"/>
                  <a:lstStyle/>
                  <a:p>
                    <a:fld id="{6653c76f-3f5f-4a2f-9d62-d18d21581a9d}" type="CELLRANGE">
                      <a:rPr lang="en-US"/>
                      <a:t>DE</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9-8604-49EB-9121-5F61225BA0CA}"/>
                </c:ext>
                <c:ext xmlns:c15="http://schemas.microsoft.com/office/drawing/2012/chart" uri="{CE6537A1-D6FC-4f65-9D91-7224C49458BB}">
                  <c15:showDataLabelsRange val="1"/>
                </c:ext>
              </c:extLst>
            </c:dLbl>
            <c:dLbl>
              <c:idx val="5"/>
              <c:tx>
                <c:rich>
                  <a:bodyPr vertOverflow="clip"/>
                  <a:lstStyle/>
                  <a:p>
                    <a:fld id="{c08f850c-48b2-41df-8ef2-4f9600c74760}" type="CELLRANGE">
                      <a:rPr lang="en-US"/>
                      <a:t>EE</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1-8604-49EB-9121-5F61225BA0CA}"/>
                </c:ext>
                <c:ext xmlns:c15="http://schemas.microsoft.com/office/drawing/2012/chart" uri="{CE6537A1-D6FC-4f65-9D91-7224C49458BB}">
                  <c15:showDataLabelsRange val="1"/>
                </c:ext>
              </c:extLst>
            </c:dLbl>
            <c:dLbl>
              <c:idx val="6"/>
              <c:tx>
                <c:rich>
                  <a:bodyPr vertOverflow="clip"/>
                  <a:lstStyle/>
                  <a:p>
                    <a:fld id="{ce41f2b5-1544-4f41-a89b-a98e4e63736d}" type="CELLRANGE">
                      <a:rPr lang="en-US"/>
                      <a:t>IE</a:t>
                    </a:fld>
                    <a:endParaRPr lang="lv-LV"/>
                  </a:p>
                </c:rich>
              </c:tx>
              <c:dLblPos val="l"/>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A-8604-49EB-9121-5F61225BA0CA}"/>
                </c:ext>
                <c:ext xmlns:c15="http://schemas.microsoft.com/office/drawing/2012/chart" uri="{CE6537A1-D6FC-4f65-9D91-7224C49458BB}">
                  <c15:showDataLabelsRange val="1"/>
                </c:ext>
              </c:extLst>
            </c:dLbl>
            <c:dLbl>
              <c:idx val="7"/>
              <c:tx>
                <c:rich>
                  <a:bodyPr vertOverflow="clip"/>
                  <a:lstStyle/>
                  <a:p>
                    <a:fld id="{b74da704-33ca-40ab-b458-791a34a17093}" type="CELLRANGE">
                      <a:rPr lang="lv-LV"/>
                      <a:t>EL</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8"/>
              <c:tx>
                <c:rich>
                  <a:bodyPr vertOverflow="clip"/>
                  <a:lstStyle/>
                  <a:p>
                    <a:fld id="{62f0c799-a949-4bf4-92f9-bb2521fd9680}" type="CELLRANGE">
                      <a:rPr lang="lv-LV"/>
                      <a:t>ES</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9"/>
              <c:tx>
                <c:rich>
                  <a:bodyPr vertOverflow="clip"/>
                  <a:lstStyle/>
                  <a:p>
                    <a:fld id="{9691e9c9-32cf-4dfa-b235-95a59a50f270}" type="CELLRANGE">
                      <a:rPr lang="en-US"/>
                      <a:t>FR</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D-8604-49EB-9121-5F61225BA0CA}"/>
                </c:ext>
                <c:ext xmlns:c15="http://schemas.microsoft.com/office/drawing/2012/chart" uri="{CE6537A1-D6FC-4f65-9D91-7224C49458BB}">
                  <c15:showDataLabelsRange val="1"/>
                </c:ext>
              </c:extLst>
            </c:dLbl>
            <c:dLbl>
              <c:idx val="10"/>
              <c:layout>
                <c:manualLayout>
                  <c:x val="-0.020768431983385256"/>
                  <c:y val="-0.019047619047619091"/>
                </c:manualLayout>
              </c:layout>
              <c:tx>
                <c:rich>
                  <a:bodyPr vertOverflow="clip"/>
                  <a:lstStyle/>
                  <a:p>
                    <a:fld id="{cdda64ed-0f81-4595-9f41-e1cafff725ad}" type="CELLRANGE">
                      <a:rPr lang="en-US"/>
                      <a:t>HR</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E-8604-49EB-9121-5F61225BA0CA}"/>
                </c:ext>
                <c:ext xmlns:c15="http://schemas.microsoft.com/office/drawing/2012/chart" uri="{CE6537A1-D6FC-4f65-9D91-7224C49458BB}">
                  <c15:showDataLabelsRange val="1"/>
                </c:ext>
              </c:extLst>
            </c:dLbl>
            <c:dLbl>
              <c:idx val="11"/>
              <c:tx>
                <c:rich>
                  <a:bodyPr vertOverflow="clip"/>
                  <a:lstStyle/>
                  <a:p>
                    <a:fld id="{0116b1f7-9c78-4399-96eb-fec6f0323831}" type="CELLRANGE">
                      <a:rPr lang="en-US"/>
                      <a:t>IT</a:t>
                    </a:fld>
                    <a:endParaRPr lang="lv-LV"/>
                  </a:p>
                </c:rich>
              </c:tx>
              <c:dLblPos val="l"/>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2-8604-49EB-9121-5F61225BA0CA}"/>
                </c:ext>
                <c:ext xmlns:c15="http://schemas.microsoft.com/office/drawing/2012/chart" uri="{CE6537A1-D6FC-4f65-9D91-7224C49458BB}">
                  <c15:showDataLabelsRange val="1"/>
                </c:ext>
              </c:extLst>
            </c:dLbl>
            <c:dLbl>
              <c:idx val="12"/>
              <c:layout>
                <c:manualLayout>
                  <c:x val="-0.020768431983385256"/>
                  <c:y val="0"/>
                </c:manualLayout>
              </c:layout>
              <c:tx>
                <c:rich>
                  <a:bodyPr vertOverflow="clip"/>
                  <a:lstStyle/>
                  <a:p>
                    <a:fld id="{171abaf3-7f10-49c8-8aa7-45bd62a31d69}" type="CELLRANGE">
                      <a:rPr lang="en-US"/>
                      <a:t>CY</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3-8604-49EB-9121-5F61225BA0CA}"/>
                </c:ext>
                <c:ext xmlns:c15="http://schemas.microsoft.com/office/drawing/2012/chart" uri="{CE6537A1-D6FC-4f65-9D91-7224C49458BB}">
                  <c15:showDataLabelsRange val="1"/>
                </c:ext>
              </c:extLst>
            </c:dLbl>
            <c:dLbl>
              <c:idx val="13"/>
              <c:tx>
                <c:rich>
                  <a:bodyPr vertOverflow="clip"/>
                  <a:lstStyle/>
                  <a:p>
                    <a:fld id="{f30366ea-6be6-4c5c-83df-862124b06fe0}" type="CELLRANGE">
                      <a:rPr lang="en-US"/>
                      <a:t>LV</a:t>
                    </a:fld>
                    <a:endParaRPr lang="lv-LV"/>
                  </a:p>
                </c:rich>
              </c:tx>
              <c:dLblPos val="l"/>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4-8604-49EB-9121-5F61225BA0CA}"/>
                </c:ext>
                <c:ext xmlns:c15="http://schemas.microsoft.com/office/drawing/2012/chart" uri="{CE6537A1-D6FC-4f65-9D91-7224C49458BB}">
                  <c15:showDataLabelsRange val="1"/>
                </c:ext>
              </c:extLst>
            </c:dLbl>
            <c:dLbl>
              <c:idx val="14"/>
              <c:layout>
                <c:manualLayout>
                  <c:x val="-0.029075804776739433"/>
                  <c:y val="-0.028571428571428571"/>
                </c:manualLayout>
              </c:layout>
              <c:tx>
                <c:rich>
                  <a:bodyPr vertOverflow="clip"/>
                  <a:lstStyle/>
                  <a:p>
                    <a:fld id="{8178229e-5830-445e-8dc3-e5eb34b9e7bb}" type="CELLRANGE">
                      <a:rPr lang="en-US"/>
                      <a:t>LT</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5-8604-49EB-9121-5F61225BA0CA}"/>
                </c:ext>
                <c:ext xmlns:c15="http://schemas.microsoft.com/office/drawing/2012/chart" uri="{CE6537A1-D6FC-4f65-9D91-7224C49458BB}">
                  <c15:showDataLabelsRange val="1"/>
                </c:ext>
              </c:extLst>
            </c:dLbl>
            <c:dLbl>
              <c:idx val="15"/>
              <c:layout>
                <c:manualLayout>
                  <c:x val="-0.056303382637917961"/>
                  <c:y val="0.08595275590551181"/>
                </c:manualLayout>
              </c:layout>
              <c:tx>
                <c:rich>
                  <a:bodyPr vertOverflow="clip"/>
                  <a:lstStyle/>
                  <a:p>
                    <a:fld id="{60477c56-2d11-43ad-a0c0-abcd78cabcf9}" type="CELLRANGE">
                      <a:rPr lang="en-US"/>
                      <a:t>HU</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F-8604-49EB-9121-5F61225BA0CA}"/>
                </c:ext>
                <c:ext xmlns:c15="http://schemas.microsoft.com/office/drawing/2012/chart" uri="{CE6537A1-D6FC-4f65-9D91-7224C49458BB}">
                  <c15:showDataLabelsRange val="1"/>
                </c:ext>
              </c:extLst>
            </c:dLbl>
            <c:dLbl>
              <c:idx val="16"/>
              <c:tx>
                <c:rich>
                  <a:bodyPr vertOverflow="clip"/>
                  <a:lstStyle/>
                  <a:p>
                    <a:fld id="{2e24a41f-d185-4d86-9e9c-ddcb11085f13}" type="CELLRANGE">
                      <a:rPr lang="lv-LV"/>
                      <a:t>NL</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7"/>
              <c:tx>
                <c:rich>
                  <a:bodyPr/>
                  <a:lstStyle/>
                  <a:p>
                    <a:fld id="{5d305905-034a-46e3-b7e5-9372523a8c30}" type="CELLRANGE">
                      <a:rPr lang="lv-LV"/>
                      <a:t>AT</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8"/>
              <c:tx>
                <c:rich>
                  <a:bodyPr vertOverflow="clip"/>
                  <a:lstStyle/>
                  <a:p>
                    <a:fld id="{9b5b1e40-9f04-4cff-bafc-ab138ede57ce}" type="CELLRANGE">
                      <a:rPr lang="en-US"/>
                      <a:t>PL</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1-8604-49EB-9121-5F61225BA0CA}"/>
                </c:ext>
                <c:ext xmlns:c15="http://schemas.microsoft.com/office/drawing/2012/chart" uri="{CE6537A1-D6FC-4f65-9D91-7224C49458BB}">
                  <c15:showDataLabelsRange val="1"/>
                </c:ext>
              </c:extLst>
            </c:dLbl>
            <c:dLbl>
              <c:idx val="19"/>
              <c:tx>
                <c:rich>
                  <a:bodyPr vertOverflow="clip"/>
                  <a:lstStyle/>
                  <a:p>
                    <a:fld id="{f0355df7-4be0-42e7-8294-799f59361ff3}" type="CELLRANGE">
                      <a:rPr lang="lv-LV"/>
                      <a:t>PT</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20"/>
              <c:tx>
                <c:rich>
                  <a:bodyPr vertOverflow="clip"/>
                  <a:lstStyle/>
                  <a:p>
                    <a:fld id="{5f581964-dde3-4b01-aa31-afffceb88d24}" type="CELLRANGE">
                      <a:rPr lang="en-US"/>
                      <a:t>RO</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3-8604-49EB-9121-5F61225BA0CA}"/>
                </c:ext>
                <c:ext xmlns:c15="http://schemas.microsoft.com/office/drawing/2012/chart" uri="{CE6537A1-D6FC-4f65-9D91-7224C49458BB}">
                  <c15:showDataLabelsRange val="1"/>
                </c:ext>
              </c:extLst>
            </c:dLbl>
            <c:dLbl>
              <c:idx val="21"/>
              <c:tx>
                <c:rich>
                  <a:bodyPr vertOverflow="clip"/>
                  <a:lstStyle/>
                  <a:p>
                    <a:fld id="{64f422af-6cf8-49d1-ac0d-2d3383e604c3}" type="CELLRANGE">
                      <a:rPr lang="en-US"/>
                      <a:t>SI</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4-8604-49EB-9121-5F61225BA0CA}"/>
                </c:ext>
                <c:ext xmlns:c15="http://schemas.microsoft.com/office/drawing/2012/chart" uri="{CE6537A1-D6FC-4f65-9D91-7224C49458BB}">
                  <c15:showDataLabelsRange val="1"/>
                </c:ext>
              </c:extLst>
            </c:dLbl>
            <c:dLbl>
              <c:idx val="22"/>
              <c:tx>
                <c:rich>
                  <a:bodyPr vertOverflow="clip"/>
                  <a:lstStyle/>
                  <a:p>
                    <a:fld id="{2fd7d1f2-f8d2-4ecf-abcf-800d4c06e111}" type="CELLRANGE">
                      <a:rPr lang="lv-LV"/>
                      <a:t>SK</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23"/>
              <c:tx>
                <c:rich>
                  <a:bodyPr vertOverflow="clip"/>
                  <a:lstStyle/>
                  <a:p>
                    <a:fld id="{72634585-ad84-494b-b11c-a0700f7d196f}" type="CELLRANGE">
                      <a:rPr lang="en-US"/>
                      <a:t>FI</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6-8604-49EB-9121-5F61225BA0CA}"/>
                </c:ext>
                <c:ext xmlns:c15="http://schemas.microsoft.com/office/drawing/2012/chart" uri="{CE6537A1-D6FC-4f65-9D91-7224C49458BB}">
                  <c15:showDataLabelsRange val="1"/>
                </c:ext>
              </c:extLst>
            </c:dLbl>
            <c:dLbl>
              <c:idx val="24"/>
              <c:tx>
                <c:rich>
                  <a:bodyPr vertOverflow="clip"/>
                  <a:lstStyle/>
                  <a:p>
                    <a:fld id="{bbd05ada-55e5-4d58-850e-2abc6f5c4aec}" type="CELLRANGE">
                      <a:rPr lang="lv-LV"/>
                      <a:t>SE</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25"/>
              <c:tx>
                <c:rich>
                  <a:bodyPr vertOverflow="clip"/>
                  <a:lstStyle/>
                  <a:p>
                    <a:fld id="{73aa880a-f333-44a7-8a11-83351e074b1b}" type="CELLRANGE">
                      <a:rPr lang="lv-LV"/>
                      <a:t>UK</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Sheet1!$B$3:$B$28</c:f>
              <c:numCache>
                <c:formatCode>#,##0.0</c:formatCode>
                <c:ptCount val="26"/>
                <c:pt idx="0">
                  <c:v>124.99254658385092</c:v>
                </c:pt>
                <c:pt idx="1">
                  <c:v>12.524916943521594</c:v>
                </c:pt>
                <c:pt idx="2">
                  <c:v>23.206167858426873</c:v>
                </c:pt>
                <c:pt idx="3">
                  <c:v>66.615384615384613</c:v>
                </c:pt>
                <c:pt idx="4">
                  <c:v>61.431669535284</c:v>
                </c:pt>
                <c:pt idx="5">
                  <c:v>18.150943396226417</c:v>
                </c:pt>
                <c:pt idx="6">
                  <c:v>58.456572769953056</c:v>
                </c:pt>
                <c:pt idx="7">
                  <c:v>65.8818565400844</c:v>
                </c:pt>
                <c:pt idx="8">
                  <c:v>77.950651130911581</c:v>
                </c:pt>
                <c:pt idx="9">
                  <c:v>68.184415584415589</c:v>
                </c:pt>
                <c:pt idx="10">
                  <c:v>18.259151962075322</c:v>
                </c:pt>
                <c:pt idx="11">
                  <c:v>58.092182209910753</c:v>
                </c:pt>
                <c:pt idx="12">
                  <c:v>19.971751412429381</c:v>
                </c:pt>
                <c:pt idx="13">
                  <c:v>16.748366013071895</c:v>
                </c:pt>
                <c:pt idx="14">
                  <c:v>23.233082706766915</c:v>
                </c:pt>
                <c:pt idx="15">
                  <c:v>18.56436175932896</c:v>
                </c:pt>
                <c:pt idx="16">
                  <c:v>71.5925925925926</c:v>
                </c:pt>
                <c:pt idx="17">
                  <c:v>85.1288752703677</c:v>
                </c:pt>
                <c:pt idx="18">
                  <c:v>23.950918762088975</c:v>
                </c:pt>
                <c:pt idx="19">
                  <c:v>27.496227510156704</c:v>
                </c:pt>
                <c:pt idx="20">
                  <c:v>16.277008310249307</c:v>
                </c:pt>
                <c:pt idx="21">
                  <c:v>28.941903584672435</c:v>
                </c:pt>
                <c:pt idx="22">
                  <c:v>39.589529435730292</c:v>
                </c:pt>
                <c:pt idx="23">
                  <c:v>63.559027777777779</c:v>
                </c:pt>
                <c:pt idx="24">
                  <c:v>73.26761904761905</c:v>
                </c:pt>
                <c:pt idx="25">
                  <c:v>50.50410092918063</c:v>
                </c:pt>
              </c:numCache>
            </c:numRef>
          </c:xVal>
          <c:yVal>
            <c:numRef>
              <c:f>Sheet1!$C$3:$C$28</c:f>
              <c:numCache>
                <c:formatCode>#,##0.0</c:formatCode>
                <c:ptCount val="26"/>
                <c:pt idx="0">
                  <c:v>0.48706442898276192</c:v>
                </c:pt>
                <c:pt idx="1">
                  <c:v>0.57047574227774456</c:v>
                </c:pt>
                <c:pt idx="2">
                  <c:v>0.62686240265107229</c:v>
                </c:pt>
                <c:pt idx="3">
                  <c:v>0.86547656201235879</c:v>
                </c:pt>
                <c:pt idx="4">
                  <c:v>0.7670649836109884</c:v>
                </c:pt>
                <c:pt idx="5">
                  <c:v>0.93621308347335741</c:v>
                </c:pt>
                <c:pt idx="6">
                  <c:v>0.77496868660258222</c:v>
                </c:pt>
                <c:pt idx="7">
                  <c:v>0.32540632692649135</c:v>
                </c:pt>
                <c:pt idx="8">
                  <c:v>0.49441621465054403</c:v>
                </c:pt>
                <c:pt idx="9">
                  <c:v>0.73150154503918052</c:v>
                </c:pt>
                <c:pt idx="10">
                  <c:v>0.732199880073957</c:v>
                </c:pt>
                <c:pt idx="11">
                  <c:v>0.68346092888039023</c:v>
                </c:pt>
                <c:pt idx="12">
                  <c:v>0.88663436823036823</c:v>
                </c:pt>
                <c:pt idx="13">
                  <c:v>0.79399703970654478</c:v>
                </c:pt>
                <c:pt idx="14">
                  <c:v>0.66290391648941027</c:v>
                </c:pt>
                <c:pt idx="15">
                  <c:v>0.72960158550073329</c:v>
                </c:pt>
                <c:pt idx="16">
                  <c:v>0.74832123667617667</c:v>
                </c:pt>
                <c:pt idx="17">
                  <c:v>0.64299992600107392</c:v>
                </c:pt>
                <c:pt idx="18">
                  <c:v>0.55396335834651622</c:v>
                </c:pt>
                <c:pt idx="19">
                  <c:v>0.69009853249088993</c:v>
                </c:pt>
                <c:pt idx="20">
                  <c:v>0.50332396657188627</c:v>
                </c:pt>
                <c:pt idx="21">
                  <c:v>0.83208483971496083</c:v>
                </c:pt>
                <c:pt idx="22">
                  <c:v>0.42369307649994065</c:v>
                </c:pt>
                <c:pt idx="23">
                  <c:v>0.722345885630379</c:v>
                </c:pt>
                <c:pt idx="24">
                  <c:v>0.64210672708478012</c:v>
                </c:pt>
                <c:pt idx="25">
                  <c:v>1.1618557486129295</c:v>
                </c:pt>
              </c:numCache>
            </c:numRef>
          </c:yVal>
          <c:smooth val="0"/>
          <c:extLst>
            <c:ext xmlns:c="http://schemas.openxmlformats.org/drawingml/2006/chart" xmlns:c16="http://schemas.microsoft.com/office/drawing/2014/chart" uri="{C3380CC4-5D6E-409C-BE32-E72D297353CC}">
              <c16:uniqueId val="{0000001B-8604-49EB-9121-5F61225BA0CA}"/>
            </c:ext>
            <c:ext xmlns:c15="http://schemas.microsoft.com/office/drawing/2012/chart" uri="{02D57815-91ED-43cb-92C2-25804820EDAC}">
              <c15:datalabelsRange>
                <c15:f>Sheet1!$A$3:$A$28</c15:f>
                <c15:dlblRangeCache>
                  <c:ptCount val="26"/>
                  <c:pt idx="0">
                    <c:v>BE</c:v>
                  </c:pt>
                  <c:pt idx="1">
                    <c:v>BG</c:v>
                  </c:pt>
                  <c:pt idx="2">
                    <c:v>CZ</c:v>
                  </c:pt>
                  <c:pt idx="3">
                    <c:v>DK</c:v>
                  </c:pt>
                  <c:pt idx="4">
                    <c:v>DE</c:v>
                  </c:pt>
                  <c:pt idx="5">
                    <c:v>EE</c:v>
                  </c:pt>
                  <c:pt idx="6">
                    <c:v>IE</c:v>
                  </c:pt>
                  <c:pt idx="7">
                    <c:v>EL</c:v>
                  </c:pt>
                  <c:pt idx="8">
                    <c:v>ES</c:v>
                  </c:pt>
                  <c:pt idx="9">
                    <c:v>FR</c:v>
                  </c:pt>
                  <c:pt idx="10">
                    <c:v>HR</c:v>
                  </c:pt>
                  <c:pt idx="11">
                    <c:v>IT</c:v>
                  </c:pt>
                  <c:pt idx="12">
                    <c:v>CY</c:v>
                  </c:pt>
                  <c:pt idx="13">
                    <c:v>LV</c:v>
                  </c:pt>
                  <c:pt idx="14">
                    <c:v>LT</c:v>
                  </c:pt>
                  <c:pt idx="15">
                    <c:v>HU</c:v>
                  </c:pt>
                  <c:pt idx="16">
                    <c:v>NL</c:v>
                  </c:pt>
                  <c:pt idx="17">
                    <c:v>AT</c:v>
                  </c:pt>
                  <c:pt idx="18">
                    <c:v>PL</c:v>
                  </c:pt>
                  <c:pt idx="19">
                    <c:v>PT</c:v>
                  </c:pt>
                  <c:pt idx="20">
                    <c:v>RO</c:v>
                  </c:pt>
                  <c:pt idx="21">
                    <c:v>SI</c:v>
                  </c:pt>
                  <c:pt idx="22">
                    <c:v>SK</c:v>
                  </c:pt>
                  <c:pt idx="23">
                    <c:v>FI</c:v>
                  </c:pt>
                  <c:pt idx="24">
                    <c:v>SE</c:v>
                  </c:pt>
                  <c:pt idx="25">
                    <c:v>UK</c:v>
                  </c:pt>
                </c15:dlblRangeCache>
              </c15:datalabelsRange>
            </c:ext>
          </c:extLst>
        </c:ser>
        <c:dLbls>
          <c:showLegendKey val="0"/>
          <c:showVal val="0"/>
          <c:showCatName val="0"/>
          <c:showSerName val="0"/>
          <c:showPercent val="0"/>
          <c:showBubbleSize val="0"/>
        </c:dLbls>
        <c:axId val="630006664"/>
        <c:axId val="630009016"/>
      </c:scatterChart>
      <c:valAx>
        <c:axId val="630006664"/>
        <c:scaling>
          <c:orientation val="minMax"/>
          <c:max val="80"/>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30009016"/>
        <c:crosses val="autoZero"/>
        <c:crossBetween val="midCat"/>
        <c:majorUnit val="10"/>
      </c:valAx>
      <c:valAx>
        <c:axId val="630009016"/>
        <c:scaling>
          <c:orientation val="minMax"/>
          <c:min val="0.2"/>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30006664"/>
        <c:crosses val="autoZero"/>
        <c:crossBetween val="midCat"/>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E82E-476E-994D-661675BE3BE6}"/>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E82E-476E-994D-661675BE3BE6}"/>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Sheet1!$B$2:$M$2</c:f>
              <c:numCache>
                <c:formatCode>0</c:formatCode>
                <c:ptCount val="12"/>
                <c:pt idx="0">
                  <c:v>2005</c:v>
                </c:pt>
                <c:pt idx="1">
                  <c:v>2006</c:v>
                </c:pt>
                <c:pt idx="2">
                  <c:v>2007</c:v>
                </c:pt>
                <c:pt idx="3">
                  <c:v>2008</c:v>
                </c:pt>
                <c:pt idx="4">
                  <c:v>2009</c:v>
                </c:pt>
                <c:pt idx="5">
                  <c:v>2010</c:v>
                </c:pt>
                <c:pt idx="6">
                  <c:v>2011</c:v>
                </c:pt>
                <c:pt idx="7">
                  <c:v>2012</c:v>
                </c:pt>
                <c:pt idx="8">
                  <c:v>2013</c:v>
                </c:pt>
                <c:pt idx="9" formatCode="General">
                  <c:v>2014</c:v>
                </c:pt>
                <c:pt idx="10" formatCode="General">
                  <c:v>2015</c:v>
                </c:pt>
                <c:pt idx="11" formatCode="General">
                  <c:v>2016</c:v>
                </c:pt>
              </c:numCache>
            </c:numRef>
          </c:cat>
          <c:val>
            <c:numRef>
              <c:f>Sheet1!$B$3:$M$3</c:f>
              <c:numCache>
                <c:formatCode>0.0</c:formatCode>
                <c:ptCount val="12"/>
                <c:pt idx="0">
                  <c:v>4.3414256198347108</c:v>
                </c:pt>
                <c:pt idx="1">
                  <c:v>4.4257641921397379</c:v>
                </c:pt>
                <c:pt idx="2">
                  <c:v>8.396561944279787</c:v>
                </c:pt>
                <c:pt idx="3">
                  <c:v>7.64519838987924</c:v>
                </c:pt>
                <c:pt idx="4">
                  <c:v>6.6765843498958644</c:v>
                </c:pt>
                <c:pt idx="5">
                  <c:v>7.8401420959147421</c:v>
                </c:pt>
                <c:pt idx="6">
                  <c:v>7.4836387434554972</c:v>
                </c:pt>
                <c:pt idx="7">
                  <c:v>7.4727668845315893</c:v>
                </c:pt>
                <c:pt idx="8">
                  <c:v>7.341176470588235</c:v>
                </c:pt>
                <c:pt idx="9">
                  <c:v>9.3266301035953685</c:v>
                </c:pt>
                <c:pt idx="10">
                  <c:v>9.733570159857905</c:v>
                </c:pt>
                <c:pt idx="11">
                  <c:v>10.792533659730722</c:v>
                </c:pt>
              </c:numCache>
            </c:numRef>
          </c:val>
          <c:extLst>
            <c:ext xmlns:c="http://schemas.openxmlformats.org/drawingml/2006/chart" xmlns:c16="http://schemas.microsoft.com/office/drawing/2014/chart" uri="{C3380CC4-5D6E-409C-BE32-E72D297353CC}">
              <c16:uniqueId val="{00000004-E82E-476E-994D-661675BE3BE6}"/>
            </c:ext>
          </c:extLst>
        </c:ser>
        <c:dLbls>
          <c:showLegendKey val="0"/>
          <c:showVal val="0"/>
          <c:showCatName val="0"/>
          <c:showSerName val="0"/>
          <c:showPercent val="0"/>
          <c:showBubbleSize val="0"/>
        </c:dLbls>
        <c:gapWidth val="20"/>
        <c:axId val="629825168"/>
        <c:axId val="629825560"/>
      </c:barChart>
      <c:catAx>
        <c:axId val="629825168"/>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29825560"/>
        <c:crosses val="autoZero"/>
        <c:auto val="1"/>
        <c:lblAlgn val="ctr"/>
        <c:lblOffset val="100"/>
        <c:noMultiLvlLbl val="0"/>
      </c:catAx>
      <c:valAx>
        <c:axId val="629825560"/>
        <c:scaling>
          <c:orientation val="minMax"/>
          <c:max val="15"/>
          <c:min val="0"/>
        </c:scaling>
        <c:delete val="0"/>
        <c:axPos val="l"/>
        <c:numFmt formatCode="0" sourceLinked="0"/>
        <c:majorTickMark val="out"/>
        <c:minorTickMark val="none"/>
        <c:tickLblPos val="nextTo"/>
        <c:crossAx val="629825168"/>
        <c:crosses val="autoZero"/>
        <c:crossBetween val="between"/>
        <c:majorUnit val="5"/>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18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59412201441466"/>
          <c:y val="0.098301682877875565"/>
          <c:w val="0.77357359176256812"/>
          <c:h val="0.70274229610187611"/>
        </c:manualLayout>
      </c:layout>
      <c:barChart>
        <c:barDir val="col"/>
        <c:grouping val="clustered"/>
        <c:varyColors val="0"/>
        <c:ser>
          <c:idx val="4"/>
          <c:order val="0"/>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1562-4B44-B220-75441242CD56}"/>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1562-4B44-B220-75441242CD56}"/>
              </c:ext>
            </c:extLst>
          </c:dPt>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Sheet1!$A$3:$A$5</c:f>
              <c:strCache>
                <c:ptCount val="3"/>
                <c:pt idx="0">
                  <c:v>2005</c:v>
                </c:pt>
                <c:pt idx="1">
                  <c:v>2010</c:v>
                </c:pt>
                <c:pt idx="2">
                  <c:v>2015</c:v>
                </c:pt>
              </c:strCache>
            </c:strRef>
          </c:cat>
          <c:val>
            <c:numRef>
              <c:f>Sheet1!$B$3:$B$5</c:f>
              <c:numCache>
                <c:formatCode>0.0</c:formatCode>
                <c:ptCount val="3"/>
                <c:pt idx="0">
                  <c:v>0.43691031452624329</c:v>
                </c:pt>
                <c:pt idx="1">
                  <c:v>0.48817503477930946</c:v>
                </c:pt>
                <c:pt idx="2">
                  <c:v>0.96481536963523329</c:v>
                </c:pt>
              </c:numCache>
            </c:numRef>
          </c:val>
          <c:extLst>
            <c:ext xmlns:c="http://schemas.openxmlformats.org/drawingml/2006/chart" xmlns:c16="http://schemas.microsoft.com/office/drawing/2014/chart" uri="{C3380CC4-5D6E-409C-BE32-E72D297353CC}">
              <c16:uniqueId val="{00000004-1562-4B44-B220-75441242CD56}"/>
            </c:ext>
          </c:extLst>
        </c:ser>
        <c:dLbls>
          <c:showLegendKey val="0"/>
          <c:showVal val="0"/>
          <c:showCatName val="0"/>
          <c:showSerName val="0"/>
          <c:showPercent val="0"/>
          <c:showBubbleSize val="0"/>
        </c:dLbls>
        <c:gapWidth val="20"/>
        <c:axId val="630010584"/>
        <c:axId val="630009408"/>
      </c:barChart>
      <c:catAx>
        <c:axId val="630010584"/>
        <c:scaling>
          <c:orientation val="minMax"/>
        </c:scaling>
        <c:delete val="0"/>
        <c:axPos val="b"/>
        <c:numFmt formatCode="General" sourceLinked="0"/>
        <c:majorTickMark val="out"/>
        <c:minorTickMark val="none"/>
        <c:tickLblPos val="nextTo"/>
        <c:crossAx val="630009408"/>
        <c:crosses val="autoZero"/>
        <c:auto val="1"/>
        <c:lblAlgn val="ctr"/>
        <c:lblOffset val="100"/>
        <c:noMultiLvlLbl val="0"/>
      </c:catAx>
      <c:valAx>
        <c:axId val="630009408"/>
        <c:scaling>
          <c:orientation val="minMax"/>
          <c:max val="1"/>
          <c:min val="0"/>
        </c:scaling>
        <c:delete val="0"/>
        <c:axPos val="l"/>
        <c:numFmt formatCode="0.0" sourceLinked="0"/>
        <c:majorTickMark val="out"/>
        <c:minorTickMark val="none"/>
        <c:tickLblPos val="nextTo"/>
        <c:crossAx val="630010584"/>
        <c:crosses val="autoZero"/>
        <c:crossBetween val="between"/>
        <c:majorUnit val="0.2"/>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mbria Math" panose="02040503050406030204" pitchFamily="18" charset="0"/>
          <a:ea typeface="Cambria Math" panose="02040503050406030204" pitchFamily="18" charset="0"/>
          <a:cs typeface="Arial"/>
        </a:defRPr>
      </a:pPr>
      <a:endParaRPr lang="lv-LV"/>
    </a:p>
  </c:txPr>
  <c:externalData r:id="rId1">
    <c:autoUpdate val="0"/>
  </c:externalData>
</c:chartSpace>
</file>

<file path=word/charts/chart18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73546128124922"/>
          <c:y val="0.048706240487062395"/>
          <c:w val="0.84631315184653555"/>
          <c:h val="0.73779794474843186"/>
        </c:manualLayout>
      </c:layout>
      <c:lineChart>
        <c:grouping val="standard"/>
        <c:varyColors val="0"/>
        <c:ser>
          <c:idx val="0"/>
          <c:order val="0"/>
          <c:tx>
            <c:strRef>
              <c:f>Sheet1!$A$2</c:f>
              <c:strCache>
                <c:ptCount val="1"/>
                <c:pt idx="0">
                  <c:v>Nodarbinātie</c:v>
                </c:pt>
              </c:strCache>
            </c:strRef>
          </c:tx>
          <c:spPr>
            <a:ln w="19050">
              <a:solidFill>
                <a:srgbClr val="0070C0"/>
              </a:solidFill>
              <a:prstDash val="dash"/>
            </a:ln>
          </c:spPr>
          <c:marker>
            <c:symbol val="none"/>
          </c:marker>
          <c:cat>
            <c:numRef>
              <c:f>Sheet1!$B$1:$K$1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Sheet1!$B$2:$K$2</c:f>
              <c:numCache>
                <c:formatCode>0.0</c:formatCode>
                <c:ptCount val="10"/>
                <c:pt idx="0">
                  <c:v>112.1930567315834</c:v>
                </c:pt>
                <c:pt idx="1">
                  <c:v>116.13039796782387</c:v>
                </c:pt>
                <c:pt idx="2">
                  <c:v>104.72057578323454</c:v>
                </c:pt>
                <c:pt idx="3">
                  <c:v>75.127011007620652</c:v>
                </c:pt>
                <c:pt idx="4">
                  <c:v>69.580863674851813</c:v>
                </c:pt>
                <c:pt idx="5">
                  <c:v>81.1388653683319</c:v>
                </c:pt>
                <c:pt idx="6">
                  <c:v>87.066045723962716</c:v>
                </c:pt>
                <c:pt idx="7">
                  <c:v>92.464013547840793</c:v>
                </c:pt>
                <c:pt idx="8">
                  <c:v>95.448772226926323</c:v>
                </c:pt>
                <c:pt idx="9">
                  <c:v>91.08806096528366</c:v>
                </c:pt>
              </c:numCache>
            </c:numRef>
          </c:val>
          <c:smooth val="0"/>
          <c:extLst>
            <c:ext xmlns:c="http://schemas.openxmlformats.org/drawingml/2006/chart" xmlns:c16="http://schemas.microsoft.com/office/drawing/2014/chart" uri="{C3380CC4-5D6E-409C-BE32-E72D297353CC}">
              <c16:uniqueId val="{00000000-E6E4-495F-9D15-DE40BC85AB60}"/>
            </c:ext>
          </c:extLst>
        </c:ser>
        <c:ser>
          <c:idx val="1"/>
          <c:order val="1"/>
          <c:tx>
            <c:strRef>
              <c:f>Sheet1!$A$3</c:f>
              <c:strCache>
                <c:ptCount val="1"/>
                <c:pt idx="0">
                  <c:v>Ražošanas apjomi</c:v>
                </c:pt>
              </c:strCache>
            </c:strRef>
          </c:tx>
          <c:marker>
            <c:symbol val="none"/>
          </c:marker>
          <c:cat>
            <c:numRef>
              <c:f>Sheet1!$B$1:$K$1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Sheet1!$B$3:$K$3</c:f>
              <c:numCache>
                <c:formatCode>0.0</c:formatCode>
                <c:ptCount val="10"/>
                <c:pt idx="0">
                  <c:v>91.755319148936167</c:v>
                </c:pt>
                <c:pt idx="1">
                  <c:v>139.62765957446808</c:v>
                </c:pt>
                <c:pt idx="2">
                  <c:v>150.2659574468085</c:v>
                </c:pt>
                <c:pt idx="3">
                  <c:v>92.819148936170222</c:v>
                </c:pt>
                <c:pt idx="4">
                  <c:v>102.6595744680851</c:v>
                </c:pt>
                <c:pt idx="5">
                  <c:v>153.45744680851061</c:v>
                </c:pt>
                <c:pt idx="6">
                  <c:v>149.20212765957444</c:v>
                </c:pt>
                <c:pt idx="7">
                  <c:v>193.21808510638297</c:v>
                </c:pt>
                <c:pt idx="8">
                  <c:v>198.80319148936169</c:v>
                </c:pt>
                <c:pt idx="9">
                  <c:v>297.47340425531911</c:v>
                </c:pt>
              </c:numCache>
            </c:numRef>
          </c:val>
          <c:smooth val="0"/>
          <c:extLst>
            <c:ext xmlns:c="http://schemas.openxmlformats.org/drawingml/2006/chart" xmlns:c16="http://schemas.microsoft.com/office/drawing/2014/chart" uri="{C3380CC4-5D6E-409C-BE32-E72D297353CC}">
              <c16:uniqueId val="{00000001-E6E4-495F-9D15-DE40BC85AB60}"/>
            </c:ext>
          </c:extLst>
        </c:ser>
        <c:dLbls>
          <c:showLegendKey val="0"/>
          <c:showVal val="0"/>
          <c:showCatName val="0"/>
          <c:showSerName val="0"/>
          <c:showPercent val="0"/>
          <c:showBubbleSize val="0"/>
        </c:dLbls>
        <c:smooth val="0"/>
        <c:axId val="630018032"/>
        <c:axId val="630007056"/>
      </c:lineChart>
      <c:catAx>
        <c:axId val="630018032"/>
        <c:scaling>
          <c:orientation val="minMax"/>
        </c:scaling>
        <c:delete val="0"/>
        <c:axPos val="b"/>
        <c:numFmt formatCode="General" sourceLinked="1"/>
        <c:majorTickMark val="cross"/>
        <c:minorTickMark val="none"/>
        <c:tickLblPos val="nextTo"/>
        <c:spPr>
          <a:ln w="6350">
            <a:solidFill>
              <a:srgbClr val="000000"/>
            </a:solidFill>
          </a:ln>
        </c:spPr>
        <c:txPr>
          <a:bodyPr rot="-5400000" vert="horz"/>
          <a:lstStyle/>
          <a:p>
            <a:pPr>
              <a:defRPr sz="700" b="0" i="0" u="none" strike="noStrike" baseline="0">
                <a:solidFill>
                  <a:srgbClr val="000000"/>
                </a:solidFill>
                <a:latin typeface="Arial Narrow" pitchFamily="34" charset="0"/>
                <a:ea typeface="Times New Roman"/>
                <a:cs typeface="Times New Roman" pitchFamily="18" charset="0"/>
              </a:defRPr>
            </a:pPr>
            <a:endParaRPr lang="lv-LV"/>
          </a:p>
        </c:txPr>
        <c:crossAx val="630007056"/>
        <c:crosses val="autoZero"/>
        <c:auto val="1"/>
        <c:lblAlgn val="ctr"/>
        <c:lblOffset val="0"/>
        <c:noMultiLvlLbl val="0"/>
      </c:catAx>
      <c:valAx>
        <c:axId val="630007056"/>
        <c:scaling>
          <c:orientation val="minMax"/>
        </c:scaling>
        <c:delete val="0"/>
        <c:axPos val="l"/>
        <c:numFmt formatCode="0" sourceLinked="0"/>
        <c:majorTickMark val="cross"/>
        <c:minorTickMark val="none"/>
        <c:tickLblPos val="nextTo"/>
        <c:spPr>
          <a:ln w="6350">
            <a:solidFill>
              <a:sysClr val="windowText" lastClr="000000"/>
            </a:solidFill>
          </a:ln>
        </c:spPr>
        <c:txPr>
          <a:bodyPr rot="0" vert="horz"/>
          <a:lstStyle/>
          <a:p>
            <a:pPr>
              <a:defRPr sz="700" b="0" i="0" u="none" strike="noStrike" baseline="0">
                <a:solidFill>
                  <a:srgbClr val="000000"/>
                </a:solidFill>
                <a:latin typeface="Arial Narrow" pitchFamily="34" charset="0"/>
                <a:ea typeface="Times New Roman"/>
                <a:cs typeface="Times New Roman"/>
              </a:defRPr>
            </a:pPr>
            <a:endParaRPr lang="lv-LV"/>
          </a:p>
        </c:txPr>
        <c:crossAx val="630018032"/>
        <c:crosses val="autoZero"/>
        <c:crossBetween val="between"/>
        <c:majorUnit val="50"/>
      </c:valAx>
      <c:spPr>
        <a:solidFill>
          <a:sysClr val="window" lastClr="FFFFFF"/>
        </a:solidFill>
        <a:ln w="6350">
          <a:noFill/>
        </a:ln>
      </c:spPr>
    </c:plotArea>
    <c:legend>
      <c:legendPos val="t"/>
      <c:layout>
        <c:manualLayout>
          <c:xMode val="edge"/>
          <c:yMode val="edge"/>
          <c:x val="0.14280650412978177"/>
          <c:y val="0.031201248049921998"/>
          <c:w val="0.65805884790716951"/>
          <c:h val="0.19964223582144541"/>
        </c:manualLayout>
      </c:layout>
      <c:overlay val="0"/>
      <c:txPr>
        <a:bodyPr/>
        <a:lstStyle/>
        <a:p>
          <a:pPr>
            <a:defRPr sz="700" b="0">
              <a:latin typeface="Arial Narrow" pitchFamily="34" charset="0"/>
            </a:defRPr>
          </a:pPr>
          <a:endParaRPr lang="lv-LV"/>
        </a:p>
      </c:txPr>
    </c:legend>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18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7354822834645707"/>
          <c:y val="0.054187037037040774"/>
          <c:w val="0.8789631193571017"/>
          <c:h val="0.68"/>
        </c:manualLayout>
      </c:layout>
      <c:lineChart>
        <c:grouping val="standard"/>
        <c:varyColors val="0"/>
        <c:ser>
          <c:idx val="9"/>
          <c:order val="0"/>
          <c:tx>
            <c:strRef>
              <c:f>Sheet1!$A$3</c:f>
              <c:strCache>
                <c:ptCount val="1"/>
                <c:pt idx="0">
                  <c:v>Eksports, kopā</c:v>
                </c:pt>
              </c:strCache>
            </c:strRef>
          </c:tx>
          <c:spPr>
            <a:ln w="25400">
              <a:solidFill>
                <a:schemeClr val="accent5">
                  <a:lumMod val="75000"/>
                </a:schemeClr>
              </a:solidFill>
            </a:ln>
            <a:effectLst/>
          </c:spPr>
          <c:marker>
            <c:symbol val="none"/>
          </c:marker>
          <c:cat>
            <c:numRef>
              <c:f>Sheet1!$B$2:$M$2</c:f>
              <c:numCache>
                <c:formatCode>0</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Sheet1!$B$3:$M$3</c:f>
              <c:numCache>
                <c:formatCode>0.0</c:formatCode>
                <c:ptCount val="12"/>
                <c:pt idx="0">
                  <c:v>234.55625499999996</c:v>
                </c:pt>
                <c:pt idx="1">
                  <c:v>271.73795299999995</c:v>
                </c:pt>
                <c:pt idx="2">
                  <c:v>353.124863</c:v>
                </c:pt>
                <c:pt idx="3">
                  <c:v>457.634127</c:v>
                </c:pt>
                <c:pt idx="4">
                  <c:v>398.75353099999995</c:v>
                </c:pt>
                <c:pt idx="5">
                  <c:v>547.423156</c:v>
                </c:pt>
                <c:pt idx="6">
                  <c:v>702.44832299999985</c:v>
                </c:pt>
                <c:pt idx="7">
                  <c:v>924.16583299999991</c:v>
                </c:pt>
                <c:pt idx="8">
                  <c:v>1147.528353</c:v>
                </c:pt>
                <c:pt idx="9">
                  <c:v>1337.250457</c:v>
                </c:pt>
                <c:pt idx="10">
                  <c:v>1556.679672</c:v>
                </c:pt>
                <c:pt idx="11" formatCode="0">
                  <c:v>1381.42244</c:v>
                </c:pt>
              </c:numCache>
            </c:numRef>
          </c:val>
          <c:smooth val="0"/>
          <c:extLst>
            <c:ext xmlns:c="http://schemas.openxmlformats.org/drawingml/2006/chart" xmlns:c16="http://schemas.microsoft.com/office/drawing/2014/chart" uri="{C3380CC4-5D6E-409C-BE32-E72D297353CC}">
              <c16:uniqueId val="{00000000-313D-4D59-B381-6BD5E7993144}"/>
            </c:ext>
          </c:extLst>
        </c:ser>
        <c:dLbls>
          <c:showLegendKey val="0"/>
          <c:showVal val="0"/>
          <c:showCatName val="0"/>
          <c:showSerName val="0"/>
          <c:showPercent val="0"/>
          <c:showBubbleSize val="0"/>
        </c:dLbls>
        <c:smooth val="0"/>
        <c:axId val="630018424"/>
        <c:axId val="630010976"/>
      </c:lineChart>
      <c:catAx>
        <c:axId val="630018424"/>
        <c:scaling>
          <c:orientation val="minMax"/>
        </c:scaling>
        <c:delete val="0"/>
        <c:axPos val="b"/>
        <c:numFmt formatCode="0" sourceLinked="1"/>
        <c:majorTickMark val="out"/>
        <c:minorTickMark val="none"/>
        <c:tickLblPos val="low"/>
        <c:spPr>
          <a:noFill/>
          <a:ln w="3175">
            <a:solidFill>
              <a:sysClr val="window" lastClr="FFFFFF">
                <a:lumMod val="50000"/>
              </a:sysClr>
            </a:solidFill>
            <a:round/>
          </a:ln>
          <a:effectLst/>
        </c:spPr>
        <c:txPr>
          <a:bodyPr rot="-5400000" vert="horz"/>
          <a:lstStyle/>
          <a:p>
            <a:pPr>
              <a:defRPr sz="700"/>
            </a:pPr>
            <a:endParaRPr lang="lv-LV"/>
          </a:p>
        </c:txPr>
        <c:crossAx val="630010976"/>
        <c:crosses val="autoZero"/>
        <c:lblAlgn val="ctr"/>
        <c:lblOffset val="100"/>
        <c:noMultiLvlLbl val="0"/>
      </c:catAx>
      <c:valAx>
        <c:axId val="630010976"/>
        <c:scaling>
          <c:orientation val="minMax"/>
          <c:max val="1800"/>
          <c:min val="0"/>
        </c:scaling>
        <c:delete val="0"/>
        <c:axPos val="l"/>
        <c:numFmt formatCode="0" sourceLinked="0"/>
        <c:majorTickMark val="out"/>
        <c:minorTickMark val="none"/>
        <c:tickLblPos val="nextTo"/>
        <c:spPr>
          <a:noFill/>
          <a:ln w="3175">
            <a:solidFill>
              <a:sysClr val="window" lastClr="FFFFFF">
                <a:lumMod val="50000"/>
              </a:sysClr>
            </a:solidFill>
            <a:round/>
          </a:ln>
          <a:effectLst/>
        </c:spPr>
        <c:txPr>
          <a:bodyPr rot="0"/>
          <a:lstStyle/>
          <a:p>
            <a:pPr>
              <a:defRPr/>
            </a:pPr>
            <a:endParaRPr lang="lv-LV"/>
          </a:p>
        </c:txPr>
        <c:crossAx val="630018424"/>
        <c:crosses val="autoZero"/>
        <c:crossBetween val="between"/>
        <c:majorUnit val="450"/>
      </c:valAx>
      <c:spPr>
        <a:noFill/>
        <a:ln w="24631">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Arial Narrow" panose="020B0606020202030204" pitchFamily="34" charset="0"/>
          <a:ea typeface="Arial"/>
          <a:cs typeface="Arial"/>
        </a:defRPr>
      </a:pPr>
      <a:endParaRPr lang="lv-LV"/>
    </a:p>
  </c:txPr>
  <c:externalData r:id="rId1">
    <c:autoUpdate val="0"/>
  </c:externalData>
</c:chartSpace>
</file>

<file path=word/charts/chart18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5939056398438"/>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2D65-4B51-8775-3FD11E5DBBB8}"/>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2D65-4B51-8775-3FD11E5DBBB8}"/>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Sheet1!$B$2:$L$2</c:f>
              <c:numCache>
                <c:formatCode>0</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Sheet1!$B$3:$L$3</c:f>
              <c:numCache>
                <c:formatCode>0</c:formatCode>
                <c:ptCount val="11"/>
                <c:pt idx="0">
                  <c:v>47.674035569105683</c:v>
                </c:pt>
                <c:pt idx="1">
                  <c:v>49.951829595588229</c:v>
                </c:pt>
                <c:pt idx="2">
                  <c:v>62.060608611599307</c:v>
                </c:pt>
                <c:pt idx="3">
                  <c:v>82.013284408602146</c:v>
                </c:pt>
                <c:pt idx="4">
                  <c:v>95.854214182692289</c:v>
                </c:pt>
                <c:pt idx="5">
                  <c:v>141.08844226804123</c:v>
                </c:pt>
                <c:pt idx="6">
                  <c:v>156.79650066964282</c:v>
                </c:pt>
                <c:pt idx="7">
                  <c:v>188.99096789366052</c:v>
                </c:pt>
                <c:pt idx="8">
                  <c:v>229.9656018036072</c:v>
                </c:pt>
                <c:pt idx="9">
                  <c:v>268.52418815261046</c:v>
                </c:pt>
                <c:pt idx="10">
                  <c:v>315.75652576064908</c:v>
                </c:pt>
              </c:numCache>
            </c:numRef>
          </c:val>
          <c:extLst>
            <c:ext xmlns:c="http://schemas.openxmlformats.org/drawingml/2006/chart" xmlns:c16="http://schemas.microsoft.com/office/drawing/2014/chart" uri="{C3380CC4-5D6E-409C-BE32-E72D297353CC}">
              <c16:uniqueId val="{00000004-2D65-4B51-8775-3FD11E5DBBB8}"/>
            </c:ext>
          </c:extLst>
        </c:ser>
        <c:dLbls>
          <c:showLegendKey val="0"/>
          <c:showVal val="0"/>
          <c:showCatName val="0"/>
          <c:showSerName val="0"/>
          <c:showPercent val="0"/>
          <c:showBubbleSize val="0"/>
        </c:dLbls>
        <c:gapWidth val="20"/>
        <c:axId val="630014112"/>
        <c:axId val="630011760"/>
      </c:barChart>
      <c:catAx>
        <c:axId val="630014112"/>
        <c:scaling>
          <c:orientation val="minMax"/>
        </c:scaling>
        <c:delete val="0"/>
        <c:axPos val="b"/>
        <c:numFmt formatCode="0" sourceLinked="1"/>
        <c:majorTickMark val="out"/>
        <c:minorTickMark val="none"/>
        <c:tickLblPos val="low"/>
        <c:txPr>
          <a:bodyPr rot="-5400000" vert="horz"/>
          <a:lstStyle/>
          <a:p>
            <a:pPr>
              <a:defRPr/>
            </a:pPr>
            <a:endParaRPr lang="lv-LV"/>
          </a:p>
        </c:txPr>
        <c:crossAx val="630011760"/>
        <c:crosses val="autoZero"/>
        <c:auto val="1"/>
        <c:lblAlgn val="ctr"/>
        <c:lblOffset val="100"/>
        <c:noMultiLvlLbl val="0"/>
      </c:catAx>
      <c:valAx>
        <c:axId val="630011760"/>
        <c:scaling>
          <c:orientation val="minMax"/>
          <c:min val="0"/>
        </c:scaling>
        <c:delete val="0"/>
        <c:axPos val="l"/>
        <c:numFmt formatCode="0" sourceLinked="0"/>
        <c:majorTickMark val="out"/>
        <c:minorTickMark val="none"/>
        <c:tickLblPos val="nextTo"/>
        <c:crossAx val="630014112"/>
        <c:crosses val="autoZero"/>
        <c:crossBetween val="between"/>
        <c:majorUnit val="50"/>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18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572372897835"/>
          <c:y val="0.044057785459744363"/>
          <c:w val="0.9310540474739486"/>
          <c:h val="0.72250176045067538"/>
        </c:manualLayout>
      </c:layout>
      <c:barChart>
        <c:barDir val="col"/>
        <c:grouping val="clustered"/>
        <c:varyColors val="0"/>
        <c:ser>
          <c:idx val="1"/>
          <c:order val="0"/>
          <c:spPr>
            <a:solidFill>
              <a:schemeClr val="accent3">
                <a:lumMod val="50000"/>
              </a:schemeClr>
            </a:solidFill>
            <a:ln w="19050"/>
          </c:spPr>
          <c:invertIfNegative val="0"/>
          <c:dPt>
            <c:idx val="9"/>
            <c:invertIfNegative val="0"/>
            <c:bubble3D val="0"/>
            <c:spPr>
              <a:ln w="19050"/>
            </c:spPr>
            <c:extLst>
              <c:ext xmlns:c="http://schemas.openxmlformats.org/drawingml/2006/chart" xmlns:c16="http://schemas.microsoft.com/office/drawing/2014/chart" uri="{C3380CC4-5D6E-409C-BE32-E72D297353CC}">
                <c16:uniqueId val="{00000001-7D1F-434C-BFDE-49B48DBCAD42}"/>
              </c:ext>
            </c:extLst>
          </c:dPt>
          <c:dPt>
            <c:idx val="10"/>
            <c:invertIfNegative val="0"/>
            <c:bubble3D val="0"/>
            <c:extLst>
              <c:ext xmlns:c="http://schemas.openxmlformats.org/drawingml/2006/chart" xmlns:c16="http://schemas.microsoft.com/office/drawing/2014/chart" uri="{C3380CC4-5D6E-409C-BE32-E72D297353CC}">
                <c16:uniqueId val="{00000002-7D1F-434C-BFDE-49B48DBCAD42}"/>
              </c:ext>
            </c:extLst>
          </c:dPt>
          <c:dPt>
            <c:idx val="12"/>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4-7D1F-434C-BFDE-49B48DBCAD42}"/>
              </c:ext>
            </c:extLst>
          </c:dPt>
          <c:dPt>
            <c:idx val="13"/>
            <c:invertIfNegative val="0"/>
            <c:bubble3D val="0"/>
            <c:extLst>
              <c:ext xmlns:c="http://schemas.openxmlformats.org/drawingml/2006/chart" xmlns:c16="http://schemas.microsoft.com/office/drawing/2014/chart" uri="{C3380CC4-5D6E-409C-BE32-E72D297353CC}">
                <c16:uniqueId val="{00000005-7D1F-434C-BFDE-49B48DBCAD42}"/>
              </c:ext>
            </c:extLst>
          </c:dPt>
          <c:dPt>
            <c:idx val="25"/>
            <c:invertIfNegative val="0"/>
            <c:bubble3D val="0"/>
            <c:extLst>
              <c:ext xmlns:c="http://schemas.openxmlformats.org/drawingml/2006/chart" xmlns:c16="http://schemas.microsoft.com/office/drawing/2014/chart" uri="{C3380CC4-5D6E-409C-BE32-E72D297353CC}">
                <c16:uniqueId val="{00000006-7D1F-434C-BFDE-49B48DBCAD42}"/>
              </c:ext>
            </c:extLst>
          </c:dPt>
          <c:dLbls>
            <c:dLbl>
              <c:idx val="9"/>
              <c:spPr>
                <a:noFill/>
                <a:ln>
                  <a:noFill/>
                </a:ln>
                <a:effectLst/>
              </c:spPr>
              <c:txPr>
                <a:bodyPr wrap="square" lIns="38100" tIns="19050" rIns="38100" bIns="19050" anchor="ctr">
                  <a:spAutoFit/>
                </a:bodyPr>
                <a:lstStyle/>
                <a:p>
                  <a:pPr>
                    <a:defRPr sz="600" b="1"/>
                  </a:pPr>
                  <a:endParaRPr lang="lv-LV"/>
                </a:p>
              </c:txPr>
              <c:showLegendKey val="0"/>
              <c:showVal val="1"/>
              <c:showCatName val="0"/>
              <c:showSerName val="0"/>
              <c:showPercent val="0"/>
              <c:showBubbleSize val="0"/>
            </c:dLbl>
            <c:dLbl>
              <c:idx val="10"/>
              <c:spPr>
                <a:noFill/>
                <a:ln>
                  <a:noFill/>
                </a:ln>
                <a:effectLst/>
              </c:spPr>
              <c:txPr>
                <a:bodyPr wrap="square" lIns="38100" tIns="19050" rIns="38100" bIns="19050" anchor="ctr">
                  <a:spAutoFit/>
                </a:bodyPr>
                <a:lstStyle/>
                <a:p>
                  <a:pPr>
                    <a:defRPr sz="600" b="0"/>
                  </a:pPr>
                  <a:endParaRPr lang="lv-LV"/>
                </a:p>
              </c:txPr>
              <c:showLegendKey val="0"/>
              <c:showVal val="1"/>
              <c:showCatName val="0"/>
              <c:showSerName val="0"/>
              <c:showPercent val="0"/>
              <c:showBubbleSize val="0"/>
            </c:dLbl>
            <c:dLbl>
              <c:idx val="12"/>
              <c:spPr>
                <a:noFill/>
                <a:ln>
                  <a:noFill/>
                </a:ln>
                <a:effectLst/>
              </c:spPr>
              <c:txPr>
                <a:bodyPr wrap="square" lIns="38100" tIns="19050" rIns="38100" bIns="19050" anchor="ctr">
                  <a:spAutoFit/>
                </a:bodyPr>
                <a:lstStyle/>
                <a:p>
                  <a:pPr>
                    <a:defRPr sz="600" b="0"/>
                  </a:pPr>
                  <a:endParaRPr lang="lv-LV"/>
                </a:p>
              </c:txPr>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Sheet1!$A$4:$A$31</c:f>
              <c:strCache>
                <c:ptCount val="28"/>
                <c:pt idx="0">
                  <c:v>NL</c:v>
                </c:pt>
                <c:pt idx="1">
                  <c:v>MT</c:v>
                </c:pt>
                <c:pt idx="2">
                  <c:v>BE</c:v>
                </c:pt>
                <c:pt idx="3">
                  <c:v>IE</c:v>
                </c:pt>
                <c:pt idx="4">
                  <c:v>DK</c:v>
                </c:pt>
                <c:pt idx="5">
                  <c:v>SE</c:v>
                </c:pt>
                <c:pt idx="6">
                  <c:v>AT</c:v>
                </c:pt>
                <c:pt idx="7">
                  <c:v>FR</c:v>
                </c:pt>
                <c:pt idx="8">
                  <c:v>SK</c:v>
                </c:pt>
                <c:pt idx="9">
                  <c:v>LV</c:v>
                </c:pt>
                <c:pt idx="10">
                  <c:v>CY</c:v>
                </c:pt>
                <c:pt idx="11">
                  <c:v>LT</c:v>
                </c:pt>
                <c:pt idx="12">
                  <c:v>EU-28</c:v>
                </c:pt>
                <c:pt idx="13">
                  <c:v>UK</c:v>
                </c:pt>
                <c:pt idx="14">
                  <c:v>EE</c:v>
                </c:pt>
                <c:pt idx="15">
                  <c:v>DE</c:v>
                </c:pt>
                <c:pt idx="16">
                  <c:v>HU</c:v>
                </c:pt>
                <c:pt idx="17">
                  <c:v>ES</c:v>
                </c:pt>
                <c:pt idx="18">
                  <c:v>SI</c:v>
                </c:pt>
                <c:pt idx="19">
                  <c:v>FI</c:v>
                </c:pt>
                <c:pt idx="20">
                  <c:v>PT</c:v>
                </c:pt>
                <c:pt idx="21">
                  <c:v>CZ</c:v>
                </c:pt>
                <c:pt idx="22">
                  <c:v>IT</c:v>
                </c:pt>
                <c:pt idx="23">
                  <c:v>PL</c:v>
                </c:pt>
                <c:pt idx="24">
                  <c:v>EL</c:v>
                </c:pt>
                <c:pt idx="25">
                  <c:v>HR</c:v>
                </c:pt>
                <c:pt idx="26">
                  <c:v>RO</c:v>
                </c:pt>
                <c:pt idx="27">
                  <c:v>BG</c:v>
                </c:pt>
              </c:strCache>
            </c:strRef>
          </c:cat>
          <c:val>
            <c:numRef>
              <c:f>Sheet1!$B$4:$B$31</c:f>
              <c:numCache>
                <c:formatCode>0</c:formatCode>
                <c:ptCount val="28"/>
                <c:pt idx="0">
                  <c:v>1953.9105136086957</c:v>
                </c:pt>
                <c:pt idx="1">
                  <c:v>1375.2692448275864</c:v>
                </c:pt>
                <c:pt idx="2">
                  <c:v>911.07346134545458</c:v>
                </c:pt>
                <c:pt idx="3">
                  <c:v>678.59300264298088</c:v>
                </c:pt>
                <c:pt idx="4">
                  <c:v>457.43148895999997</c:v>
                </c:pt>
                <c:pt idx="5">
                  <c:v>377.57490610638297</c:v>
                </c:pt>
                <c:pt idx="6">
                  <c:v>327.17272462034055</c:v>
                </c:pt>
                <c:pt idx="7">
                  <c:v>322.69908583435586</c:v>
                </c:pt>
                <c:pt idx="8">
                  <c:v>319.76060391774888</c:v>
                </c:pt>
                <c:pt idx="9">
                  <c:v>316.4</c:v>
                </c:pt>
                <c:pt idx="10">
                  <c:v>315.77792352941174</c:v>
                </c:pt>
                <c:pt idx="11">
                  <c:v>291.17710228571428</c:v>
                </c:pt>
                <c:pt idx="12">
                  <c:v>241.432979792042</c:v>
                </c:pt>
                <c:pt idx="13">
                  <c:v>218.71258266385834</c:v>
                </c:pt>
                <c:pt idx="14">
                  <c:v>210.66244014925374</c:v>
                </c:pt>
                <c:pt idx="15">
                  <c:v>208.205274162928</c:v>
                </c:pt>
                <c:pt idx="16">
                  <c:v>199.0775956670679</c:v>
                </c:pt>
                <c:pt idx="17">
                  <c:v>182.1041556365503</c:v>
                </c:pt>
                <c:pt idx="18">
                  <c:v>173.42097245409016</c:v>
                </c:pt>
                <c:pt idx="19">
                  <c:v>172.55277195121951</c:v>
                </c:pt>
                <c:pt idx="20">
                  <c:v>172.12229468390805</c:v>
                </c:pt>
                <c:pt idx="21">
                  <c:v>171.79507233252212</c:v>
                </c:pt>
                <c:pt idx="22">
                  <c:v>138.87924142694496</c:v>
                </c:pt>
                <c:pt idx="23">
                  <c:v>113.03097479906543</c:v>
                </c:pt>
                <c:pt idx="24">
                  <c:v>110.54642612137204</c:v>
                </c:pt>
                <c:pt idx="25">
                  <c:v>79.038068628912072</c:v>
                </c:pt>
                <c:pt idx="26">
                  <c:v>77.0805036751497</c:v>
                </c:pt>
                <c:pt idx="27">
                  <c:v>71.8522501160766</c:v>
                </c:pt>
              </c:numCache>
            </c:numRef>
          </c:val>
          <c:extLst>
            <c:ext xmlns:c="http://schemas.openxmlformats.org/drawingml/2006/chart" xmlns:c16="http://schemas.microsoft.com/office/drawing/2014/chart" uri="{C3380CC4-5D6E-409C-BE32-E72D297353CC}">
              <c16:uniqueId val="{00000007-7D1F-434C-BFDE-49B48DBCAD42}"/>
            </c:ext>
          </c:extLst>
        </c:ser>
        <c:dLbls>
          <c:showLegendKey val="0"/>
          <c:showVal val="0"/>
          <c:showCatName val="0"/>
          <c:showSerName val="0"/>
          <c:showPercent val="0"/>
          <c:showBubbleSize val="0"/>
        </c:dLbls>
        <c:gapWidth val="20"/>
        <c:axId val="630009800"/>
        <c:axId val="630007448"/>
      </c:barChart>
      <c:catAx>
        <c:axId val="630009800"/>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30007448"/>
        <c:crosses val="autoZero"/>
        <c:auto val="1"/>
        <c:lblAlgn val="ctr"/>
        <c:lblOffset val="100"/>
        <c:tickLblSkip val="1"/>
        <c:noMultiLvlLbl val="0"/>
      </c:catAx>
      <c:valAx>
        <c:axId val="630007448"/>
        <c:scaling>
          <c:orientation val="minMax"/>
        </c:scaling>
        <c:delete val="0"/>
        <c:axPos val="l"/>
        <c:numFmt formatCode="0" sourceLinked="0"/>
        <c:majorTickMark val="out"/>
        <c:minorTickMark val="none"/>
        <c:tickLblPos val="nextTo"/>
        <c:txPr>
          <a:bodyPr/>
          <a:lstStyle/>
          <a:p>
            <a:pPr>
              <a:defRPr sz="600"/>
            </a:pPr>
            <a:endParaRPr lang="lv-LV"/>
          </a:p>
        </c:txPr>
        <c:crossAx val="630009800"/>
        <c:crosses val="autoZero"/>
        <c:crossBetween val="between"/>
      </c:valAx>
    </c:plotArea>
    <c:plotVisOnly val="1"/>
    <c:dispBlanksAs val="gap"/>
    <c:showDLblsOverMax val="0"/>
  </c:chart>
  <c:spPr>
    <a:ln w="9525">
      <a:noFill/>
    </a:ln>
  </c:spPr>
  <c:externalData r:id="rId1">
    <c:autoUpdate val="0"/>
  </c:externalData>
</c:chartSpace>
</file>

<file path=word/charts/chart18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449061330451076"/>
          <c:y val="0.15218914041994749"/>
          <c:w val="0.52181675566416263"/>
          <c:h val="0.709344652230971"/>
        </c:manualLayout>
      </c:layout>
      <c:pieChart>
        <c:varyColors val="1"/>
        <c:ser>
          <c:idx val="0"/>
          <c:order val="0"/>
          <c:tx>
            <c:strRef>
              <c:f>Sheet1!$B$1</c:f>
              <c:strCache>
                <c:ptCount val="1"/>
                <c:pt idx="0">
                  <c:v>Column1</c:v>
                </c:pt>
              </c:strCache>
            </c:strRef>
          </c:tx>
          <c:dPt>
            <c:idx val="0"/>
            <c:bubble3D val="0"/>
            <c:spPr>
              <a:solidFill>
                <a:schemeClr val="accent1"/>
              </a:solidFill>
              <a:ln>
                <a:noFill/>
              </a:ln>
              <a:effectLst/>
            </c:spPr>
            <c:extLst>
              <c:ext xmlns:c="http://schemas.openxmlformats.org/drawingml/2006/chart" xmlns:c16="http://schemas.microsoft.com/office/drawing/2014/chart" uri="{C3380CC4-5D6E-409C-BE32-E72D297353CC}">
                <c16:uniqueId val="{00000001-9136-4C1D-89C1-BEFA7D87E02B}"/>
              </c:ext>
            </c:extLst>
          </c:dPt>
          <c:dPt>
            <c:idx val="1"/>
            <c:bubble3D val="0"/>
            <c:spPr>
              <a:solidFill>
                <a:schemeClr val="accent2"/>
              </a:solidFill>
              <a:ln>
                <a:noFill/>
              </a:ln>
              <a:effectLst/>
            </c:spPr>
            <c:extLst>
              <c:ext xmlns:c="http://schemas.openxmlformats.org/drawingml/2006/chart" xmlns:c16="http://schemas.microsoft.com/office/drawing/2014/chart" uri="{C3380CC4-5D6E-409C-BE32-E72D297353CC}">
                <c16:uniqueId val="{00000003-9136-4C1D-89C1-BEFA7D87E02B}"/>
              </c:ext>
            </c:extLst>
          </c:dPt>
          <c:dPt>
            <c:idx val="2"/>
            <c:bubble3D val="0"/>
            <c:spPr>
              <a:solidFill>
                <a:schemeClr val="accent3"/>
              </a:solidFill>
              <a:ln>
                <a:noFill/>
              </a:ln>
              <a:effectLst/>
            </c:spPr>
            <c:extLst>
              <c:ext xmlns:c="http://schemas.openxmlformats.org/drawingml/2006/chart" xmlns:c16="http://schemas.microsoft.com/office/drawing/2014/chart" uri="{C3380CC4-5D6E-409C-BE32-E72D297353CC}">
                <c16:uniqueId val="{00000005-9136-4C1D-89C1-BEFA7D87E02B}"/>
              </c:ext>
            </c:extLst>
          </c:dPt>
          <c:dPt>
            <c:idx val="3"/>
            <c:bubble3D val="0"/>
            <c:spPr>
              <a:solidFill>
                <a:schemeClr val="accent4"/>
              </a:solidFill>
              <a:ln>
                <a:noFill/>
              </a:ln>
              <a:effectLst/>
            </c:spPr>
            <c:extLst>
              <c:ext xmlns:c="http://schemas.openxmlformats.org/drawingml/2006/chart" xmlns:c16="http://schemas.microsoft.com/office/drawing/2014/chart" uri="{C3380CC4-5D6E-409C-BE32-E72D297353CC}">
                <c16:uniqueId val="{00000007-9136-4C1D-89C1-BEFA7D87E02B}"/>
              </c:ext>
            </c:extLst>
          </c:dPt>
          <c:dPt>
            <c:idx val="4"/>
            <c:bubble3D val="0"/>
            <c:spPr>
              <a:solidFill>
                <a:schemeClr val="accent5"/>
              </a:solidFill>
              <a:ln>
                <a:noFill/>
              </a:ln>
              <a:effectLst/>
            </c:spPr>
            <c:extLst>
              <c:ext xmlns:c="http://schemas.openxmlformats.org/drawingml/2006/chart" xmlns:c16="http://schemas.microsoft.com/office/drawing/2014/chart" uri="{C3380CC4-5D6E-409C-BE32-E72D297353CC}">
                <c16:uniqueId val="{00000009-9136-4C1D-89C1-BEFA7D87E02B}"/>
              </c:ext>
            </c:extLst>
          </c:dPt>
          <c:dPt>
            <c:idx val="5"/>
            <c:bubble3D val="0"/>
            <c:spPr>
              <a:solidFill>
                <a:schemeClr val="accent6"/>
              </a:solidFill>
              <a:ln>
                <a:noFill/>
              </a:ln>
              <a:effectLst/>
            </c:spPr>
            <c:extLst>
              <c:ext xmlns:c="http://schemas.openxmlformats.org/drawingml/2006/chart" xmlns:c16="http://schemas.microsoft.com/office/drawing/2014/chart" uri="{C3380CC4-5D6E-409C-BE32-E72D297353CC}">
                <c16:uniqueId val="{0000000B-9136-4C1D-89C1-BEFA7D87E02B}"/>
              </c:ext>
            </c:extLst>
          </c:dPt>
          <c:dPt>
            <c:idx val="6"/>
            <c:bubble3D val="0"/>
            <c:spPr>
              <a:solidFill>
                <a:schemeClr val="accent1">
                  <a:lumMod val="60000"/>
                </a:schemeClr>
              </a:solidFill>
              <a:ln>
                <a:noFill/>
              </a:ln>
              <a:effectLst/>
            </c:spPr>
            <c:extLst>
              <c:ext xmlns:c="http://schemas.openxmlformats.org/drawingml/2006/chart" xmlns:c16="http://schemas.microsoft.com/office/drawing/2014/chart" uri="{C3380CC4-5D6E-409C-BE32-E72D297353CC}">
                <c16:uniqueId val="{0000000D-9136-4C1D-89C1-BEFA7D87E02B}"/>
              </c:ext>
            </c:extLst>
          </c:dPt>
          <c:dLbls>
            <c:dLbl>
              <c:idx val="1"/>
              <c:layout>
                <c:manualLayout>
                  <c:x val="-0.099616858237547887"/>
                  <c:y val="0.018570102135561744"/>
                </c:manualLayout>
              </c:layout>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3-9136-4C1D-89C1-BEFA7D87E02B}"/>
                </c:ext>
                <c:ext xmlns:c15="http://schemas.microsoft.com/office/drawing/2012/chart" uri="{CE6537A1-D6FC-4f65-9D91-7224C49458BB}">
                  <c15:layout>
                    <c:manualLayout>
                      <c:w val="0.25850604881286393"/>
                      <c:h val="0.26587780287909696"/>
                    </c:manualLayout>
                  </c15:layout>
                </c:ext>
              </c:extLst>
            </c:dLbl>
            <c:dLbl>
              <c:idx val="3"/>
              <c:layout>
                <c:manualLayout>
                  <c:x val="0.030651340996168581"/>
                  <c:y val="-8.5111984900412207E-17"/>
                </c:manualLayout>
              </c:layout>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7-9136-4C1D-89C1-BEFA7D87E02B}"/>
                </c:ext>
                <c:ext xmlns:c15="http://schemas.microsoft.com/office/drawing/2012/chart" uri="{CE6537A1-D6FC-4f65-9D91-7224C49458BB}"/>
              </c:extLst>
            </c:dLbl>
            <c:dLbl>
              <c:idx val="4"/>
              <c:layout>
                <c:manualLayout>
                  <c:x val="-0.022988505747126579"/>
                  <c:y val="0"/>
                </c:manualLayout>
              </c:layout>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9-9136-4C1D-89C1-BEFA7D87E02B}"/>
                </c:ext>
                <c:ext xmlns:c15="http://schemas.microsoft.com/office/drawing/2012/chart" uri="{CE6537A1-D6FC-4f65-9D91-7224C49458BB}"/>
              </c:extLst>
            </c:dLbl>
            <c:dLbl>
              <c:idx val="5"/>
              <c:layout>
                <c:manualLayout>
                  <c:x val="0.091954022988505746"/>
                  <c:y val="0.0092850510677809587"/>
                </c:manualLayout>
              </c:layout>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B-9136-4C1D-89C1-BEFA7D87E02B}"/>
                </c:ext>
                <c:ext xmlns:c15="http://schemas.microsoft.com/office/drawing/2012/chart" uri="{CE6537A1-D6FC-4f65-9D91-7224C49458BB}"/>
              </c:extLst>
            </c:dLbl>
            <c:dLbl>
              <c:idx val="6"/>
              <c:layout>
                <c:manualLayout>
                  <c:x val="-0.0076628352490421452"/>
                  <c:y val="0.009285051067780787"/>
                </c:manualLayout>
              </c:layout>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D-9136-4C1D-89C1-BEFA7D87E02B}"/>
                </c:ext>
                <c:ext xmlns:c15="http://schemas.microsoft.com/office/drawing/2012/chart" uri="{CE6537A1-D6FC-4f65-9D91-7224C49458BB}">
                  <c15:layout>
                    <c:manualLayout>
                      <c:w val="0.21421486107340032"/>
                      <c:h val="0.18653667595171775"/>
                    </c:manualLayout>
                  </c15:layout>
                </c:ext>
              </c:extLst>
            </c:dLbl>
            <c:dLbl>
              <c:idx val="7"/>
              <c:layout>
                <c:manualLayout>
                  <c:x val="-0.061302681992337238"/>
                  <c:y val="0.018570102135561744"/>
                </c:manualLayout>
              </c:layout>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E-9136-4C1D-89C1-BEFA7D87E02B}"/>
                </c:ex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Sheet1!$A$2:$A$10</c:f>
              <c:strCache>
                <c:ptCount val="9"/>
                <c:pt idx="0">
                  <c:v>Lie-tuva</c:v>
                </c:pt>
                <c:pt idx="1">
                  <c:v>Igaunija</c:v>
                </c:pt>
                <c:pt idx="2">
                  <c:v>Krie-vija</c:v>
                </c:pt>
                <c:pt idx="3">
                  <c:v>Polija</c:v>
                </c:pt>
                <c:pt idx="4">
                  <c:v>AAE</c:v>
                </c:pt>
                <c:pt idx="5">
                  <c:v>Čehija</c:v>
                </c:pt>
                <c:pt idx="6">
                  <c:v>Vācija</c:v>
                </c:pt>
                <c:pt idx="7">
                  <c:v>ASV</c:v>
                </c:pt>
                <c:pt idx="8">
                  <c:v>Pārē-jās valstis</c:v>
                </c:pt>
              </c:strCache>
            </c:strRef>
          </c:cat>
          <c:val>
            <c:numRef>
              <c:f>Sheet1!$B$2:$B$10</c:f>
              <c:numCache>
                <c:formatCode>0.00</c:formatCode>
                <c:ptCount val="9"/>
                <c:pt idx="0">
                  <c:v>0.25034259071380743</c:v>
                </c:pt>
                <c:pt idx="1">
                  <c:v>0.10135328021422252</c:v>
                </c:pt>
                <c:pt idx="2">
                  <c:v>0.065581911832147316</c:v>
                </c:pt>
                <c:pt idx="3">
                  <c:v>0.0644627374564958</c:v>
                </c:pt>
                <c:pt idx="4">
                  <c:v>0.043623674299512534</c:v>
                </c:pt>
                <c:pt idx="5">
                  <c:v>0.034301357537095144</c:v>
                </c:pt>
                <c:pt idx="6">
                  <c:v>0.0332302052441782</c:v>
                </c:pt>
                <c:pt idx="7">
                  <c:v>0.02998929120724074</c:v>
                </c:pt>
                <c:pt idx="8">
                  <c:v>0.37711495149530039</c:v>
                </c:pt>
              </c:numCache>
            </c:numRef>
          </c:val>
          <c:extLst>
            <c:ext xmlns:c="http://schemas.openxmlformats.org/drawingml/2006/chart" xmlns:c16="http://schemas.microsoft.com/office/drawing/2014/chart" uri="{C3380CC4-5D6E-409C-BE32-E72D297353CC}">
              <c16:uniqueId val="{0000000F-9136-4C1D-89C1-BEFA7D87E02B}"/>
            </c:ext>
          </c:extLst>
        </c:ser>
        <c:dLbls>
          <c:showLegendKey val="0"/>
          <c:showVal val="0"/>
          <c:showCatName val="0"/>
          <c:showSerName val="0"/>
          <c:showPercent val="0"/>
          <c:showBubbleSize val="0"/>
          <c:showLeaderLines val="0"/>
        </c:dLbls>
        <c:firstSliceAng val="290"/>
      </c:pieChart>
      <c:spPr>
        <a:noFill/>
        <a:ln>
          <a:noFill/>
        </a:ln>
        <a:effectLst/>
      </c:spPr>
    </c:plotArea>
    <c:plotVisOnly val="1"/>
    <c:dispBlanksAs val="zero"/>
    <c:showDLblsOverMax val="0"/>
  </c:chart>
  <c:spPr>
    <a:noFill/>
    <a:ln w="9525">
      <a:noFill/>
      <a:round/>
    </a:ln>
    <a:effectLst/>
  </c:spPr>
  <c:txPr>
    <a:bodyPr/>
    <a:lstStyle/>
    <a:p>
      <a:pPr>
        <a:defRPr sz="700">
          <a:latin typeface="Candara" panose="020E0502030303020204" pitchFamily="34" charset="0"/>
        </a:defRPr>
      </a:pPr>
      <a:endParaRPr lang="lv-LV"/>
    </a:p>
  </c:txPr>
  <c:externalData r:id="rId1">
    <c:autoUpdate val="0"/>
  </c:externalData>
</c:chartSpace>
</file>

<file path=word/charts/chart18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98553601027233415"/>
          <c:y val="0.01722532963499513"/>
          <c:w val="0.34507319571774181"/>
          <c:h val="0.920462379795931"/>
        </c:manualLayout>
      </c:layout>
      <c:barChart>
        <c:barDir val="col"/>
        <c:grouping val="percentStacked"/>
        <c:varyColors val="0"/>
        <c:ser>
          <c:idx val="0"/>
          <c:order val="0"/>
          <c:tx>
            <c:strRef>
              <c:f>Sheet1!$A$2</c:f>
              <c:strCache>
                <c:ptCount val="1"/>
                <c:pt idx="0">
                  <c:v>aparāti datu pārraidei</c:v>
                </c:pt>
              </c:strCache>
            </c:strRef>
          </c:tx>
          <c:invertIfNegative val="0"/>
          <c:cat>
            <c:strRef>
              <c:f>Sheet1!$B$1:$F$1</c:f>
              <c:strCache>
                <c:ptCount val="5"/>
                <c:pt idx="0">
                  <c:v>2005</c:v>
                </c:pt>
                <c:pt idx="1">
                  <c:v>2010</c:v>
                </c:pt>
                <c:pt idx="2">
                  <c:v>2014</c:v>
                </c:pt>
                <c:pt idx="3">
                  <c:v>2015</c:v>
                </c:pt>
                <c:pt idx="4">
                  <c:v>2016</c:v>
                </c:pt>
              </c:strCache>
            </c:strRef>
          </c:cat>
          <c:val>
            <c:numRef>
              <c:f>Sheet1!$B$2:$F$2</c:f>
              <c:numCache>
                <c:formatCode>0</c:formatCode>
                <c:ptCount val="5"/>
                <c:pt idx="0">
                  <c:v>5.7993931266927445</c:v>
                </c:pt>
                <c:pt idx="1">
                  <c:v>32.651653299763119</c:v>
                </c:pt>
                <c:pt idx="2">
                  <c:v>34.206793040220241</c:v>
                </c:pt>
                <c:pt idx="3">
                  <c:v>33.549781319026081</c:v>
                </c:pt>
                <c:pt idx="4">
                  <c:v>32.424152771171464</c:v>
                </c:pt>
              </c:numCache>
            </c:numRef>
          </c:val>
          <c:extLst>
            <c:ext xmlns:c="http://schemas.openxmlformats.org/drawingml/2006/chart" xmlns:c16="http://schemas.microsoft.com/office/drawing/2014/chart" uri="{C3380CC4-5D6E-409C-BE32-E72D297353CC}">
              <c16:uniqueId val="{00000000-C470-4B77-852D-9AE1945CC981}"/>
            </c:ext>
          </c:extLst>
        </c:ser>
        <c:ser>
          <c:idx val="1"/>
          <c:order val="1"/>
          <c:tx>
            <c:strRef>
              <c:f>Sheet1!$A$3</c:f>
              <c:strCache>
                <c:ptCount val="1"/>
                <c:pt idx="0">
                  <c:v>monitori un projektori</c:v>
                </c:pt>
              </c:strCache>
            </c:strRef>
          </c:tx>
          <c:invertIfNegative val="0"/>
          <c:cat>
            <c:strRef>
              <c:f>Sheet1!$B$1:$F$1</c:f>
              <c:strCache>
                <c:ptCount val="5"/>
                <c:pt idx="0">
                  <c:v>2005</c:v>
                </c:pt>
                <c:pt idx="1">
                  <c:v>2010</c:v>
                </c:pt>
                <c:pt idx="2">
                  <c:v>2014</c:v>
                </c:pt>
                <c:pt idx="3">
                  <c:v>2015</c:v>
                </c:pt>
                <c:pt idx="4">
                  <c:v>2016</c:v>
                </c:pt>
              </c:strCache>
            </c:strRef>
          </c:cat>
          <c:val>
            <c:numRef>
              <c:f>Sheet1!$B$3:$F$3</c:f>
              <c:numCache>
                <c:formatCode>0</c:formatCode>
                <c:ptCount val="5"/>
                <c:pt idx="0">
                  <c:v>2.6447100967669313</c:v>
                </c:pt>
                <c:pt idx="1">
                  <c:v>16.42428991651482</c:v>
                </c:pt>
                <c:pt idx="2">
                  <c:v>15.146871549127225</c:v>
                </c:pt>
                <c:pt idx="3">
                  <c:v>16.305793641342596</c:v>
                </c:pt>
                <c:pt idx="4">
                  <c:v>15.913446049478392</c:v>
                </c:pt>
              </c:numCache>
            </c:numRef>
          </c:val>
          <c:extLst>
            <c:ext xmlns:c="http://schemas.openxmlformats.org/drawingml/2006/chart" xmlns:c16="http://schemas.microsoft.com/office/drawing/2014/chart" uri="{C3380CC4-5D6E-409C-BE32-E72D297353CC}">
              <c16:uniqueId val="{00000001-C470-4B77-852D-9AE1945CC981}"/>
            </c:ext>
          </c:extLst>
        </c:ser>
        <c:ser>
          <c:idx val="2"/>
          <c:order val="2"/>
          <c:tx>
            <c:strRef>
              <c:f>Sheet1!$A$4</c:f>
              <c:strCache>
                <c:ptCount val="1"/>
                <c:pt idx="0">
                  <c:v>optiskās ierīces un aparāti</c:v>
                </c:pt>
              </c:strCache>
            </c:strRef>
          </c:tx>
          <c:invertIfNegative val="0"/>
          <c:cat>
            <c:strRef>
              <c:f>Sheet1!$B$1:$F$1</c:f>
              <c:strCache>
                <c:ptCount val="5"/>
                <c:pt idx="0">
                  <c:v>2005</c:v>
                </c:pt>
                <c:pt idx="1">
                  <c:v>2010</c:v>
                </c:pt>
                <c:pt idx="2">
                  <c:v>2014</c:v>
                </c:pt>
                <c:pt idx="3">
                  <c:v>2015</c:v>
                </c:pt>
                <c:pt idx="4">
                  <c:v>2016</c:v>
                </c:pt>
              </c:strCache>
            </c:strRef>
          </c:cat>
          <c:val>
            <c:numRef>
              <c:f>Sheet1!$B$4:$F$4</c:f>
              <c:numCache>
                <c:formatCode>0</c:formatCode>
                <c:ptCount val="5"/>
                <c:pt idx="0">
                  <c:v>18.971969083593851</c:v>
                </c:pt>
                <c:pt idx="1">
                  <c:v>9.54574577164613</c:v>
                </c:pt>
                <c:pt idx="2">
                  <c:v>10.185531748091114</c:v>
                </c:pt>
                <c:pt idx="3">
                  <c:v>10.885751145345685</c:v>
                </c:pt>
                <c:pt idx="4">
                  <c:v>11.170956643432138</c:v>
                </c:pt>
              </c:numCache>
            </c:numRef>
          </c:val>
          <c:extLst>
            <c:ext xmlns:c="http://schemas.openxmlformats.org/drawingml/2006/chart" xmlns:c16="http://schemas.microsoft.com/office/drawing/2014/chart" uri="{C3380CC4-5D6E-409C-BE32-E72D297353CC}">
              <c16:uniqueId val="{00000002-C470-4B77-852D-9AE1945CC981}"/>
            </c:ext>
          </c:extLst>
        </c:ser>
        <c:ser>
          <c:idx val="3"/>
          <c:order val="3"/>
          <c:tx>
            <c:strRef>
              <c:f>Sheet1!$A$5</c:f>
              <c:strCache>
                <c:ptCount val="1"/>
                <c:pt idx="0">
                  <c:v>aparatūra strāvas ieslēgšanai</c:v>
                </c:pt>
              </c:strCache>
            </c:strRef>
          </c:tx>
          <c:invertIfNegative val="0"/>
          <c:cat>
            <c:strRef>
              <c:f>Sheet1!$B$1:$F$1</c:f>
              <c:strCache>
                <c:ptCount val="5"/>
                <c:pt idx="0">
                  <c:v>2005</c:v>
                </c:pt>
                <c:pt idx="1">
                  <c:v>2010</c:v>
                </c:pt>
                <c:pt idx="2">
                  <c:v>2014</c:v>
                </c:pt>
                <c:pt idx="3">
                  <c:v>2015</c:v>
                </c:pt>
                <c:pt idx="4">
                  <c:v>2016</c:v>
                </c:pt>
              </c:strCache>
            </c:strRef>
          </c:cat>
          <c:val>
            <c:numRef>
              <c:f>Sheet1!$B$5:$F$5</c:f>
              <c:numCache>
                <c:formatCode>0</c:formatCode>
                <c:ptCount val="5"/>
                <c:pt idx="0">
                  <c:v>5.162695005895598</c:v>
                </c:pt>
                <c:pt idx="1">
                  <c:v>9.491154228711677</c:v>
                </c:pt>
                <c:pt idx="2">
                  <c:v>8.7156114948524515</c:v>
                </c:pt>
                <c:pt idx="3">
                  <c:v>8.2117945559874457</c:v>
                </c:pt>
                <c:pt idx="4">
                  <c:v>8.4826043785252132</c:v>
                </c:pt>
              </c:numCache>
            </c:numRef>
          </c:val>
          <c:extLst>
            <c:ext xmlns:c="http://schemas.openxmlformats.org/drawingml/2006/chart" xmlns:c16="http://schemas.microsoft.com/office/drawing/2014/chart" uri="{C3380CC4-5D6E-409C-BE32-E72D297353CC}">
              <c16:uniqueId val="{00000003-C470-4B77-852D-9AE1945CC981}"/>
            </c:ext>
          </c:extLst>
        </c:ser>
        <c:ser>
          <c:idx val="4"/>
          <c:order val="4"/>
          <c:tx>
            <c:strRef>
              <c:f>Sheet1!$A$6</c:f>
              <c:strCache>
                <c:ptCount val="1"/>
                <c:pt idx="0">
                  <c:v>tv un radio raidaparatūra</c:v>
                </c:pt>
              </c:strCache>
            </c:strRef>
          </c:tx>
          <c:invertIfNegative val="0"/>
          <c:cat>
            <c:strRef>
              <c:f>Sheet1!$B$1:$F$1</c:f>
              <c:strCache>
                <c:ptCount val="5"/>
                <c:pt idx="0">
                  <c:v>2005</c:v>
                </c:pt>
                <c:pt idx="1">
                  <c:v>2010</c:v>
                </c:pt>
                <c:pt idx="2">
                  <c:v>2014</c:v>
                </c:pt>
                <c:pt idx="3">
                  <c:v>2015</c:v>
                </c:pt>
                <c:pt idx="4">
                  <c:v>2016</c:v>
                </c:pt>
              </c:strCache>
            </c:strRef>
          </c:cat>
          <c:val>
            <c:numRef>
              <c:f>Sheet1!$B$6:$F$6</c:f>
              <c:numCache>
                <c:formatCode>0</c:formatCode>
                <c:ptCount val="5"/>
                <c:pt idx="0">
                  <c:v>8.2962104162850068</c:v>
                </c:pt>
                <c:pt idx="1">
                  <c:v>16.456595194882766</c:v>
                </c:pt>
                <c:pt idx="2">
                  <c:v>12.023917183239384</c:v>
                </c:pt>
                <c:pt idx="3">
                  <c:v>8.6438568007731842</c:v>
                </c:pt>
                <c:pt idx="4">
                  <c:v>7.2744815106122811</c:v>
                </c:pt>
              </c:numCache>
            </c:numRef>
          </c:val>
          <c:extLst>
            <c:ext xmlns:c="http://schemas.openxmlformats.org/drawingml/2006/chart" xmlns:c16="http://schemas.microsoft.com/office/drawing/2014/chart" uri="{C3380CC4-5D6E-409C-BE32-E72D297353CC}">
              <c16:uniqueId val="{00000004-C470-4B77-852D-9AE1945CC981}"/>
            </c:ext>
          </c:extLst>
        </c:ser>
        <c:ser>
          <c:idx val="5"/>
          <c:order val="5"/>
          <c:tx>
            <c:strRef>
              <c:f>Sheet1!$A$7</c:f>
              <c:strCache>
                <c:ptCount val="1"/>
                <c:pt idx="0">
                  <c:v>citas iekārtas</c:v>
                </c:pt>
              </c:strCache>
            </c:strRef>
          </c:tx>
          <c:invertIfNegative val="0"/>
          <c:cat>
            <c:strRef>
              <c:f>Sheet1!$B$1:$F$1</c:f>
              <c:strCache>
                <c:ptCount val="5"/>
                <c:pt idx="0">
                  <c:v>2005</c:v>
                </c:pt>
                <c:pt idx="1">
                  <c:v>2010</c:v>
                </c:pt>
                <c:pt idx="2">
                  <c:v>2014</c:v>
                </c:pt>
                <c:pt idx="3">
                  <c:v>2015</c:v>
                </c:pt>
                <c:pt idx="4">
                  <c:v>2016</c:v>
                </c:pt>
              </c:strCache>
            </c:strRef>
          </c:cat>
          <c:val>
            <c:numRef>
              <c:f>Sheet1!$B$7:$F$7</c:f>
              <c:numCache>
                <c:formatCode>0</c:formatCode>
                <c:ptCount val="5"/>
                <c:pt idx="0">
                  <c:v>59.125022270765868</c:v>
                </c:pt>
                <c:pt idx="1">
                  <c:v>15.4305615884815</c:v>
                </c:pt>
                <c:pt idx="2">
                  <c:v>19.7212749844696</c:v>
                </c:pt>
                <c:pt idx="3">
                  <c:v>22.403022537525004</c:v>
                </c:pt>
                <c:pt idx="4">
                  <c:v>24.734358646780517</c:v>
                </c:pt>
              </c:numCache>
            </c:numRef>
          </c:val>
          <c:extLst>
            <c:ext xmlns:c="http://schemas.openxmlformats.org/drawingml/2006/chart" xmlns:c16="http://schemas.microsoft.com/office/drawing/2014/chart" uri="{C3380CC4-5D6E-409C-BE32-E72D297353CC}">
              <c16:uniqueId val="{00000005-C470-4B77-852D-9AE1945CC981}"/>
            </c:ext>
          </c:extLst>
        </c:ser>
        <c:dLbls>
          <c:showLegendKey val="0"/>
          <c:showVal val="0"/>
          <c:showCatName val="0"/>
          <c:showSerName val="0"/>
          <c:showPercent val="0"/>
          <c:showBubbleSize val="0"/>
        </c:dLbls>
        <c:gapWidth val="20"/>
        <c:overlap val="100"/>
        <c:axId val="630013328"/>
        <c:axId val="630014504"/>
      </c:barChart>
      <c:catAx>
        <c:axId val="630013328"/>
        <c:scaling>
          <c:orientation val="minMax"/>
        </c:scaling>
        <c:delete val="0"/>
        <c:axPos val="b"/>
        <c:numFmt formatCode="General" sourceLinked="0"/>
        <c:majorTickMark val="out"/>
        <c:minorTickMark val="none"/>
        <c:tickLblPos val="nextTo"/>
        <c:txPr>
          <a:bodyPr/>
          <a:lstStyle/>
          <a:p>
            <a:pPr>
              <a:defRPr sz="700"/>
            </a:pPr>
            <a:endParaRPr lang="lv-LV"/>
          </a:p>
        </c:txPr>
        <c:crossAx val="630014504"/>
        <c:crosses val="autoZero"/>
        <c:auto val="1"/>
        <c:lblAlgn val="ctr"/>
        <c:lblOffset val="100"/>
        <c:noMultiLvlLbl val="0"/>
      </c:catAx>
      <c:valAx>
        <c:axId val="630014504"/>
        <c:scaling>
          <c:orientation val="minMax"/>
        </c:scaling>
        <c:delete val="0"/>
        <c:axPos val="l"/>
        <c:numFmt formatCode="0%" sourceLinked="1"/>
        <c:majorTickMark val="out"/>
        <c:minorTickMark val="none"/>
        <c:tickLblPos val="nextTo"/>
        <c:txPr>
          <a:bodyPr/>
          <a:lstStyle/>
          <a:p>
            <a:pPr>
              <a:defRPr sz="700"/>
            </a:pPr>
            <a:endParaRPr lang="lv-LV"/>
          </a:p>
        </c:txPr>
        <c:crossAx val="630013328"/>
        <c:crosses val="autoZero"/>
        <c:crossBetween val="between"/>
      </c:valAx>
    </c:plotArea>
    <c:legend>
      <c:legendPos val="r"/>
      <c:layout>
        <c:manualLayout>
          <c:xMode val="edge"/>
          <c:yMode val="edge"/>
          <c:x val="0.48187518226888304"/>
          <c:y val="0.018061189542134811"/>
          <c:w val="0.49156060661065754"/>
          <c:h val="0.761809615392353"/>
        </c:manualLayout>
      </c:layout>
      <c:overlay val="0"/>
      <c:txPr>
        <a:bodyPr/>
        <a:lstStyle/>
        <a:p>
          <a:pPr>
            <a:defRPr sz="600">
              <a:latin typeface="Arial Narrow" panose="020B0606020202030204" pitchFamily="34" charset="0"/>
            </a:defRPr>
          </a:pPr>
          <a:endParaRPr lang="lv-LV"/>
        </a:p>
      </c:txPr>
    </c:legend>
    <c:plotVisOnly val="1"/>
    <c:dispBlanksAs val="gap"/>
    <c:showDLblsOverMax val="0"/>
  </c:chart>
  <c:spPr>
    <a:ln w="9525">
      <a:noFill/>
    </a:ln>
  </c:spPr>
  <c:txPr>
    <a:bodyPr/>
    <a:lstStyle/>
    <a:p>
      <a:pPr>
        <a:defRPr sz="800"/>
      </a:pPr>
      <a:endParaRPr lang="lv-LV"/>
    </a:p>
  </c:txPr>
  <c:externalData r:id="rId1">
    <c:autoUpdate val="0"/>
  </c:externalData>
</c:chartSpace>
</file>

<file path=word/charts/chart18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98553601027233415"/>
          <c:y val="0.01722532963499513"/>
          <c:w val="0.88592589806420907"/>
          <c:h val="0.920462379795931"/>
        </c:manualLayout>
      </c:layout>
      <c:barChart>
        <c:barDir val="col"/>
        <c:grouping val="percentStacked"/>
        <c:varyColors val="0"/>
        <c:ser>
          <c:idx val="0"/>
          <c:order val="0"/>
          <c:tx>
            <c:strRef>
              <c:f>Sheet1!$A$2</c:f>
              <c:strCache>
                <c:ptCount val="1"/>
                <c:pt idx="0">
                  <c:v>zāģēti kokmateriāli</c:v>
                </c:pt>
              </c:strCache>
            </c:strRef>
          </c:tx>
          <c:invertIfNegative val="0"/>
          <c:cat>
            <c:strRef>
              <c:f>Sheet1!$B$1:$F$1</c:f>
              <c:strCache>
                <c:ptCount val="5"/>
                <c:pt idx="0">
                  <c:v>2005</c:v>
                </c:pt>
                <c:pt idx="1">
                  <c:v>2010</c:v>
                </c:pt>
                <c:pt idx="2">
                  <c:v>2014</c:v>
                </c:pt>
                <c:pt idx="3">
                  <c:v>2015</c:v>
                </c:pt>
                <c:pt idx="4">
                  <c:v>2016</c:v>
                </c:pt>
              </c:strCache>
            </c:strRef>
          </c:cat>
          <c:val>
            <c:numRef>
              <c:f>Sheet1!$B$2:$F$2</c:f>
              <c:numCache>
                <c:formatCode>0</c:formatCode>
                <c:ptCount val="5"/>
                <c:pt idx="0">
                  <c:v>76.199129369062163</c:v>
                </c:pt>
                <c:pt idx="1">
                  <c:v>46.848252562453482</c:v>
                </c:pt>
                <c:pt idx="2">
                  <c:v>29.959413388545592</c:v>
                </c:pt>
                <c:pt idx="3">
                  <c:v>27.554053033606746</c:v>
                </c:pt>
                <c:pt idx="4">
                  <c:v>28.630297703589587</c:v>
                </c:pt>
              </c:numCache>
            </c:numRef>
          </c:val>
          <c:extLst>
            <c:ext xmlns:c="http://schemas.openxmlformats.org/drawingml/2006/chart" xmlns:c16="http://schemas.microsoft.com/office/drawing/2014/chart" uri="{C3380CC4-5D6E-409C-BE32-E72D297353CC}">
              <c16:uniqueId val="{00000000-86DC-41F6-A34F-2470FCEE7D9E}"/>
            </c:ext>
          </c:extLst>
        </c:ser>
        <c:ser>
          <c:idx val="1"/>
          <c:order val="1"/>
          <c:tx>
            <c:strRef>
              <c:f>Sheet1!$A$3</c:f>
              <c:strCache>
                <c:ptCount val="1"/>
                <c:pt idx="0">
                  <c:v>malka, šķelda, skaidas</c:v>
                </c:pt>
              </c:strCache>
            </c:strRef>
          </c:tx>
          <c:invertIfNegative val="0"/>
          <c:cat>
            <c:strRef>
              <c:f>Sheet1!$B$1:$F$1</c:f>
              <c:strCache>
                <c:ptCount val="5"/>
                <c:pt idx="0">
                  <c:v>2005</c:v>
                </c:pt>
                <c:pt idx="1">
                  <c:v>2010</c:v>
                </c:pt>
                <c:pt idx="2">
                  <c:v>2014</c:v>
                </c:pt>
                <c:pt idx="3">
                  <c:v>2015</c:v>
                </c:pt>
                <c:pt idx="4">
                  <c:v>2016</c:v>
                </c:pt>
              </c:strCache>
            </c:strRef>
          </c:cat>
          <c:val>
            <c:numRef>
              <c:f>Sheet1!$B$3:$F$3</c:f>
              <c:numCache>
                <c:formatCode>0</c:formatCode>
                <c:ptCount val="5"/>
                <c:pt idx="0">
                  <c:v>546.78411021375177</c:v>
                </c:pt>
                <c:pt idx="1">
                  <c:v>198.30218005631517</c:v>
                </c:pt>
                <c:pt idx="2">
                  <c:v>205.99815272961055</c:v>
                </c:pt>
                <c:pt idx="3">
                  <c:v>201.12667572111511</c:v>
                </c:pt>
                <c:pt idx="4">
                  <c:v>227.71827813880873</c:v>
                </c:pt>
              </c:numCache>
            </c:numRef>
          </c:val>
          <c:extLst>
            <c:ext xmlns:c="http://schemas.openxmlformats.org/drawingml/2006/chart" xmlns:c16="http://schemas.microsoft.com/office/drawing/2014/chart" uri="{C3380CC4-5D6E-409C-BE32-E72D297353CC}">
              <c16:uniqueId val="{00000001-86DC-41F6-A34F-2470FCEE7D9E}"/>
            </c:ext>
          </c:extLst>
        </c:ser>
        <c:ser>
          <c:idx val="2"/>
          <c:order val="2"/>
          <c:tx>
            <c:strRef>
              <c:f>Sheet1!$A$4</c:f>
              <c:strCache>
                <c:ptCount val="1"/>
                <c:pt idx="0">
                  <c:v>saplāksnis</c:v>
                </c:pt>
              </c:strCache>
            </c:strRef>
          </c:tx>
          <c:invertIfNegative val="0"/>
          <c:cat>
            <c:strRef>
              <c:f>Sheet1!$B$1:$F$1</c:f>
              <c:strCache>
                <c:ptCount val="5"/>
                <c:pt idx="0">
                  <c:v>2005</c:v>
                </c:pt>
                <c:pt idx="1">
                  <c:v>2010</c:v>
                </c:pt>
                <c:pt idx="2">
                  <c:v>2014</c:v>
                </c:pt>
                <c:pt idx="3">
                  <c:v>2015</c:v>
                </c:pt>
                <c:pt idx="4">
                  <c:v>2016</c:v>
                </c:pt>
              </c:strCache>
            </c:strRef>
          </c:cat>
          <c:val>
            <c:numRef>
              <c:f>Sheet1!$B$4:$F$4</c:f>
              <c:numCache>
                <c:formatCode>0</c:formatCode>
                <c:ptCount val="5"/>
                <c:pt idx="0">
                  <c:v>101.39481757950928</c:v>
                </c:pt>
                <c:pt idx="1">
                  <c:v>37.692277296553193</c:v>
                </c:pt>
                <c:pt idx="2">
                  <c:v>37.5513888363546</c:v>
                </c:pt>
                <c:pt idx="3">
                  <c:v>35.211154099801114</c:v>
                </c:pt>
                <c:pt idx="4">
                  <c:v>40.55494053087817</c:v>
                </c:pt>
              </c:numCache>
            </c:numRef>
          </c:val>
          <c:extLst>
            <c:ext xmlns:c="http://schemas.openxmlformats.org/drawingml/2006/chart" xmlns:c16="http://schemas.microsoft.com/office/drawing/2014/chart" uri="{C3380CC4-5D6E-409C-BE32-E72D297353CC}">
              <c16:uniqueId val="{00000002-86DC-41F6-A34F-2470FCEE7D9E}"/>
            </c:ext>
          </c:extLst>
        </c:ser>
        <c:ser>
          <c:idx val="3"/>
          <c:order val="3"/>
          <c:tx>
            <c:strRef>
              <c:f>Sheet1!$A$5</c:f>
              <c:strCache>
                <c:ptCount val="1"/>
                <c:pt idx="0">
                  <c:v>kokskaidu plāksnes</c:v>
                </c:pt>
              </c:strCache>
            </c:strRef>
          </c:tx>
          <c:invertIfNegative val="0"/>
          <c:cat>
            <c:strRef>
              <c:f>Sheet1!$B$1:$F$1</c:f>
              <c:strCache>
                <c:ptCount val="5"/>
                <c:pt idx="0">
                  <c:v>2005</c:v>
                </c:pt>
                <c:pt idx="1">
                  <c:v>2010</c:v>
                </c:pt>
                <c:pt idx="2">
                  <c:v>2014</c:v>
                </c:pt>
                <c:pt idx="3">
                  <c:v>2015</c:v>
                </c:pt>
                <c:pt idx="4">
                  <c:v>2016</c:v>
                </c:pt>
              </c:strCache>
            </c:strRef>
          </c:cat>
          <c:val>
            <c:numRef>
              <c:f>Sheet1!$B$5:$F$5</c:f>
              <c:numCache>
                <c:formatCode>0</c:formatCode>
                <c:ptCount val="5"/>
                <c:pt idx="0">
                  <c:v>328.53138588692059</c:v>
                </c:pt>
                <c:pt idx="1">
                  <c:v>12.131454783218382</c:v>
                </c:pt>
                <c:pt idx="2">
                  <c:v>9.606085671746758</c:v>
                </c:pt>
                <c:pt idx="3">
                  <c:v>9.469380541747551</c:v>
                </c:pt>
                <c:pt idx="4">
                  <c:v>9.7412387449084772</c:v>
                </c:pt>
              </c:numCache>
            </c:numRef>
          </c:val>
          <c:extLst>
            <c:ext xmlns:c="http://schemas.openxmlformats.org/drawingml/2006/chart" xmlns:c16="http://schemas.microsoft.com/office/drawing/2014/chart" uri="{C3380CC4-5D6E-409C-BE32-E72D297353CC}">
              <c16:uniqueId val="{00000003-86DC-41F6-A34F-2470FCEE7D9E}"/>
            </c:ext>
          </c:extLst>
        </c:ser>
        <c:ser>
          <c:idx val="4"/>
          <c:order val="4"/>
          <c:tx>
            <c:strRef>
              <c:f>Sheet1!$A$6</c:f>
              <c:strCache>
                <c:ptCount val="1"/>
                <c:pt idx="0">
                  <c:v>neapstrādāti kokmateriāli</c:v>
                </c:pt>
              </c:strCache>
            </c:strRef>
          </c:tx>
          <c:invertIfNegative val="0"/>
          <c:cat>
            <c:strRef>
              <c:f>Sheet1!$B$1:$F$1</c:f>
              <c:strCache>
                <c:ptCount val="5"/>
                <c:pt idx="0">
                  <c:v>2005</c:v>
                </c:pt>
                <c:pt idx="1">
                  <c:v>2010</c:v>
                </c:pt>
                <c:pt idx="2">
                  <c:v>2014</c:v>
                </c:pt>
                <c:pt idx="3">
                  <c:v>2015</c:v>
                </c:pt>
                <c:pt idx="4">
                  <c:v>2016</c:v>
                </c:pt>
              </c:strCache>
            </c:strRef>
          </c:cat>
          <c:val>
            <c:numRef>
              <c:f>Sheet1!$B$6:$F$6</c:f>
              <c:numCache>
                <c:formatCode>0</c:formatCode>
                <c:ptCount val="5"/>
                <c:pt idx="0">
                  <c:v>208.05096209816853</c:v>
                </c:pt>
                <c:pt idx="1">
                  <c:v>41.5098172431198</c:v>
                </c:pt>
                <c:pt idx="2">
                  <c:v>35.505155067394369</c:v>
                </c:pt>
                <c:pt idx="3">
                  <c:v>35.669905551388837</c:v>
                </c:pt>
                <c:pt idx="4">
                  <c:v>46.13698622620862</c:v>
                </c:pt>
              </c:numCache>
            </c:numRef>
          </c:val>
          <c:extLst>
            <c:ext xmlns:c="http://schemas.openxmlformats.org/drawingml/2006/chart" xmlns:c16="http://schemas.microsoft.com/office/drawing/2014/chart" uri="{C3380CC4-5D6E-409C-BE32-E72D297353CC}">
              <c16:uniqueId val="{00000004-86DC-41F6-A34F-2470FCEE7D9E}"/>
            </c:ext>
          </c:extLst>
        </c:ser>
        <c:ser>
          <c:idx val="5"/>
          <c:order val="5"/>
          <c:tx>
            <c:strRef>
              <c:f>Sheet1!$A$7</c:f>
              <c:strCache>
                <c:ptCount val="1"/>
                <c:pt idx="0">
                  <c:v>citi koka izstrādājumi</c:v>
                </c:pt>
              </c:strCache>
            </c:strRef>
          </c:tx>
          <c:invertIfNegative val="0"/>
          <c:cat>
            <c:strRef>
              <c:f>Sheet1!$B$1:$F$1</c:f>
              <c:strCache>
                <c:ptCount val="5"/>
                <c:pt idx="0">
                  <c:v>2005</c:v>
                </c:pt>
                <c:pt idx="1">
                  <c:v>2010</c:v>
                </c:pt>
                <c:pt idx="2">
                  <c:v>2014</c:v>
                </c:pt>
                <c:pt idx="3">
                  <c:v>2015</c:v>
                </c:pt>
                <c:pt idx="4">
                  <c:v>2016</c:v>
                </c:pt>
              </c:strCache>
            </c:strRef>
          </c:cat>
          <c:val>
            <c:numRef>
              <c:f>Sheet1!$B$7:$F$7</c:f>
              <c:numCache>
                <c:formatCode>0</c:formatCode>
                <c:ptCount val="5"/>
                <c:pt idx="0">
                  <c:v>1037.14798707771</c:v>
                </c:pt>
                <c:pt idx="1">
                  <c:v>382.55319547122457</c:v>
                </c:pt>
                <c:pt idx="2">
                  <c:v>345.05495455484163</c:v>
                </c:pt>
                <c:pt idx="3">
                  <c:v>334.26082355747775</c:v>
                </c:pt>
                <c:pt idx="4">
                  <c:v>374.56698072707491</c:v>
                </c:pt>
              </c:numCache>
            </c:numRef>
          </c:val>
          <c:extLst>
            <c:ext xmlns:c="http://schemas.openxmlformats.org/drawingml/2006/chart" xmlns:c16="http://schemas.microsoft.com/office/drawing/2014/chart" uri="{C3380CC4-5D6E-409C-BE32-E72D297353CC}">
              <c16:uniqueId val="{00000005-86DC-41F6-A34F-2470FCEE7D9E}"/>
            </c:ext>
          </c:extLst>
        </c:ser>
        <c:dLbls>
          <c:showLegendKey val="0"/>
          <c:showVal val="0"/>
          <c:showCatName val="0"/>
          <c:showSerName val="0"/>
          <c:showPercent val="0"/>
          <c:showBubbleSize val="0"/>
        </c:dLbls>
        <c:gapWidth val="20"/>
        <c:overlap val="100"/>
        <c:axId val="630018816"/>
        <c:axId val="630016072"/>
      </c:barChart>
      <c:catAx>
        <c:axId val="630018816"/>
        <c:scaling>
          <c:orientation val="minMax"/>
        </c:scaling>
        <c:delete val="0"/>
        <c:axPos val="b"/>
        <c:numFmt formatCode="General" sourceLinked="0"/>
        <c:majorTickMark val="out"/>
        <c:minorTickMark val="none"/>
        <c:tickLblPos val="nextTo"/>
        <c:txPr>
          <a:bodyPr/>
          <a:lstStyle/>
          <a:p>
            <a:pPr>
              <a:defRPr sz="700"/>
            </a:pPr>
            <a:endParaRPr lang="lv-LV"/>
          </a:p>
        </c:txPr>
        <c:crossAx val="630016072"/>
        <c:crosses val="autoZero"/>
        <c:auto val="1"/>
        <c:lblAlgn val="ctr"/>
        <c:lblOffset val="100"/>
        <c:noMultiLvlLbl val="0"/>
      </c:catAx>
      <c:valAx>
        <c:axId val="630016072"/>
        <c:scaling>
          <c:orientation val="minMax"/>
        </c:scaling>
        <c:delete val="0"/>
        <c:axPos val="l"/>
        <c:numFmt formatCode="0%" sourceLinked="1"/>
        <c:majorTickMark val="out"/>
        <c:minorTickMark val="none"/>
        <c:tickLblPos val="nextTo"/>
        <c:txPr>
          <a:bodyPr/>
          <a:lstStyle/>
          <a:p>
            <a:pPr>
              <a:defRPr sz="700"/>
            </a:pPr>
            <a:endParaRPr lang="lv-LV"/>
          </a:p>
        </c:txPr>
        <c:crossAx val="630018816"/>
        <c:crosses val="autoZero"/>
        <c:crossBetween val="between"/>
      </c:valAx>
    </c:plotArea>
    <c:plotVisOnly val="1"/>
    <c:dispBlanksAs val="gap"/>
    <c:showDLblsOverMax val="0"/>
  </c:chart>
  <c:spPr>
    <a:ln w="9525">
      <a:noFill/>
    </a:ln>
  </c:spPr>
  <c:txPr>
    <a:bodyPr/>
    <a:lstStyle/>
    <a:p>
      <a:pPr>
        <a:defRPr sz="800"/>
      </a:pPr>
      <a:endParaRPr lang="lv-LV"/>
    </a:p>
  </c:txPr>
  <c:externalData r:id="rId1">
    <c:autoUpdate val="0"/>
  </c:externalData>
</c:chartSpace>
</file>

<file path=word/charts/chart18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8F42-4F98-A525-60EC32E6FA20}"/>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8F42-4F98-A525-60EC32E6FA20}"/>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Sheet1!$B$2:$M$2</c:f>
              <c:numCache>
                <c:formatCode>0</c:formatCode>
                <c:ptCount val="12"/>
                <c:pt idx="0">
                  <c:v>2004</c:v>
                </c:pt>
                <c:pt idx="1">
                  <c:v>2005</c:v>
                </c:pt>
                <c:pt idx="2">
                  <c:v>2006</c:v>
                </c:pt>
                <c:pt idx="3">
                  <c:v>2007</c:v>
                </c:pt>
                <c:pt idx="4">
                  <c:v>2008</c:v>
                </c:pt>
                <c:pt idx="5">
                  <c:v>2009</c:v>
                </c:pt>
                <c:pt idx="6">
                  <c:v>2010</c:v>
                </c:pt>
                <c:pt idx="7">
                  <c:v>2011</c:v>
                </c:pt>
                <c:pt idx="8">
                  <c:v>2012</c:v>
                </c:pt>
                <c:pt idx="9">
                  <c:v>2013</c:v>
                </c:pt>
                <c:pt idx="10" formatCode="General">
                  <c:v>2014</c:v>
                </c:pt>
                <c:pt idx="11">
                  <c:v>2015</c:v>
                </c:pt>
              </c:numCache>
            </c:numRef>
          </c:cat>
          <c:val>
            <c:numRef>
              <c:f>Sheet1!$B$3:$M$3</c:f>
              <c:numCache>
                <c:formatCode>0.0</c:formatCode>
                <c:ptCount val="12"/>
                <c:pt idx="0">
                  <c:v>5.6578947368421044</c:v>
                </c:pt>
                <c:pt idx="1">
                  <c:v>7.0212765957446805</c:v>
                </c:pt>
                <c:pt idx="2">
                  <c:v>7.1098265895953761</c:v>
                </c:pt>
                <c:pt idx="3">
                  <c:v>11.051660516605168</c:v>
                </c:pt>
                <c:pt idx="4">
                  <c:v>12.770398481973436</c:v>
                </c:pt>
                <c:pt idx="5">
                  <c:v>11.552162849872774</c:v>
                </c:pt>
                <c:pt idx="6">
                  <c:v>11.612021857923496</c:v>
                </c:pt>
                <c:pt idx="7">
                  <c:v>11.095238095238095</c:v>
                </c:pt>
                <c:pt idx="8">
                  <c:v>12.850877192982455</c:v>
                </c:pt>
                <c:pt idx="9">
                  <c:v>13.09322033898305</c:v>
                </c:pt>
                <c:pt idx="10">
                  <c:v>14.025695931477516</c:v>
                </c:pt>
                <c:pt idx="11" formatCode="General">
                  <c:v>15</c:v>
                </c:pt>
              </c:numCache>
            </c:numRef>
          </c:val>
          <c:extLst>
            <c:ext xmlns:c="http://schemas.openxmlformats.org/drawingml/2006/chart" xmlns:c16="http://schemas.microsoft.com/office/drawing/2014/chart" uri="{C3380CC4-5D6E-409C-BE32-E72D297353CC}">
              <c16:uniqueId val="{00000004-8F42-4F98-A525-60EC32E6FA20}"/>
            </c:ext>
          </c:extLst>
        </c:ser>
        <c:dLbls>
          <c:showLegendKey val="0"/>
          <c:showVal val="0"/>
          <c:showCatName val="0"/>
          <c:showSerName val="0"/>
          <c:showPercent val="0"/>
          <c:showBubbleSize val="0"/>
        </c:dLbls>
        <c:gapWidth val="20"/>
        <c:axId val="630007840"/>
        <c:axId val="630008232"/>
      </c:barChart>
      <c:catAx>
        <c:axId val="630007840"/>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30008232"/>
        <c:crosses val="autoZero"/>
        <c:auto val="1"/>
        <c:lblAlgn val="ctr"/>
        <c:lblOffset val="100"/>
        <c:noMultiLvlLbl val="0"/>
      </c:catAx>
      <c:valAx>
        <c:axId val="630008232"/>
        <c:scaling>
          <c:orientation val="minMax"/>
          <c:max val="16"/>
          <c:min val="0"/>
        </c:scaling>
        <c:delete val="0"/>
        <c:axPos val="l"/>
        <c:numFmt formatCode="0" sourceLinked="0"/>
        <c:majorTickMark val="out"/>
        <c:minorTickMark val="none"/>
        <c:tickLblPos val="nextTo"/>
        <c:crossAx val="630007840"/>
        <c:crosses val="autoZero"/>
        <c:crossBetween val="between"/>
        <c:majorUnit val="3"/>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18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E258-46EA-8203-DD677CFB0C36}"/>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E258-46EA-8203-DD677CFB0C36}"/>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Sheet1!$B$2:$M$2</c:f>
              <c:numCache>
                <c:formatCode>0</c:formatCode>
                <c:ptCount val="12"/>
                <c:pt idx="0">
                  <c:v>2004</c:v>
                </c:pt>
                <c:pt idx="1">
                  <c:v>2005</c:v>
                </c:pt>
                <c:pt idx="2">
                  <c:v>2006</c:v>
                </c:pt>
                <c:pt idx="3">
                  <c:v>2007</c:v>
                </c:pt>
                <c:pt idx="4">
                  <c:v>2008</c:v>
                </c:pt>
                <c:pt idx="5">
                  <c:v>2009</c:v>
                </c:pt>
                <c:pt idx="6">
                  <c:v>2010</c:v>
                </c:pt>
                <c:pt idx="7">
                  <c:v>2011</c:v>
                </c:pt>
                <c:pt idx="8">
                  <c:v>2012</c:v>
                </c:pt>
                <c:pt idx="9">
                  <c:v>2013</c:v>
                </c:pt>
                <c:pt idx="10" formatCode="General">
                  <c:v>2014</c:v>
                </c:pt>
                <c:pt idx="11">
                  <c:v>2015</c:v>
                </c:pt>
              </c:numCache>
            </c:numRef>
          </c:cat>
          <c:val>
            <c:numRef>
              <c:f>Sheet1!$B$3:$M$3</c:f>
              <c:numCache>
                <c:formatCode>General</c:formatCode>
                <c:ptCount val="12"/>
                <c:pt idx="0">
                  <c:v>14.453781512605042</c:v>
                </c:pt>
                <c:pt idx="1">
                  <c:v>15.284552845528456</c:v>
                </c:pt>
                <c:pt idx="2">
                  <c:v>12.683823529411766</c:v>
                </c:pt>
                <c:pt idx="3">
                  <c:v>18.453427065026364</c:v>
                </c:pt>
                <c:pt idx="4">
                  <c:v>20.250896057347671</c:v>
                </c:pt>
                <c:pt idx="5">
                  <c:v>16.778846153846157</c:v>
                </c:pt>
                <c:pt idx="6">
                  <c:v>19.896907216494846</c:v>
                </c:pt>
                <c:pt idx="7">
                  <c:v>25.758928571428577</c:v>
                </c:pt>
                <c:pt idx="8">
                  <c:v>22.94478527607362</c:v>
                </c:pt>
                <c:pt idx="9">
                  <c:v>29.118236472945892</c:v>
                </c:pt>
                <c:pt idx="10">
                  <c:v>30.020080321285139</c:v>
                </c:pt>
                <c:pt idx="11">
                  <c:v>45.375253549695742</c:v>
                </c:pt>
              </c:numCache>
            </c:numRef>
          </c:val>
          <c:extLst>
            <c:ext xmlns:c="http://schemas.openxmlformats.org/drawingml/2006/chart" xmlns:c16="http://schemas.microsoft.com/office/drawing/2014/chart" uri="{C3380CC4-5D6E-409C-BE32-E72D297353CC}">
              <c16:uniqueId val="{00000004-E258-46EA-8203-DD677CFB0C36}"/>
            </c:ext>
          </c:extLst>
        </c:ser>
        <c:dLbls>
          <c:showLegendKey val="0"/>
          <c:showVal val="0"/>
          <c:showCatName val="0"/>
          <c:showSerName val="0"/>
          <c:showPercent val="0"/>
          <c:showBubbleSize val="0"/>
        </c:dLbls>
        <c:gapWidth val="20"/>
        <c:axId val="630023912"/>
        <c:axId val="630030968"/>
      </c:barChart>
      <c:catAx>
        <c:axId val="630023912"/>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30030968"/>
        <c:crosses val="autoZero"/>
        <c:auto val="1"/>
        <c:lblAlgn val="ctr"/>
        <c:lblOffset val="100"/>
        <c:noMultiLvlLbl val="0"/>
      </c:catAx>
      <c:valAx>
        <c:axId val="630030968"/>
        <c:scaling>
          <c:orientation val="minMax"/>
        </c:scaling>
        <c:delete val="0"/>
        <c:axPos val="l"/>
        <c:numFmt formatCode="0" sourceLinked="0"/>
        <c:majorTickMark val="out"/>
        <c:minorTickMark val="none"/>
        <c:tickLblPos val="nextTo"/>
        <c:crossAx val="630023912"/>
        <c:crosses val="autoZero"/>
        <c:crossBetween val="between"/>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E53A-48AA-BF10-2A6E0DD5E8A3}"/>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E53A-48AA-BF10-2A6E0DD5E8A3}"/>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Sheet1!$B$2:$M$2</c:f>
              <c:numCache>
                <c:formatCode>0</c:formatCode>
                <c:ptCount val="12"/>
                <c:pt idx="0">
                  <c:v>2005</c:v>
                </c:pt>
                <c:pt idx="1">
                  <c:v>2006</c:v>
                </c:pt>
                <c:pt idx="2">
                  <c:v>2007</c:v>
                </c:pt>
                <c:pt idx="3">
                  <c:v>2008</c:v>
                </c:pt>
                <c:pt idx="4">
                  <c:v>2009</c:v>
                </c:pt>
                <c:pt idx="5">
                  <c:v>2010</c:v>
                </c:pt>
                <c:pt idx="6">
                  <c:v>2011</c:v>
                </c:pt>
                <c:pt idx="7">
                  <c:v>2012</c:v>
                </c:pt>
                <c:pt idx="8">
                  <c:v>2013</c:v>
                </c:pt>
                <c:pt idx="9" formatCode="General">
                  <c:v>2014</c:v>
                </c:pt>
                <c:pt idx="10" formatCode="General">
                  <c:v>2015</c:v>
                </c:pt>
                <c:pt idx="11" formatCode="General">
                  <c:v>2016</c:v>
                </c:pt>
              </c:numCache>
            </c:numRef>
          </c:cat>
          <c:val>
            <c:numRef>
              <c:f>Sheet1!$B$3:$M$3</c:f>
              <c:numCache>
                <c:formatCode>General</c:formatCode>
                <c:ptCount val="12"/>
                <c:pt idx="0">
                  <c:v>7.22805498430566</c:v>
                </c:pt>
                <c:pt idx="1">
                  <c:v>6.0554189521467752</c:v>
                </c:pt>
                <c:pt idx="2">
                  <c:v>8.0011547344110863</c:v>
                </c:pt>
                <c:pt idx="3">
                  <c:v>8.1196688409433015</c:v>
                </c:pt>
                <c:pt idx="4">
                  <c:v>9.5598061050700913</c:v>
                </c:pt>
                <c:pt idx="5">
                  <c:v>10.592413480429197</c:v>
                </c:pt>
                <c:pt idx="6">
                  <c:v>10.046667638909145</c:v>
                </c:pt>
                <c:pt idx="7">
                  <c:v>10.884213623657496</c:v>
                </c:pt>
                <c:pt idx="8">
                  <c:v>11.409178102405196</c:v>
                </c:pt>
                <c:pt idx="9">
                  <c:v>11.882768144851925</c:v>
                </c:pt>
                <c:pt idx="10">
                  <c:v>12.477090492554408</c:v>
                </c:pt>
                <c:pt idx="11">
                  <c:v>12.844009489916964</c:v>
                </c:pt>
              </c:numCache>
            </c:numRef>
          </c:val>
          <c:extLst>
            <c:ext xmlns:c="http://schemas.openxmlformats.org/drawingml/2006/chart" xmlns:c16="http://schemas.microsoft.com/office/drawing/2014/chart" uri="{C3380CC4-5D6E-409C-BE32-E72D297353CC}">
              <c16:uniqueId val="{00000004-E53A-48AA-BF10-2A6E0DD5E8A3}"/>
            </c:ext>
          </c:extLst>
        </c:ser>
        <c:dLbls>
          <c:showLegendKey val="0"/>
          <c:showVal val="0"/>
          <c:showCatName val="0"/>
          <c:showSerName val="0"/>
          <c:showPercent val="0"/>
          <c:showBubbleSize val="0"/>
        </c:dLbls>
        <c:gapWidth val="20"/>
        <c:axId val="629828696"/>
        <c:axId val="629819680"/>
      </c:barChart>
      <c:catAx>
        <c:axId val="629828696"/>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29819680"/>
        <c:crosses val="autoZero"/>
        <c:auto val="1"/>
        <c:lblAlgn val="ctr"/>
        <c:lblOffset val="100"/>
        <c:noMultiLvlLbl val="0"/>
      </c:catAx>
      <c:valAx>
        <c:axId val="629819680"/>
        <c:scaling>
          <c:orientation val="minMax"/>
        </c:scaling>
        <c:delete val="0"/>
        <c:axPos val="l"/>
        <c:numFmt formatCode="0" sourceLinked="0"/>
        <c:majorTickMark val="out"/>
        <c:minorTickMark val="none"/>
        <c:tickLblPos val="nextTo"/>
        <c:crossAx val="629828696"/>
        <c:crosses val="autoZero"/>
        <c:crossBetween val="between"/>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190.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72841410287632"/>
          <c:y val="0.057971014492753624"/>
          <c:w val="0.69294856184214082"/>
          <c:h val="0.726718711443121"/>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marker>
              <c:spPr>
                <a:solidFill>
                  <a:srgbClr val="002060"/>
                </a:solidFill>
                <a:ln w="6350">
                  <a:solidFill>
                    <a:sysClr val="windowText" lastClr="000000"/>
                  </a:solidFill>
                </a:ln>
              </c:spPr>
            </c:marker>
            <c:extLst>
              <c:ext xmlns:c="http://schemas.openxmlformats.org/drawingml/2006/chart" xmlns:c16="http://schemas.microsoft.com/office/drawing/2014/chart" uri="{C3380CC4-5D6E-409C-BE32-E72D297353CC}">
                <c16:uniqueId val="{00000000-E57C-46DD-A895-DDDF10907B32}"/>
              </c:ext>
            </c:extLst>
          </c:dPt>
          <c:dLbls>
            <c:dLbl>
              <c:idx val="0"/>
              <c:layout>
                <c:manualLayout>
                  <c:x val="-0.13729247350768756"/>
                  <c:y val="0.051190480988983968"/>
                </c:manualLayout>
              </c:layout>
              <c:tx>
                <c:rich>
                  <a:bodyPr vertOverflow="clip"/>
                  <a:lstStyle/>
                  <a:p>
                    <a:r>
                      <a:rPr lang="en-US"/>
                      <a:t>2005</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E57C-46DD-A895-DDDF10907B32}"/>
                </c:ext>
                <c:ext xmlns:c15="http://schemas.microsoft.com/office/drawing/2012/chart" uri="{CE6537A1-D6FC-4f65-9D91-7224C49458BB}"/>
              </c:extLst>
            </c:dLbl>
            <c:dLbl>
              <c:idx val="1"/>
              <c:delete val="1"/>
              <c:extLst>
                <c:ext xmlns:c="http://schemas.openxmlformats.org/drawingml/2006/chart" xmlns:c16="http://schemas.microsoft.com/office/drawing/2014/chart" uri="{C3380CC4-5D6E-409C-BE32-E72D297353CC}">
                  <c16:uniqueId val="{00000002-E57C-46DD-A895-DDDF10907B32}"/>
                </c:ext>
                <c:ext xmlns:c15="http://schemas.microsoft.com/office/drawing/2012/chart" uri="{CE6537A1-D6FC-4f65-9D91-7224C49458BB}"/>
              </c:extLst>
            </c:dLbl>
            <c:dLbl>
              <c:idx val="2"/>
              <c:delete val="1"/>
              <c:extLst>
                <c:ext xmlns:c="http://schemas.openxmlformats.org/drawingml/2006/chart" xmlns:c16="http://schemas.microsoft.com/office/drawing/2014/chart" uri="{C3380CC4-5D6E-409C-BE32-E72D297353CC}">
                  <c16:uniqueId val="{00000003-E57C-46DD-A895-DDDF10907B32}"/>
                </c:ext>
                <c:ext xmlns:c15="http://schemas.microsoft.com/office/drawing/2012/chart" uri="{CE6537A1-D6FC-4f65-9D91-7224C49458BB}"/>
              </c:extLst>
            </c:dLbl>
            <c:dLbl>
              <c:idx val="3"/>
              <c:layout>
                <c:manualLayout>
                  <c:x val="-0.020593871026153135"/>
                  <c:y val="-0.022751324883992875"/>
                </c:manualLayout>
              </c:layout>
              <c:tx>
                <c:rich>
                  <a:bodyPr vertOverflow="clip"/>
                  <a:lstStyle/>
                  <a:p>
                    <a:r>
                      <a:rPr lang="en-US"/>
                      <a:t>2008</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E57C-46DD-A895-DDDF10907B32}"/>
                </c:ext>
                <c:ext xmlns:c15="http://schemas.microsoft.com/office/drawing/2012/chart" uri="{CE6537A1-D6FC-4f65-9D91-7224C49458BB}"/>
              </c:extLst>
            </c:dLbl>
            <c:dLbl>
              <c:idx val="4"/>
              <c:layout>
                <c:manualLayout>
                  <c:x val="-0.10296935513076562"/>
                  <c:y val="-0.056878312209982192"/>
                </c:manualLayout>
              </c:layout>
              <c:tx>
                <c:rich>
                  <a:bodyPr vertOverflow="clip"/>
                  <a:lstStyle/>
                  <a:p>
                    <a:r>
                      <a:rPr lang="en-US"/>
                      <a:t>2009</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E57C-46DD-A895-DDDF10907B32}"/>
                </c:ext>
                <c:ext xmlns:c15="http://schemas.microsoft.com/office/drawing/2012/chart" uri="{CE6537A1-D6FC-4f65-9D91-7224C49458BB}"/>
              </c:extLst>
            </c:dLbl>
            <c:dLbl>
              <c:idx val="5"/>
              <c:delete val="1"/>
              <c:extLst>
                <c:ext xmlns:c="http://schemas.openxmlformats.org/drawingml/2006/chart" xmlns:c16="http://schemas.microsoft.com/office/drawing/2014/chart" uri="{C3380CC4-5D6E-409C-BE32-E72D297353CC}">
                  <c16:uniqueId val="{00000000-E57C-46DD-A895-DDDF10907B32}"/>
                </c:ext>
                <c:ext xmlns:c15="http://schemas.microsoft.com/office/drawing/2012/chart" uri="{CE6537A1-D6FC-4f65-9D91-7224C49458BB}"/>
              </c:extLst>
            </c:dLbl>
            <c:dLbl>
              <c:idx val="6"/>
              <c:layout>
                <c:manualLayout>
                  <c:x val="-0.089240107779996913"/>
                  <c:y val="0.068253974651978633"/>
                </c:manualLayout>
              </c:layout>
              <c:tx>
                <c:rich>
                  <a:bodyPr vertOverflow="clip"/>
                  <a:lstStyle/>
                  <a:p>
                    <a:r>
                      <a:rPr lang="en-US"/>
                      <a:t>2011</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E57C-46DD-A895-DDDF10907B32}"/>
                </c:ext>
                <c:ext xmlns:c15="http://schemas.microsoft.com/office/drawing/2012/chart" uri="{CE6537A1-D6FC-4f65-9D91-7224C49458BB}"/>
              </c:extLst>
            </c:dLbl>
            <c:dLbl>
              <c:idx val="7"/>
              <c:layout>
                <c:manualLayout>
                  <c:x val="-0.034323118376921889"/>
                  <c:y val="-0.028439156104991096"/>
                </c:manualLayout>
              </c:layout>
              <c:tx>
                <c:rich>
                  <a:bodyPr vertOverflow="clip"/>
                  <a:lstStyle/>
                  <a:p>
                    <a:r>
                      <a:rPr lang="en-US"/>
                      <a:t>2012</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E57C-46DD-A895-DDDF10907B32}"/>
                </c:ext>
                <c:ext xmlns:c15="http://schemas.microsoft.com/office/drawing/2012/chart" uri="{CE6537A1-D6FC-4f65-9D91-7224C49458BB}"/>
              </c:extLst>
            </c:dLbl>
            <c:dLbl>
              <c:idx val="8"/>
              <c:delete val="1"/>
              <c:extLst>
                <c:ext xmlns:c="http://schemas.openxmlformats.org/drawingml/2006/chart" xmlns:c16="http://schemas.microsoft.com/office/drawing/2014/chart" uri="{C3380CC4-5D6E-409C-BE32-E72D297353CC}">
                  <c16:uniqueId val="{00000008-E57C-46DD-A895-DDDF10907B32}"/>
                </c:ext>
                <c:ext xmlns:c15="http://schemas.microsoft.com/office/drawing/2012/chart" uri="{CE6537A1-D6FC-4f65-9D91-7224C49458BB}"/>
              </c:extLst>
            </c:dLbl>
            <c:dLbl>
              <c:idx val="9"/>
              <c:layout>
                <c:manualLayout>
                  <c:x val="-0.020593871026153135"/>
                  <c:y val="-0.034126987325989316"/>
                </c:manualLayout>
              </c:layout>
              <c:tx>
                <c:rich>
                  <a:bodyPr vertOverflow="clip"/>
                  <a:lstStyle/>
                  <a:p>
                    <a:r>
                      <a:rPr lang="en-US"/>
                      <a:t>2014</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E57C-46DD-A895-DDDF10907B32}"/>
                </c:ext>
                <c:ext xmlns:c15="http://schemas.microsoft.com/office/drawing/2012/chart" uri="{CE6537A1-D6FC-4f65-9D91-7224C49458BB}"/>
              </c:extLst>
            </c:dLbl>
            <c:dLbl>
              <c:idx val="10"/>
              <c:layout>
                <c:manualLayout>
                  <c:x val="-0.17202807281420046"/>
                  <c:y val="0"/>
                </c:manualLayout>
              </c:layout>
              <c:tx>
                <c:rich>
                  <a:bodyPr vertOverflow="clip"/>
                  <a:lstStyle/>
                  <a:p>
                    <a:r>
                      <a:rPr lang="en-US"/>
                      <a:t>2015</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63B0-4E7E-BA21-43D03C231691}"/>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Sheet1!$B$3:$B$13</c:f>
              <c:numCache>
                <c:formatCode>0.0</c:formatCode>
                <c:ptCount val="11"/>
                <c:pt idx="0">
                  <c:v>15.284552845528456</c:v>
                </c:pt>
                <c:pt idx="1">
                  <c:v>12.683823529411766</c:v>
                </c:pt>
                <c:pt idx="2">
                  <c:v>18.453427065026364</c:v>
                </c:pt>
                <c:pt idx="3">
                  <c:v>20.250896057347671</c:v>
                </c:pt>
                <c:pt idx="4">
                  <c:v>16.778846153846157</c:v>
                </c:pt>
                <c:pt idx="5">
                  <c:v>19.896907216494846</c:v>
                </c:pt>
                <c:pt idx="6">
                  <c:v>25.758928571428577</c:v>
                </c:pt>
                <c:pt idx="7">
                  <c:v>22.94478527607362</c:v>
                </c:pt>
                <c:pt idx="8">
                  <c:v>29.118236472945892</c:v>
                </c:pt>
                <c:pt idx="9">
                  <c:v>30.020080321285139</c:v>
                </c:pt>
                <c:pt idx="10">
                  <c:v>45.375253549695742</c:v>
                </c:pt>
              </c:numCache>
            </c:numRef>
          </c:xVal>
          <c:yVal>
            <c:numRef>
              <c:f>Sheet1!$C$3:$C$13</c:f>
              <c:numCache>
                <c:formatCode>0.0</c:formatCode>
                <c:ptCount val="11"/>
                <c:pt idx="0">
                  <c:v>0.45937075599818916</c:v>
                </c:pt>
                <c:pt idx="1">
                  <c:v>0.56054284996230208</c:v>
                </c:pt>
                <c:pt idx="2">
                  <c:v>0.598894746090318</c:v>
                </c:pt>
                <c:pt idx="3">
                  <c:v>0.63060905778240506</c:v>
                </c:pt>
                <c:pt idx="4">
                  <c:v>0.6884956655511566</c:v>
                </c:pt>
                <c:pt idx="5">
                  <c:v>0.58360938871428969</c:v>
                </c:pt>
                <c:pt idx="6">
                  <c:v>0.43073367995378387</c:v>
                </c:pt>
                <c:pt idx="7">
                  <c:v>0.56007833755511771</c:v>
                </c:pt>
                <c:pt idx="8">
                  <c:v>0.4496570508707875</c:v>
                </c:pt>
                <c:pt idx="9">
                  <c:v>0.46721047316895009</c:v>
                </c:pt>
                <c:pt idx="10">
                  <c:v>0.33057666517657575</c:v>
                </c:pt>
              </c:numCache>
            </c:numRef>
          </c:yVal>
          <c:smooth val="1"/>
          <c:extLst>
            <c:ext xmlns:c="http://schemas.openxmlformats.org/drawingml/2006/chart" xmlns:c16="http://schemas.microsoft.com/office/drawing/2014/chart" uri="{C3380CC4-5D6E-409C-BE32-E72D297353CC}">
              <c16:uniqueId val="{0000000A-E57C-46DD-A895-DDDF10907B32}"/>
            </c:ext>
          </c:extLst>
        </c:ser>
        <c:dLbls>
          <c:showLegendKey val="0"/>
          <c:showVal val="0"/>
          <c:showCatName val="0"/>
          <c:showSerName val="0"/>
          <c:showPercent val="0"/>
          <c:showBubbleSize val="0"/>
        </c:dLbls>
        <c:axId val="630025872"/>
        <c:axId val="630020776"/>
      </c:scatterChart>
      <c:valAx>
        <c:axId val="630025872"/>
        <c:scaling>
          <c:orientation val="minMax"/>
        </c:scaling>
        <c:delete val="0"/>
        <c:axPos val="b"/>
        <c:title>
          <c:tx>
            <c:rich>
              <a:bodyPr vertOverflow="clip"/>
              <a:lstStyle/>
              <a:p>
                <a:pPr>
                  <a:defRPr sz="700" b="0">
                    <a:latin typeface="Arial Narrow" pitchFamily="34" charset="0"/>
                  </a:defRPr>
                </a:pPr>
                <a:r>
                  <a:rPr lang="lv-LV" sz="700" b="0">
                    <a:latin typeface="Arial Narrow" pitchFamily="34" charset="0"/>
                  </a:rPr>
                  <a:t>Produktivitāte (pievienotā vērtība </a:t>
                </a:r>
                <a:br>
                  <a:rPr lang="lv-LV" sz="700" b="0">
                    <a:latin typeface="Arial Narrow" pitchFamily="34" charset="0"/>
                  </a:rPr>
                </a:br>
                <a:r>
                  <a:rPr lang="lv-LV" sz="700" b="0">
                    <a:latin typeface="Arial Narrow" pitchFamily="34" charset="0"/>
                  </a:rPr>
                  <a:t>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30020776"/>
        <c:crosses val="autoZero"/>
        <c:crossBetween val="midCat"/>
        <c:majorUnit val="10"/>
      </c:valAx>
      <c:valAx>
        <c:axId val="630020776"/>
        <c:scaling>
          <c:orientation val="minMax"/>
          <c:min val="0.30000000000000004"/>
        </c:scaling>
        <c:delete val="0"/>
        <c:axPos val="l"/>
        <c:title>
          <c:tx>
            <c:rich>
              <a:bodyPr vertOverflow="clip"/>
              <a:lstStyle/>
              <a:p>
                <a:pPr>
                  <a:defRPr sz="700" b="0"/>
                </a:pPr>
                <a:r>
                  <a:rPr lang="lv-LV" sz="700" b="0">
                    <a:latin typeface="Arial Narrow" pitchFamily="34" charset="0"/>
                  </a:rPr>
                  <a:t>Darbaspēka izmaksas </a:t>
                </a:r>
                <a:br>
                  <a:rPr lang="lv-LV" sz="700" b="0">
                    <a:latin typeface="Arial Narrow" pitchFamily="34" charset="0"/>
                  </a:rPr>
                </a:br>
                <a:r>
                  <a:rPr lang="lv-LV" sz="700" b="0">
                    <a:latin typeface="Arial Narrow" pitchFamily="34" charset="0"/>
                  </a:rPr>
                  <a:t>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30025872"/>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19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8"/>
          <c:y val="0.046005165816941182"/>
          <c:w val="0.85762258292899962"/>
          <c:h val="0.831279863372076"/>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Sheet1!$B$1:$J$1</c:f>
              <c:strCache>
                <c:ptCount val="9"/>
                <c:pt idx="0">
                  <c:v>2007</c:v>
                </c:pt>
                <c:pt idx="1">
                  <c:v>2008</c:v>
                </c:pt>
                <c:pt idx="2">
                  <c:v>2009</c:v>
                </c:pt>
                <c:pt idx="3">
                  <c:v>2010</c:v>
                </c:pt>
                <c:pt idx="4">
                  <c:v>2011</c:v>
                </c:pt>
                <c:pt idx="5">
                  <c:v>2012</c:v>
                </c:pt>
                <c:pt idx="6">
                  <c:v>2013</c:v>
                </c:pt>
                <c:pt idx="7">
                  <c:v>2014</c:v>
                </c:pt>
                <c:pt idx="8">
                  <c:v>2015</c:v>
                </c:pt>
              </c:strCache>
            </c:strRef>
          </c:cat>
          <c:val>
            <c:numRef>
              <c:f>Sheet1!$B$2:$J$2</c:f>
              <c:numCache>
                <c:formatCode>0</c:formatCode>
                <c:ptCount val="9"/>
                <c:pt idx="0">
                  <c:v>33.733810364325855</c:v>
                </c:pt>
                <c:pt idx="1">
                  <c:v>39.366062694556014</c:v>
                </c:pt>
                <c:pt idx="2">
                  <c:v>35.265739314535836</c:v>
                </c:pt>
                <c:pt idx="3">
                  <c:v>31.598932010849889</c:v>
                </c:pt>
                <c:pt idx="4">
                  <c:v>31.869900214985641</c:v>
                </c:pt>
                <c:pt idx="5">
                  <c:v>33.801329812213076</c:v>
                </c:pt>
                <c:pt idx="6">
                  <c:v>35.118191713592282</c:v>
                </c:pt>
                <c:pt idx="7">
                  <c:v>37.375186420479331</c:v>
                </c:pt>
                <c:pt idx="8">
                  <c:v>39.02724647709001</c:v>
                </c:pt>
              </c:numCache>
            </c:numRef>
          </c:val>
          <c:extLst>
            <c:ext xmlns:c="http://schemas.openxmlformats.org/drawingml/2006/chart" xmlns:c16="http://schemas.microsoft.com/office/drawing/2014/chart" uri="{C3380CC4-5D6E-409C-BE32-E72D297353CC}">
              <c16:uniqueId val="{00000000-8EDC-4E03-8991-990FF53E9FC6}"/>
            </c:ext>
          </c:extLst>
        </c:ser>
        <c:ser>
          <c:idx val="1"/>
          <c:order val="1"/>
          <c:tx>
            <c:strRef>
              <c:f>Sheet1!$A$3</c:f>
              <c:strCache>
                <c:ptCount val="1"/>
                <c:pt idx="0">
                  <c:v>Elektr. un optisko iek. ražošana</c:v>
                </c:pt>
              </c:strCache>
            </c:strRef>
          </c:tx>
          <c:spPr>
            <a:ln>
              <a:solidFill>
                <a:sysClr val="windowText" lastClr="000000"/>
              </a:solidFill>
            </a:ln>
          </c:spPr>
          <c:invertIfNegative val="0"/>
          <c:dLbls>
            <c:numFmt formatCode="#,##0" sourceLinked="0"/>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2007</c:v>
                </c:pt>
                <c:pt idx="1">
                  <c:v>2008</c:v>
                </c:pt>
                <c:pt idx="2">
                  <c:v>2009</c:v>
                </c:pt>
                <c:pt idx="3">
                  <c:v>2010</c:v>
                </c:pt>
                <c:pt idx="4">
                  <c:v>2011</c:v>
                </c:pt>
                <c:pt idx="5">
                  <c:v>2012</c:v>
                </c:pt>
                <c:pt idx="6">
                  <c:v>2013</c:v>
                </c:pt>
                <c:pt idx="7">
                  <c:v>2014</c:v>
                </c:pt>
                <c:pt idx="8">
                  <c:v>2015</c:v>
                </c:pt>
              </c:strCache>
            </c:strRef>
          </c:cat>
          <c:val>
            <c:numRef>
              <c:f>Sheet1!$B$3:$J$3</c:f>
              <c:numCache>
                <c:formatCode>0</c:formatCode>
                <c:ptCount val="9"/>
                <c:pt idx="0">
                  <c:v>29.674149186820948</c:v>
                </c:pt>
                <c:pt idx="1">
                  <c:v>32.553878653641974</c:v>
                </c:pt>
                <c:pt idx="2">
                  <c:v>29.789061479530275</c:v>
                </c:pt>
                <c:pt idx="3">
                  <c:v>28.472577700947159</c:v>
                </c:pt>
                <c:pt idx="4">
                  <c:v>26.993708036260877</c:v>
                </c:pt>
                <c:pt idx="5">
                  <c:v>30.708624147265041</c:v>
                </c:pt>
                <c:pt idx="6">
                  <c:v>30.428141926924635</c:v>
                </c:pt>
                <c:pt idx="7">
                  <c:v>31.68941325825319</c:v>
                </c:pt>
                <c:pt idx="8">
                  <c:v>33.109839946574468</c:v>
                </c:pt>
              </c:numCache>
            </c:numRef>
          </c:val>
          <c:extLst>
            <c:ext xmlns:c="http://schemas.openxmlformats.org/drawingml/2006/chart" xmlns:c16="http://schemas.microsoft.com/office/drawing/2014/chart" uri="{C3380CC4-5D6E-409C-BE32-E72D297353CC}">
              <c16:uniqueId val="{00000001-8EDC-4E03-8991-990FF53E9FC6}"/>
            </c:ext>
          </c:extLst>
        </c:ser>
        <c:dLbls>
          <c:showLegendKey val="0"/>
          <c:showVal val="0"/>
          <c:showCatName val="0"/>
          <c:showSerName val="0"/>
          <c:showPercent val="0"/>
          <c:showBubbleSize val="0"/>
        </c:dLbls>
        <c:gapWidth val="50"/>
        <c:overlap val="52"/>
        <c:axId val="630029792"/>
        <c:axId val="630031360"/>
      </c:barChart>
      <c:catAx>
        <c:axId val="630029792"/>
        <c:scaling>
          <c:orientation val="minMax"/>
        </c:scaling>
        <c:delete val="0"/>
        <c:axPos val="b"/>
        <c:numFmt formatCode="General" sourceLinked="0"/>
        <c:majorTickMark val="out"/>
        <c:minorTickMark val="none"/>
        <c:tickLblPos val="nextTo"/>
        <c:txPr>
          <a:bodyPr/>
          <a:lstStyle/>
          <a:p>
            <a:pPr>
              <a:defRPr sz="700"/>
            </a:pPr>
            <a:endParaRPr lang="lv-LV"/>
          </a:p>
        </c:txPr>
        <c:crossAx val="630031360"/>
        <c:crosses val="autoZero"/>
        <c:auto val="1"/>
        <c:lblAlgn val="ctr"/>
        <c:lblOffset val="100"/>
        <c:noMultiLvlLbl val="0"/>
      </c:catAx>
      <c:valAx>
        <c:axId val="630031360"/>
        <c:scaling>
          <c:orientation val="minMax"/>
        </c:scaling>
        <c:delete val="0"/>
        <c:axPos val="l"/>
        <c:numFmt formatCode="0" sourceLinked="0"/>
        <c:majorTickMark val="out"/>
        <c:minorTickMark val="none"/>
        <c:tickLblPos val="nextTo"/>
        <c:txPr>
          <a:bodyPr/>
          <a:lstStyle/>
          <a:p>
            <a:pPr>
              <a:defRPr sz="800"/>
            </a:pPr>
            <a:endParaRPr lang="lv-LV"/>
          </a:p>
        </c:txPr>
        <c:crossAx val="630029792"/>
        <c:crosses val="autoZero"/>
        <c:crossBetween val="between"/>
        <c:majorUnit val="20"/>
      </c:valAx>
      <c:spPr>
        <a:ln>
          <a:noFill/>
        </a:ln>
      </c:spPr>
    </c:plotArea>
    <c:legend>
      <c:legendPos val="r"/>
      <c:layout>
        <c:manualLayout>
          <c:xMode val="edge"/>
          <c:yMode val="edge"/>
          <c:x val="0.10756494003272012"/>
          <c:y val="0.04952826842590622"/>
          <c:w val="0.78879653496227775"/>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19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738"/>
          <c:y val="0.046005165816941182"/>
          <c:w val="0.85762258292899962"/>
          <c:h val="0.83127986337207582"/>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Sheet1!$B$1:$J$1</c:f>
              <c:strCache>
                <c:ptCount val="9"/>
                <c:pt idx="0">
                  <c:v>2007</c:v>
                </c:pt>
                <c:pt idx="1">
                  <c:v>2008</c:v>
                </c:pt>
                <c:pt idx="2">
                  <c:v>2009</c:v>
                </c:pt>
                <c:pt idx="3">
                  <c:v>2010</c:v>
                </c:pt>
                <c:pt idx="4">
                  <c:v>2011</c:v>
                </c:pt>
                <c:pt idx="5">
                  <c:v>2012</c:v>
                </c:pt>
                <c:pt idx="6">
                  <c:v>2013</c:v>
                </c:pt>
                <c:pt idx="7">
                  <c:v>2014</c:v>
                </c:pt>
                <c:pt idx="8">
                  <c:v>2015</c:v>
                </c:pt>
              </c:strCache>
            </c:strRef>
          </c:cat>
          <c:val>
            <c:numRef>
              <c:f>Sheet1!$B$2:$J$2</c:f>
              <c:numCache>
                <c:formatCode>0</c:formatCode>
                <c:ptCount val="9"/>
                <c:pt idx="0">
                  <c:v>37.543267740570116</c:v>
                </c:pt>
                <c:pt idx="1">
                  <c:v>40.842057643741676</c:v>
                </c:pt>
                <c:pt idx="2">
                  <c:v>38.288707041966028</c:v>
                </c:pt>
                <c:pt idx="3">
                  <c:v>37.097778599507883</c:v>
                </c:pt>
                <c:pt idx="4">
                  <c:v>40.389766440010831</c:v>
                </c:pt>
                <c:pt idx="5">
                  <c:v>42.46259667259212</c:v>
                </c:pt>
                <c:pt idx="6">
                  <c:v>42.568476309606638</c:v>
                </c:pt>
                <c:pt idx="7">
                  <c:v>43.635115226322327</c:v>
                </c:pt>
                <c:pt idx="8">
                  <c:v>42.45554310298936</c:v>
                </c:pt>
              </c:numCache>
            </c:numRef>
          </c:val>
          <c:extLst>
            <c:ext xmlns:c="http://schemas.openxmlformats.org/drawingml/2006/chart" xmlns:c16="http://schemas.microsoft.com/office/drawing/2014/chart" uri="{C3380CC4-5D6E-409C-BE32-E72D297353CC}">
              <c16:uniqueId val="{00000000-60BC-48B5-8FB8-E4D23BBF9B88}"/>
            </c:ext>
          </c:extLst>
        </c:ser>
        <c:ser>
          <c:idx val="1"/>
          <c:order val="1"/>
          <c:tx>
            <c:strRef>
              <c:f>Sheet1!$A$3</c:f>
              <c:strCache>
                <c:ptCount val="1"/>
                <c:pt idx="0">
                  <c:v>Elektr. un optisko iek. ražošana</c:v>
                </c:pt>
              </c:strCache>
            </c:strRef>
          </c:tx>
          <c:spPr>
            <a:ln>
              <a:solidFill>
                <a:sysClr val="windowText" lastClr="000000"/>
              </a:solidFill>
            </a:ln>
          </c:spPr>
          <c:invertIfNegative val="0"/>
          <c:dLbls>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2007</c:v>
                </c:pt>
                <c:pt idx="1">
                  <c:v>2008</c:v>
                </c:pt>
                <c:pt idx="2">
                  <c:v>2009</c:v>
                </c:pt>
                <c:pt idx="3">
                  <c:v>2010</c:v>
                </c:pt>
                <c:pt idx="4">
                  <c:v>2011</c:v>
                </c:pt>
                <c:pt idx="5">
                  <c:v>2012</c:v>
                </c:pt>
                <c:pt idx="6">
                  <c:v>2013</c:v>
                </c:pt>
                <c:pt idx="7">
                  <c:v>2014</c:v>
                </c:pt>
                <c:pt idx="8">
                  <c:v>2015</c:v>
                </c:pt>
              </c:strCache>
            </c:strRef>
          </c:cat>
          <c:val>
            <c:numRef>
              <c:f>Sheet1!$B$3:$J$3</c:f>
              <c:numCache>
                <c:formatCode>0</c:formatCode>
                <c:ptCount val="9"/>
                <c:pt idx="0">
                  <c:v>25.997661924222026</c:v>
                </c:pt>
                <c:pt idx="1">
                  <c:v>31.150278323223041</c:v>
                </c:pt>
                <c:pt idx="2">
                  <c:v>27.12067693642873</c:v>
                </c:pt>
                <c:pt idx="3">
                  <c:v>28.154295335036728</c:v>
                </c:pt>
                <c:pt idx="4">
                  <c:v>36.603411462084104</c:v>
                </c:pt>
                <c:pt idx="5">
                  <c:v>35.907085203392725</c:v>
                </c:pt>
                <c:pt idx="6">
                  <c:v>44.256584361839266</c:v>
                </c:pt>
                <c:pt idx="7">
                  <c:v>38.464317272567207</c:v>
                </c:pt>
                <c:pt idx="8">
                  <c:v>56.27855053280004</c:v>
                </c:pt>
              </c:numCache>
            </c:numRef>
          </c:val>
          <c:extLst>
            <c:ext xmlns:c="http://schemas.openxmlformats.org/drawingml/2006/chart" xmlns:c16="http://schemas.microsoft.com/office/drawing/2014/chart" uri="{C3380CC4-5D6E-409C-BE32-E72D297353CC}">
              <c16:uniqueId val="{00000001-60BC-48B5-8FB8-E4D23BBF9B88}"/>
            </c:ext>
          </c:extLst>
        </c:ser>
        <c:dLbls>
          <c:showLegendKey val="0"/>
          <c:showVal val="0"/>
          <c:showCatName val="0"/>
          <c:showSerName val="0"/>
          <c:showPercent val="0"/>
          <c:showBubbleSize val="0"/>
        </c:dLbls>
        <c:gapWidth val="50"/>
        <c:overlap val="52"/>
        <c:axId val="630025088"/>
        <c:axId val="630025480"/>
      </c:barChart>
      <c:catAx>
        <c:axId val="630025088"/>
        <c:scaling>
          <c:orientation val="minMax"/>
        </c:scaling>
        <c:delete val="0"/>
        <c:axPos val="b"/>
        <c:numFmt formatCode="General" sourceLinked="0"/>
        <c:majorTickMark val="out"/>
        <c:minorTickMark val="none"/>
        <c:tickLblPos val="nextTo"/>
        <c:txPr>
          <a:bodyPr rot="-2700000"/>
          <a:lstStyle/>
          <a:p>
            <a:pPr>
              <a:defRPr sz="700"/>
            </a:pPr>
            <a:endParaRPr lang="lv-LV"/>
          </a:p>
        </c:txPr>
        <c:crossAx val="630025480"/>
        <c:crosses val="autoZero"/>
        <c:auto val="1"/>
        <c:lblAlgn val="ctr"/>
        <c:lblOffset val="100"/>
        <c:noMultiLvlLbl val="0"/>
      </c:catAx>
      <c:valAx>
        <c:axId val="630025480"/>
        <c:scaling>
          <c:orientation val="minMax"/>
        </c:scaling>
        <c:delete val="0"/>
        <c:axPos val="l"/>
        <c:numFmt formatCode="0" sourceLinked="1"/>
        <c:majorTickMark val="out"/>
        <c:minorTickMark val="none"/>
        <c:tickLblPos val="nextTo"/>
        <c:txPr>
          <a:bodyPr/>
          <a:lstStyle/>
          <a:p>
            <a:pPr>
              <a:defRPr sz="800"/>
            </a:pPr>
            <a:endParaRPr lang="lv-LV"/>
          </a:p>
        </c:txPr>
        <c:crossAx val="630025088"/>
        <c:crosses val="autoZero"/>
        <c:crossBetween val="between"/>
        <c:majorUnit val="20"/>
      </c:valAx>
      <c:spPr>
        <a:ln>
          <a:noFill/>
        </a:ln>
      </c:spPr>
    </c:plotArea>
    <c:legend>
      <c:legendPos val="r"/>
      <c:layout>
        <c:manualLayout>
          <c:xMode val="edge"/>
          <c:yMode val="edge"/>
          <c:x val="0.11881992692089959"/>
          <c:y val="0.0014802203778581716"/>
          <c:w val="0.80969378827646543"/>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19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46717244654"/>
          <c:y val="0.044057617797775277"/>
          <c:w val="0.9310540474739486"/>
          <c:h val="0.61410067643983524"/>
        </c:manualLayout>
      </c:layout>
      <c:barChart>
        <c:barDir val="col"/>
        <c:grouping val="clustered"/>
        <c:varyColors val="0"/>
        <c:ser>
          <c:idx val="1"/>
          <c:order val="0"/>
          <c:tx>
            <c:strRef>
              <c:f>Sheet1!$B$3</c:f>
              <c:strCache>
                <c:ptCount val="1"/>
                <c:pt idx="0">
                  <c:v>Compensation per employees 1000 of euro</c:v>
                </c:pt>
              </c:strCache>
            </c:strRef>
          </c:tx>
          <c:spPr>
            <a:solidFill>
              <a:schemeClr val="accent3">
                <a:lumMod val="50000"/>
              </a:schemeClr>
            </a:solidFill>
            <a:ln w="19050"/>
          </c:spPr>
          <c:invertIfNegative val="0"/>
          <c:dPt>
            <c:idx val="9"/>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1-962D-49E8-BBC8-5BB48FE6B779}"/>
              </c:ext>
            </c:extLst>
          </c:dPt>
          <c:dPt>
            <c:idx val="10"/>
            <c:invertIfNegative val="0"/>
            <c:bubble3D val="0"/>
            <c:extLst>
              <c:ext xmlns:c="http://schemas.openxmlformats.org/drawingml/2006/chart" xmlns:c16="http://schemas.microsoft.com/office/drawing/2014/chart" uri="{C3380CC4-5D6E-409C-BE32-E72D297353CC}">
                <c16:uniqueId val="{00000004-60C9-4481-AAE7-3849FD669B80}"/>
              </c:ext>
            </c:extLst>
          </c:dPt>
          <c:dPt>
            <c:idx val="20"/>
            <c:invertIfNegative val="0"/>
            <c:bubble3D val="0"/>
            <c:extLst>
              <c:ext xmlns:c="http://schemas.openxmlformats.org/drawingml/2006/chart" xmlns:c16="http://schemas.microsoft.com/office/drawing/2014/chart" uri="{C3380CC4-5D6E-409C-BE32-E72D297353CC}">
                <c16:uniqueId val="{00000000-90B4-432B-9A6B-6AB248CC5B60}"/>
              </c:ext>
            </c:extLst>
          </c:dPt>
          <c:dPt>
            <c:idx val="21"/>
            <c:invertIfNegative val="0"/>
            <c:bubble3D val="0"/>
            <c:spPr>
              <a:solidFill>
                <a:srgbClr val="C00000"/>
              </a:solidFill>
              <a:ln w="19050"/>
            </c:spPr>
            <c:extLst>
              <c:ext xmlns:c="http://schemas.openxmlformats.org/drawingml/2006/chart" xmlns:c16="http://schemas.microsoft.com/office/drawing/2014/chart" uri="{C3380CC4-5D6E-409C-BE32-E72D297353CC}">
                <c16:uniqueId val="{00000005-962D-49E8-BBC8-5BB48FE6B779}"/>
              </c:ext>
            </c:extLst>
          </c:dPt>
          <c:dPt>
            <c:idx val="22"/>
            <c:invertIfNegative val="0"/>
            <c:bubble3D val="0"/>
            <c:extLst>
              <c:ext xmlns:c="http://schemas.openxmlformats.org/drawingml/2006/chart" xmlns:c16="http://schemas.microsoft.com/office/drawing/2014/chart" uri="{C3380CC4-5D6E-409C-BE32-E72D297353CC}">
                <c16:uniqueId val="{00000002-90B4-432B-9A6B-6AB248CC5B60}"/>
              </c:ext>
            </c:extLst>
          </c:dPt>
          <c:dPt>
            <c:idx val="25"/>
            <c:invertIfNegative val="0"/>
            <c:bubble3D val="0"/>
            <c:extLst>
              <c:ext xmlns:c="http://schemas.openxmlformats.org/drawingml/2006/chart" xmlns:c16="http://schemas.microsoft.com/office/drawing/2014/chart" uri="{C3380CC4-5D6E-409C-BE32-E72D297353CC}">
                <c16:uniqueId val="{00000003-90B4-432B-9A6B-6AB248CC5B60}"/>
              </c:ext>
            </c:extLst>
          </c:dPt>
          <c:dLbls>
            <c:dLbl>
              <c:idx val="9"/>
              <c:numFmt formatCode="#,##0" sourceLinked="0"/>
              <c:spPr>
                <a:noFill/>
                <a:ln>
                  <a:noFill/>
                </a:ln>
                <a:effectLst/>
              </c:spPr>
              <c:txPr>
                <a:bodyPr/>
                <a:lstStyle/>
                <a:p>
                  <a:pPr>
                    <a:defRPr sz="600" b="0"/>
                  </a:pPr>
                  <a:endParaRPr lang="lv-LV"/>
                </a:p>
              </c:txPr>
              <c:showLegendKey val="0"/>
              <c:showVal val="1"/>
              <c:showCatName val="0"/>
              <c:showSerName val="0"/>
              <c:showPercent val="0"/>
              <c:showBubbleSize val="0"/>
            </c:dLbl>
            <c:dLbl>
              <c:idx val="21"/>
              <c:numFmt formatCode="#,##0" sourceLinked="0"/>
              <c:spPr>
                <a:noFill/>
                <a:ln>
                  <a:noFill/>
                </a:ln>
                <a:effectLst/>
              </c:spPr>
              <c:txPr>
                <a:bodyPr/>
                <a:lstStyle/>
                <a:p>
                  <a:pPr>
                    <a:defRPr sz="600" b="1"/>
                  </a:pPr>
                  <a:endParaRPr lang="lv-LV"/>
                </a:p>
              </c:txPr>
              <c:showLegendKey val="0"/>
              <c:showVal val="1"/>
              <c:showCatName val="0"/>
              <c:showSerName val="0"/>
              <c:showPercent val="0"/>
              <c:showBubbleSize val="0"/>
            </c:dLbl>
            <c:dLbl>
              <c:idx val="22"/>
              <c:layout>
                <c:manualLayout>
                  <c:x val="0"/>
                  <c:y val="0.010784627531314683"/>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90B4-432B-9A6B-6AB248CC5B60}"/>
                </c:ext>
                <c:ext xmlns:c15="http://schemas.microsoft.com/office/drawing/2012/chart" uri="{CE6537A1-D6FC-4f65-9D91-7224C49458BB}"/>
              </c:extLst>
            </c:dLbl>
            <c:dLbl>
              <c:idx val="25"/>
              <c:layout>
                <c:manualLayout>
                  <c:x val="0"/>
                  <c:y val="0.004704245953630796"/>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90B4-432B-9A6B-6AB248CC5B60}"/>
                </c:ext>
                <c:ext xmlns:c15="http://schemas.microsoft.com/office/drawing/2012/chart" uri="{CE6537A1-D6FC-4f65-9D91-7224C49458BB}"/>
              </c:extLst>
            </c:dLbl>
            <c:numFmt formatCode="#,##0" sourceLinked="0"/>
            <c:spPr>
              <a:noFill/>
              <a:ln>
                <a:noFill/>
              </a:ln>
              <a:effectLst/>
            </c:spPr>
            <c:txPr>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Sheet1!$A$4:$A$29</c:f>
              <c:strCache>
                <c:ptCount val="26"/>
                <c:pt idx="0">
                  <c:v>Nīderlande</c:v>
                </c:pt>
                <c:pt idx="1">
                  <c:v>Apv. Karaliste</c:v>
                </c:pt>
                <c:pt idx="2">
                  <c:v>Dānija</c:v>
                </c:pt>
                <c:pt idx="3">
                  <c:v>Francija</c:v>
                </c:pt>
                <c:pt idx="4">
                  <c:v>Somija</c:v>
                </c:pt>
                <c:pt idx="5">
                  <c:v>Beļģija</c:v>
                </c:pt>
                <c:pt idx="6">
                  <c:v>Vācija</c:v>
                </c:pt>
                <c:pt idx="7">
                  <c:v>Austrija</c:v>
                </c:pt>
                <c:pt idx="8">
                  <c:v>Zviedrija</c:v>
                </c:pt>
                <c:pt idx="9">
                  <c:v>ES-28</c:v>
                </c:pt>
                <c:pt idx="10">
                  <c:v>Itālija</c:v>
                </c:pt>
                <c:pt idx="11">
                  <c:v>Spānija</c:v>
                </c:pt>
                <c:pt idx="12">
                  <c:v>Horvātija</c:v>
                </c:pt>
                <c:pt idx="13">
                  <c:v>Portugāle</c:v>
                </c:pt>
                <c:pt idx="14">
                  <c:v>Slovēnija</c:v>
                </c:pt>
                <c:pt idx="15">
                  <c:v>Grieķija</c:v>
                </c:pt>
                <c:pt idx="16">
                  <c:v>Kipra</c:v>
                </c:pt>
                <c:pt idx="17">
                  <c:v>Lietuva</c:v>
                </c:pt>
                <c:pt idx="18">
                  <c:v>Igaunija</c:v>
                </c:pt>
                <c:pt idx="19">
                  <c:v>Slovākija</c:v>
                </c:pt>
                <c:pt idx="20">
                  <c:v>Čehija</c:v>
                </c:pt>
                <c:pt idx="21">
                  <c:v>Latvija</c:v>
                </c:pt>
                <c:pt idx="22">
                  <c:v>Polija</c:v>
                </c:pt>
                <c:pt idx="23">
                  <c:v>Ungārija</c:v>
                </c:pt>
                <c:pt idx="24">
                  <c:v>Rumānija</c:v>
                </c:pt>
                <c:pt idx="25">
                  <c:v>Bulgārija</c:v>
                </c:pt>
              </c:strCache>
            </c:strRef>
          </c:cat>
          <c:val>
            <c:numRef>
              <c:f>Sheet1!$B$4:$B$29</c:f>
              <c:numCache>
                <c:formatCode>#,##0.0</c:formatCode>
                <c:ptCount val="26"/>
                <c:pt idx="0">
                  <c:v>75.0909090909091</c:v>
                </c:pt>
                <c:pt idx="1">
                  <c:v>71.2149828541282</c:v>
                </c:pt>
                <c:pt idx="2">
                  <c:v>70.4375</c:v>
                </c:pt>
                <c:pt idx="3">
                  <c:v>70.192546583850927</c:v>
                </c:pt>
                <c:pt idx="4">
                  <c:v>68.518518518518519</c:v>
                </c:pt>
                <c:pt idx="5">
                  <c:v>66.966666666666669</c:v>
                </c:pt>
                <c:pt idx="6">
                  <c:v>59.304347826086953</c:v>
                </c:pt>
                <c:pt idx="7">
                  <c:v>59.244698963008823</c:v>
                </c:pt>
                <c:pt idx="8">
                  <c:v>53.555319148936171</c:v>
                </c:pt>
                <c:pt idx="9">
                  <c:v>45.303752673536849</c:v>
                </c:pt>
                <c:pt idx="10">
                  <c:v>44.997179693795317</c:v>
                </c:pt>
                <c:pt idx="11">
                  <c:v>42.926577042399181</c:v>
                </c:pt>
                <c:pt idx="12">
                  <c:v>24.606060606060609</c:v>
                </c:pt>
                <c:pt idx="13">
                  <c:v>24.442021083242455</c:v>
                </c:pt>
                <c:pt idx="14">
                  <c:v>24.293547026571066</c:v>
                </c:pt>
                <c:pt idx="15">
                  <c:v>22.956033676333025</c:v>
                </c:pt>
                <c:pt idx="16">
                  <c:v>22.653061224489797</c:v>
                </c:pt>
                <c:pt idx="17">
                  <c:v>19.514285714285712</c:v>
                </c:pt>
                <c:pt idx="18">
                  <c:v>16.184615384615384</c:v>
                </c:pt>
                <c:pt idx="19">
                  <c:v>16.153846153846153</c:v>
                </c:pt>
                <c:pt idx="20">
                  <c:v>15.612132857534998</c:v>
                </c:pt>
                <c:pt idx="21">
                  <c:v>15</c:v>
                </c:pt>
                <c:pt idx="22">
                  <c:v>11.721194879089616</c:v>
                </c:pt>
                <c:pt idx="23">
                  <c:v>11.448423801529566</c:v>
                </c:pt>
                <c:pt idx="24">
                  <c:v>8.2305389221556862</c:v>
                </c:pt>
                <c:pt idx="25">
                  <c:v>7.6623376623376638</c:v>
                </c:pt>
              </c:numCache>
            </c:numRef>
          </c:val>
          <c:extLst>
            <c:ext xmlns:c="http://schemas.openxmlformats.org/drawingml/2006/chart" xmlns:c16="http://schemas.microsoft.com/office/drawing/2014/chart" uri="{C3380CC4-5D6E-409C-BE32-E72D297353CC}">
              <c16:uniqueId val="{00000004-90B4-432B-9A6B-6AB248CC5B60}"/>
            </c:ext>
          </c:extLst>
        </c:ser>
        <c:dLbls>
          <c:showLegendKey val="0"/>
          <c:showVal val="0"/>
          <c:showCatName val="0"/>
          <c:showSerName val="0"/>
          <c:showPercent val="0"/>
          <c:showBubbleSize val="0"/>
        </c:dLbls>
        <c:gapWidth val="20"/>
        <c:axId val="630027440"/>
        <c:axId val="630026656"/>
      </c:barChart>
      <c:catAx>
        <c:axId val="630027440"/>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30026656"/>
        <c:crosses val="autoZero"/>
        <c:auto val="1"/>
        <c:lblAlgn val="ctr"/>
        <c:lblOffset val="100"/>
        <c:tickLblSkip val="1"/>
        <c:noMultiLvlLbl val="0"/>
      </c:catAx>
      <c:valAx>
        <c:axId val="630026656"/>
        <c:scaling>
          <c:orientation val="minMax"/>
        </c:scaling>
        <c:delete val="0"/>
        <c:axPos val="l"/>
        <c:numFmt formatCode="0" sourceLinked="0"/>
        <c:majorTickMark val="out"/>
        <c:minorTickMark val="none"/>
        <c:tickLblPos val="nextTo"/>
        <c:txPr>
          <a:bodyPr/>
          <a:lstStyle/>
          <a:p>
            <a:pPr>
              <a:defRPr sz="600"/>
            </a:pPr>
            <a:endParaRPr lang="lv-LV"/>
          </a:p>
        </c:txPr>
        <c:crossAx val="630027440"/>
        <c:crosses val="autoZero"/>
        <c:crossBetween val="between"/>
      </c:valAx>
    </c:plotArea>
    <c:plotVisOnly val="1"/>
    <c:dispBlanksAs val="gap"/>
    <c:showDLblsOverMax val="0"/>
  </c:chart>
  <c:spPr>
    <a:ln w="9525">
      <a:noFill/>
    </a:ln>
  </c:spPr>
  <c:externalData r:id="rId1">
    <c:autoUpdate val="0"/>
  </c:externalData>
</c:chartSpace>
</file>

<file path=word/charts/chart19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46717244654"/>
          <c:y val="0.044057617797775277"/>
          <c:w val="0.9310540474739486"/>
          <c:h val="0.5379988477050125"/>
        </c:manualLayout>
      </c:layout>
      <c:barChart>
        <c:barDir val="col"/>
        <c:grouping val="clustered"/>
        <c:varyColors val="0"/>
        <c:ser>
          <c:idx val="1"/>
          <c:order val="0"/>
          <c:tx>
            <c:strRef>
              <c:f>Sheet1!$B$3</c:f>
              <c:strCache>
                <c:ptCount val="1"/>
                <c:pt idx="0">
                  <c:v>Resource productivity</c:v>
                </c:pt>
              </c:strCache>
            </c:strRef>
          </c:tx>
          <c:spPr>
            <a:solidFill>
              <a:schemeClr val="accent3">
                <a:lumMod val="50000"/>
              </a:schemeClr>
            </a:solidFill>
            <a:ln w="19050"/>
          </c:spPr>
          <c:invertIfNegative val="0"/>
          <c:dPt>
            <c:idx val="10"/>
            <c:invertIfNegative val="0"/>
            <c:bubble3D val="0"/>
            <c:extLst>
              <c:ext xmlns:c="http://schemas.openxmlformats.org/drawingml/2006/chart" xmlns:c16="http://schemas.microsoft.com/office/drawing/2014/chart" uri="{C3380CC4-5D6E-409C-BE32-E72D297353CC}">
                <c16:uniqueId val="{00000005-D9F0-428A-A666-3D7DE504C09D}"/>
              </c:ext>
            </c:extLst>
          </c:dPt>
          <c:dPt>
            <c:idx val="12"/>
            <c:invertIfNegative val="0"/>
            <c:bubble3D val="0"/>
            <c:spPr>
              <a:solidFill>
                <a:srgbClr val="C00000"/>
              </a:solidFill>
              <a:ln w="19050"/>
            </c:spPr>
            <c:extLst>
              <c:ext xmlns:c="http://schemas.openxmlformats.org/drawingml/2006/chart" xmlns:c16="http://schemas.microsoft.com/office/drawing/2014/chart" uri="{C3380CC4-5D6E-409C-BE32-E72D297353CC}">
                <c16:uniqueId val="{00000002-5DE0-469E-915C-F9548A49C6D9}"/>
              </c:ext>
            </c:extLst>
          </c:dPt>
          <c:dPt>
            <c:idx val="16"/>
            <c:invertIfNegative val="0"/>
            <c:bubble3D val="0"/>
            <c:extLst>
              <c:ext xmlns:c="http://schemas.openxmlformats.org/drawingml/2006/chart" xmlns:c16="http://schemas.microsoft.com/office/drawing/2014/chart" uri="{C3380CC4-5D6E-409C-BE32-E72D297353CC}">
                <c16:uniqueId val="{00000000-BC08-47BF-A250-E1E70C81F281}"/>
              </c:ext>
            </c:extLst>
          </c:dPt>
          <c:dPt>
            <c:idx val="17"/>
            <c:invertIfNegative val="0"/>
            <c:bubble3D val="0"/>
            <c:extLst>
              <c:ext xmlns:c="http://schemas.openxmlformats.org/drawingml/2006/chart" xmlns:c16="http://schemas.microsoft.com/office/drawing/2014/chart" uri="{C3380CC4-5D6E-409C-BE32-E72D297353CC}">
                <c16:uniqueId val="{00000001-BC08-47BF-A250-E1E70C81F281}"/>
              </c:ext>
            </c:extLst>
          </c:dPt>
          <c:dPt>
            <c:idx val="22"/>
            <c:invertIfNegative val="0"/>
            <c:bubble3D val="0"/>
            <c:extLst>
              <c:ext xmlns:c="http://schemas.openxmlformats.org/drawingml/2006/chart" xmlns:c16="http://schemas.microsoft.com/office/drawing/2014/chart" uri="{C3380CC4-5D6E-409C-BE32-E72D297353CC}">
                <c16:uniqueId val="{00000003-BC08-47BF-A250-E1E70C81F281}"/>
              </c:ext>
            </c:extLst>
          </c:dPt>
          <c:dPt>
            <c:idx val="25"/>
            <c:invertIfNegative val="0"/>
            <c:bubble3D val="0"/>
            <c:extLst>
              <c:ext xmlns:c="http://schemas.openxmlformats.org/drawingml/2006/chart" xmlns:c16="http://schemas.microsoft.com/office/drawing/2014/chart" uri="{C3380CC4-5D6E-409C-BE32-E72D297353CC}">
                <c16:uniqueId val="{00000004-BC08-47BF-A250-E1E70C81F281}"/>
              </c:ext>
            </c:extLst>
          </c:dPt>
          <c:dLbls>
            <c:dLbl>
              <c:idx val="12"/>
              <c:numFmt formatCode="#,##0" sourceLinked="0"/>
              <c:spPr>
                <a:noFill/>
                <a:ln>
                  <a:noFill/>
                </a:ln>
                <a:effectLst/>
              </c:spPr>
              <c:txPr>
                <a:bodyPr/>
                <a:lstStyle/>
                <a:p>
                  <a:pPr>
                    <a:defRPr sz="600" b="1"/>
                  </a:pPr>
                  <a:endParaRPr lang="lv-LV"/>
                </a:p>
              </c:txPr>
              <c:showLegendKey val="0"/>
              <c:showVal val="1"/>
              <c:showCatName val="0"/>
              <c:showSerName val="0"/>
              <c:showPercent val="0"/>
              <c:showBubbleSize val="0"/>
            </c:dLbl>
            <c:dLbl>
              <c:idx val="22"/>
              <c:layout>
                <c:manualLayout>
                  <c:x val="0"/>
                  <c:y val="-3.670272923206641E-05"/>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BC08-47BF-A250-E1E70C81F281}"/>
                </c:ext>
                <c:ext xmlns:c15="http://schemas.microsoft.com/office/drawing/2012/chart" uri="{CE6537A1-D6FC-4f65-9D91-7224C49458BB}"/>
              </c:extLst>
            </c:dLbl>
            <c:dLbl>
              <c:idx val="25"/>
              <c:layout>
                <c:manualLayout>
                  <c:x val="0"/>
                  <c:y val="0.004704245953630796"/>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BC08-47BF-A250-E1E70C81F281}"/>
                </c:ext>
                <c:ext xmlns:c15="http://schemas.microsoft.com/office/drawing/2012/chart" uri="{CE6537A1-D6FC-4f65-9D91-7224C49458BB}"/>
              </c:extLst>
            </c:dLbl>
            <c:numFmt formatCode="#,##0" sourceLinked="0"/>
            <c:spPr>
              <a:noFill/>
              <a:ln>
                <a:noFill/>
              </a:ln>
              <a:effectLst/>
            </c:spPr>
            <c:txPr>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Sheet1!$A$4:$A$28</c:f>
              <c:strCache>
                <c:ptCount val="25"/>
                <c:pt idx="0">
                  <c:v>Nīderlande</c:v>
                </c:pt>
                <c:pt idx="1">
                  <c:v>Somija</c:v>
                </c:pt>
                <c:pt idx="2">
                  <c:v>Francija</c:v>
                </c:pt>
                <c:pt idx="3">
                  <c:v>Austrija</c:v>
                </c:pt>
                <c:pt idx="4">
                  <c:v>Dānija</c:v>
                </c:pt>
                <c:pt idx="5">
                  <c:v>Zviedrija</c:v>
                </c:pt>
                <c:pt idx="6">
                  <c:v>Vācija</c:v>
                </c:pt>
                <c:pt idx="7">
                  <c:v>Spānija</c:v>
                </c:pt>
                <c:pt idx="8">
                  <c:v>Beļģija</c:v>
                </c:pt>
                <c:pt idx="9">
                  <c:v>Apv. Karaliste</c:v>
                </c:pt>
                <c:pt idx="10">
                  <c:v>Itālija</c:v>
                </c:pt>
                <c:pt idx="11">
                  <c:v>Kipra</c:v>
                </c:pt>
                <c:pt idx="12">
                  <c:v>Latvija</c:v>
                </c:pt>
                <c:pt idx="13">
                  <c:v>Portugāle</c:v>
                </c:pt>
                <c:pt idx="14">
                  <c:v>Grieķija</c:v>
                </c:pt>
                <c:pt idx="15">
                  <c:v>Slovākija</c:v>
                </c:pt>
                <c:pt idx="16">
                  <c:v>Lietuva</c:v>
                </c:pt>
                <c:pt idx="17">
                  <c:v>Slovēnija</c:v>
                </c:pt>
                <c:pt idx="18">
                  <c:v>Horvātija</c:v>
                </c:pt>
                <c:pt idx="19">
                  <c:v>Čehija</c:v>
                </c:pt>
                <c:pt idx="20">
                  <c:v>Igaunija</c:v>
                </c:pt>
                <c:pt idx="21">
                  <c:v>Ungārija</c:v>
                </c:pt>
                <c:pt idx="22">
                  <c:v>Polija</c:v>
                </c:pt>
                <c:pt idx="23">
                  <c:v>Rumānija</c:v>
                </c:pt>
                <c:pt idx="24">
                  <c:v>Bulgārija</c:v>
                </c:pt>
              </c:strCache>
            </c:strRef>
          </c:cat>
          <c:val>
            <c:numRef>
              <c:f>Sheet1!$B$4:$B$28</c:f>
              <c:numCache>
                <c:formatCode>#,##0.0</c:formatCode>
                <c:ptCount val="25"/>
                <c:pt idx="0">
                  <c:v>162.32608695652175</c:v>
                </c:pt>
                <c:pt idx="1">
                  <c:v>128.53658536585365</c:v>
                </c:pt>
                <c:pt idx="2">
                  <c:v>120.78527607361963</c:v>
                </c:pt>
                <c:pt idx="3">
                  <c:v>116.27857033287314</c:v>
                </c:pt>
                <c:pt idx="4">
                  <c:v>115.28400000000002</c:v>
                </c:pt>
                <c:pt idx="5">
                  <c:v>111.75957446808512</c:v>
                </c:pt>
                <c:pt idx="6">
                  <c:v>95.469421487603313</c:v>
                </c:pt>
                <c:pt idx="7">
                  <c:v>80.84188911704311</c:v>
                </c:pt>
                <c:pt idx="8">
                  <c:v>78.152727272727262</c:v>
                </c:pt>
                <c:pt idx="9">
                  <c:v>69.801414171806826</c:v>
                </c:pt>
                <c:pt idx="10">
                  <c:v>66.756356736242878</c:v>
                </c:pt>
                <c:pt idx="11">
                  <c:v>66.47058823529413</c:v>
                </c:pt>
                <c:pt idx="12">
                  <c:v>45.375253549695742</c:v>
                </c:pt>
                <c:pt idx="13">
                  <c:v>44.604885057471265</c:v>
                </c:pt>
                <c:pt idx="14">
                  <c:v>44.080914687774843</c:v>
                </c:pt>
                <c:pt idx="15">
                  <c:v>40.499999999999993</c:v>
                </c:pt>
                <c:pt idx="16">
                  <c:v>37.885714285714286</c:v>
                </c:pt>
                <c:pt idx="17">
                  <c:v>36.819699499165274</c:v>
                </c:pt>
                <c:pt idx="18">
                  <c:v>36.251862891207153</c:v>
                </c:pt>
                <c:pt idx="19">
                  <c:v>35.8825413090816</c:v>
                </c:pt>
                <c:pt idx="20">
                  <c:v>31.582089552238806</c:v>
                </c:pt>
                <c:pt idx="21">
                  <c:v>28.948245532821037</c:v>
                </c:pt>
                <c:pt idx="22">
                  <c:v>24.749065420560747</c:v>
                </c:pt>
                <c:pt idx="23">
                  <c:v>21.509730538922149</c:v>
                </c:pt>
                <c:pt idx="24">
                  <c:v>11.453859547301219</c:v>
                </c:pt>
              </c:numCache>
            </c:numRef>
          </c:val>
          <c:extLst>
            <c:ext xmlns:c="http://schemas.openxmlformats.org/drawingml/2006/chart" xmlns:c16="http://schemas.microsoft.com/office/drawing/2014/chart" uri="{C3380CC4-5D6E-409C-BE32-E72D297353CC}">
              <c16:uniqueId val="{00000005-BC08-47BF-A250-E1E70C81F281}"/>
            </c:ext>
          </c:extLst>
        </c:ser>
        <c:dLbls>
          <c:showLegendKey val="0"/>
          <c:showVal val="0"/>
          <c:showCatName val="0"/>
          <c:showSerName val="0"/>
          <c:showPercent val="0"/>
          <c:showBubbleSize val="0"/>
        </c:dLbls>
        <c:gapWidth val="20"/>
        <c:axId val="630027832"/>
        <c:axId val="630023520"/>
      </c:barChart>
      <c:catAx>
        <c:axId val="630027832"/>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30023520"/>
        <c:crosses val="autoZero"/>
        <c:auto val="1"/>
        <c:lblAlgn val="ctr"/>
        <c:lblOffset val="100"/>
        <c:tickLblSkip val="1"/>
        <c:noMultiLvlLbl val="0"/>
      </c:catAx>
      <c:valAx>
        <c:axId val="630023520"/>
        <c:scaling>
          <c:orientation val="minMax"/>
        </c:scaling>
        <c:delete val="0"/>
        <c:axPos val="l"/>
        <c:numFmt formatCode="0" sourceLinked="0"/>
        <c:majorTickMark val="out"/>
        <c:minorTickMark val="none"/>
        <c:tickLblPos val="nextTo"/>
        <c:txPr>
          <a:bodyPr/>
          <a:lstStyle/>
          <a:p>
            <a:pPr>
              <a:defRPr sz="600"/>
            </a:pPr>
            <a:endParaRPr lang="lv-LV"/>
          </a:p>
        </c:txPr>
        <c:crossAx val="630027832"/>
        <c:crosses val="autoZero"/>
        <c:crossBetween val="between"/>
      </c:valAx>
    </c:plotArea>
    <c:plotVisOnly val="1"/>
    <c:dispBlanksAs val="gap"/>
    <c:showDLblsOverMax val="0"/>
  </c:chart>
  <c:spPr>
    <a:ln w="9525">
      <a:noFill/>
    </a:ln>
  </c:spPr>
  <c:externalData r:id="rId1">
    <c:autoUpdate val="0"/>
  </c:externalData>
</c:chartSpace>
</file>

<file path=word/charts/chart19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2572178477690286"/>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386C-456A-B9B6-EB68E0EE411D}"/>
              </c:ext>
            </c:extLst>
          </c:dPt>
          <c:dPt>
            <c:idx val="5"/>
            <c:bubble3D val="0"/>
            <c:extLst>
              <c:ext xmlns:c="http://schemas.openxmlformats.org/drawingml/2006/chart" xmlns:c16="http://schemas.microsoft.com/office/drawing/2014/chart" uri="{C3380CC4-5D6E-409C-BE32-E72D297353CC}">
                <c16:uniqueId val="{00000001-386C-456A-B9B6-EB68E0EE411D}"/>
              </c:ext>
            </c:extLst>
          </c:dPt>
          <c:dPt>
            <c:idx val="11"/>
            <c:bubble3D val="0"/>
            <c:extLst>
              <c:ext xmlns:c="http://schemas.openxmlformats.org/drawingml/2006/chart" xmlns:c16="http://schemas.microsoft.com/office/drawing/2014/chart" uri="{C3380CC4-5D6E-409C-BE32-E72D297353CC}">
                <c16:uniqueId val="{00000002-386C-456A-B9B6-EB68E0EE411D}"/>
              </c:ext>
            </c:extLst>
          </c:dPt>
          <c:dPt>
            <c:idx val="12"/>
            <c:bubble3D val="0"/>
            <c:extLst>
              <c:ext xmlns:c="http://schemas.openxmlformats.org/drawingml/2006/chart" xmlns:c16="http://schemas.microsoft.com/office/drawing/2014/chart" uri="{C3380CC4-5D6E-409C-BE32-E72D297353CC}">
                <c16:uniqueId val="{00000003-386C-456A-B9B6-EB68E0EE411D}"/>
              </c:ext>
            </c:extLst>
          </c:dPt>
          <c:dPt>
            <c:idx val="14"/>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4-386C-456A-B9B6-EB68E0EE411D}"/>
              </c:ext>
            </c:extLst>
          </c:dPt>
          <c:dLbls>
            <c:dLbl>
              <c:idx val="0"/>
              <c:layout>
                <c:manualLayout>
                  <c:x val="-0.04976851436086157"/>
                  <c:y val="-0.057333323301255762"/>
                </c:manualLayout>
              </c:layout>
              <c:tx>
                <c:rich>
                  <a:bodyPr vertOverflow="clip"/>
                  <a:lstStyle/>
                  <a:p>
                    <a:r>
                      <a:rPr lang="en-US"/>
                      <a:t>EU-28</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386C-456A-B9B6-EB68E0EE411D}"/>
                </c:ext>
                <c:ext xmlns:c15="http://schemas.microsoft.com/office/drawing/2012/chart" uri="{CE6537A1-D6FC-4f65-9D91-7224C49458BB}"/>
              </c:extLst>
            </c:dLbl>
            <c:dLbl>
              <c:idx val="1"/>
              <c:layout>
                <c:manualLayout>
                  <c:x val="-0.0580632667543385"/>
                  <c:y val="-0.057333323301255762"/>
                </c:manualLayout>
              </c:layout>
              <c:tx>
                <c:rich>
                  <a:bodyPr vertOverflow="clip"/>
                  <a:lstStyle/>
                  <a:p>
                    <a:r>
                      <a:rPr lang="en-US"/>
                      <a:t>BE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386C-456A-B9B6-EB68E0EE411D}"/>
                </c:ext>
                <c:ext xmlns:c15="http://schemas.microsoft.com/office/drawing/2012/chart" uri="{CE6537A1-D6FC-4f65-9D91-7224C49458BB}"/>
              </c:extLst>
            </c:dLbl>
            <c:dLbl>
              <c:idx val="2"/>
              <c:layout>
                <c:manualLayout>
                  <c:x val="-0.04976851436086157"/>
                  <c:y val="0.1051110927189689"/>
                </c:manualLayout>
              </c:layout>
              <c:tx>
                <c:rich>
                  <a:bodyPr vertOverflow="clip"/>
                  <a:lstStyle/>
                  <a:p>
                    <a:r>
                      <a:rPr lang="en-US"/>
                      <a:t>BG</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386C-456A-B9B6-EB68E0EE411D}"/>
                </c:ext>
                <c:ext xmlns:c15="http://schemas.microsoft.com/office/drawing/2012/chart" uri="{CE6537A1-D6FC-4f65-9D91-7224C49458BB}"/>
              </c:extLst>
            </c:dLbl>
            <c:dLbl>
              <c:idx val="3"/>
              <c:layout>
                <c:manualLayout>
                  <c:x val="-0.016589504786953858"/>
                  <c:y val="0.019111107767085255"/>
                </c:manualLayout>
              </c:layout>
              <c:tx>
                <c:rich>
                  <a:bodyPr vertOverflow="clip"/>
                  <a:lstStyle/>
                  <a:p>
                    <a:r>
                      <a:rPr lang="en-US"/>
                      <a:t>CZ</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386C-456A-B9B6-EB68E0EE411D}"/>
                </c:ext>
                <c:ext xmlns:c15="http://schemas.microsoft.com/office/drawing/2012/chart" uri="{CE6537A1-D6FC-4f65-9D91-7224C49458BB}"/>
              </c:extLst>
            </c:dLbl>
            <c:dLbl>
              <c:idx val="4"/>
              <c:layout>
                <c:manualLayout>
                  <c:x val="-0.020736880983692321"/>
                  <c:y val="-0.057333323301255762"/>
                </c:manualLayout>
              </c:layout>
              <c:tx>
                <c:rich>
                  <a:bodyPr vertOverflow="clip"/>
                  <a:lstStyle/>
                  <a:p>
                    <a:r>
                      <a:rPr lang="en-US"/>
                      <a:t>DK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386C-456A-B9B6-EB68E0EE411D}"/>
                </c:ext>
                <c:ext xmlns:c15="http://schemas.microsoft.com/office/drawing/2012/chart" uri="{CE6537A1-D6FC-4f65-9D91-7224C49458BB}"/>
              </c:extLst>
            </c:dLbl>
            <c:dLbl>
              <c:idx val="5"/>
              <c:layout>
                <c:manualLayout>
                  <c:x val="-0.0456211381641231"/>
                  <c:y val="0.076444431068341048"/>
                </c:manualLayout>
              </c:layout>
              <c:tx>
                <c:rich>
                  <a:bodyPr vertOverflow="clip"/>
                  <a:lstStyle/>
                  <a:p>
                    <a:r>
                      <a:rPr lang="en-US"/>
                      <a:t>DE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386C-456A-B9B6-EB68E0EE411D}"/>
                </c:ext>
                <c:ext xmlns:c15="http://schemas.microsoft.com/office/drawing/2012/chart" uri="{CE6537A1-D6FC-4f65-9D91-7224C49458BB}"/>
              </c:extLst>
            </c:dLbl>
            <c:dLbl>
              <c:idx val="6"/>
              <c:layout>
                <c:manualLayout>
                  <c:x val="-0.029031633377169248"/>
                  <c:y val="-0.028666661650627881"/>
                </c:manualLayout>
              </c:layout>
              <c:tx>
                <c:rich>
                  <a:bodyPr vertOverflow="clip"/>
                  <a:lstStyle/>
                  <a:p>
                    <a:r>
                      <a:rPr lang="en-US"/>
                      <a:t>EE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386C-456A-B9B6-EB68E0EE411D}"/>
                </c:ext>
                <c:ext xmlns:c15="http://schemas.microsoft.com/office/drawing/2012/chart" uri="{CE6537A1-D6FC-4f65-9D91-7224C49458BB}"/>
              </c:extLst>
            </c:dLbl>
            <c:dLbl>
              <c:idx val="7"/>
              <c:layout>
                <c:manualLayout>
                  <c:x val="-0.037357993802176595"/>
                  <c:y val="-0.085555305586801647"/>
                </c:manualLayout>
              </c:layout>
              <c:tx>
                <c:rich>
                  <a:bodyPr vertOverflow="clip"/>
                  <a:lstStyle/>
                  <a:p>
                    <a:r>
                      <a:rPr lang="en-US"/>
                      <a:t>IE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386C-456A-B9B6-EB68E0EE411D}"/>
                </c:ext>
                <c:ext xmlns:c15="http://schemas.microsoft.com/office/drawing/2012/chart" uri="{CE6537A1-D6FC-4f65-9D91-7224C49458BB}"/>
              </c:extLst>
            </c:dLbl>
            <c:dLbl>
              <c:idx val="8"/>
              <c:layout>
                <c:manualLayout>
                  <c:x val="-0.0456211381641231"/>
                  <c:y val="-0.085999984951883643"/>
                </c:manualLayout>
              </c:layout>
              <c:tx>
                <c:rich>
                  <a:bodyPr vertOverflow="clip"/>
                  <a:lstStyle/>
                  <a:p>
                    <a:r>
                      <a:rPr lang="en-US"/>
                      <a:t>EL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386C-456A-B9B6-EB68E0EE411D}"/>
                </c:ext>
                <c:ext xmlns:c15="http://schemas.microsoft.com/office/drawing/2012/chart" uri="{CE6537A1-D6FC-4f65-9D91-7224C49458BB}"/>
              </c:extLst>
            </c:dLbl>
            <c:dLbl>
              <c:idx val="9"/>
              <c:layout>
                <c:manualLayout>
                  <c:x val="-0.0705053953445539"/>
                  <c:y val="0.057333323301255762"/>
                </c:manualLayout>
              </c:layout>
              <c:tx>
                <c:rich>
                  <a:bodyPr vertOverflow="clip"/>
                  <a:lstStyle/>
                  <a:p>
                    <a:r>
                      <a:rPr lang="en-US"/>
                      <a:t>ES</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386C-456A-B9B6-EB68E0EE411D}"/>
                </c:ext>
                <c:ext xmlns:c15="http://schemas.microsoft.com/office/drawing/2012/chart" uri="{CE6537A1-D6FC-4f65-9D91-7224C49458BB}"/>
              </c:extLst>
            </c:dLbl>
            <c:dLbl>
              <c:idx val="10"/>
              <c:layout>
                <c:manualLayout>
                  <c:x val="-0.041473761967384642"/>
                  <c:y val="0.076444431068341021"/>
                </c:manualLayout>
              </c:layout>
              <c:tx>
                <c:rich>
                  <a:bodyPr vertOverflow="clip"/>
                  <a:lstStyle/>
                  <a:p>
                    <a:r>
                      <a:rPr lang="en-US"/>
                      <a:t>FR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386C-456A-B9B6-EB68E0EE411D}"/>
                </c:ext>
                <c:ext xmlns:c15="http://schemas.microsoft.com/office/drawing/2012/chart" uri="{CE6537A1-D6FC-4f65-9D91-7224C49458BB}"/>
              </c:extLst>
            </c:dLbl>
            <c:dLbl>
              <c:idx val="11"/>
              <c:layout>
                <c:manualLayout>
                  <c:x val="-0.0082947523934769288"/>
                  <c:y val="0"/>
                </c:manualLayout>
              </c:layout>
              <c:tx>
                <c:rich>
                  <a:bodyPr vertOverflow="clip"/>
                  <a:lstStyle/>
                  <a:p>
                    <a:r>
                      <a:rPr lang="en-US"/>
                      <a:t>HR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386C-456A-B9B6-EB68E0EE411D}"/>
                </c:ext>
                <c:ext xmlns:c15="http://schemas.microsoft.com/office/drawing/2012/chart" uri="{CE6537A1-D6FC-4f65-9D91-7224C49458BB}"/>
              </c:extLst>
            </c:dLbl>
            <c:dLbl>
              <c:idx val="12"/>
              <c:layout>
                <c:manualLayout>
                  <c:x val="-0.049768514360861646"/>
                  <c:y val="-0.066888877184798384"/>
                </c:manualLayout>
              </c:layout>
              <c:tx>
                <c:rich>
                  <a:bodyPr vertOverflow="clip"/>
                  <a:lstStyle/>
                  <a:p>
                    <a:r>
                      <a:rPr lang="en-US"/>
                      <a:t>IT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386C-456A-B9B6-EB68E0EE411D}"/>
                </c:ext>
                <c:ext xmlns:c15="http://schemas.microsoft.com/office/drawing/2012/chart" uri="{CE6537A1-D6FC-4f65-9D91-7224C49458BB}"/>
              </c:extLst>
            </c:dLbl>
            <c:dLbl>
              <c:idx val="13"/>
              <c:layout>
                <c:manualLayout>
                  <c:x val="-0.012442128590215392"/>
                  <c:y val="-2.1897891350142357E-17"/>
                </c:manualLayout>
              </c:layout>
              <c:tx>
                <c:rich>
                  <a:bodyPr vertOverflow="clip"/>
                  <a:lstStyle/>
                  <a:p>
                    <a:r>
                      <a:rPr lang="en-US"/>
                      <a:t>CY</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E-386C-456A-B9B6-EB68E0EE411D}"/>
                </c:ext>
                <c:ext xmlns:c15="http://schemas.microsoft.com/office/drawing/2012/chart" uri="{CE6537A1-D6FC-4f65-9D91-7224C49458BB}"/>
              </c:extLst>
            </c:dLbl>
            <c:dLbl>
              <c:idx val="14"/>
              <c:layout>
                <c:manualLayout>
                  <c:x val="-0.053915890557599995"/>
                  <c:y val="-0.085999984951883643"/>
                </c:manualLayout>
              </c:layout>
              <c:tx>
                <c:rich>
                  <a:bodyPr vertOverflow="clip"/>
                  <a:lstStyle/>
                  <a:p>
                    <a:r>
                      <a:rPr lang="en-US"/>
                      <a:t>LV</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386C-456A-B9B6-EB68E0EE411D}"/>
                </c:ext>
                <c:ext xmlns:c15="http://schemas.microsoft.com/office/drawing/2012/chart" uri="{CE6537A1-D6FC-4f65-9D91-7224C49458BB}"/>
              </c:extLst>
            </c:dLbl>
            <c:dLbl>
              <c:idx val="15"/>
              <c:layout>
                <c:manualLayout>
                  <c:x val="-0.0456211381641231"/>
                  <c:y val="0.06688887718479844"/>
                </c:manualLayout>
              </c:layout>
              <c:tx>
                <c:rich>
                  <a:bodyPr vertOverflow="clip"/>
                  <a:lstStyle/>
                  <a:p>
                    <a:r>
                      <a:rPr lang="en-US"/>
                      <a:t>LT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F-386C-456A-B9B6-EB68E0EE411D}"/>
                </c:ext>
                <c:ext xmlns:c15="http://schemas.microsoft.com/office/drawing/2012/chart" uri="{CE6537A1-D6FC-4f65-9D91-7224C49458BB}"/>
              </c:extLst>
            </c:dLbl>
            <c:dLbl>
              <c:idx val="16"/>
              <c:layout>
                <c:manualLayout>
                  <c:x val="-0.095389652524984672"/>
                  <c:y val="0.0095555538835426276"/>
                </c:manualLayout>
              </c:layout>
              <c:tx>
                <c:rich>
                  <a:bodyPr vertOverflow="clip"/>
                  <a:lstStyle/>
                  <a:p>
                    <a:r>
                      <a:rPr lang="en-US"/>
                      <a:t>HU</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0-386C-456A-B9B6-EB68E0EE411D}"/>
                </c:ext>
                <c:ext xmlns:c15="http://schemas.microsoft.com/office/drawing/2012/chart" uri="{CE6537A1-D6FC-4f65-9D91-7224C49458BB}"/>
              </c:extLst>
            </c:dLbl>
            <c:dLbl>
              <c:idx val="18"/>
              <c:layout>
                <c:manualLayout>
                  <c:x val="-0.020736880983692321"/>
                  <c:y val="0"/>
                </c:manualLayout>
              </c:layout>
              <c:tx>
                <c:rich>
                  <a:bodyPr vertOverflow="clip"/>
                  <a:lstStyle/>
                  <a:p>
                    <a:r>
                      <a:rPr lang="en-US"/>
                      <a:t>AT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1-386C-456A-B9B6-EB68E0EE411D}"/>
                </c:ext>
                <c:ext xmlns:c15="http://schemas.microsoft.com/office/drawing/2012/chart" uri="{CE6537A1-D6FC-4f65-9D91-7224C49458BB}"/>
              </c:extLst>
            </c:dLbl>
            <c:dLbl>
              <c:idx val="19"/>
              <c:layout>
                <c:manualLayout>
                  <c:x val="-0.053915890557599995"/>
                  <c:y val="0.076443678662523412"/>
                </c:manualLayout>
              </c:layout>
              <c:tx>
                <c:rich>
                  <a:bodyPr vertOverflow="clip"/>
                  <a:lstStyle/>
                  <a:p>
                    <a:r>
                      <a:rPr lang="en-US"/>
                      <a:t>PL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2-386C-456A-B9B6-EB68E0EE411D}"/>
                </c:ext>
                <c:ext xmlns:c15="http://schemas.microsoft.com/office/drawing/2012/chart" uri="{CE6537A1-D6FC-4f65-9D91-7224C49458BB}"/>
              </c:extLst>
            </c:dLbl>
            <c:dLbl>
              <c:idx val="20"/>
              <c:layout>
                <c:manualLayout>
                  <c:x val="-0.033179009573907715"/>
                  <c:y val="0.076444431068341021"/>
                </c:manualLayout>
              </c:layout>
              <c:tx>
                <c:rich>
                  <a:bodyPr vertOverflow="clip"/>
                  <a:lstStyle/>
                  <a:p>
                    <a:r>
                      <a:rPr lang="en-US"/>
                      <a:t>PT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3-386C-456A-B9B6-EB68E0EE411D}"/>
                </c:ext>
                <c:ext xmlns:c15="http://schemas.microsoft.com/office/drawing/2012/chart" uri="{CE6537A1-D6FC-4f65-9D91-7224C49458BB}"/>
              </c:extLst>
            </c:dLbl>
            <c:dLbl>
              <c:idx val="21"/>
              <c:layout>
                <c:manualLayout>
                  <c:x val="-0.012442128590215392"/>
                  <c:y val="8.7591565400569428E-17"/>
                </c:manualLayout>
              </c:layout>
              <c:tx>
                <c:rich>
                  <a:bodyPr/>
                  <a:lstStyle/>
                  <a:p>
                    <a:r>
                      <a:rPr lang="en-US"/>
                      <a:t>RO</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4-386C-456A-B9B6-EB68E0EE411D}"/>
                </c:ext>
                <c:ext xmlns:c15="http://schemas.microsoft.com/office/drawing/2012/chart" uri="{CE6537A1-D6FC-4f65-9D91-7224C49458BB}"/>
              </c:extLst>
            </c:dLbl>
            <c:dLbl>
              <c:idx val="22"/>
              <c:layout>
                <c:manualLayout>
                  <c:x val="-0.0580632667543385"/>
                  <c:y val="-0.057333323301255762"/>
                </c:manualLayout>
              </c:layout>
              <c:tx>
                <c:rich>
                  <a:bodyPr vertOverflow="clip"/>
                  <a:lstStyle/>
                  <a:p>
                    <a:r>
                      <a:rPr lang="en-US"/>
                      <a:t>SI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5-386C-456A-B9B6-EB68E0EE411D}"/>
                </c:ext>
                <c:ext xmlns:c15="http://schemas.microsoft.com/office/drawing/2012/chart" uri="{CE6537A1-D6FC-4f65-9D91-7224C49458BB}"/>
              </c:extLst>
            </c:dLbl>
            <c:dLbl>
              <c:idx val="23"/>
              <c:layout>
                <c:manualLayout>
                  <c:x val="-0.041473761967384642"/>
                  <c:y val="-0.057333323301255762"/>
                </c:manualLayout>
              </c:layout>
              <c:tx>
                <c:rich>
                  <a:bodyPr vertOverflow="clip"/>
                  <a:lstStyle/>
                  <a:p>
                    <a:r>
                      <a:rPr lang="en-US"/>
                      <a:t>SK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6-386C-456A-B9B6-EB68E0EE411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Sheet1!$B$3:$B$29</c:f>
              <c:numCache>
                <c:formatCode>0.0</c:formatCode>
                <c:ptCount val="27"/>
                <c:pt idx="0">
                  <c:v>70.546626640211841</c:v>
                </c:pt>
                <c:pt idx="1">
                  <c:v>92.301639344262284</c:v>
                </c:pt>
                <c:pt idx="2">
                  <c:v>10.722240971987851</c:v>
                </c:pt>
                <c:pt idx="3">
                  <c:v>31.089430894308936</c:v>
                </c:pt>
                <c:pt idx="4">
                  <c:v>110.79230769230769</c:v>
                </c:pt>
                <c:pt idx="5">
                  <c:v>87.060718711276337</c:v>
                </c:pt>
                <c:pt idx="6">
                  <c:v>22.305555555555554</c:v>
                </c:pt>
                <c:pt idx="7">
                  <c:v>117.98207885304659</c:v>
                </c:pt>
                <c:pt idx="8">
                  <c:v>54.21926910299004</c:v>
                </c:pt>
                <c:pt idx="9">
                  <c:v>68.73328088119591</c:v>
                </c:pt>
                <c:pt idx="10">
                  <c:v>97.8342541436464</c:v>
                </c:pt>
                <c:pt idx="11">
                  <c:v>34.3978102189781</c:v>
                </c:pt>
                <c:pt idx="12">
                  <c:v>66.125722052327546</c:v>
                </c:pt>
                <c:pt idx="13">
                  <c:v>36.349206349206355</c:v>
                </c:pt>
                <c:pt idx="14">
                  <c:v>19.896907216494846</c:v>
                </c:pt>
                <c:pt idx="15">
                  <c:v>28.611898016997166</c:v>
                </c:pt>
                <c:pt idx="16">
                  <c:v>16.296270082808409</c:v>
                </c:pt>
                <c:pt idx="17">
                  <c:v>134.45833333333334</c:v>
                </c:pt>
                <c:pt idx="18">
                  <c:v>110.90620031796502</c:v>
                </c:pt>
                <c:pt idx="19">
                  <c:v>21.091235263967192</c:v>
                </c:pt>
                <c:pt idx="20">
                  <c:v>46.792027077848807</c:v>
                </c:pt>
                <c:pt idx="21">
                  <c:v>29.44405594405594</c:v>
                </c:pt>
                <c:pt idx="22">
                  <c:v>32.872340425531917</c:v>
                </c:pt>
                <c:pt idx="23">
                  <c:v>26.668057583976633</c:v>
                </c:pt>
                <c:pt idx="24">
                  <c:v>160.99609375</c:v>
                </c:pt>
                <c:pt idx="25">
                  <c:v>149.50869565217391</c:v>
                </c:pt>
                <c:pt idx="26">
                  <c:v>68.188770571151991</c:v>
                </c:pt>
              </c:numCache>
            </c:numRef>
          </c:xVal>
          <c:yVal>
            <c:numRef>
              <c:f>Sheet1!$C$3:$C$29</c:f>
              <c:numCache>
                <c:formatCode>0.0</c:formatCode>
                <c:ptCount val="27"/>
                <c:pt idx="0">
                  <c:v>0.57604023245799474</c:v>
                </c:pt>
                <c:pt idx="1">
                  <c:v>0.65545964762716691</c:v>
                </c:pt>
                <c:pt idx="2">
                  <c:v>0.47210125982982015</c:v>
                </c:pt>
                <c:pt idx="3">
                  <c:v>0.46165245688749051</c:v>
                </c:pt>
                <c:pt idx="4">
                  <c:v>0.55064917031174065</c:v>
                </c:pt>
                <c:pt idx="5">
                  <c:v>0.62624070303524237</c:v>
                </c:pt>
                <c:pt idx="6">
                  <c:v>0.5745122457451225</c:v>
                </c:pt>
                <c:pt idx="7">
                  <c:v>0.33900279661511612</c:v>
                </c:pt>
                <c:pt idx="8">
                  <c:v>0.533508232497203</c:v>
                </c:pt>
                <c:pt idx="9">
                  <c:v>0.58023179809106173</c:v>
                </c:pt>
                <c:pt idx="10" formatCode="0.00">
                  <c:v>0.6551383523906753</c:v>
                </c:pt>
                <c:pt idx="11">
                  <c:v>0.63950390355424591</c:v>
                </c:pt>
                <c:pt idx="12">
                  <c:v>0.61343978770656549</c:v>
                </c:pt>
                <c:pt idx="13">
                  <c:v>0.55472832700980723</c:v>
                </c:pt>
                <c:pt idx="14">
                  <c:v>0.58360938871428969</c:v>
                </c:pt>
                <c:pt idx="15">
                  <c:v>0.46534087694483739</c:v>
                </c:pt>
                <c:pt idx="16">
                  <c:v>0.55406598967497778</c:v>
                </c:pt>
                <c:pt idx="17" formatCode="0.00">
                  <c:v>0.43802293151533933</c:v>
                </c:pt>
                <c:pt idx="18">
                  <c:v>0.47005623978886524</c:v>
                </c:pt>
                <c:pt idx="19">
                  <c:v>0.49803325282702166</c:v>
                </c:pt>
                <c:pt idx="20">
                  <c:v>0.50707493780314994</c:v>
                </c:pt>
                <c:pt idx="21">
                  <c:v>0.19199936111684768</c:v>
                </c:pt>
                <c:pt idx="22">
                  <c:v>0.65609633892682939</c:v>
                </c:pt>
                <c:pt idx="23">
                  <c:v>0.46651620733548438</c:v>
                </c:pt>
                <c:pt idx="24">
                  <c:v>0.37599419605759637</c:v>
                </c:pt>
                <c:pt idx="25">
                  <c:v>0.34854256938184003</c:v>
                </c:pt>
                <c:pt idx="26" formatCode="0.00">
                  <c:v>0.81145911733478149</c:v>
                </c:pt>
              </c:numCache>
            </c:numRef>
          </c:yVal>
          <c:smooth val="0"/>
          <c:extLst>
            <c:ext xmlns:c="http://schemas.openxmlformats.org/drawingml/2006/chart" xmlns:c16="http://schemas.microsoft.com/office/drawing/2014/chart" uri="{C3380CC4-5D6E-409C-BE32-E72D297353CC}">
              <c16:uniqueId val="{00000017-386C-456A-B9B6-EB68E0EE411D}"/>
            </c:ext>
          </c:extLst>
        </c:ser>
        <c:dLbls>
          <c:showLegendKey val="0"/>
          <c:showVal val="0"/>
          <c:showCatName val="0"/>
          <c:showSerName val="0"/>
          <c:showPercent val="0"/>
          <c:showBubbleSize val="0"/>
        </c:dLbls>
        <c:axId val="630021560"/>
        <c:axId val="630030184"/>
      </c:scatterChart>
      <c:valAx>
        <c:axId val="630021560"/>
        <c:scaling>
          <c:orientation val="minMax"/>
          <c:max val="120"/>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30030184"/>
        <c:crosses val="autoZero"/>
        <c:crossBetween val="midCat"/>
        <c:majorUnit val="20"/>
      </c:valAx>
      <c:valAx>
        <c:axId val="630030184"/>
        <c:scaling>
          <c:orientation val="minMax"/>
          <c:max val="0.70000000000000007"/>
          <c:min val="0.30000000000000004"/>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30021560"/>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19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2572178477690286"/>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13FC-4B9E-8AA1-F28BA5BD7D96}"/>
              </c:ext>
            </c:extLst>
          </c:dPt>
          <c:dPt>
            <c:idx val="5"/>
            <c:bubble3D val="0"/>
            <c:extLst>
              <c:ext xmlns:c="http://schemas.openxmlformats.org/drawingml/2006/chart" xmlns:c16="http://schemas.microsoft.com/office/drawing/2014/chart" uri="{C3380CC4-5D6E-409C-BE32-E72D297353CC}">
                <c16:uniqueId val="{00000001-13FC-4B9E-8AA1-F28BA5BD7D96}"/>
              </c:ext>
            </c:extLst>
          </c:dPt>
          <c:dPt>
            <c:idx val="11"/>
            <c:bubble3D val="0"/>
            <c:extLst>
              <c:ext xmlns:c="http://schemas.openxmlformats.org/drawingml/2006/chart" xmlns:c16="http://schemas.microsoft.com/office/drawing/2014/chart" uri="{C3380CC4-5D6E-409C-BE32-E72D297353CC}">
                <c16:uniqueId val="{00000002-13FC-4B9E-8AA1-F28BA5BD7D96}"/>
              </c:ext>
            </c:extLst>
          </c:dPt>
          <c:dPt>
            <c:idx val="12"/>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3-13FC-4B9E-8AA1-F28BA5BD7D96}"/>
              </c:ext>
            </c:extLst>
          </c:dPt>
          <c:dPt>
            <c:idx val="14"/>
            <c:bubble3D val="0"/>
            <c:extLst>
              <c:ext xmlns:c="http://schemas.openxmlformats.org/drawingml/2006/chart" xmlns:c16="http://schemas.microsoft.com/office/drawing/2014/chart" uri="{C3380CC4-5D6E-409C-BE32-E72D297353CC}">
                <c16:uniqueId val="{00000004-13FC-4B9E-8AA1-F28BA5BD7D96}"/>
              </c:ext>
            </c:extLst>
          </c:dPt>
          <c:dLbls>
            <c:dLbl>
              <c:idx val="0"/>
              <c:tx>
                <c:rich>
                  <a:bodyPr vertOverflow="clip"/>
                  <a:lstStyle/>
                  <a:p>
                    <a:fld id="{eff64900-867b-4709-bd46-f77d20075a34}" type="CELLRANGE">
                      <a:rPr lang="en-US"/>
                      <a:t>BE</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0-13FC-4B9E-8AA1-F28BA5BD7D96}"/>
                </c:ext>
                <c:ext xmlns:c15="http://schemas.microsoft.com/office/drawing/2012/chart" uri="{CE6537A1-D6FC-4f65-9D91-7224C49458BB}">
                  <c15:showDataLabelsRange val="1"/>
                </c:ext>
              </c:extLst>
            </c:dLbl>
            <c:dLbl>
              <c:idx val="1"/>
              <c:tx>
                <c:rich>
                  <a:bodyPr vertOverflow="clip"/>
                  <a:lstStyle/>
                  <a:p>
                    <a:fld id="{178edc99-3fcc-4a07-8d9d-6b26df952ec6}" type="CELLRANGE">
                      <a:rPr lang="lv-LV"/>
                      <a:t>BG</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2"/>
              <c:tx>
                <c:rich>
                  <a:bodyPr vertOverflow="clip"/>
                  <a:lstStyle/>
                  <a:p>
                    <a:fld id="{7dc45785-1847-4746-84d1-29294aaf6c97}" type="CELLRANGE">
                      <a:rPr lang="lv-LV"/>
                      <a:t>CZ</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3"/>
              <c:tx>
                <c:rich>
                  <a:bodyPr vertOverflow="clip"/>
                  <a:lstStyle/>
                  <a:p>
                    <a:fld id="{4cf2a121-4244-4c02-a04b-c2fc5a178358}" type="CELLRANGE">
                      <a:rPr lang="lv-LV"/>
                      <a:t>DK</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4"/>
              <c:tx>
                <c:rich>
                  <a:bodyPr vertOverflow="clip"/>
                  <a:lstStyle/>
                  <a:p>
                    <a:fld id="{3284c160-1a08-45b3-b33d-8bbe52d3e5ab}" type="CELLRANGE">
                      <a:rPr lang="lv-LV"/>
                      <a:t>DE</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5"/>
              <c:layout>
                <c:manualLayout>
                  <c:x val="-0.076178608515057117"/>
                  <c:y val="-0.0380952380952381"/>
                </c:manualLayout>
              </c:layout>
              <c:tx>
                <c:rich>
                  <a:bodyPr vertOverflow="clip"/>
                  <a:lstStyle/>
                  <a:p>
                    <a:fld id="{0e914fe4-e04b-4de6-aaa7-99791697ead0}" type="CELLRANGE">
                      <a:rPr lang="en-US"/>
                      <a:t>EE</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1-13FC-4B9E-8AA1-F28BA5BD7D96}"/>
                </c:ext>
                <c:ext xmlns:c15="http://schemas.microsoft.com/office/drawing/2012/chart" uri="{CE6537A1-D6FC-4f65-9D91-7224C49458BB}">
                  <c15:showDataLabelsRange val="1"/>
                </c:ext>
              </c:extLst>
            </c:dLbl>
            <c:dLbl>
              <c:idx val="6"/>
              <c:layout>
                <c:manualLayout>
                  <c:x val="-0.0041536863966771271"/>
                  <c:y val="-0.047619047619047616"/>
                </c:manualLayout>
              </c:layout>
              <c:tx>
                <c:rich>
                  <a:bodyPr vertOverflow="clip"/>
                  <a:lstStyle/>
                  <a:p>
                    <a:fld id="{f099911a-c711-449d-9955-7eeb064b69ed}" type="CELLRANGE">
                      <a:rPr lang="en-US"/>
                      <a:t>EL</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9-0FB6-4126-B941-BF308B7B4E1E}"/>
                </c:ext>
                <c:ext xmlns:c15="http://schemas.microsoft.com/office/drawing/2012/chart" uri="{CE6537A1-D6FC-4f65-9D91-7224C49458BB}">
                  <c15:showDataLabelsRange val="1"/>
                </c:ext>
              </c:extLst>
            </c:dLbl>
            <c:dLbl>
              <c:idx val="7"/>
              <c:tx>
                <c:rich>
                  <a:bodyPr vertOverflow="clip"/>
                  <a:lstStyle/>
                  <a:p>
                    <a:fld id="{678b399e-f15f-478c-a515-2e66ae117759}" type="CELLRANGE">
                      <a:rPr lang="lv-LV"/>
                      <a:t>ES</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8"/>
              <c:tx>
                <c:rich>
                  <a:bodyPr/>
                  <a:lstStyle/>
                  <a:p>
                    <a:fld id="{348cf9fd-1530-4897-a32f-93e43b121a60}" type="CELLRANGE">
                      <a:rPr lang="lv-LV"/>
                      <a:t>FR</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9"/>
              <c:tx>
                <c:rich>
                  <a:bodyPr vertOverflow="clip"/>
                  <a:lstStyle/>
                  <a:p>
                    <a:fld id="{7e0cf0f0-04ef-400b-8e10-86663197f386}" type="CELLRANGE">
                      <a:rPr lang="lv-LV"/>
                      <a:t>HR</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0"/>
              <c:tx>
                <c:rich>
                  <a:bodyPr vertOverflow="clip"/>
                  <a:lstStyle/>
                  <a:p>
                    <a:fld id="{a9d367f2-b432-4e29-933f-cd45abb46b21}" type="CELLRANGE">
                      <a:rPr lang="lv-LV"/>
                      <a:t>IT</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1"/>
              <c:layout>
                <c:manualLayout>
                  <c:x val="-0.016614745586708127"/>
                  <c:y val="-8.7300578797851381E-17"/>
                </c:manualLayout>
              </c:layout>
              <c:tx>
                <c:rich>
                  <a:bodyPr vertOverflow="clip"/>
                  <a:lstStyle/>
                  <a:p>
                    <a:fld id="{0a4cd438-d3c2-484f-9d94-74738f86eb24}" type="CELLRANGE">
                      <a:rPr lang="en-US"/>
                      <a:t>CY</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2-13FC-4B9E-8AA1-F28BA5BD7D96}"/>
                </c:ext>
                <c:ext xmlns:c15="http://schemas.microsoft.com/office/drawing/2012/chart" uri="{CE6537A1-D6FC-4f65-9D91-7224C49458BB}">
                  <c15:showDataLabelsRange val="1"/>
                </c:ext>
              </c:extLst>
            </c:dLbl>
            <c:dLbl>
              <c:idx val="12"/>
              <c:layout>
                <c:manualLayout>
                  <c:x val="-0.012461059190031152"/>
                  <c:y val="0.028571428571428571"/>
                </c:manualLayout>
              </c:layout>
              <c:tx>
                <c:rich>
                  <a:bodyPr vertOverflow="clip"/>
                  <a:lstStyle/>
                  <a:p>
                    <a:fld id="{133afcfc-ca66-46f7-bde3-04f7972e0c51}" type="CELLRANGE">
                      <a:rPr lang="en-US"/>
                      <a:t>LV</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3-13FC-4B9E-8AA1-F28BA5BD7D96}"/>
                </c:ext>
                <c:ext xmlns:c15="http://schemas.microsoft.com/office/drawing/2012/chart" uri="{CE6537A1-D6FC-4f65-9D91-7224C49458BB}">
                  <c15:showDataLabelsRange val="1"/>
                </c:ext>
              </c:extLst>
            </c:dLbl>
            <c:dLbl>
              <c:idx val="13"/>
              <c:layout>
                <c:manualLayout>
                  <c:x val="-0.056427993229818237"/>
                  <c:y val="-0.047856767904011957"/>
                </c:manualLayout>
              </c:layout>
              <c:tx>
                <c:rich>
                  <a:bodyPr vertOverflow="clip"/>
                  <a:lstStyle/>
                  <a:p>
                    <a:fld id="{2199f6ac-b4b0-414e-b644-f92d1c065794}" type="CELLRANGE">
                      <a:rPr lang="en-US"/>
                      <a:t>LT</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E-0FB6-4126-B941-BF308B7B4E1E}"/>
                </c:ext>
                <c:ext xmlns:c15="http://schemas.microsoft.com/office/drawing/2012/chart" uri="{CE6537A1-D6FC-4f65-9D91-7224C49458BB}">
                  <c15:showDataLabelsRange val="1"/>
                </c:ext>
              </c:extLst>
            </c:dLbl>
            <c:dLbl>
              <c:idx val="14"/>
              <c:tx>
                <c:rich>
                  <a:bodyPr vertOverflow="clip"/>
                  <a:lstStyle/>
                  <a:p>
                    <a:fld id="{5b0d931d-9c18-425f-9188-457478d9abfd}" type="CELLRANGE">
                      <a:rPr lang="en-US"/>
                      <a:t>HU</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4-13FC-4B9E-8AA1-F28BA5BD7D96}"/>
                </c:ext>
                <c:ext xmlns:c15="http://schemas.microsoft.com/office/drawing/2012/chart" uri="{CE6537A1-D6FC-4f65-9D91-7224C49458BB}">
                  <c15:showDataLabelsRange val="1"/>
                </c:ext>
              </c:extLst>
            </c:dLbl>
            <c:dLbl>
              <c:idx val="15"/>
              <c:tx>
                <c:rich>
                  <a:bodyPr/>
                  <a:lstStyle/>
                  <a:p>
                    <a:fld id="{63de61dc-e7e7-4a4c-ba38-ad31fa5a51eb}" type="CELLRANGE">
                      <a:rPr lang="lv-LV"/>
                      <a:t>NL</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6"/>
              <c:tx>
                <c:rich>
                  <a:bodyPr vertOverflow="clip"/>
                  <a:lstStyle/>
                  <a:p>
                    <a:fld id="{a163ffc9-aeab-4a25-9253-ecd95882f0b1}" type="CELLRANGE">
                      <a:rPr lang="lv-LV"/>
                      <a:t>AT</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7"/>
              <c:tx>
                <c:rich>
                  <a:bodyPr vertOverflow="clip"/>
                  <a:lstStyle/>
                  <a:p>
                    <a:fld id="{ad8c4593-1c0e-485e-aff6-b4bd79f84c56}" type="CELLRANGE">
                      <a:rPr lang="en-US"/>
                      <a:t>PL</a:t>
                    </a:fld>
                    <a:endParaRPr lang="lv-LV"/>
                  </a:p>
                </c:rich>
              </c:tx>
              <c:dLblPos val="l"/>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1-0FB6-4126-B941-BF308B7B4E1E}"/>
                </c:ext>
                <c:ext xmlns:c15="http://schemas.microsoft.com/office/drawing/2012/chart" uri="{CE6537A1-D6FC-4f65-9D91-7224C49458BB}">
                  <c15:showDataLabelsRange val="1"/>
                </c:ext>
              </c:extLst>
            </c:dLbl>
            <c:dLbl>
              <c:idx val="18"/>
              <c:layout>
                <c:manualLayout>
                  <c:x val="0.0041536863966770508"/>
                  <c:y val="0.0380952380952381"/>
                </c:manualLayout>
              </c:layout>
              <c:tx>
                <c:rich>
                  <a:bodyPr vertOverflow="clip"/>
                  <a:lstStyle/>
                  <a:p>
                    <a:fld id="{6b79de40-2464-422b-8984-6c739767f170}" type="CELLRANGE">
                      <a:rPr lang="en-US"/>
                      <a:t>PT</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2-0FB6-4126-B941-BF308B7B4E1E}"/>
                </c:ext>
                <c:ext xmlns:c15="http://schemas.microsoft.com/office/drawing/2012/chart" uri="{CE6537A1-D6FC-4f65-9D91-7224C49458BB}">
                  <c15:showDataLabelsRange val="1"/>
                </c:ext>
              </c:extLst>
            </c:dLbl>
            <c:dLbl>
              <c:idx val="19"/>
              <c:tx>
                <c:rich>
                  <a:bodyPr vertOverflow="clip"/>
                  <a:lstStyle/>
                  <a:p>
                    <a:fld id="{eeafbe50-0bbb-4255-b3a0-93d791c26088}" type="CELLRANGE">
                      <a:rPr lang="en-US"/>
                      <a:t>RO</a:t>
                    </a:fld>
                    <a:endParaRPr lang="lv-LV"/>
                  </a:p>
                </c:rich>
              </c:tx>
              <c:dLblPos val="l"/>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3-0FB6-4126-B941-BF308B7B4E1E}"/>
                </c:ext>
                <c:ext xmlns:c15="http://schemas.microsoft.com/office/drawing/2012/chart" uri="{CE6537A1-D6FC-4f65-9D91-7224C49458BB}">
                  <c15:showDataLabelsRange val="1"/>
                </c:ext>
              </c:extLst>
            </c:dLbl>
            <c:dLbl>
              <c:idx val="20"/>
              <c:tx>
                <c:rich>
                  <a:bodyPr vertOverflow="clip"/>
                  <a:lstStyle/>
                  <a:p>
                    <a:fld id="{d43bf899-1949-4022-aa14-d30d9454c402}" type="CELLRANGE">
                      <a:rPr lang="en-US"/>
                      <a:t>SI</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4-0FB6-4126-B941-BF308B7B4E1E}"/>
                </c:ext>
                <c:ext xmlns:c15="http://schemas.microsoft.com/office/drawing/2012/chart" uri="{CE6537A1-D6FC-4f65-9D91-7224C49458BB}">
                  <c15:showDataLabelsRange val="1"/>
                </c:ext>
              </c:extLst>
            </c:dLbl>
            <c:dLbl>
              <c:idx val="21"/>
              <c:layout>
                <c:manualLayout>
                  <c:x val="0.012461059190031076"/>
                  <c:y val="0"/>
                </c:manualLayout>
              </c:layout>
              <c:tx>
                <c:rich>
                  <a:bodyPr vertOverflow="clip"/>
                  <a:lstStyle/>
                  <a:p>
                    <a:fld id="{6cae16d2-d521-4b56-9fe3-54e005941162}" type="CELLRANGE">
                      <a:rPr lang="en-US"/>
                      <a:t>SK</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5-0FB6-4126-B941-BF308B7B4E1E}"/>
                </c:ext>
                <c:ext xmlns:c15="http://schemas.microsoft.com/office/drawing/2012/chart" uri="{CE6537A1-D6FC-4f65-9D91-7224C49458BB}">
                  <c15:showDataLabelsRange val="1"/>
                </c:ext>
              </c:extLst>
            </c:dLbl>
            <c:dLbl>
              <c:idx val="22"/>
              <c:tx>
                <c:rich>
                  <a:bodyPr/>
                  <a:lstStyle/>
                  <a:p>
                    <a:fld id="{f4795948-5080-4275-8601-3c95e540a77d}" type="CELLRANGE">
                      <a:rPr lang="lv-LV"/>
                      <a:t>FI</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23"/>
              <c:tx>
                <c:rich>
                  <a:bodyPr vertOverflow="clip"/>
                  <a:lstStyle/>
                  <a:p>
                    <a:fld id="{5ba13018-cfc0-4256-b991-8156f2412e4d}" type="CELLRANGE">
                      <a:rPr lang="en-US"/>
                      <a:t>SE</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7-0FB6-4126-B941-BF308B7B4E1E}"/>
                </c:ext>
                <c:ext xmlns:c15="http://schemas.microsoft.com/office/drawing/2012/chart" uri="{CE6537A1-D6FC-4f65-9D91-7224C49458BB}">
                  <c15:showDataLabelsRange val="1"/>
                </c:ext>
              </c:extLst>
            </c:dLbl>
            <c:dLbl>
              <c:idx val="24"/>
              <c:tx>
                <c:rich>
                  <a:bodyPr vertOverflow="clip"/>
                  <a:lstStyle/>
                  <a:p>
                    <a:fld id="{1e122324-8bde-4cdb-8c00-f4bb19715997}" type="CELLRANGE">
                      <a:rPr lang="lv-LV"/>
                      <a:t>UK</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25"/>
              <c:tx>
                <c:rich>
                  <a:bodyPr/>
                  <a:lstStyle/>
                  <a:p>
                    <a:endParaRPr lang="en-US"/>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9-0FB6-4126-B941-BF308B7B4E1E}"/>
                </c:ext>
                <c:ext xmlns:c15="http://schemas.microsoft.com/office/drawing/2012/chart" uri="{CE6537A1-D6FC-4f65-9D91-7224C49458BB}"/>
              </c:extLst>
            </c:dLbl>
            <c:dLbl>
              <c:idx val="26"/>
              <c:tx>
                <c:rich>
                  <a:bodyPr/>
                  <a:lstStyle/>
                  <a:p>
                    <a:endParaRPr lang="en-US"/>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A-0FB6-4126-B941-BF308B7B4E1E}"/>
                </c:ext>
                <c:ext xmlns:c15="http://schemas.microsoft.com/office/drawing/2012/chart" uri="{CE6537A1-D6FC-4f65-9D91-7224C49458BB}"/>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Sheet1!$B$3:$B$29</c:f>
              <c:numCache>
                <c:formatCode>#,##0.0</c:formatCode>
                <c:ptCount val="27"/>
                <c:pt idx="0">
                  <c:v>78.152727272727262</c:v>
                </c:pt>
                <c:pt idx="1">
                  <c:v>11.453859547301219</c:v>
                </c:pt>
                <c:pt idx="2">
                  <c:v>35.8825413090816</c:v>
                </c:pt>
                <c:pt idx="3">
                  <c:v>115.28400000000002</c:v>
                </c:pt>
                <c:pt idx="4">
                  <c:v>95.469421487603313</c:v>
                </c:pt>
                <c:pt idx="5">
                  <c:v>31.582089552238806</c:v>
                </c:pt>
                <c:pt idx="6">
                  <c:v>44.080914687774843</c:v>
                </c:pt>
                <c:pt idx="7">
                  <c:v>80.84188911704311</c:v>
                </c:pt>
                <c:pt idx="8">
                  <c:v>120.78527607361963</c:v>
                </c:pt>
                <c:pt idx="9">
                  <c:v>36.251862891207153</c:v>
                </c:pt>
                <c:pt idx="10">
                  <c:v>66.756356736242878</c:v>
                </c:pt>
                <c:pt idx="11">
                  <c:v>66.47058823529413</c:v>
                </c:pt>
                <c:pt idx="12">
                  <c:v>45.375253549695742</c:v>
                </c:pt>
                <c:pt idx="13">
                  <c:v>37.885714285714286</c:v>
                </c:pt>
                <c:pt idx="14">
                  <c:v>28.948245532821037</c:v>
                </c:pt>
                <c:pt idx="15">
                  <c:v>162.32608695652175</c:v>
                </c:pt>
                <c:pt idx="16">
                  <c:v>116.27857033287314</c:v>
                </c:pt>
                <c:pt idx="17">
                  <c:v>24.749065420560747</c:v>
                </c:pt>
                <c:pt idx="18">
                  <c:v>44.604885057471265</c:v>
                </c:pt>
                <c:pt idx="19">
                  <c:v>21.509730538922149</c:v>
                </c:pt>
                <c:pt idx="20">
                  <c:v>36.819699499165274</c:v>
                </c:pt>
                <c:pt idx="21">
                  <c:v>40.499999999999993</c:v>
                </c:pt>
                <c:pt idx="22">
                  <c:v>128.53658536585365</c:v>
                </c:pt>
                <c:pt idx="23">
                  <c:v>111.75957446808512</c:v>
                </c:pt>
                <c:pt idx="24">
                  <c:v>69.801414171806826</c:v>
                </c:pt>
              </c:numCache>
            </c:numRef>
          </c:xVal>
          <c:yVal>
            <c:numRef>
              <c:f>Sheet1!$C$3:$C$29</c:f>
              <c:numCache>
                <c:formatCode>#,##0.0</c:formatCode>
                <c:ptCount val="27"/>
                <c:pt idx="0">
                  <c:v>0.85686922265649246</c:v>
                </c:pt>
                <c:pt idx="1">
                  <c:v>0.66897429907310846</c:v>
                </c:pt>
                <c:pt idx="2">
                  <c:v>0.43508994313018973</c:v>
                </c:pt>
                <c:pt idx="3">
                  <c:v>0.61099111758786984</c:v>
                </c:pt>
                <c:pt idx="4">
                  <c:v>0.621186835554331</c:v>
                </c:pt>
                <c:pt idx="5">
                  <c:v>0.51246182928602591</c:v>
                </c:pt>
                <c:pt idx="6">
                  <c:v>0.52077035694314944</c:v>
                </c:pt>
                <c:pt idx="7">
                  <c:v>0.53099423468753881</c:v>
                </c:pt>
                <c:pt idx="8">
                  <c:v>0.58113496003493</c:v>
                </c:pt>
                <c:pt idx="9">
                  <c:v>0.67875299760191854</c:v>
                </c:pt>
                <c:pt idx="10">
                  <c:v>0.67405086037845108</c:v>
                </c:pt>
                <c:pt idx="11">
                  <c:v>0.34079826620913845</c:v>
                </c:pt>
                <c:pt idx="12">
                  <c:v>0.33057666517657575</c:v>
                </c:pt>
                <c:pt idx="13">
                  <c:v>0.51508295625942679</c:v>
                </c:pt>
                <c:pt idx="14">
                  <c:v>0.39547902094963006</c:v>
                </c:pt>
                <c:pt idx="15">
                  <c:v>0.46259298489109657</c:v>
                </c:pt>
                <c:pt idx="16">
                  <c:v>0.5095065994826713</c:v>
                </c:pt>
                <c:pt idx="17">
                  <c:v>0.47360151504355452</c:v>
                </c:pt>
                <c:pt idx="18">
                  <c:v>0.54796735944392816</c:v>
                </c:pt>
                <c:pt idx="19">
                  <c:v>0.38264258621289626</c:v>
                </c:pt>
                <c:pt idx="20">
                  <c:v>0.65979753656386619</c:v>
                </c:pt>
                <c:pt idx="21">
                  <c:v>0.39886039886039892</c:v>
                </c:pt>
                <c:pt idx="22">
                  <c:v>0.53306627310422383</c:v>
                </c:pt>
                <c:pt idx="23">
                  <c:v>0.4792011727302149</c:v>
                </c:pt>
                <c:pt idx="24">
                  <c:v>1.0202512900217473</c:v>
                </c:pt>
              </c:numCache>
            </c:numRef>
          </c:yVal>
          <c:smooth val="0"/>
          <c:extLst>
            <c:ext xmlns:c="http://schemas.openxmlformats.org/drawingml/2006/chart" xmlns:c16="http://schemas.microsoft.com/office/drawing/2014/chart" uri="{C3380CC4-5D6E-409C-BE32-E72D297353CC}">
              <c16:uniqueId val="{00000017-13FC-4B9E-8AA1-F28BA5BD7D96}"/>
            </c:ext>
            <c:ext xmlns:c15="http://schemas.microsoft.com/office/drawing/2012/chart" uri="{02D57815-91ED-43cb-92C2-25804820EDAC}">
              <c15:datalabelsRange>
                <c15:f>Sheet1!$A$3:$A$27</c15:f>
                <c15:dlblRangeCache>
                  <c:ptCount val="25"/>
                  <c:pt idx="0">
                    <c:v>BE</c:v>
                  </c:pt>
                  <c:pt idx="1">
                    <c:v>BG</c:v>
                  </c:pt>
                  <c:pt idx="2">
                    <c:v>CZ</c:v>
                  </c:pt>
                  <c:pt idx="3">
                    <c:v>DK</c:v>
                  </c:pt>
                  <c:pt idx="4">
                    <c:v>DE</c:v>
                  </c:pt>
                  <c:pt idx="5">
                    <c:v>EE</c:v>
                  </c:pt>
                  <c:pt idx="6">
                    <c:v>EL</c:v>
                  </c:pt>
                  <c:pt idx="7">
                    <c:v>ES</c:v>
                  </c:pt>
                  <c:pt idx="8">
                    <c:v>FR</c:v>
                  </c:pt>
                  <c:pt idx="9">
                    <c:v>HR</c:v>
                  </c:pt>
                  <c:pt idx="10">
                    <c:v>IT</c:v>
                  </c:pt>
                  <c:pt idx="11">
                    <c:v>CY</c:v>
                  </c:pt>
                  <c:pt idx="12">
                    <c:v>LV</c:v>
                  </c:pt>
                  <c:pt idx="13">
                    <c:v>LT</c:v>
                  </c:pt>
                  <c:pt idx="14">
                    <c:v>HU</c:v>
                  </c:pt>
                  <c:pt idx="15">
                    <c:v>NL</c:v>
                  </c:pt>
                  <c:pt idx="16">
                    <c:v>AT</c:v>
                  </c:pt>
                  <c:pt idx="17">
                    <c:v>PL</c:v>
                  </c:pt>
                  <c:pt idx="18">
                    <c:v>PT</c:v>
                  </c:pt>
                  <c:pt idx="19">
                    <c:v>RO</c:v>
                  </c:pt>
                  <c:pt idx="20">
                    <c:v>SI</c:v>
                  </c:pt>
                  <c:pt idx="21">
                    <c:v>SK</c:v>
                  </c:pt>
                  <c:pt idx="22">
                    <c:v>FI</c:v>
                  </c:pt>
                  <c:pt idx="23">
                    <c:v>SE</c:v>
                  </c:pt>
                  <c:pt idx="24">
                    <c:v>UK</c:v>
                  </c:pt>
                </c15:dlblRangeCache>
              </c15:datalabelsRange>
            </c:ext>
          </c:extLst>
        </c:ser>
        <c:dLbls>
          <c:showLegendKey val="0"/>
          <c:showVal val="0"/>
          <c:showCatName val="0"/>
          <c:showSerName val="0"/>
          <c:showPercent val="0"/>
          <c:showBubbleSize val="0"/>
        </c:dLbls>
        <c:axId val="630019992"/>
        <c:axId val="630024696"/>
      </c:scatterChart>
      <c:valAx>
        <c:axId val="630019992"/>
        <c:scaling>
          <c:orientation val="minMax"/>
          <c:max val="120"/>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30024696"/>
        <c:crosses val="autoZero"/>
        <c:crossBetween val="midCat"/>
        <c:majorUnit val="20"/>
      </c:valAx>
      <c:valAx>
        <c:axId val="630024696"/>
        <c:scaling>
          <c:orientation val="minMax"/>
          <c:min val="0.1"/>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30019992"/>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19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59412201441466"/>
          <c:y val="0.098301682877875565"/>
          <c:w val="0.77357359176256812"/>
          <c:h val="0.71508797511422184"/>
        </c:manualLayout>
      </c:layout>
      <c:barChart>
        <c:barDir val="col"/>
        <c:grouping val="clustered"/>
        <c:varyColors val="0"/>
        <c:ser>
          <c:idx val="4"/>
          <c:order val="0"/>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7AF7-43A8-9948-A1BC33EFD254}"/>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7AF7-43A8-9948-A1BC33EFD254}"/>
              </c:ext>
            </c:extLst>
          </c:dPt>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Sheet1!$A$3:$A$5</c:f>
              <c:strCache>
                <c:ptCount val="3"/>
                <c:pt idx="0">
                  <c:v>2005</c:v>
                </c:pt>
                <c:pt idx="1">
                  <c:v>2010</c:v>
                </c:pt>
                <c:pt idx="2">
                  <c:v>2015</c:v>
                </c:pt>
              </c:strCache>
            </c:strRef>
          </c:cat>
          <c:val>
            <c:numRef>
              <c:f>Sheet1!$B$3:$B$5</c:f>
              <c:numCache>
                <c:formatCode>0.0</c:formatCode>
                <c:ptCount val="3"/>
                <c:pt idx="0">
                  <c:v>0.38280884968809692</c:v>
                </c:pt>
                <c:pt idx="1">
                  <c:v>0.27191096496775008</c:v>
                </c:pt>
                <c:pt idx="2">
                  <c:v>0.33986218260804435</c:v>
                </c:pt>
              </c:numCache>
            </c:numRef>
          </c:val>
          <c:extLst>
            <c:ext xmlns:c="http://schemas.openxmlformats.org/drawingml/2006/chart" xmlns:c16="http://schemas.microsoft.com/office/drawing/2014/chart" uri="{C3380CC4-5D6E-409C-BE32-E72D297353CC}">
              <c16:uniqueId val="{00000004-7AF7-43A8-9948-A1BC33EFD254}"/>
            </c:ext>
          </c:extLst>
        </c:ser>
        <c:dLbls>
          <c:showLegendKey val="0"/>
          <c:showVal val="0"/>
          <c:showCatName val="0"/>
          <c:showSerName val="0"/>
          <c:showPercent val="0"/>
          <c:showBubbleSize val="0"/>
        </c:dLbls>
        <c:gapWidth val="20"/>
        <c:axId val="630022736"/>
        <c:axId val="630021952"/>
      </c:barChart>
      <c:catAx>
        <c:axId val="630022736"/>
        <c:scaling>
          <c:orientation val="minMax"/>
        </c:scaling>
        <c:delete val="0"/>
        <c:axPos val="b"/>
        <c:numFmt formatCode="General" sourceLinked="0"/>
        <c:majorTickMark val="out"/>
        <c:minorTickMark val="none"/>
        <c:tickLblPos val="nextTo"/>
        <c:crossAx val="630021952"/>
        <c:crosses val="autoZero"/>
        <c:auto val="1"/>
        <c:lblAlgn val="ctr"/>
        <c:lblOffset val="100"/>
        <c:noMultiLvlLbl val="0"/>
      </c:catAx>
      <c:valAx>
        <c:axId val="630021952"/>
        <c:scaling>
          <c:orientation val="minMax"/>
          <c:max val="0.60000000000000009"/>
          <c:min val="0"/>
        </c:scaling>
        <c:delete val="0"/>
        <c:axPos val="l"/>
        <c:numFmt formatCode="0.0" sourceLinked="0"/>
        <c:majorTickMark val="out"/>
        <c:minorTickMark val="none"/>
        <c:tickLblPos val="nextTo"/>
        <c:crossAx val="630022736"/>
        <c:crosses val="autoZero"/>
        <c:crossBetween val="between"/>
        <c:majorUnit val="0.2"/>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mbria Math" panose="02040503050406030204" pitchFamily="18" charset="0"/>
          <a:ea typeface="Cambria Math" panose="02040503050406030204" pitchFamily="18" charset="0"/>
          <a:cs typeface="Arial"/>
        </a:defRPr>
      </a:pPr>
      <a:endParaRPr lang="lv-LV"/>
    </a:p>
  </c:txPr>
  <c:externalData r:id="rId1">
    <c:autoUpdate val="0"/>
  </c:externalData>
</c:chartSpace>
</file>

<file path=word/charts/chart19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73546128124922"/>
          <c:y val="0.048706240487062395"/>
          <c:w val="0.84631315184653555"/>
          <c:h val="0.73779794474843186"/>
        </c:manualLayout>
      </c:layout>
      <c:lineChart>
        <c:grouping val="standard"/>
        <c:varyColors val="0"/>
        <c:ser>
          <c:idx val="0"/>
          <c:order val="0"/>
          <c:tx>
            <c:strRef>
              <c:f>Sheet1!$A$2</c:f>
              <c:strCache>
                <c:ptCount val="1"/>
                <c:pt idx="0">
                  <c:v>Nodarbinātie</c:v>
                </c:pt>
              </c:strCache>
            </c:strRef>
          </c:tx>
          <c:spPr>
            <a:ln w="19050">
              <a:solidFill>
                <a:srgbClr val="0070C0"/>
              </a:solidFill>
              <a:prstDash val="dash"/>
            </a:ln>
          </c:spPr>
          <c:marker>
            <c:symbol val="none"/>
          </c:marker>
          <c:cat>
            <c:numRef>
              <c:f>Sheet1!$B$1:$K$1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Sheet1!$B$2:$K$2</c:f>
              <c:numCache>
                <c:formatCode>0.0</c:formatCode>
                <c:ptCount val="10"/>
                <c:pt idx="0">
                  <c:v>117.88217465429058</c:v>
                </c:pt>
                <c:pt idx="1">
                  <c:v>99.261223716612989</c:v>
                </c:pt>
                <c:pt idx="2">
                  <c:v>82.307255161962487</c:v>
                </c:pt>
                <c:pt idx="3">
                  <c:v>50.501989013070656</c:v>
                </c:pt>
                <c:pt idx="4">
                  <c:v>51.44913809433605</c:v>
                </c:pt>
                <c:pt idx="5">
                  <c:v>57.984466755067245</c:v>
                </c:pt>
                <c:pt idx="6">
                  <c:v>60.996400833491187</c:v>
                </c:pt>
                <c:pt idx="7">
                  <c:v>64.084106838416361</c:v>
                </c:pt>
                <c:pt idx="8">
                  <c:v>64.425080507671908</c:v>
                </c:pt>
                <c:pt idx="9">
                  <c:v>61.413146429247966</c:v>
                </c:pt>
              </c:numCache>
            </c:numRef>
          </c:val>
          <c:smooth val="0"/>
          <c:extLst>
            <c:ext xmlns:c="http://schemas.openxmlformats.org/drawingml/2006/chart" xmlns:c16="http://schemas.microsoft.com/office/drawing/2014/chart" uri="{C3380CC4-5D6E-409C-BE32-E72D297353CC}">
              <c16:uniqueId val="{00000000-FA97-4576-BFFD-264CB770934B}"/>
            </c:ext>
          </c:extLst>
        </c:ser>
        <c:ser>
          <c:idx val="1"/>
          <c:order val="1"/>
          <c:tx>
            <c:strRef>
              <c:f>Sheet1!$A$3</c:f>
              <c:strCache>
                <c:ptCount val="1"/>
                <c:pt idx="0">
                  <c:v>Ražošanas apjomi</c:v>
                </c:pt>
              </c:strCache>
            </c:strRef>
          </c:tx>
          <c:marker>
            <c:symbol val="none"/>
          </c:marker>
          <c:cat>
            <c:numRef>
              <c:f>Sheet1!$B$1:$K$1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Sheet1!$B$3:$K$3</c:f>
              <c:numCache>
                <c:formatCode>0.0</c:formatCode>
                <c:ptCount val="10"/>
                <c:pt idx="0">
                  <c:v>91.752577319587616</c:v>
                </c:pt>
                <c:pt idx="1">
                  <c:v>130.19145802650957</c:v>
                </c:pt>
                <c:pt idx="2">
                  <c:v>106.48011782032398</c:v>
                </c:pt>
                <c:pt idx="3">
                  <c:v>69.366715758468317</c:v>
                </c:pt>
                <c:pt idx="4">
                  <c:v>63.3284241531664</c:v>
                </c:pt>
                <c:pt idx="5">
                  <c:v>83.799705449189958</c:v>
                </c:pt>
                <c:pt idx="6">
                  <c:v>90.721649484536044</c:v>
                </c:pt>
                <c:pt idx="7">
                  <c:v>93.225331369661234</c:v>
                </c:pt>
                <c:pt idx="8">
                  <c:v>89.396170839469789</c:v>
                </c:pt>
                <c:pt idx="9" formatCode="General">
                  <c:v>91.016200294550785</c:v>
                </c:pt>
              </c:numCache>
            </c:numRef>
          </c:val>
          <c:smooth val="0"/>
          <c:extLst>
            <c:ext xmlns:c="http://schemas.openxmlformats.org/drawingml/2006/chart" xmlns:c16="http://schemas.microsoft.com/office/drawing/2014/chart" uri="{C3380CC4-5D6E-409C-BE32-E72D297353CC}">
              <c16:uniqueId val="{00000001-FA97-4576-BFFD-264CB770934B}"/>
            </c:ext>
          </c:extLst>
        </c:ser>
        <c:dLbls>
          <c:showLegendKey val="0"/>
          <c:showVal val="0"/>
          <c:showCatName val="0"/>
          <c:showSerName val="0"/>
          <c:showPercent val="0"/>
          <c:showBubbleSize val="0"/>
        </c:dLbls>
        <c:smooth val="0"/>
        <c:axId val="630022344"/>
        <c:axId val="630024304"/>
      </c:lineChart>
      <c:catAx>
        <c:axId val="630022344"/>
        <c:scaling>
          <c:orientation val="minMax"/>
        </c:scaling>
        <c:delete val="0"/>
        <c:axPos val="b"/>
        <c:numFmt formatCode="General" sourceLinked="1"/>
        <c:majorTickMark val="cross"/>
        <c:minorTickMark val="none"/>
        <c:tickLblPos val="nextTo"/>
        <c:spPr>
          <a:ln w="6350">
            <a:solidFill>
              <a:srgbClr val="000000"/>
            </a:solidFill>
          </a:ln>
        </c:spPr>
        <c:txPr>
          <a:bodyPr rot="-5400000" vert="horz"/>
          <a:lstStyle/>
          <a:p>
            <a:pPr>
              <a:defRPr sz="700" b="0" i="0" u="none" strike="noStrike" baseline="0">
                <a:solidFill>
                  <a:srgbClr val="000000"/>
                </a:solidFill>
                <a:latin typeface="Arial Narrow" pitchFamily="34" charset="0"/>
                <a:ea typeface="Times New Roman"/>
                <a:cs typeface="Times New Roman" pitchFamily="18" charset="0"/>
              </a:defRPr>
            </a:pPr>
            <a:endParaRPr lang="lv-LV"/>
          </a:p>
        </c:txPr>
        <c:crossAx val="630024304"/>
        <c:crosses val="autoZero"/>
        <c:auto val="1"/>
        <c:lblAlgn val="ctr"/>
        <c:lblOffset val="0"/>
        <c:noMultiLvlLbl val="0"/>
      </c:catAx>
      <c:valAx>
        <c:axId val="630024304"/>
        <c:scaling>
          <c:orientation val="minMax"/>
          <c:max val="150"/>
          <c:min val="25"/>
        </c:scaling>
        <c:delete val="0"/>
        <c:axPos val="l"/>
        <c:numFmt formatCode="0" sourceLinked="0"/>
        <c:majorTickMark val="cross"/>
        <c:minorTickMark val="none"/>
        <c:tickLblPos val="nextTo"/>
        <c:spPr>
          <a:ln w="6350">
            <a:solidFill>
              <a:sysClr val="windowText" lastClr="000000"/>
            </a:solidFill>
          </a:ln>
        </c:spPr>
        <c:txPr>
          <a:bodyPr rot="0" vert="horz"/>
          <a:lstStyle/>
          <a:p>
            <a:pPr>
              <a:defRPr sz="700" b="0" i="0" u="none" strike="noStrike" baseline="0">
                <a:solidFill>
                  <a:srgbClr val="000000"/>
                </a:solidFill>
                <a:latin typeface="Arial Narrow" pitchFamily="34" charset="0"/>
                <a:ea typeface="Times New Roman"/>
                <a:cs typeface="Times New Roman"/>
              </a:defRPr>
            </a:pPr>
            <a:endParaRPr lang="lv-LV"/>
          </a:p>
        </c:txPr>
        <c:crossAx val="630022344"/>
        <c:crosses val="autoZero"/>
        <c:crossBetween val="between"/>
        <c:majorUnit val="25"/>
      </c:valAx>
      <c:spPr>
        <a:solidFill>
          <a:sysClr val="window" lastClr="FFFFFF"/>
        </a:solidFill>
        <a:ln w="6350">
          <a:noFill/>
        </a:ln>
      </c:spPr>
    </c:plotArea>
    <c:legend>
      <c:legendPos val="t"/>
      <c:layout>
        <c:manualLayout>
          <c:xMode val="edge"/>
          <c:yMode val="edge"/>
          <c:x val="0.3323488240440533"/>
          <c:y val="0.065099870990702427"/>
          <c:w val="0.65805884790716951"/>
          <c:h val="0.19964223582144541"/>
        </c:manualLayout>
      </c:layout>
      <c:overlay val="0"/>
      <c:txPr>
        <a:bodyPr/>
        <a:lstStyle/>
        <a:p>
          <a:pPr>
            <a:defRPr sz="700" b="0">
              <a:latin typeface="Arial Narrow" pitchFamily="34" charset="0"/>
            </a:defRPr>
          </a:pPr>
          <a:endParaRPr lang="lv-LV"/>
        </a:p>
      </c:txPr>
    </c:legend>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19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7354822834645707"/>
          <c:y val="0.054187037037040774"/>
          <c:w val="0.8789631193571017"/>
          <c:h val="0.66050302166654529"/>
        </c:manualLayout>
      </c:layout>
      <c:lineChart>
        <c:grouping val="standard"/>
        <c:varyColors val="0"/>
        <c:ser>
          <c:idx val="9"/>
          <c:order val="0"/>
          <c:tx>
            <c:strRef>
              <c:f>Sheet1!$A$3</c:f>
              <c:strCache>
                <c:ptCount val="1"/>
                <c:pt idx="0">
                  <c:v>Eksports, kopā</c:v>
                </c:pt>
              </c:strCache>
            </c:strRef>
          </c:tx>
          <c:spPr>
            <a:ln w="25400">
              <a:solidFill>
                <a:schemeClr val="accent5">
                  <a:lumMod val="75000"/>
                </a:schemeClr>
              </a:solidFill>
            </a:ln>
            <a:effectLst/>
          </c:spPr>
          <c:marker>
            <c:symbol val="none"/>
          </c:marker>
          <c:cat>
            <c:numRef>
              <c:f>Sheet1!$B$2:$M$2</c:f>
              <c:numCache>
                <c:formatCode>0</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Sheet1!$B$3:$M$3</c:f>
              <c:numCache>
                <c:formatCode>0.0</c:formatCode>
                <c:ptCount val="12"/>
                <c:pt idx="0">
                  <c:v>202.93876899999998</c:v>
                </c:pt>
                <c:pt idx="1">
                  <c:v>239.770184</c:v>
                </c:pt>
                <c:pt idx="2">
                  <c:v>343.92390600000004</c:v>
                </c:pt>
                <c:pt idx="3">
                  <c:v>398.449158</c:v>
                </c:pt>
                <c:pt idx="4">
                  <c:v>380.293721</c:v>
                </c:pt>
                <c:pt idx="5">
                  <c:v>405.712886</c:v>
                </c:pt>
                <c:pt idx="6">
                  <c:v>487.51738</c:v>
                </c:pt>
                <c:pt idx="7">
                  <c:v>547.22476000000006</c:v>
                </c:pt>
                <c:pt idx="8">
                  <c:v>556.507702</c:v>
                </c:pt>
                <c:pt idx="9">
                  <c:v>553.460924</c:v>
                </c:pt>
                <c:pt idx="10">
                  <c:v>640.880951</c:v>
                </c:pt>
                <c:pt idx="11" formatCode="0">
                  <c:v>679.65843300000006</c:v>
                </c:pt>
              </c:numCache>
            </c:numRef>
          </c:val>
          <c:smooth val="0"/>
          <c:extLst>
            <c:ext xmlns:c="http://schemas.openxmlformats.org/drawingml/2006/chart" xmlns:c16="http://schemas.microsoft.com/office/drawing/2014/chart" uri="{C3380CC4-5D6E-409C-BE32-E72D297353CC}">
              <c16:uniqueId val="{00000000-D554-42AC-8128-CB547941E045}"/>
            </c:ext>
          </c:extLst>
        </c:ser>
        <c:dLbls>
          <c:showLegendKey val="0"/>
          <c:showVal val="0"/>
          <c:showCatName val="0"/>
          <c:showSerName val="0"/>
          <c:showPercent val="0"/>
          <c:showBubbleSize val="0"/>
        </c:dLbls>
        <c:smooth val="0"/>
        <c:axId val="630019600"/>
        <c:axId val="630032928"/>
      </c:lineChart>
      <c:catAx>
        <c:axId val="630019600"/>
        <c:scaling>
          <c:orientation val="minMax"/>
        </c:scaling>
        <c:delete val="0"/>
        <c:axPos val="b"/>
        <c:numFmt formatCode="0" sourceLinked="1"/>
        <c:majorTickMark val="out"/>
        <c:minorTickMark val="none"/>
        <c:tickLblPos val="low"/>
        <c:spPr>
          <a:noFill/>
          <a:ln w="3175">
            <a:solidFill>
              <a:sysClr val="window" lastClr="FFFFFF">
                <a:lumMod val="50000"/>
              </a:sysClr>
            </a:solidFill>
            <a:round/>
          </a:ln>
          <a:effectLst/>
        </c:spPr>
        <c:txPr>
          <a:bodyPr rot="-5400000" vert="horz"/>
          <a:lstStyle/>
          <a:p>
            <a:pPr>
              <a:defRPr sz="700"/>
            </a:pPr>
            <a:endParaRPr lang="lv-LV"/>
          </a:p>
        </c:txPr>
        <c:crossAx val="630032928"/>
        <c:crosses val="autoZero"/>
        <c:lblAlgn val="ctr"/>
        <c:lblOffset val="100"/>
        <c:noMultiLvlLbl val="0"/>
      </c:catAx>
      <c:valAx>
        <c:axId val="630032928"/>
        <c:scaling>
          <c:orientation val="minMax"/>
          <c:max val="700"/>
          <c:min val="0"/>
        </c:scaling>
        <c:delete val="0"/>
        <c:axPos val="l"/>
        <c:numFmt formatCode="0" sourceLinked="0"/>
        <c:majorTickMark val="out"/>
        <c:minorTickMark val="none"/>
        <c:tickLblPos val="nextTo"/>
        <c:spPr>
          <a:noFill/>
          <a:ln w="3175">
            <a:solidFill>
              <a:sysClr val="window" lastClr="FFFFFF">
                <a:lumMod val="50000"/>
              </a:sysClr>
            </a:solidFill>
            <a:round/>
          </a:ln>
          <a:effectLst/>
        </c:spPr>
        <c:txPr>
          <a:bodyPr rot="0"/>
          <a:lstStyle/>
          <a:p>
            <a:pPr>
              <a:defRPr/>
            </a:pPr>
            <a:endParaRPr lang="lv-LV"/>
          </a:p>
        </c:txPr>
        <c:crossAx val="630019600"/>
        <c:crosses val="autoZero"/>
        <c:crossBetween val="between"/>
        <c:majorUnit val="200"/>
      </c:valAx>
      <c:spPr>
        <a:noFill/>
        <a:ln w="24631">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Arial Narrow" panose="020B0606020202030204" pitchFamily="34" charset="0"/>
          <a:ea typeface="Arial"/>
          <a:cs typeface="Arial"/>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30307899251493849"/>
          <c:y val="0.038493219843582546"/>
          <c:w val="0.77835294117647058"/>
          <c:h val="0.91449828613942941"/>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Sheet1!$A$2:$A$7</c:f>
              <c:strCache>
                <c:ptCount val="6"/>
                <c:pt idx="0">
                  <c:v>Ūdens apgāde</c:v>
                </c:pt>
                <c:pt idx="1">
                  <c:v>Mašīnu un iekārtu ražošana</c:v>
                </c:pt>
                <c:pt idx="2">
                  <c:v>Nemetālisko minerālu ražošana</c:v>
                </c:pt>
                <c:pt idx="3">
                  <c:v>Elektrisko, optisko iekārtu raž.</c:v>
                </c:pt>
                <c:pt idx="4">
                  <c:v>Izmitināšana un ēdināšanas pak.</c:v>
                </c:pt>
                <c:pt idx="5">
                  <c:v>IKT</c:v>
                </c:pt>
              </c:strCache>
            </c:strRef>
          </c:cat>
          <c:val>
            <c:numRef>
              <c:f>Sheet1!$B$2:$B$7</c:f>
              <c:numCache>
                <c:formatCode>0</c:formatCode>
                <c:ptCount val="6"/>
                <c:pt idx="0">
                  <c:v>9</c:v>
                </c:pt>
                <c:pt idx="1">
                  <c:v>12</c:v>
                </c:pt>
                <c:pt idx="2">
                  <c:v>12</c:v>
                </c:pt>
                <c:pt idx="3">
                  <c:v>19</c:v>
                </c:pt>
                <c:pt idx="4">
                  <c:v>20</c:v>
                </c:pt>
                <c:pt idx="5">
                  <c:v>42</c:v>
                </c:pt>
              </c:numCache>
            </c:numRef>
          </c:val>
          <c:extLst>
            <c:ext xmlns:c="http://schemas.openxmlformats.org/drawingml/2006/chart" xmlns:c16="http://schemas.microsoft.com/office/drawing/2014/chart" uri="{C3380CC4-5D6E-409C-BE32-E72D297353CC}">
              <c16:uniqueId val="{00000000-3E48-4079-A868-BAA48705F407}"/>
            </c:ext>
          </c:extLst>
        </c:ser>
        <c:dLbls>
          <c:showLegendKey val="0"/>
          <c:showVal val="0"/>
          <c:showCatName val="0"/>
          <c:showSerName val="0"/>
          <c:showPercent val="0"/>
          <c:showBubbleSize val="0"/>
        </c:dLbls>
        <c:gapWidth val="40"/>
        <c:axId val="629817328"/>
        <c:axId val="629816936"/>
      </c:barChart>
      <c:catAx>
        <c:axId val="629817328"/>
        <c:scaling>
          <c:orientation val="minMax"/>
        </c:scaling>
        <c:delete val="1"/>
        <c:axPos val="l"/>
        <c:numFmt formatCode="General" sourceLinked="1"/>
        <c:majorTickMark val="out"/>
        <c:minorTickMark val="none"/>
        <c:tickLblPos val="nextTo"/>
        <c:crossAx val="629816936"/>
        <c:crosses val="autoZero"/>
        <c:auto val="1"/>
        <c:lblAlgn val="ctr"/>
        <c:lblOffset val="100"/>
        <c:noMultiLvlLbl val="0"/>
      </c:catAx>
      <c:valAx>
        <c:axId val="629816936"/>
        <c:scaling>
          <c:orientation val="minMax"/>
        </c:scaling>
        <c:delete val="1"/>
        <c:axPos val="b"/>
        <c:numFmt formatCode="0" sourceLinked="1"/>
        <c:majorTickMark val="out"/>
        <c:minorTickMark val="none"/>
        <c:tickLblPos val="nextTo"/>
        <c:crossAx val="629817328"/>
        <c:crosses val="autoZero"/>
        <c:crossBetween val="between"/>
        <c:majorUnit val="15"/>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lv-LV"/>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72841410287632"/>
          <c:y val="0.057971014492753624"/>
          <c:w val="0.69294856184214082"/>
          <c:h val="0.726718711443121"/>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extLst>
              <c:ext xmlns:c="http://schemas.openxmlformats.org/drawingml/2006/chart" xmlns:c16="http://schemas.microsoft.com/office/drawing/2014/chart" uri="{C3380CC4-5D6E-409C-BE32-E72D297353CC}">
                <c16:uniqueId val="{00000000-AE04-4AE1-A1C3-AB6A31BE64D4}"/>
              </c:ext>
            </c:extLst>
          </c:dPt>
          <c:dLbls>
            <c:dLbl>
              <c:idx val="0"/>
              <c:layout>
                <c:manualLayout>
                  <c:x val="-0.21305841924398625"/>
                  <c:y val="0.039886039886039885"/>
                </c:manualLayout>
              </c:layout>
              <c:tx>
                <c:rich>
                  <a:bodyPr vertOverflow="clip"/>
                  <a:lstStyle/>
                  <a:p>
                    <a:r>
                      <a:rPr lang="en-US"/>
                      <a:t>2005</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AE04-4AE1-A1C3-AB6A31BE64D4}"/>
                </c:ext>
                <c:ext xmlns:c15="http://schemas.microsoft.com/office/drawing/2012/chart" uri="{CE6537A1-D6FC-4f65-9D91-7224C49458BB}"/>
              </c:extLst>
            </c:dLbl>
            <c:dLbl>
              <c:idx val="1"/>
              <c:delete val="1"/>
              <c:extLst>
                <c:ext xmlns:c="http://schemas.openxmlformats.org/drawingml/2006/chart" xmlns:c16="http://schemas.microsoft.com/office/drawing/2014/chart" uri="{C3380CC4-5D6E-409C-BE32-E72D297353CC}">
                  <c16:uniqueId val="{00000002-AE04-4AE1-A1C3-AB6A31BE64D4}"/>
                </c:ext>
                <c:ext xmlns:c15="http://schemas.microsoft.com/office/drawing/2012/chart" uri="{CE6537A1-D6FC-4f65-9D91-7224C49458BB}"/>
              </c:extLst>
            </c:dLbl>
            <c:dLbl>
              <c:idx val="2"/>
              <c:layout>
                <c:manualLayout>
                  <c:x val="-0.07560137457044673"/>
                  <c:y val="-0.051282051282051273"/>
                </c:manualLayout>
              </c:layout>
              <c:tx>
                <c:rich>
                  <a:bodyPr vertOverflow="clip"/>
                  <a:lstStyle/>
                  <a:p>
                    <a:r>
                      <a:rPr lang="en-US"/>
                      <a:t>2007</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AE04-4AE1-A1C3-AB6A31BE64D4}"/>
                </c:ext>
                <c:ext xmlns:c15="http://schemas.microsoft.com/office/drawing/2012/chart" uri="{CE6537A1-D6FC-4f65-9D91-7224C49458BB}"/>
              </c:extLst>
            </c:dLbl>
            <c:dLbl>
              <c:idx val="3"/>
              <c:delete val="1"/>
              <c:extLst>
                <c:ext xmlns:c="http://schemas.openxmlformats.org/drawingml/2006/chart" xmlns:c16="http://schemas.microsoft.com/office/drawing/2014/chart" uri="{C3380CC4-5D6E-409C-BE32-E72D297353CC}">
                  <c16:uniqueId val="{00000004-AE04-4AE1-A1C3-AB6A31BE64D4}"/>
                </c:ext>
                <c:ext xmlns:c15="http://schemas.microsoft.com/office/drawing/2012/chart" uri="{CE6537A1-D6FC-4f65-9D91-7224C49458BB}"/>
              </c:extLst>
            </c:dLbl>
            <c:dLbl>
              <c:idx val="4"/>
              <c:layout>
                <c:manualLayout>
                  <c:x val="-0.17869415807560132"/>
                  <c:y val="0.045584045584045586"/>
                </c:manualLayout>
              </c:layout>
              <c:tx>
                <c:rich>
                  <a:bodyPr vertOverflow="clip"/>
                  <a:lstStyle/>
                  <a:p>
                    <a:r>
                      <a:rPr lang="en-US"/>
                      <a:t>2009</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AE04-4AE1-A1C3-AB6A31BE64D4}"/>
                </c:ext>
                <c:ext xmlns:c15="http://schemas.microsoft.com/office/drawing/2012/chart" uri="{CE6537A1-D6FC-4f65-9D91-7224C49458BB}"/>
              </c:extLst>
            </c:dLbl>
            <c:dLbl>
              <c:idx val="5"/>
              <c:layout>
                <c:manualLayout>
                  <c:x val="-0.13745704467353953"/>
                  <c:y val="-0.045584045584045586"/>
                </c:manualLayout>
              </c:layout>
              <c:tx>
                <c:rich>
                  <a:bodyPr vertOverflow="clip"/>
                  <a:lstStyle/>
                  <a:p>
                    <a:r>
                      <a:rPr lang="en-US"/>
                      <a:t>2011</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AE04-4AE1-A1C3-AB6A31BE64D4}"/>
                </c:ext>
                <c:ext xmlns:c15="http://schemas.microsoft.com/office/drawing/2012/chart" uri="{CE6537A1-D6FC-4f65-9D91-7224C49458BB}"/>
              </c:extLst>
            </c:dLbl>
            <c:dLbl>
              <c:idx val="6"/>
              <c:delete val="1"/>
              <c:extLst>
                <c:ext xmlns:c="http://schemas.openxmlformats.org/drawingml/2006/chart" xmlns:c16="http://schemas.microsoft.com/office/drawing/2014/chart" uri="{C3380CC4-5D6E-409C-BE32-E72D297353CC}">
                  <c16:uniqueId val="{00000006-AE04-4AE1-A1C3-AB6A31BE64D4}"/>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7-AE04-4AE1-A1C3-AB6A31BE64D4}"/>
                </c:ext>
                <c:ext xmlns:c15="http://schemas.microsoft.com/office/drawing/2012/chart" uri="{CE6537A1-D6FC-4f65-9D91-7224C49458BB}"/>
              </c:extLst>
            </c:dLbl>
            <c:dLbl>
              <c:idx val="8"/>
              <c:layout>
                <c:manualLayout>
                  <c:x val="-0.034364261168384883"/>
                  <c:y val="0.045584045584045586"/>
                </c:manualLayout>
              </c:layout>
              <c:tx>
                <c:rich>
                  <a:bodyPr vertOverflow="clip"/>
                  <a:lstStyle/>
                  <a:p>
                    <a:r>
                      <a:rPr lang="en-US"/>
                      <a:t>2013</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AE04-4AE1-A1C3-AB6A31BE64D4}"/>
                </c:ext>
                <c:ext xmlns:c15="http://schemas.microsoft.com/office/drawing/2012/chart" uri="{CE6537A1-D6FC-4f65-9D91-7224C49458BB}"/>
              </c:extLst>
            </c:dLbl>
            <c:dLbl>
              <c:idx val="9"/>
              <c:delete val="1"/>
              <c:extLst>
                <c:ext xmlns:c="http://schemas.openxmlformats.org/drawingml/2006/chart" xmlns:c16="http://schemas.microsoft.com/office/drawing/2014/chart" uri="{C3380CC4-5D6E-409C-BE32-E72D297353CC}">
                  <c16:uniqueId val="{00000009-AE04-4AE1-A1C3-AB6A31BE64D4}"/>
                </c:ext>
                <c:ext xmlns:c15="http://schemas.microsoft.com/office/drawing/2012/chart" uri="{CE6537A1-D6FC-4f65-9D91-7224C49458BB}"/>
              </c:extLst>
            </c:dLbl>
            <c:dLbl>
              <c:idx val="10"/>
              <c:layout>
                <c:manualLayout>
                  <c:x val="-0.0068728522336771016"/>
                  <c:y val="-0.011396011396011345"/>
                </c:manualLayout>
              </c:layout>
              <c:tx>
                <c:rich>
                  <a:bodyPr vertOverflow="clip"/>
                  <a:lstStyle/>
                  <a:p>
                    <a:r>
                      <a:rPr lang="en-US"/>
                      <a:t>2015</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AE04-4AE1-A1C3-AB6A31BE64D4}"/>
                </c:ext>
                <c:ext xmlns:c15="http://schemas.microsoft.com/office/drawing/2012/chart" uri="{CE6537A1-D6FC-4f65-9D91-7224C49458BB}"/>
              </c:extLst>
            </c:dLbl>
            <c:dLbl>
              <c:idx val="11"/>
              <c:layout>
                <c:manualLayout>
                  <c:x val="-0.15120274914089346"/>
                  <c:y val="-0.034188034188034191"/>
                </c:manualLayout>
              </c:layout>
              <c:tx>
                <c:rich>
                  <a:bodyPr vertOverflow="clip"/>
                  <a:lstStyle/>
                  <a:p>
                    <a:r>
                      <a:rPr lang="en-US"/>
                      <a:t>2016</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20D0-4FC1-8648-5593AA86D4D2}"/>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b="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Sheet1!$B$3:$B$14</c:f>
              <c:numCache>
                <c:formatCode>0.0</c:formatCode>
                <c:ptCount val="12"/>
                <c:pt idx="0">
                  <c:v>7.22805498430566</c:v>
                </c:pt>
                <c:pt idx="1">
                  <c:v>6.0554189521467752</c:v>
                </c:pt>
                <c:pt idx="2">
                  <c:v>8.0011547344110863</c:v>
                </c:pt>
                <c:pt idx="3">
                  <c:v>8.1196688409433015</c:v>
                </c:pt>
                <c:pt idx="4">
                  <c:v>9.5598061050700913</c:v>
                </c:pt>
                <c:pt idx="5">
                  <c:v>10.592413480429197</c:v>
                </c:pt>
                <c:pt idx="6">
                  <c:v>10.046667638909145</c:v>
                </c:pt>
                <c:pt idx="7">
                  <c:v>10.884213623657496</c:v>
                </c:pt>
                <c:pt idx="8">
                  <c:v>11.409178102405196</c:v>
                </c:pt>
                <c:pt idx="9">
                  <c:v>11.882768144851925</c:v>
                </c:pt>
                <c:pt idx="10">
                  <c:v>12.477090492554408</c:v>
                </c:pt>
                <c:pt idx="11">
                  <c:v>12.844009489916964</c:v>
                </c:pt>
              </c:numCache>
            </c:numRef>
          </c:xVal>
          <c:yVal>
            <c:numRef>
              <c:f>Sheet1!$C$3:$C$14</c:f>
              <c:numCache>
                <c:formatCode>0.0</c:formatCode>
                <c:ptCount val="12"/>
                <c:pt idx="0">
                  <c:v>0.60063538936287653</c:v>
                </c:pt>
                <c:pt idx="1">
                  <c:v>0.73087662920014973</c:v>
                </c:pt>
                <c:pt idx="2">
                  <c:v>1.0494187680395866</c:v>
                </c:pt>
                <c:pt idx="3">
                  <c:v>0.941565295289932</c:v>
                </c:pt>
                <c:pt idx="4">
                  <c:v>0.69840164920864911</c:v>
                </c:pt>
                <c:pt idx="5">
                  <c:v>0.74016579039332075</c:v>
                </c:pt>
                <c:pt idx="6">
                  <c:v>0.744887659513345</c:v>
                </c:pt>
                <c:pt idx="7">
                  <c:v>0.68656929594702909</c:v>
                </c:pt>
                <c:pt idx="8">
                  <c:v>0.64344481300021283</c:v>
                </c:pt>
                <c:pt idx="9">
                  <c:v>0.78488698844435723</c:v>
                </c:pt>
                <c:pt idx="10">
                  <c:v>0.78011537751259608</c:v>
                </c:pt>
                <c:pt idx="11">
                  <c:v>0.84027761488367569</c:v>
                </c:pt>
              </c:numCache>
            </c:numRef>
          </c:yVal>
          <c:smooth val="1"/>
          <c:extLst>
            <c:ext xmlns:c="http://schemas.openxmlformats.org/drawingml/2006/chart" xmlns:c16="http://schemas.microsoft.com/office/drawing/2014/chart" uri="{C3380CC4-5D6E-409C-BE32-E72D297353CC}">
              <c16:uniqueId val="{0000000B-AE04-4AE1-A1C3-AB6A31BE64D4}"/>
            </c:ext>
          </c:extLst>
        </c:ser>
        <c:dLbls>
          <c:showLegendKey val="0"/>
          <c:showVal val="0"/>
          <c:showCatName val="0"/>
          <c:showSerName val="0"/>
          <c:showPercent val="0"/>
          <c:showBubbleSize val="0"/>
        </c:dLbls>
        <c:axId val="629822032"/>
        <c:axId val="629822424"/>
      </c:scatterChart>
      <c:valAx>
        <c:axId val="629822032"/>
        <c:scaling>
          <c:orientation val="minMax"/>
          <c:max val="15"/>
          <c:min val="0"/>
        </c:scaling>
        <c:delete val="0"/>
        <c:axPos val="b"/>
        <c:title>
          <c:tx>
            <c:rich>
              <a:bodyPr vertOverflow="clip"/>
              <a:lstStyle/>
              <a:p>
                <a:pPr>
                  <a:defRPr sz="700" b="0">
                    <a:latin typeface="Arial Narrow" pitchFamily="34" charset="0"/>
                  </a:defRPr>
                </a:pPr>
                <a:r>
                  <a:rPr lang="lv-LV" sz="700" b="0">
                    <a:latin typeface="Arial Narrow" pitchFamily="34" charset="0"/>
                  </a:rPr>
                  <a:t>Produktivitāte (pievienotā vērtība </a:t>
                </a:r>
                <a:br>
                  <a:rPr lang="lv-LV" sz="700" b="0">
                    <a:latin typeface="Arial Narrow" pitchFamily="34" charset="0"/>
                  </a:rPr>
                </a:br>
                <a:r>
                  <a:rPr lang="lv-LV" sz="700" b="0">
                    <a:latin typeface="Arial Narrow" pitchFamily="34" charset="0"/>
                  </a:rPr>
                  <a:t>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29822424"/>
        <c:crosses val="autoZero"/>
        <c:crossBetween val="midCat"/>
        <c:majorUnit val="5"/>
      </c:valAx>
      <c:valAx>
        <c:axId val="629822424"/>
        <c:scaling>
          <c:orientation val="minMax"/>
          <c:min val="0.5"/>
        </c:scaling>
        <c:delete val="0"/>
        <c:axPos val="l"/>
        <c:title>
          <c:tx>
            <c:rich>
              <a:bodyPr vertOverflow="clip"/>
              <a:lstStyle/>
              <a:p>
                <a:pPr>
                  <a:defRPr sz="700" b="0"/>
                </a:pPr>
                <a:r>
                  <a:rPr lang="lv-LV" sz="700" b="0">
                    <a:latin typeface="Arial Narrow" pitchFamily="34" charset="0"/>
                  </a:rPr>
                  <a:t>Darbaspēka izmaksas </a:t>
                </a:r>
                <a:br>
                  <a:rPr lang="lv-LV" sz="700" b="0">
                    <a:latin typeface="Arial Narrow" pitchFamily="34" charset="0"/>
                  </a:rPr>
                </a:br>
                <a:r>
                  <a:rPr lang="lv-LV" sz="700" b="0">
                    <a:latin typeface="Arial Narrow" pitchFamily="34" charset="0"/>
                  </a:rPr>
                  <a:t>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29822032"/>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20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5939056398438"/>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93E3-463D-9F3F-E814A8A5DD30}"/>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93E3-463D-9F3F-E814A8A5DD30}"/>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Sheet1!$B$2:$L$2</c:f>
              <c:numCache>
                <c:formatCode>0</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Sheet1!$B$3:$L$3</c:f>
              <c:numCache>
                <c:formatCode>0</c:formatCode>
                <c:ptCount val="11"/>
                <c:pt idx="0">
                  <c:v>35.728656514084506</c:v>
                </c:pt>
                <c:pt idx="1">
                  <c:v>37.347380685358253</c:v>
                </c:pt>
                <c:pt idx="2">
                  <c:v>64.045420111731858</c:v>
                </c:pt>
                <c:pt idx="3">
                  <c:v>83.8840332631579</c:v>
                </c:pt>
                <c:pt idx="4">
                  <c:v>123.87417622149837</c:v>
                </c:pt>
                <c:pt idx="5">
                  <c:v>122.2026765060241</c:v>
                </c:pt>
                <c:pt idx="6">
                  <c:v>137.32883943661972</c:v>
                </c:pt>
                <c:pt idx="7">
                  <c:v>146.31678074866312</c:v>
                </c:pt>
                <c:pt idx="8">
                  <c:v>145.30227206266318</c:v>
                </c:pt>
                <c:pt idx="9">
                  <c:v>149.5840335135135</c:v>
                </c:pt>
                <c:pt idx="10">
                  <c:v>162.24834202531645</c:v>
                </c:pt>
              </c:numCache>
            </c:numRef>
          </c:val>
          <c:extLst>
            <c:ext xmlns:c="http://schemas.openxmlformats.org/drawingml/2006/chart" xmlns:c16="http://schemas.microsoft.com/office/drawing/2014/chart" uri="{C3380CC4-5D6E-409C-BE32-E72D297353CC}">
              <c16:uniqueId val="{00000004-93E3-463D-9F3F-E814A8A5DD30}"/>
            </c:ext>
          </c:extLst>
        </c:ser>
        <c:dLbls>
          <c:showLegendKey val="0"/>
          <c:showVal val="0"/>
          <c:showCatName val="0"/>
          <c:showSerName val="0"/>
          <c:showPercent val="0"/>
          <c:showBubbleSize val="0"/>
        </c:dLbls>
        <c:gapWidth val="20"/>
        <c:axId val="630033712"/>
        <c:axId val="630031752"/>
      </c:barChart>
      <c:catAx>
        <c:axId val="630033712"/>
        <c:scaling>
          <c:orientation val="minMax"/>
        </c:scaling>
        <c:delete val="0"/>
        <c:axPos val="b"/>
        <c:numFmt formatCode="0" sourceLinked="1"/>
        <c:majorTickMark val="out"/>
        <c:minorTickMark val="none"/>
        <c:tickLblPos val="low"/>
        <c:txPr>
          <a:bodyPr rot="-5400000" vert="horz"/>
          <a:lstStyle/>
          <a:p>
            <a:pPr>
              <a:defRPr/>
            </a:pPr>
            <a:endParaRPr lang="lv-LV"/>
          </a:p>
        </c:txPr>
        <c:crossAx val="630031752"/>
        <c:crosses val="autoZero"/>
        <c:auto val="1"/>
        <c:lblAlgn val="ctr"/>
        <c:lblOffset val="100"/>
        <c:noMultiLvlLbl val="0"/>
      </c:catAx>
      <c:valAx>
        <c:axId val="630031752"/>
        <c:scaling>
          <c:orientation val="minMax"/>
        </c:scaling>
        <c:delete val="0"/>
        <c:axPos val="l"/>
        <c:numFmt formatCode="0" sourceLinked="0"/>
        <c:majorTickMark val="out"/>
        <c:minorTickMark val="none"/>
        <c:tickLblPos val="nextTo"/>
        <c:crossAx val="630033712"/>
        <c:crosses val="autoZero"/>
        <c:crossBetween val="between"/>
        <c:majorUnit val="40"/>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20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572372897835"/>
          <c:y val="0.044057785459744363"/>
          <c:w val="0.9310540474739486"/>
          <c:h val="0.72250176045067538"/>
        </c:manualLayout>
      </c:layout>
      <c:barChart>
        <c:barDir val="col"/>
        <c:grouping val="clustered"/>
        <c:varyColors val="0"/>
        <c:ser>
          <c:idx val="1"/>
          <c:order val="0"/>
          <c:tx>
            <c:strRef>
              <c:f>Sheet1!$B$3</c:f>
              <c:strCache>
                <c:ptCount val="1"/>
              </c:strCache>
            </c:strRef>
          </c:tx>
          <c:spPr>
            <a:solidFill>
              <a:schemeClr val="accent3">
                <a:lumMod val="50000"/>
              </a:schemeClr>
            </a:solidFill>
            <a:ln w="19050"/>
          </c:spPr>
          <c:invertIfNegative val="0"/>
          <c:dPt>
            <c:idx val="9"/>
            <c:invertIfNegative val="0"/>
            <c:bubble3D val="0"/>
            <c:extLst>
              <c:ext xmlns:c="http://schemas.openxmlformats.org/drawingml/2006/chart" xmlns:c16="http://schemas.microsoft.com/office/drawing/2014/chart" uri="{C3380CC4-5D6E-409C-BE32-E72D297353CC}">
                <c16:uniqueId val="{00000000-AB25-4B55-AFF5-113FC8A4DABA}"/>
              </c:ext>
            </c:extLst>
          </c:dPt>
          <c:dPt>
            <c:idx val="11"/>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2-AB25-4B55-AFF5-113FC8A4DABA}"/>
              </c:ext>
            </c:extLst>
          </c:dPt>
          <c:dPt>
            <c:idx val="12"/>
            <c:invertIfNegative val="0"/>
            <c:bubble3D val="0"/>
            <c:extLst>
              <c:ext xmlns:c="http://schemas.openxmlformats.org/drawingml/2006/chart" xmlns:c16="http://schemas.microsoft.com/office/drawing/2014/chart" uri="{C3380CC4-5D6E-409C-BE32-E72D297353CC}">
                <c16:uniqueId val="{00000003-AB25-4B55-AFF5-113FC8A4DABA}"/>
              </c:ext>
            </c:extLst>
          </c:dPt>
          <c:dPt>
            <c:idx val="13"/>
            <c:invertIfNegative val="0"/>
            <c:bubble3D val="0"/>
            <c:extLst>
              <c:ext xmlns:c="http://schemas.openxmlformats.org/drawingml/2006/chart" xmlns:c16="http://schemas.microsoft.com/office/drawing/2014/chart" uri="{C3380CC4-5D6E-409C-BE32-E72D297353CC}">
                <c16:uniqueId val="{00000004-AB25-4B55-AFF5-113FC8A4DABA}"/>
              </c:ext>
            </c:extLst>
          </c:dPt>
          <c:dPt>
            <c:idx val="15"/>
            <c:invertIfNegative val="0"/>
            <c:bubble3D val="0"/>
            <c:spPr>
              <a:ln w="19050"/>
            </c:spPr>
            <c:extLst>
              <c:ext xmlns:c="http://schemas.openxmlformats.org/drawingml/2006/chart" xmlns:c16="http://schemas.microsoft.com/office/drawing/2014/chart" uri="{C3380CC4-5D6E-409C-BE32-E72D297353CC}">
                <c16:uniqueId val="{00000006-AB25-4B55-AFF5-113FC8A4DABA}"/>
              </c:ext>
            </c:extLst>
          </c:dPt>
          <c:dPt>
            <c:idx val="25"/>
            <c:invertIfNegative val="0"/>
            <c:bubble3D val="0"/>
            <c:extLst>
              <c:ext xmlns:c="http://schemas.openxmlformats.org/drawingml/2006/chart" xmlns:c16="http://schemas.microsoft.com/office/drawing/2014/chart" uri="{C3380CC4-5D6E-409C-BE32-E72D297353CC}">
                <c16:uniqueId val="{00000007-AB25-4B55-AFF5-113FC8A4DABA}"/>
              </c:ext>
            </c:extLst>
          </c:dPt>
          <c:dLbls>
            <c:dLbl>
              <c:idx val="11"/>
              <c:spPr>
                <a:noFill/>
                <a:ln>
                  <a:noFill/>
                </a:ln>
                <a:effectLst/>
              </c:spPr>
              <c:txPr>
                <a:bodyPr wrap="square" lIns="38100" tIns="19050" rIns="38100" bIns="19050" anchor="ctr">
                  <a:spAutoFit/>
                </a:bodyPr>
                <a:lstStyle/>
                <a:p>
                  <a:pPr>
                    <a:defRPr sz="600" b="0"/>
                  </a:pPr>
                  <a:endParaRPr lang="lv-LV"/>
                </a:p>
              </c:txPr>
              <c:showLegendKey val="0"/>
              <c:showVal val="1"/>
              <c:showCatName val="0"/>
              <c:showSerName val="0"/>
              <c:showPercent val="0"/>
              <c:showBubbleSize val="0"/>
            </c:dLbl>
            <c:dLbl>
              <c:idx val="13"/>
              <c:spPr>
                <a:noFill/>
                <a:ln>
                  <a:noFill/>
                </a:ln>
                <a:effectLst/>
              </c:spPr>
              <c:txPr>
                <a:bodyPr wrap="square" lIns="38100" tIns="19050" rIns="38100" bIns="19050" anchor="ctr">
                  <a:spAutoFit/>
                </a:bodyPr>
                <a:lstStyle/>
                <a:p>
                  <a:pPr>
                    <a:defRPr sz="600" b="0"/>
                  </a:pPr>
                  <a:endParaRPr lang="lv-LV"/>
                </a:p>
              </c:txPr>
              <c:showLegendKey val="0"/>
              <c:showVal val="1"/>
              <c:showCatName val="0"/>
              <c:showSerName val="0"/>
              <c:showPercent val="0"/>
              <c:showBubbleSize val="0"/>
            </c:dLbl>
            <c:dLbl>
              <c:idx val="15"/>
              <c:spPr>
                <a:noFill/>
                <a:ln>
                  <a:noFill/>
                </a:ln>
                <a:effectLst/>
              </c:spPr>
              <c:txPr>
                <a:bodyPr wrap="square" lIns="38100" tIns="19050" rIns="38100" bIns="19050" anchor="ctr">
                  <a:spAutoFit/>
                </a:bodyPr>
                <a:lstStyle/>
                <a:p>
                  <a:pPr>
                    <a:defRPr sz="600" b="1"/>
                  </a:pPr>
                  <a:endParaRPr lang="lv-LV"/>
                </a:p>
              </c:txPr>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Sheet1!$A$4:$A$30</c:f>
              <c:strCache>
                <c:ptCount val="27"/>
                <c:pt idx="0">
                  <c:v>NL</c:v>
                </c:pt>
                <c:pt idx="1">
                  <c:v>BE</c:v>
                </c:pt>
                <c:pt idx="2">
                  <c:v>IE</c:v>
                </c:pt>
                <c:pt idx="3">
                  <c:v>EE</c:v>
                </c:pt>
                <c:pt idx="4">
                  <c:v>FR</c:v>
                </c:pt>
                <c:pt idx="5">
                  <c:v>AT</c:v>
                </c:pt>
                <c:pt idx="6">
                  <c:v>UK</c:v>
                </c:pt>
                <c:pt idx="7">
                  <c:v>SE</c:v>
                </c:pt>
                <c:pt idx="8">
                  <c:v>HU</c:v>
                </c:pt>
                <c:pt idx="9">
                  <c:v>LT</c:v>
                </c:pt>
                <c:pt idx="10">
                  <c:v>SI</c:v>
                </c:pt>
                <c:pt idx="11">
                  <c:v>EU-28</c:v>
                </c:pt>
                <c:pt idx="12">
                  <c:v>DK</c:v>
                </c:pt>
                <c:pt idx="13">
                  <c:v>CZ</c:v>
                </c:pt>
                <c:pt idx="14">
                  <c:v>SK</c:v>
                </c:pt>
                <c:pt idx="15">
                  <c:v>LV</c:v>
                </c:pt>
                <c:pt idx="16">
                  <c:v>DE</c:v>
                </c:pt>
                <c:pt idx="17">
                  <c:v>IT</c:v>
                </c:pt>
                <c:pt idx="18">
                  <c:v>FI</c:v>
                </c:pt>
                <c:pt idx="19">
                  <c:v>ES</c:v>
                </c:pt>
                <c:pt idx="20">
                  <c:v>PT</c:v>
                </c:pt>
                <c:pt idx="21">
                  <c:v>PL</c:v>
                </c:pt>
                <c:pt idx="22">
                  <c:v>HR</c:v>
                </c:pt>
                <c:pt idx="23">
                  <c:v>RO</c:v>
                </c:pt>
                <c:pt idx="24">
                  <c:v>EL</c:v>
                </c:pt>
                <c:pt idx="25">
                  <c:v>CY</c:v>
                </c:pt>
                <c:pt idx="26">
                  <c:v>BG</c:v>
                </c:pt>
              </c:strCache>
            </c:strRef>
          </c:cat>
          <c:val>
            <c:numRef>
              <c:f>Sheet1!$B$4:$B$30</c:f>
              <c:numCache>
                <c:formatCode>0</c:formatCode>
                <c:ptCount val="27"/>
                <c:pt idx="0">
                  <c:v>950.3615117125</c:v>
                </c:pt>
                <c:pt idx="1">
                  <c:v>899.12067877022662</c:v>
                </c:pt>
                <c:pt idx="2">
                  <c:v>566.28458880063545</c:v>
                </c:pt>
                <c:pt idx="3">
                  <c:v>346.54812680000003</c:v>
                </c:pt>
                <c:pt idx="4">
                  <c:v>340.68415089032254</c:v>
                </c:pt>
                <c:pt idx="5">
                  <c:v>323.59238536342104</c:v>
                </c:pt>
                <c:pt idx="6">
                  <c:v>312.63041030306266</c:v>
                </c:pt>
                <c:pt idx="7">
                  <c:v>299.827603</c:v>
                </c:pt>
                <c:pt idx="8">
                  <c:v>276.19434785805623</c:v>
                </c:pt>
                <c:pt idx="9">
                  <c:v>252.54020800524935</c:v>
                </c:pt>
                <c:pt idx="10">
                  <c:v>242.07288020030813</c:v>
                </c:pt>
                <c:pt idx="11">
                  <c:v>232.54834196489981</c:v>
                </c:pt>
                <c:pt idx="12">
                  <c:v>230.27120348076923</c:v>
                </c:pt>
                <c:pt idx="13">
                  <c:v>200.21941940900427</c:v>
                </c:pt>
                <c:pt idx="14">
                  <c:v>196.51835101374971</c:v>
                </c:pt>
                <c:pt idx="15">
                  <c:v>193.6073830379747</c:v>
                </c:pt>
                <c:pt idx="16">
                  <c:v>184.25422429930191</c:v>
                </c:pt>
                <c:pt idx="17">
                  <c:v>183.72445550281751</c:v>
                </c:pt>
                <c:pt idx="18">
                  <c:v>165.03260203426123</c:v>
                </c:pt>
                <c:pt idx="19">
                  <c:v>161.23402947852762</c:v>
                </c:pt>
                <c:pt idx="20">
                  <c:v>154.83390547330643</c:v>
                </c:pt>
                <c:pt idx="21">
                  <c:v>151.19220509645305</c:v>
                </c:pt>
                <c:pt idx="22">
                  <c:v>104.03638497695853</c:v>
                </c:pt>
                <c:pt idx="23">
                  <c:v>93.0953413572543</c:v>
                </c:pt>
                <c:pt idx="24">
                  <c:v>92.543444318983759</c:v>
                </c:pt>
                <c:pt idx="25">
                  <c:v>90.972649056603771</c:v>
                </c:pt>
                <c:pt idx="26">
                  <c:v>48.805170122275392</c:v>
                </c:pt>
              </c:numCache>
            </c:numRef>
          </c:val>
          <c:extLst>
            <c:ext xmlns:c="http://schemas.openxmlformats.org/drawingml/2006/chart" xmlns:c16="http://schemas.microsoft.com/office/drawing/2014/chart" uri="{C3380CC4-5D6E-409C-BE32-E72D297353CC}">
              <c16:uniqueId val="{00000008-AB25-4B55-AFF5-113FC8A4DABA}"/>
            </c:ext>
          </c:extLst>
        </c:ser>
        <c:dLbls>
          <c:showLegendKey val="0"/>
          <c:showVal val="0"/>
          <c:showCatName val="0"/>
          <c:showSerName val="0"/>
          <c:showPercent val="0"/>
          <c:showBubbleSize val="0"/>
        </c:dLbls>
        <c:gapWidth val="20"/>
        <c:axId val="630032536"/>
        <c:axId val="560924640"/>
      </c:barChart>
      <c:catAx>
        <c:axId val="630032536"/>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560924640"/>
        <c:crosses val="autoZero"/>
        <c:auto val="1"/>
        <c:lblAlgn val="ctr"/>
        <c:lblOffset val="100"/>
        <c:tickLblSkip val="1"/>
        <c:noMultiLvlLbl val="0"/>
      </c:catAx>
      <c:valAx>
        <c:axId val="560924640"/>
        <c:scaling>
          <c:orientation val="minMax"/>
        </c:scaling>
        <c:delete val="0"/>
        <c:axPos val="l"/>
        <c:numFmt formatCode="0" sourceLinked="0"/>
        <c:majorTickMark val="out"/>
        <c:minorTickMark val="none"/>
        <c:tickLblPos val="nextTo"/>
        <c:txPr>
          <a:bodyPr/>
          <a:lstStyle/>
          <a:p>
            <a:pPr>
              <a:defRPr sz="600"/>
            </a:pPr>
            <a:endParaRPr lang="lv-LV"/>
          </a:p>
        </c:txPr>
        <c:crossAx val="630032536"/>
        <c:crosses val="autoZero"/>
        <c:crossBetween val="between"/>
      </c:valAx>
    </c:plotArea>
    <c:plotVisOnly val="1"/>
    <c:dispBlanksAs val="gap"/>
    <c:showDLblsOverMax val="0"/>
  </c:chart>
  <c:spPr>
    <a:ln w="9525">
      <a:noFill/>
    </a:ln>
  </c:spPr>
  <c:externalData r:id="rId1">
    <c:autoUpdate val="0"/>
  </c:externalData>
</c:chartSpace>
</file>

<file path=word/charts/chart20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449061330451076"/>
          <c:y val="0.15218914041994749"/>
          <c:w val="0.52181675566416263"/>
          <c:h val="0.709344652230971"/>
        </c:manualLayout>
      </c:layout>
      <c:pieChart>
        <c:varyColors val="1"/>
        <c:ser>
          <c:idx val="0"/>
          <c:order val="0"/>
          <c:tx>
            <c:strRef>
              <c:f>Sheet1!$B$1</c:f>
              <c:strCache>
                <c:ptCount val="1"/>
                <c:pt idx="0">
                  <c:v>Column1</c:v>
                </c:pt>
              </c:strCache>
            </c:strRef>
          </c:tx>
          <c:dPt>
            <c:idx val="0"/>
            <c:bubble3D val="0"/>
            <c:spPr>
              <a:solidFill>
                <a:schemeClr val="accent1"/>
              </a:solidFill>
              <a:ln>
                <a:noFill/>
              </a:ln>
              <a:effectLst/>
            </c:spPr>
            <c:extLst>
              <c:ext xmlns:c="http://schemas.openxmlformats.org/drawingml/2006/chart" xmlns:c16="http://schemas.microsoft.com/office/drawing/2014/chart" uri="{C3380CC4-5D6E-409C-BE32-E72D297353CC}">
                <c16:uniqueId val="{00000001-7770-4501-9C2F-95D723DA92E9}"/>
              </c:ext>
            </c:extLst>
          </c:dPt>
          <c:dPt>
            <c:idx val="1"/>
            <c:bubble3D val="0"/>
            <c:spPr>
              <a:solidFill>
                <a:schemeClr val="accent2"/>
              </a:solidFill>
              <a:ln>
                <a:noFill/>
              </a:ln>
              <a:effectLst/>
            </c:spPr>
            <c:extLst>
              <c:ext xmlns:c="http://schemas.openxmlformats.org/drawingml/2006/chart" xmlns:c16="http://schemas.microsoft.com/office/drawing/2014/chart" uri="{C3380CC4-5D6E-409C-BE32-E72D297353CC}">
                <c16:uniqueId val="{00000003-7770-4501-9C2F-95D723DA92E9}"/>
              </c:ext>
            </c:extLst>
          </c:dPt>
          <c:dPt>
            <c:idx val="2"/>
            <c:bubble3D val="0"/>
            <c:spPr>
              <a:solidFill>
                <a:schemeClr val="accent3"/>
              </a:solidFill>
              <a:ln>
                <a:noFill/>
              </a:ln>
              <a:effectLst/>
            </c:spPr>
            <c:extLst>
              <c:ext xmlns:c="http://schemas.openxmlformats.org/drawingml/2006/chart" xmlns:c16="http://schemas.microsoft.com/office/drawing/2014/chart" uri="{C3380CC4-5D6E-409C-BE32-E72D297353CC}">
                <c16:uniqueId val="{00000005-7770-4501-9C2F-95D723DA92E9}"/>
              </c:ext>
            </c:extLst>
          </c:dPt>
          <c:dPt>
            <c:idx val="3"/>
            <c:bubble3D val="0"/>
            <c:spPr>
              <a:solidFill>
                <a:schemeClr val="accent4"/>
              </a:solidFill>
              <a:ln>
                <a:noFill/>
              </a:ln>
              <a:effectLst/>
            </c:spPr>
            <c:extLst>
              <c:ext xmlns:c="http://schemas.openxmlformats.org/drawingml/2006/chart" xmlns:c16="http://schemas.microsoft.com/office/drawing/2014/chart" uri="{C3380CC4-5D6E-409C-BE32-E72D297353CC}">
                <c16:uniqueId val="{00000007-7770-4501-9C2F-95D723DA92E9}"/>
              </c:ext>
            </c:extLst>
          </c:dPt>
          <c:dPt>
            <c:idx val="4"/>
            <c:bubble3D val="0"/>
            <c:spPr>
              <a:solidFill>
                <a:schemeClr val="accent5"/>
              </a:solidFill>
              <a:ln>
                <a:noFill/>
              </a:ln>
              <a:effectLst/>
            </c:spPr>
            <c:extLst>
              <c:ext xmlns:c="http://schemas.openxmlformats.org/drawingml/2006/chart" xmlns:c16="http://schemas.microsoft.com/office/drawing/2014/chart" uri="{C3380CC4-5D6E-409C-BE32-E72D297353CC}">
                <c16:uniqueId val="{00000009-7770-4501-9C2F-95D723DA92E9}"/>
              </c:ext>
            </c:extLst>
          </c:dPt>
          <c:dPt>
            <c:idx val="5"/>
            <c:bubble3D val="0"/>
            <c:spPr>
              <a:solidFill>
                <a:schemeClr val="accent6"/>
              </a:solidFill>
              <a:ln>
                <a:noFill/>
              </a:ln>
              <a:effectLst/>
            </c:spPr>
            <c:extLst>
              <c:ext xmlns:c="http://schemas.openxmlformats.org/drawingml/2006/chart" xmlns:c16="http://schemas.microsoft.com/office/drawing/2014/chart" uri="{C3380CC4-5D6E-409C-BE32-E72D297353CC}">
                <c16:uniqueId val="{0000000B-7770-4501-9C2F-95D723DA92E9}"/>
              </c:ext>
            </c:extLst>
          </c:dPt>
          <c:dPt>
            <c:idx val="6"/>
            <c:bubble3D val="0"/>
            <c:spPr>
              <a:solidFill>
                <a:schemeClr val="accent1">
                  <a:lumMod val="60000"/>
                </a:schemeClr>
              </a:solidFill>
              <a:ln>
                <a:noFill/>
              </a:ln>
              <a:effectLst/>
            </c:spPr>
            <c:extLst>
              <c:ext xmlns:c="http://schemas.openxmlformats.org/drawingml/2006/chart" xmlns:c16="http://schemas.microsoft.com/office/drawing/2014/chart" uri="{C3380CC4-5D6E-409C-BE32-E72D297353CC}">
                <c16:uniqueId val="{0000000D-7770-4501-9C2F-95D723DA92E9}"/>
              </c:ext>
            </c:extLst>
          </c:dPt>
          <c:dLbls>
            <c:dLbl>
              <c:idx val="0"/>
              <c:layout>
                <c:manualLayout>
                  <c:x val="-0.010331553383413281"/>
                  <c:y val="0.055710671959876883"/>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1-7770-4501-9C2F-95D723DA92E9}"/>
                </c:ext>
                <c:ext xmlns:c15="http://schemas.microsoft.com/office/drawing/2012/chart" uri="{CE6537A1-D6FC-4f65-9D91-7224C49458BB}">
                  <c15:layout>
                    <c:manualLayout>
                      <c:w val="0.27586206896551724"/>
                      <c:h val="0.29986108978717491"/>
                    </c:manualLayout>
                  </c15:layout>
                </c:ext>
              </c:extLst>
            </c:dLbl>
            <c:dLbl>
              <c:idx val="1"/>
              <c:layout>
                <c:manualLayout>
                  <c:x val="-0.00022264458322020093"/>
                  <c:y val="-0.019791780902039056"/>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3-7770-4501-9C2F-95D723DA92E9}"/>
                </c:ext>
                <c:ext xmlns:c15="http://schemas.microsoft.com/office/drawing/2012/chart" uri="{CE6537A1-D6FC-4f65-9D91-7224C49458BB}">
                  <c15:layout>
                    <c:manualLayout>
                      <c:w val="0.26091893685703083"/>
                      <c:h val="0.23486573231270882"/>
                    </c:manualLayout>
                  </c15:layout>
                </c:ext>
              </c:extLst>
            </c:dLbl>
            <c:dLbl>
              <c:idx val="2"/>
              <c:layout>
                <c:manualLayout>
                  <c:x val="0.26053639846743304"/>
                  <c:y val="-0.0091688051528377047"/>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5-7770-4501-9C2F-95D723DA92E9}"/>
                </c:ext>
                <c:ext xmlns:c15="http://schemas.microsoft.com/office/drawing/2012/chart" uri="{CE6537A1-D6FC-4f65-9D91-7224C49458BB}">
                  <c15:layout>
                    <c:manualLayout>
                      <c:w val="0.3299996983135729"/>
                      <c:h val="0.23486573231270882"/>
                    </c:manualLayout>
                  </c15:layout>
                </c:ext>
              </c:extLst>
            </c:dLbl>
            <c:dLbl>
              <c:idx val="3"/>
              <c:layout>
                <c:manualLayout>
                  <c:x val="0.0920158687060669"/>
                  <c:y val="-0.0069645194072189441"/>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7-7770-4501-9C2F-95D723DA92E9}"/>
                </c:ext>
                <c:ext xmlns:c15="http://schemas.microsoft.com/office/drawing/2012/chart" uri="{CE6537A1-D6FC-4f65-9D91-7224C49458BB}">
                  <c15:layout>
                    <c:manualLayout>
                      <c:w val="0.28536398467432944"/>
                      <c:h val="0.24140913444315282"/>
                    </c:manualLayout>
                  </c15:layout>
                </c:ext>
              </c:extLst>
            </c:dLbl>
            <c:dLbl>
              <c:idx val="4"/>
              <c:layout>
                <c:manualLayout>
                  <c:x val="-0.01543699278969439"/>
                  <c:y val="-0.070204490455406082"/>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9-7770-4501-9C2F-95D723DA92E9}"/>
                </c:ext>
                <c:ext xmlns:c15="http://schemas.microsoft.com/office/drawing/2012/chart" uri="{CE6537A1-D6FC-4f65-9D91-7224C49458BB}">
                  <c15:layout>
                    <c:manualLayout>
                      <c:w val="0.26724168099677192"/>
                      <c:h val="0.24265666010498688"/>
                    </c:manualLayout>
                  </c15:layout>
                </c:ext>
              </c:extLst>
            </c:dLbl>
            <c:dLbl>
              <c:idx val="5"/>
              <c:layout>
                <c:manualLayout>
                  <c:x val="3.0168642712764353E-07"/>
                  <c:y val="-0.21687356977313774"/>
                </c:manualLayout>
              </c:layout>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B-7770-4501-9C2F-95D723DA92E9}"/>
                </c:ext>
                <c:ext xmlns:c15="http://schemas.microsoft.com/office/drawing/2012/chart" uri="{CE6537A1-D6FC-4f65-9D91-7224C49458BB}">
                  <c15:layout>
                    <c:manualLayout>
                      <c:w val="0.25226053639846741"/>
                      <c:h val="0.33640666010498688"/>
                    </c:manualLayout>
                  </c15:layout>
                </c:ext>
              </c:extLst>
            </c:dLbl>
            <c:dLbl>
              <c:idx val="6"/>
              <c:layout>
                <c:manualLayout>
                  <c:x val="0.061253563830011716"/>
                  <c:y val="-0.10185112277631962"/>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D-7770-4501-9C2F-95D723DA92E9}"/>
                </c:ext>
                <c:ext xmlns:c15="http://schemas.microsoft.com/office/drawing/2012/chart" uri="{CE6537A1-D6FC-4f65-9D91-7224C49458BB}">
                  <c15:layout>
                    <c:manualLayout>
                      <c:w val="0.21118773946360153"/>
                      <c:h val="0.37562499999999993"/>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outEnd"/>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Sheet1!$A$2:$A$8</c:f>
              <c:strCache>
                <c:ptCount val="7"/>
                <c:pt idx="0">
                  <c:v>Krievija</c:v>
                </c:pt>
                <c:pt idx="1">
                  <c:v>Lietuva</c:v>
                </c:pt>
                <c:pt idx="2">
                  <c:v>Igaunija</c:v>
                </c:pt>
                <c:pt idx="3">
                  <c:v>Vācija</c:v>
                </c:pt>
                <c:pt idx="4">
                  <c:v>Zviedrija</c:v>
                </c:pt>
                <c:pt idx="5">
                  <c:v>Polija</c:v>
                </c:pt>
                <c:pt idx="6">
                  <c:v>Citas valstis</c:v>
                </c:pt>
              </c:strCache>
            </c:strRef>
          </c:cat>
          <c:val>
            <c:numRef>
              <c:f>Sheet1!$B$2:$B$8</c:f>
              <c:numCache>
                <c:formatCode>0.00</c:formatCode>
                <c:ptCount val="7"/>
                <c:pt idx="0">
                  <c:v>0.22037553898212214</c:v>
                </c:pt>
                <c:pt idx="1">
                  <c:v>0.21502518960030689</c:v>
                </c:pt>
                <c:pt idx="2">
                  <c:v>0.1433178016239712</c:v>
                </c:pt>
                <c:pt idx="3">
                  <c:v>0.04111486534103586</c:v>
                </c:pt>
                <c:pt idx="4">
                  <c:v>0.0362204773972132</c:v>
                </c:pt>
                <c:pt idx="5">
                  <c:v>0.033282797634595317</c:v>
                </c:pt>
                <c:pt idx="6">
                  <c:v>0.31066332942075536</c:v>
                </c:pt>
              </c:numCache>
            </c:numRef>
          </c:val>
          <c:extLst>
            <c:ext xmlns:c="http://schemas.openxmlformats.org/drawingml/2006/chart" xmlns:c16="http://schemas.microsoft.com/office/drawing/2014/chart" uri="{C3380CC4-5D6E-409C-BE32-E72D297353CC}">
              <c16:uniqueId val="{0000000E-7770-4501-9C2F-95D723DA92E9}"/>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noFill/>
    <a:ln w="9525">
      <a:noFill/>
      <a:round/>
    </a:ln>
    <a:effectLst/>
  </c:spPr>
  <c:txPr>
    <a:bodyPr/>
    <a:lstStyle/>
    <a:p>
      <a:pPr>
        <a:defRPr sz="800">
          <a:latin typeface="Candara" panose="020E0502030303020204" pitchFamily="34" charset="0"/>
        </a:defRPr>
      </a:pPr>
      <a:endParaRPr lang="lv-LV"/>
    </a:p>
  </c:txPr>
  <c:externalData r:id="rId1">
    <c:autoUpdate val="0"/>
  </c:externalData>
</c:chartSpace>
</file>

<file path=word/charts/chart20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98553601027233415"/>
          <c:y val="0.01722532963499513"/>
          <c:w val="0.34507319571774181"/>
          <c:h val="0.920462379795931"/>
        </c:manualLayout>
      </c:layout>
      <c:barChart>
        <c:barDir val="col"/>
        <c:grouping val="percentStacked"/>
        <c:varyColors val="0"/>
        <c:ser>
          <c:idx val="0"/>
          <c:order val="0"/>
          <c:tx>
            <c:strRef>
              <c:f>Sheet1!$A$2</c:f>
              <c:strCache>
                <c:ptCount val="1"/>
                <c:pt idx="0">
                  <c:v>apkures katli, dzinēji, ģeneratori, tml</c:v>
                </c:pt>
              </c:strCache>
            </c:strRef>
          </c:tx>
          <c:invertIfNegative val="0"/>
          <c:cat>
            <c:strRef>
              <c:f>Sheet1!$B$1:$F$1</c:f>
              <c:strCache>
                <c:ptCount val="5"/>
                <c:pt idx="0">
                  <c:v>2005</c:v>
                </c:pt>
                <c:pt idx="1">
                  <c:v>2010</c:v>
                </c:pt>
                <c:pt idx="2">
                  <c:v>2014</c:v>
                </c:pt>
                <c:pt idx="3">
                  <c:v>2015</c:v>
                </c:pt>
                <c:pt idx="4">
                  <c:v>2016</c:v>
                </c:pt>
              </c:strCache>
            </c:strRef>
          </c:cat>
          <c:val>
            <c:numRef>
              <c:f>Sheet1!$B$2:$F$2</c:f>
              <c:numCache>
                <c:formatCode>0</c:formatCode>
                <c:ptCount val="5"/>
                <c:pt idx="0">
                  <c:v>27.709569531639346</c:v>
                </c:pt>
                <c:pt idx="1">
                  <c:v>23.327856243935408</c:v>
                </c:pt>
                <c:pt idx="2">
                  <c:v>24.811079526185303</c:v>
                </c:pt>
                <c:pt idx="3">
                  <c:v>29.150214046539837</c:v>
                </c:pt>
                <c:pt idx="4">
                  <c:v>26.201784823888687</c:v>
                </c:pt>
              </c:numCache>
            </c:numRef>
          </c:val>
          <c:extLst>
            <c:ext xmlns:c="http://schemas.openxmlformats.org/drawingml/2006/chart" xmlns:c16="http://schemas.microsoft.com/office/drawing/2014/chart" uri="{C3380CC4-5D6E-409C-BE32-E72D297353CC}">
              <c16:uniqueId val="{00000000-59D5-4001-A6D5-D8559DBF61C0}"/>
            </c:ext>
          </c:extLst>
        </c:ser>
        <c:ser>
          <c:idx val="1"/>
          <c:order val="1"/>
          <c:tx>
            <c:strRef>
              <c:f>Sheet1!$A$3</c:f>
              <c:strCache>
                <c:ptCount val="1"/>
                <c:pt idx="0">
                  <c:v>lauksaimniecības, būvniecības tml. mašīnas</c:v>
                </c:pt>
              </c:strCache>
            </c:strRef>
          </c:tx>
          <c:invertIfNegative val="0"/>
          <c:cat>
            <c:strRef>
              <c:f>Sheet1!$B$1:$F$1</c:f>
              <c:strCache>
                <c:ptCount val="5"/>
                <c:pt idx="0">
                  <c:v>2005</c:v>
                </c:pt>
                <c:pt idx="1">
                  <c:v>2010</c:v>
                </c:pt>
                <c:pt idx="2">
                  <c:v>2014</c:v>
                </c:pt>
                <c:pt idx="3">
                  <c:v>2015</c:v>
                </c:pt>
                <c:pt idx="4">
                  <c:v>2016</c:v>
                </c:pt>
              </c:strCache>
            </c:strRef>
          </c:cat>
          <c:val>
            <c:numRef>
              <c:f>Sheet1!$B$3:$F$3</c:f>
              <c:numCache>
                <c:formatCode>0</c:formatCode>
                <c:ptCount val="5"/>
                <c:pt idx="0">
                  <c:v>19.015669480832418</c:v>
                </c:pt>
                <c:pt idx="1">
                  <c:v>22.027249337656265</c:v>
                </c:pt>
                <c:pt idx="2">
                  <c:v>17.862143055288215</c:v>
                </c:pt>
                <c:pt idx="3">
                  <c:v>16.459539768720642</c:v>
                </c:pt>
                <c:pt idx="4">
                  <c:v>13.298463543957203</c:v>
                </c:pt>
              </c:numCache>
            </c:numRef>
          </c:val>
          <c:extLst>
            <c:ext xmlns:c="http://schemas.openxmlformats.org/drawingml/2006/chart" xmlns:c16="http://schemas.microsoft.com/office/drawing/2014/chart" uri="{C3380CC4-5D6E-409C-BE32-E72D297353CC}">
              <c16:uniqueId val="{00000001-59D5-4001-A6D5-D8559DBF61C0}"/>
            </c:ext>
          </c:extLst>
        </c:ser>
        <c:ser>
          <c:idx val="2"/>
          <c:order val="2"/>
          <c:tx>
            <c:strRef>
              <c:f>Sheet1!$A$4</c:f>
              <c:strCache>
                <c:ptCount val="1"/>
                <c:pt idx="0">
                  <c:v>poligrāfijas, tekstilu, metālu, kokapstrādes iekārtas</c:v>
                </c:pt>
              </c:strCache>
            </c:strRef>
          </c:tx>
          <c:invertIfNegative val="0"/>
          <c:cat>
            <c:strRef>
              <c:f>Sheet1!$B$1:$F$1</c:f>
              <c:strCache>
                <c:ptCount val="5"/>
                <c:pt idx="0">
                  <c:v>2005</c:v>
                </c:pt>
                <c:pt idx="1">
                  <c:v>2010</c:v>
                </c:pt>
                <c:pt idx="2">
                  <c:v>2014</c:v>
                </c:pt>
                <c:pt idx="3">
                  <c:v>2015</c:v>
                </c:pt>
                <c:pt idx="4">
                  <c:v>2016</c:v>
                </c:pt>
              </c:strCache>
            </c:strRef>
          </c:cat>
          <c:val>
            <c:numRef>
              <c:f>Sheet1!$B$4:$F$4</c:f>
              <c:numCache>
                <c:formatCode>0</c:formatCode>
                <c:ptCount val="5"/>
                <c:pt idx="0">
                  <c:v>15.090032498305758</c:v>
                </c:pt>
                <c:pt idx="1">
                  <c:v>12.445912326991579</c:v>
                </c:pt>
                <c:pt idx="2">
                  <c:v>15.699051591942196</c:v>
                </c:pt>
                <c:pt idx="3">
                  <c:v>14.255710808293323</c:v>
                </c:pt>
                <c:pt idx="4">
                  <c:v>14.279516577299805</c:v>
                </c:pt>
              </c:numCache>
            </c:numRef>
          </c:val>
          <c:extLst>
            <c:ext xmlns:c="http://schemas.openxmlformats.org/drawingml/2006/chart" xmlns:c16="http://schemas.microsoft.com/office/drawing/2014/chart" uri="{C3380CC4-5D6E-409C-BE32-E72D297353CC}">
              <c16:uniqueId val="{00000002-59D5-4001-A6D5-D8559DBF61C0}"/>
            </c:ext>
          </c:extLst>
        </c:ser>
        <c:ser>
          <c:idx val="3"/>
          <c:order val="3"/>
          <c:tx>
            <c:strRef>
              <c:f>Sheet1!$A$5</c:f>
              <c:strCache>
                <c:ptCount val="1"/>
                <c:pt idx="0">
                  <c:v>biroja iekārtas</c:v>
                </c:pt>
              </c:strCache>
            </c:strRef>
          </c:tx>
          <c:invertIfNegative val="0"/>
          <c:cat>
            <c:strRef>
              <c:f>Sheet1!$B$1:$F$1</c:f>
              <c:strCache>
                <c:ptCount val="5"/>
                <c:pt idx="0">
                  <c:v>2005</c:v>
                </c:pt>
                <c:pt idx="1">
                  <c:v>2010</c:v>
                </c:pt>
                <c:pt idx="2">
                  <c:v>2014</c:v>
                </c:pt>
                <c:pt idx="3">
                  <c:v>2015</c:v>
                </c:pt>
                <c:pt idx="4">
                  <c:v>2016</c:v>
                </c:pt>
              </c:strCache>
            </c:strRef>
          </c:cat>
          <c:val>
            <c:numRef>
              <c:f>Sheet1!$B$5:$F$5</c:f>
              <c:numCache>
                <c:formatCode>0</c:formatCode>
                <c:ptCount val="5"/>
                <c:pt idx="0">
                  <c:v>14.848683485684038</c:v>
                </c:pt>
                <c:pt idx="1">
                  <c:v>24.816160339765652</c:v>
                </c:pt>
                <c:pt idx="2">
                  <c:v>21.645628228669676</c:v>
                </c:pt>
                <c:pt idx="3">
                  <c:v>23.740742607904419</c:v>
                </c:pt>
                <c:pt idx="4">
                  <c:v>28.391059559373371</c:v>
                </c:pt>
              </c:numCache>
            </c:numRef>
          </c:val>
          <c:extLst>
            <c:ext xmlns:c="http://schemas.openxmlformats.org/drawingml/2006/chart" xmlns:c16="http://schemas.microsoft.com/office/drawing/2014/chart" uri="{C3380CC4-5D6E-409C-BE32-E72D297353CC}">
              <c16:uniqueId val="{00000003-59D5-4001-A6D5-D8559DBF61C0}"/>
            </c:ext>
          </c:extLst>
        </c:ser>
        <c:ser>
          <c:idx val="4"/>
          <c:order val="4"/>
          <c:tx>
            <c:strRef>
              <c:f>Sheet1!$A$6</c:f>
              <c:strCache>
                <c:ptCount val="1"/>
                <c:pt idx="0">
                  <c:v>pārējās iekārtas un mašīnas</c:v>
                </c:pt>
              </c:strCache>
            </c:strRef>
          </c:tx>
          <c:invertIfNegative val="0"/>
          <c:cat>
            <c:strRef>
              <c:f>Sheet1!$B$1:$F$1</c:f>
              <c:strCache>
                <c:ptCount val="5"/>
                <c:pt idx="0">
                  <c:v>2005</c:v>
                </c:pt>
                <c:pt idx="1">
                  <c:v>2010</c:v>
                </c:pt>
                <c:pt idx="2">
                  <c:v>2014</c:v>
                </c:pt>
                <c:pt idx="3">
                  <c:v>2015</c:v>
                </c:pt>
                <c:pt idx="4">
                  <c:v>2016</c:v>
                </c:pt>
              </c:strCache>
            </c:strRef>
          </c:cat>
          <c:val>
            <c:numRef>
              <c:f>Sheet1!$B$6:$F$6</c:f>
              <c:numCache>
                <c:formatCode>0</c:formatCode>
                <c:ptCount val="5"/>
                <c:pt idx="0">
                  <c:v>23.336045003538437</c:v>
                </c:pt>
                <c:pt idx="1">
                  <c:v>17.382821751651097</c:v>
                </c:pt>
                <c:pt idx="2">
                  <c:v>19.982097597914617</c:v>
                </c:pt>
                <c:pt idx="3">
                  <c:v>16.393792768541775</c:v>
                </c:pt>
                <c:pt idx="4">
                  <c:v>17.829175495480925</c:v>
                </c:pt>
              </c:numCache>
            </c:numRef>
          </c:val>
          <c:extLst>
            <c:ext xmlns:c="http://schemas.openxmlformats.org/drawingml/2006/chart" xmlns:c16="http://schemas.microsoft.com/office/drawing/2014/chart" uri="{C3380CC4-5D6E-409C-BE32-E72D297353CC}">
              <c16:uniqueId val="{00000004-59D5-4001-A6D5-D8559DBF61C0}"/>
            </c:ext>
          </c:extLst>
        </c:ser>
        <c:dLbls>
          <c:showLegendKey val="0"/>
          <c:showVal val="0"/>
          <c:showCatName val="0"/>
          <c:showSerName val="0"/>
          <c:showPercent val="0"/>
          <c:showBubbleSize val="0"/>
        </c:dLbls>
        <c:gapWidth val="20"/>
        <c:overlap val="100"/>
        <c:axId val="561070464"/>
        <c:axId val="509549232"/>
      </c:barChart>
      <c:catAx>
        <c:axId val="561070464"/>
        <c:scaling>
          <c:orientation val="minMax"/>
        </c:scaling>
        <c:delete val="0"/>
        <c:axPos val="b"/>
        <c:numFmt formatCode="General" sourceLinked="0"/>
        <c:majorTickMark val="out"/>
        <c:minorTickMark val="none"/>
        <c:tickLblPos val="nextTo"/>
        <c:txPr>
          <a:bodyPr/>
          <a:lstStyle/>
          <a:p>
            <a:pPr>
              <a:defRPr sz="700"/>
            </a:pPr>
            <a:endParaRPr lang="lv-LV"/>
          </a:p>
        </c:txPr>
        <c:crossAx val="509549232"/>
        <c:crosses val="autoZero"/>
        <c:auto val="1"/>
        <c:lblAlgn val="ctr"/>
        <c:lblOffset val="100"/>
        <c:noMultiLvlLbl val="0"/>
      </c:catAx>
      <c:valAx>
        <c:axId val="509549232"/>
        <c:scaling>
          <c:orientation val="minMax"/>
        </c:scaling>
        <c:delete val="0"/>
        <c:axPos val="l"/>
        <c:numFmt formatCode="0%" sourceLinked="1"/>
        <c:majorTickMark val="out"/>
        <c:minorTickMark val="none"/>
        <c:tickLblPos val="nextTo"/>
        <c:txPr>
          <a:bodyPr/>
          <a:lstStyle/>
          <a:p>
            <a:pPr>
              <a:defRPr sz="700"/>
            </a:pPr>
            <a:endParaRPr lang="lv-LV"/>
          </a:p>
        </c:txPr>
        <c:crossAx val="561070464"/>
        <c:crosses val="autoZero"/>
        <c:crossBetween val="between"/>
      </c:valAx>
    </c:plotArea>
    <c:legend>
      <c:legendPos val="r"/>
      <c:layout>
        <c:manualLayout>
          <c:xMode val="edge"/>
          <c:yMode val="edge"/>
          <c:x val="0.540113534097488"/>
          <c:y val="0.018061189542134811"/>
          <c:w val="0.4373019315317932"/>
          <c:h val="0.9689940009415019"/>
        </c:manualLayout>
      </c:layout>
      <c:overlay val="0"/>
      <c:txPr>
        <a:bodyPr/>
        <a:lstStyle/>
        <a:p>
          <a:pPr>
            <a:defRPr sz="600">
              <a:latin typeface="Arial Narrow" panose="020B0606020202030204" pitchFamily="34" charset="0"/>
            </a:defRPr>
          </a:pPr>
          <a:endParaRPr lang="lv-LV"/>
        </a:p>
      </c:txPr>
    </c:legend>
    <c:plotVisOnly val="1"/>
    <c:dispBlanksAs val="gap"/>
    <c:showDLblsOverMax val="0"/>
  </c:chart>
  <c:spPr>
    <a:ln w="9525">
      <a:noFill/>
    </a:ln>
  </c:spPr>
  <c:txPr>
    <a:bodyPr/>
    <a:lstStyle/>
    <a:p>
      <a:pPr>
        <a:defRPr sz="800"/>
      </a:pPr>
      <a:endParaRPr lang="lv-LV"/>
    </a:p>
  </c:txPr>
  <c:externalData r:id="rId1">
    <c:autoUpdate val="0"/>
  </c:externalData>
</c:chartSpace>
</file>

<file path=word/charts/chart20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98553601027233415"/>
          <c:y val="0.01722532963499513"/>
          <c:w val="0.88592589806420907"/>
          <c:h val="0.920462379795931"/>
        </c:manualLayout>
      </c:layout>
      <c:barChart>
        <c:barDir val="col"/>
        <c:grouping val="percentStacked"/>
        <c:varyColors val="0"/>
        <c:ser>
          <c:idx val="0"/>
          <c:order val="0"/>
          <c:tx>
            <c:strRef>
              <c:f>Sheet1!$A$2</c:f>
              <c:strCache>
                <c:ptCount val="1"/>
                <c:pt idx="0">
                  <c:v>apkures katli, dzinēji, ģeneratori, tml</c:v>
                </c:pt>
              </c:strCache>
            </c:strRef>
          </c:tx>
          <c:invertIfNegative val="0"/>
          <c:cat>
            <c:strRef>
              <c:f>Sheet1!$B$1:$F$1</c:f>
              <c:strCache>
                <c:ptCount val="5"/>
                <c:pt idx="0">
                  <c:v>2005</c:v>
                </c:pt>
                <c:pt idx="1">
                  <c:v>2010</c:v>
                </c:pt>
                <c:pt idx="2">
                  <c:v>2014</c:v>
                </c:pt>
                <c:pt idx="3">
                  <c:v>2015</c:v>
                </c:pt>
                <c:pt idx="4">
                  <c:v>2016</c:v>
                </c:pt>
              </c:strCache>
            </c:strRef>
          </c:cat>
          <c:val>
            <c:numRef>
              <c:f>Sheet1!$B$2:$F$2</c:f>
              <c:numCache>
                <c:formatCode>0</c:formatCode>
                <c:ptCount val="5"/>
                <c:pt idx="0">
                  <c:v>11.345878218121065</c:v>
                </c:pt>
                <c:pt idx="1">
                  <c:v>12.138562302696403</c:v>
                </c:pt>
                <c:pt idx="2">
                  <c:v>12.61100885876307</c:v>
                </c:pt>
                <c:pt idx="3">
                  <c:v>12.138208704374717</c:v>
                </c:pt>
                <c:pt idx="4">
                  <c:v>11.994414326905394</c:v>
                </c:pt>
              </c:numCache>
            </c:numRef>
          </c:val>
          <c:extLst>
            <c:ext xmlns:c="http://schemas.openxmlformats.org/drawingml/2006/chart" xmlns:c16="http://schemas.microsoft.com/office/drawing/2014/chart" uri="{C3380CC4-5D6E-409C-BE32-E72D297353CC}">
              <c16:uniqueId val="{00000000-2F91-44E3-B303-4F3F38C3B8E9}"/>
            </c:ext>
          </c:extLst>
        </c:ser>
        <c:ser>
          <c:idx val="1"/>
          <c:order val="1"/>
          <c:tx>
            <c:strRef>
              <c:f>Sheet1!$A$3</c:f>
              <c:strCache>
                <c:ptCount val="1"/>
                <c:pt idx="0">
                  <c:v>lauksaimniecības, būvniecības tml. mašīnas</c:v>
                </c:pt>
              </c:strCache>
            </c:strRef>
          </c:tx>
          <c:invertIfNegative val="0"/>
          <c:cat>
            <c:strRef>
              <c:f>Sheet1!$B$1:$F$1</c:f>
              <c:strCache>
                <c:ptCount val="5"/>
                <c:pt idx="0">
                  <c:v>2005</c:v>
                </c:pt>
                <c:pt idx="1">
                  <c:v>2010</c:v>
                </c:pt>
                <c:pt idx="2">
                  <c:v>2014</c:v>
                </c:pt>
                <c:pt idx="3">
                  <c:v>2015</c:v>
                </c:pt>
                <c:pt idx="4">
                  <c:v>2016</c:v>
                </c:pt>
              </c:strCache>
            </c:strRef>
          </c:cat>
          <c:val>
            <c:numRef>
              <c:f>Sheet1!$B$3:$F$3</c:f>
              <c:numCache>
                <c:formatCode>0</c:formatCode>
                <c:ptCount val="5"/>
                <c:pt idx="0">
                  <c:v>4.0237932346849474</c:v>
                </c:pt>
                <c:pt idx="1">
                  <c:v>3.9662659203114354</c:v>
                </c:pt>
                <c:pt idx="2">
                  <c:v>4.2068874324381671</c:v>
                </c:pt>
                <c:pt idx="3">
                  <c:v>3.9922086125341609</c:v>
                </c:pt>
                <c:pt idx="4">
                  <c:v>3.8640930784912508</c:v>
                </c:pt>
              </c:numCache>
            </c:numRef>
          </c:val>
          <c:extLst>
            <c:ext xmlns:c="http://schemas.openxmlformats.org/drawingml/2006/chart" xmlns:c16="http://schemas.microsoft.com/office/drawing/2014/chart" uri="{C3380CC4-5D6E-409C-BE32-E72D297353CC}">
              <c16:uniqueId val="{00000001-2F91-44E3-B303-4F3F38C3B8E9}"/>
            </c:ext>
          </c:extLst>
        </c:ser>
        <c:ser>
          <c:idx val="2"/>
          <c:order val="2"/>
          <c:tx>
            <c:strRef>
              <c:f>Sheet1!$A$4</c:f>
              <c:strCache>
                <c:ptCount val="1"/>
                <c:pt idx="0">
                  <c:v>poligrāfijas, tekstilu, metālu, kokapstrādes iekārtas</c:v>
                </c:pt>
              </c:strCache>
            </c:strRef>
          </c:tx>
          <c:invertIfNegative val="0"/>
          <c:cat>
            <c:strRef>
              <c:f>Sheet1!$B$1:$F$1</c:f>
              <c:strCache>
                <c:ptCount val="5"/>
                <c:pt idx="0">
                  <c:v>2005</c:v>
                </c:pt>
                <c:pt idx="1">
                  <c:v>2010</c:v>
                </c:pt>
                <c:pt idx="2">
                  <c:v>2014</c:v>
                </c:pt>
                <c:pt idx="3">
                  <c:v>2015</c:v>
                </c:pt>
                <c:pt idx="4">
                  <c:v>2016</c:v>
                </c:pt>
              </c:strCache>
            </c:strRef>
          </c:cat>
          <c:val>
            <c:numRef>
              <c:f>Sheet1!$B$4:$F$4</c:f>
              <c:numCache>
                <c:formatCode>0</c:formatCode>
                <c:ptCount val="5"/>
                <c:pt idx="0">
                  <c:v>3.7899501012719758</c:v>
                </c:pt>
                <c:pt idx="1">
                  <c:v>4.5235107809034</c:v>
                </c:pt>
                <c:pt idx="2">
                  <c:v>4.0396272965128661</c:v>
                </c:pt>
                <c:pt idx="3">
                  <c:v>3.8019408915129893</c:v>
                </c:pt>
                <c:pt idx="4">
                  <c:v>3.6526825690661755</c:v>
                </c:pt>
              </c:numCache>
            </c:numRef>
          </c:val>
          <c:extLst>
            <c:ext xmlns:c="http://schemas.openxmlformats.org/drawingml/2006/chart" xmlns:c16="http://schemas.microsoft.com/office/drawing/2014/chart" uri="{C3380CC4-5D6E-409C-BE32-E72D297353CC}">
              <c16:uniqueId val="{00000002-2F91-44E3-B303-4F3F38C3B8E9}"/>
            </c:ext>
          </c:extLst>
        </c:ser>
        <c:ser>
          <c:idx val="3"/>
          <c:order val="3"/>
          <c:tx>
            <c:strRef>
              <c:f>Sheet1!$A$5</c:f>
              <c:strCache>
                <c:ptCount val="1"/>
                <c:pt idx="0">
                  <c:v>biroja iekārtas</c:v>
                </c:pt>
              </c:strCache>
            </c:strRef>
          </c:tx>
          <c:invertIfNegative val="0"/>
          <c:cat>
            <c:strRef>
              <c:f>Sheet1!$B$1:$F$1</c:f>
              <c:strCache>
                <c:ptCount val="5"/>
                <c:pt idx="0">
                  <c:v>2005</c:v>
                </c:pt>
                <c:pt idx="1">
                  <c:v>2010</c:v>
                </c:pt>
                <c:pt idx="2">
                  <c:v>2014</c:v>
                </c:pt>
                <c:pt idx="3">
                  <c:v>2015</c:v>
                </c:pt>
                <c:pt idx="4">
                  <c:v>2016</c:v>
                </c:pt>
              </c:strCache>
            </c:strRef>
          </c:cat>
          <c:val>
            <c:numRef>
              <c:f>Sheet1!$B$5:$F$5</c:f>
              <c:numCache>
                <c:formatCode>0</c:formatCode>
                <c:ptCount val="5"/>
                <c:pt idx="0">
                  <c:v>7.24549687818407</c:v>
                </c:pt>
                <c:pt idx="1">
                  <c:v>4.3314325324721086</c:v>
                </c:pt>
                <c:pt idx="2">
                  <c:v>3.821245959769342</c:v>
                </c:pt>
                <c:pt idx="3">
                  <c:v>3.6460282606946439</c:v>
                </c:pt>
                <c:pt idx="4">
                  <c:v>3.3559825097921019</c:v>
                </c:pt>
              </c:numCache>
            </c:numRef>
          </c:val>
          <c:extLst>
            <c:ext xmlns:c="http://schemas.openxmlformats.org/drawingml/2006/chart" xmlns:c16="http://schemas.microsoft.com/office/drawing/2014/chart" uri="{C3380CC4-5D6E-409C-BE32-E72D297353CC}">
              <c16:uniqueId val="{00000003-2F91-44E3-B303-4F3F38C3B8E9}"/>
            </c:ext>
          </c:extLst>
        </c:ser>
        <c:ser>
          <c:idx val="4"/>
          <c:order val="4"/>
          <c:tx>
            <c:strRef>
              <c:f>Sheet1!$A$6</c:f>
              <c:strCache>
                <c:ptCount val="1"/>
                <c:pt idx="0">
                  <c:v>pārējās iekārtas un mašīnas</c:v>
                </c:pt>
              </c:strCache>
            </c:strRef>
          </c:tx>
          <c:invertIfNegative val="0"/>
          <c:cat>
            <c:strRef>
              <c:f>Sheet1!$B$1:$F$1</c:f>
              <c:strCache>
                <c:ptCount val="5"/>
                <c:pt idx="0">
                  <c:v>2005</c:v>
                </c:pt>
                <c:pt idx="1">
                  <c:v>2010</c:v>
                </c:pt>
                <c:pt idx="2">
                  <c:v>2014</c:v>
                </c:pt>
                <c:pt idx="3">
                  <c:v>2015</c:v>
                </c:pt>
                <c:pt idx="4">
                  <c:v>2016</c:v>
                </c:pt>
              </c:strCache>
            </c:strRef>
          </c:cat>
          <c:val>
            <c:numRef>
              <c:f>Sheet1!$B$6:$F$6</c:f>
              <c:numCache>
                <c:formatCode>0</c:formatCode>
                <c:ptCount val="5"/>
                <c:pt idx="0">
                  <c:v>73.594881567737929</c:v>
                </c:pt>
                <c:pt idx="1">
                  <c:v>75.040228463616657</c:v>
                </c:pt>
                <c:pt idx="2">
                  <c:v>75.321230452516545</c:v>
                </c:pt>
                <c:pt idx="3">
                  <c:v>76.421613530883491</c:v>
                </c:pt>
                <c:pt idx="4">
                  <c:v>77.132827515745078</c:v>
                </c:pt>
              </c:numCache>
            </c:numRef>
          </c:val>
          <c:extLst>
            <c:ext xmlns:c="http://schemas.openxmlformats.org/drawingml/2006/chart" xmlns:c16="http://schemas.microsoft.com/office/drawing/2014/chart" uri="{C3380CC4-5D6E-409C-BE32-E72D297353CC}">
              <c16:uniqueId val="{00000004-2F91-44E3-B303-4F3F38C3B8E9}"/>
            </c:ext>
          </c:extLst>
        </c:ser>
        <c:ser>
          <c:idx val="5"/>
          <c:order val="5"/>
          <c:tx>
            <c:strRef>
              <c:f>Sheet1!$A$7</c:f>
              <c:strCache>
                <c:ptCount val="1"/>
              </c:strCache>
            </c:strRef>
          </c:tx>
          <c:invertIfNegative val="0"/>
          <c:cat>
            <c:strRef>
              <c:f>Sheet1!$B$1:$F$1</c:f>
              <c:strCache>
                <c:ptCount val="5"/>
                <c:pt idx="0">
                  <c:v>2005</c:v>
                </c:pt>
                <c:pt idx="1">
                  <c:v>2010</c:v>
                </c:pt>
                <c:pt idx="2">
                  <c:v>2014</c:v>
                </c:pt>
                <c:pt idx="3">
                  <c:v>2015</c:v>
                </c:pt>
                <c:pt idx="4">
                  <c:v>2016</c:v>
                </c:pt>
              </c:strCache>
            </c:strRef>
          </c:cat>
          <c:val>
            <c:numRef>
              <c:f>Sheet1!$B$7:$F$7</c:f>
              <c:numCache>
                <c:formatCode>General</c:formatCode>
                <c:ptCount val="5"/>
              </c:numCache>
            </c:numRef>
          </c:val>
          <c:extLst>
            <c:ext xmlns:c="http://schemas.openxmlformats.org/drawingml/2006/chart" xmlns:c16="http://schemas.microsoft.com/office/drawing/2014/chart" uri="{C3380CC4-5D6E-409C-BE32-E72D297353CC}">
              <c16:uniqueId val="{00000005-2F91-44E3-B303-4F3F38C3B8E9}"/>
            </c:ext>
          </c:extLst>
        </c:ser>
        <c:dLbls>
          <c:showLegendKey val="0"/>
          <c:showVal val="0"/>
          <c:showCatName val="0"/>
          <c:showSerName val="0"/>
          <c:showPercent val="0"/>
          <c:showBubbleSize val="0"/>
        </c:dLbls>
        <c:gapWidth val="20"/>
        <c:overlap val="100"/>
        <c:axId val="656313144"/>
        <c:axId val="656315888"/>
      </c:barChart>
      <c:catAx>
        <c:axId val="656313144"/>
        <c:scaling>
          <c:orientation val="minMax"/>
        </c:scaling>
        <c:delete val="0"/>
        <c:axPos val="b"/>
        <c:numFmt formatCode="General" sourceLinked="0"/>
        <c:majorTickMark val="out"/>
        <c:minorTickMark val="none"/>
        <c:tickLblPos val="nextTo"/>
        <c:txPr>
          <a:bodyPr/>
          <a:lstStyle/>
          <a:p>
            <a:pPr>
              <a:defRPr sz="700"/>
            </a:pPr>
            <a:endParaRPr lang="lv-LV"/>
          </a:p>
        </c:txPr>
        <c:crossAx val="656315888"/>
        <c:crosses val="autoZero"/>
        <c:auto val="1"/>
        <c:lblAlgn val="ctr"/>
        <c:lblOffset val="100"/>
        <c:noMultiLvlLbl val="0"/>
      </c:catAx>
      <c:valAx>
        <c:axId val="656315888"/>
        <c:scaling>
          <c:orientation val="minMax"/>
        </c:scaling>
        <c:delete val="0"/>
        <c:axPos val="l"/>
        <c:numFmt formatCode="0%" sourceLinked="1"/>
        <c:majorTickMark val="out"/>
        <c:minorTickMark val="none"/>
        <c:tickLblPos val="nextTo"/>
        <c:txPr>
          <a:bodyPr/>
          <a:lstStyle/>
          <a:p>
            <a:pPr>
              <a:defRPr sz="700"/>
            </a:pPr>
            <a:endParaRPr lang="lv-LV"/>
          </a:p>
        </c:txPr>
        <c:crossAx val="656313144"/>
        <c:crosses val="autoZero"/>
        <c:crossBetween val="between"/>
      </c:valAx>
    </c:plotArea>
    <c:plotVisOnly val="1"/>
    <c:dispBlanksAs val="gap"/>
    <c:showDLblsOverMax val="0"/>
  </c:chart>
  <c:spPr>
    <a:ln w="9525">
      <a:noFill/>
    </a:ln>
  </c:spPr>
  <c:txPr>
    <a:bodyPr/>
    <a:lstStyle/>
    <a:p>
      <a:pPr>
        <a:defRPr sz="800"/>
      </a:pPr>
      <a:endParaRPr lang="lv-LV"/>
    </a:p>
  </c:txPr>
  <c:externalData r:id="rId1">
    <c:autoUpdate val="0"/>
  </c:externalData>
</c:chartSpace>
</file>

<file path=word/charts/chart20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5248-4949-9DB1-ECADB7419834}"/>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5248-4949-9DB1-ECADB7419834}"/>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Sheet1!$B$2:$M$2</c:f>
              <c:numCache>
                <c:formatCode>0</c:formatCode>
                <c:ptCount val="12"/>
                <c:pt idx="0">
                  <c:v>2004</c:v>
                </c:pt>
                <c:pt idx="1">
                  <c:v>2005</c:v>
                </c:pt>
                <c:pt idx="2">
                  <c:v>2006</c:v>
                </c:pt>
                <c:pt idx="3">
                  <c:v>2007</c:v>
                </c:pt>
                <c:pt idx="4">
                  <c:v>2008</c:v>
                </c:pt>
                <c:pt idx="5">
                  <c:v>2009</c:v>
                </c:pt>
                <c:pt idx="6">
                  <c:v>2010</c:v>
                </c:pt>
                <c:pt idx="7">
                  <c:v>2011</c:v>
                </c:pt>
                <c:pt idx="8">
                  <c:v>2012</c:v>
                </c:pt>
                <c:pt idx="9">
                  <c:v>2013</c:v>
                </c:pt>
                <c:pt idx="10" formatCode="General">
                  <c:v>2014</c:v>
                </c:pt>
                <c:pt idx="11">
                  <c:v>2015</c:v>
                </c:pt>
              </c:numCache>
            </c:numRef>
          </c:cat>
          <c:val>
            <c:numRef>
              <c:f>Sheet1!$B$3:$M$3</c:f>
              <c:numCache>
                <c:formatCode>0.0</c:formatCode>
                <c:ptCount val="12"/>
                <c:pt idx="0">
                  <c:v>4.81335952848723</c:v>
                </c:pt>
                <c:pt idx="1">
                  <c:v>5.3406998158379375</c:v>
                </c:pt>
                <c:pt idx="2">
                  <c:v>5.03257328990228</c:v>
                </c:pt>
                <c:pt idx="3">
                  <c:v>9.140625</c:v>
                </c:pt>
                <c:pt idx="4">
                  <c:v>10.535714285714285</c:v>
                </c:pt>
                <c:pt idx="5">
                  <c:v>9.6896551724137936</c:v>
                </c:pt>
                <c:pt idx="6">
                  <c:v>9.967948717948719</c:v>
                </c:pt>
                <c:pt idx="7">
                  <c:v>9.15915915915916</c:v>
                </c:pt>
                <c:pt idx="8">
                  <c:v>11.547277936962749</c:v>
                </c:pt>
                <c:pt idx="9">
                  <c:v>11.988950276243093</c:v>
                </c:pt>
                <c:pt idx="10">
                  <c:v>12.478386167146972</c:v>
                </c:pt>
                <c:pt idx="11" formatCode="General">
                  <c:v>13.169398907103826</c:v>
                </c:pt>
              </c:numCache>
            </c:numRef>
          </c:val>
          <c:extLst>
            <c:ext xmlns:c="http://schemas.openxmlformats.org/drawingml/2006/chart" xmlns:c16="http://schemas.microsoft.com/office/drawing/2014/chart" uri="{C3380CC4-5D6E-409C-BE32-E72D297353CC}">
              <c16:uniqueId val="{00000004-5248-4949-9DB1-ECADB7419834}"/>
            </c:ext>
          </c:extLst>
        </c:ser>
        <c:dLbls>
          <c:showLegendKey val="0"/>
          <c:showVal val="0"/>
          <c:showCatName val="0"/>
          <c:showSerName val="0"/>
          <c:showPercent val="0"/>
          <c:showBubbleSize val="0"/>
        </c:dLbls>
        <c:gapWidth val="20"/>
        <c:axId val="656321376"/>
        <c:axId val="656318240"/>
      </c:barChart>
      <c:catAx>
        <c:axId val="656321376"/>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56318240"/>
        <c:crosses val="autoZero"/>
        <c:auto val="1"/>
        <c:lblAlgn val="ctr"/>
        <c:lblOffset val="100"/>
        <c:noMultiLvlLbl val="0"/>
      </c:catAx>
      <c:valAx>
        <c:axId val="656318240"/>
        <c:scaling>
          <c:orientation val="minMax"/>
          <c:max val="20"/>
          <c:min val="0"/>
        </c:scaling>
        <c:delete val="0"/>
        <c:axPos val="l"/>
        <c:numFmt formatCode="0" sourceLinked="0"/>
        <c:majorTickMark val="out"/>
        <c:minorTickMark val="none"/>
        <c:tickLblPos val="nextTo"/>
        <c:crossAx val="656321376"/>
        <c:crosses val="autoZero"/>
        <c:crossBetween val="between"/>
        <c:majorUnit val="5"/>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20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B06C-4FE8-A4BE-01BF2274DC2D}"/>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B06C-4FE8-A4BE-01BF2274DC2D}"/>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Sheet1!$B$2:$M$2</c:f>
              <c:numCache>
                <c:formatCode>0</c:formatCode>
                <c:ptCount val="12"/>
                <c:pt idx="0">
                  <c:v>2004</c:v>
                </c:pt>
                <c:pt idx="1">
                  <c:v>2005</c:v>
                </c:pt>
                <c:pt idx="2">
                  <c:v>2006</c:v>
                </c:pt>
                <c:pt idx="3">
                  <c:v>2007</c:v>
                </c:pt>
                <c:pt idx="4">
                  <c:v>2008</c:v>
                </c:pt>
                <c:pt idx="5">
                  <c:v>2009</c:v>
                </c:pt>
                <c:pt idx="6">
                  <c:v>2010</c:v>
                </c:pt>
                <c:pt idx="7">
                  <c:v>2011</c:v>
                </c:pt>
                <c:pt idx="8">
                  <c:v>2012</c:v>
                </c:pt>
                <c:pt idx="9">
                  <c:v>2013</c:v>
                </c:pt>
                <c:pt idx="10" formatCode="General">
                  <c:v>2014</c:v>
                </c:pt>
                <c:pt idx="11">
                  <c:v>2015</c:v>
                </c:pt>
              </c:numCache>
            </c:numRef>
          </c:cat>
          <c:val>
            <c:numRef>
              <c:f>Sheet1!$B$3:$M$3</c:f>
              <c:numCache>
                <c:formatCode>0.0</c:formatCode>
                <c:ptCount val="12"/>
                <c:pt idx="0">
                  <c:v>11.525423728813561</c:v>
                </c:pt>
                <c:pt idx="1">
                  <c:v>11.954225352112678</c:v>
                </c:pt>
                <c:pt idx="2">
                  <c:v>9.70404984423676</c:v>
                </c:pt>
                <c:pt idx="3">
                  <c:v>16.461824953445067</c:v>
                </c:pt>
                <c:pt idx="4">
                  <c:v>15.221052631578948</c:v>
                </c:pt>
                <c:pt idx="5">
                  <c:v>15.342019543973942</c:v>
                </c:pt>
                <c:pt idx="6">
                  <c:v>12.951807228915664</c:v>
                </c:pt>
                <c:pt idx="7">
                  <c:v>16.028169014084508</c:v>
                </c:pt>
                <c:pt idx="8">
                  <c:v>16.470588235294116</c:v>
                </c:pt>
                <c:pt idx="9">
                  <c:v>16.527415143603132</c:v>
                </c:pt>
                <c:pt idx="10">
                  <c:v>16.405405405405407</c:v>
                </c:pt>
                <c:pt idx="11" formatCode="General">
                  <c:v>15.645569620253163</c:v>
                </c:pt>
              </c:numCache>
            </c:numRef>
          </c:val>
          <c:extLst>
            <c:ext xmlns:c="http://schemas.openxmlformats.org/drawingml/2006/chart" xmlns:c16="http://schemas.microsoft.com/office/drawing/2014/chart" uri="{C3380CC4-5D6E-409C-BE32-E72D297353CC}">
              <c16:uniqueId val="{00000004-B06C-4FE8-A4BE-01BF2274DC2D}"/>
            </c:ext>
          </c:extLst>
        </c:ser>
        <c:dLbls>
          <c:showLegendKey val="0"/>
          <c:showVal val="0"/>
          <c:showCatName val="0"/>
          <c:showSerName val="0"/>
          <c:showPercent val="0"/>
          <c:showBubbleSize val="0"/>
        </c:dLbls>
        <c:gapWidth val="20"/>
        <c:axId val="656315496"/>
        <c:axId val="656316672"/>
      </c:barChart>
      <c:catAx>
        <c:axId val="656315496"/>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56316672"/>
        <c:crosses val="autoZero"/>
        <c:auto val="1"/>
        <c:lblAlgn val="ctr"/>
        <c:lblOffset val="100"/>
        <c:noMultiLvlLbl val="0"/>
      </c:catAx>
      <c:valAx>
        <c:axId val="656316672"/>
        <c:scaling>
          <c:orientation val="minMax"/>
        </c:scaling>
        <c:delete val="0"/>
        <c:axPos val="l"/>
        <c:numFmt formatCode="0" sourceLinked="0"/>
        <c:majorTickMark val="out"/>
        <c:minorTickMark val="none"/>
        <c:tickLblPos val="nextTo"/>
        <c:crossAx val="656315496"/>
        <c:crosses val="autoZero"/>
        <c:crossBetween val="between"/>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20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72841410287632"/>
          <c:y val="0.057971014492753624"/>
          <c:w val="0.69294856184214082"/>
          <c:h val="0.726718711443121"/>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extLst>
              <c:ext xmlns:c="http://schemas.openxmlformats.org/drawingml/2006/chart" xmlns:c16="http://schemas.microsoft.com/office/drawing/2014/chart" uri="{C3380CC4-5D6E-409C-BE32-E72D297353CC}">
                <c16:uniqueId val="{00000000-681D-4EF0-9B18-4D8E4222E1E4}"/>
              </c:ext>
            </c:extLst>
          </c:dPt>
          <c:dLbls>
            <c:dLbl>
              <c:idx val="0"/>
              <c:layout>
                <c:manualLayout>
                  <c:x val="-0.20898936601996915"/>
                  <c:y val="0.045247549184557055"/>
                </c:manualLayout>
              </c:layout>
              <c:tx>
                <c:rich>
                  <a:bodyPr vertOverflow="clip"/>
                  <a:lstStyle/>
                  <a:p>
                    <a:r>
                      <a:rPr lang="en-US"/>
                      <a:t>2005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681D-4EF0-9B18-4D8E4222E1E4}"/>
                </c:ext>
                <c:ext xmlns:c15="http://schemas.microsoft.com/office/drawing/2012/chart" uri="{CE6537A1-D6FC-4f65-9D91-7224C49458BB}"/>
              </c:extLst>
            </c:dLbl>
            <c:dLbl>
              <c:idx val="1"/>
              <c:layout>
                <c:manualLayout>
                  <c:x val="0.20635495305354873"/>
                  <c:y val="-0.040126971308073668"/>
                </c:manualLayout>
              </c:layout>
              <c:tx>
                <c:rich>
                  <a:bodyPr vertOverflow="clip"/>
                  <a:lstStyle/>
                  <a:p>
                    <a:r>
                      <a:rPr lang="en-US"/>
                      <a:t>2007</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681D-4EF0-9B18-4D8E4222E1E4}"/>
                </c:ext>
                <c:ext xmlns:c15="http://schemas.microsoft.com/office/drawing/2012/chart" uri="{CE6537A1-D6FC-4f65-9D91-7224C49458BB}"/>
              </c:extLst>
            </c:dLbl>
            <c:dLbl>
              <c:idx val="2"/>
              <c:layout>
                <c:manualLayout>
                  <c:x val="-0.32998187082284819"/>
                  <c:y val="-0.4145877919106265"/>
                </c:manualLayout>
              </c:layout>
              <c:tx>
                <c:rich>
                  <a:bodyPr vertOverflow="clip"/>
                  <a:lstStyle/>
                  <a:p>
                    <a:r>
                      <a:rPr lang="en-US"/>
                      <a:t>2010</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681D-4EF0-9B18-4D8E4222E1E4}"/>
                </c:ext>
                <c:ext xmlns:c15="http://schemas.microsoft.com/office/drawing/2012/chart" uri="{CE6537A1-D6FC-4f65-9D91-7224C49458BB}"/>
              </c:extLst>
            </c:dLbl>
            <c:dLbl>
              <c:idx val="3"/>
              <c:layout>
                <c:manualLayout>
                  <c:x val="-0.20644424601563979"/>
                  <c:y val="0.13450344347982143"/>
                </c:manualLayout>
              </c:layout>
              <c:tx>
                <c:rich>
                  <a:bodyPr vertOverflow="clip"/>
                  <a:lstStyle/>
                  <a:p>
                    <a:r>
                      <a:rPr lang="en-US"/>
                      <a:t>2009</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681D-4EF0-9B18-4D8E4222E1E4}"/>
                </c:ext>
                <c:ext xmlns:c15="http://schemas.microsoft.com/office/drawing/2012/chart" uri="{CE6537A1-D6FC-4f65-9D91-7224C49458BB}"/>
              </c:extLst>
            </c:dLbl>
            <c:dLbl>
              <c:idx val="4"/>
              <c:delete val="1"/>
              <c:extLst>
                <c:ext xmlns:c="http://schemas.openxmlformats.org/drawingml/2006/chart" xmlns:c16="http://schemas.microsoft.com/office/drawing/2014/chart" uri="{C3380CC4-5D6E-409C-BE32-E72D297353CC}">
                  <c16:uniqueId val="{00000005-681D-4EF0-9B18-4D8E4222E1E4}"/>
                </c:ext>
                <c:ext xmlns:c15="http://schemas.microsoft.com/office/drawing/2012/chart" uri="{CE6537A1-D6FC-4f65-9D91-7224C49458BB}"/>
              </c:extLst>
            </c:dLbl>
            <c:dLbl>
              <c:idx val="5"/>
              <c:delete val="1"/>
              <c:extLst>
                <c:ext xmlns:c="http://schemas.openxmlformats.org/drawingml/2006/chart" xmlns:c16="http://schemas.microsoft.com/office/drawing/2014/chart" uri="{C3380CC4-5D6E-409C-BE32-E72D297353CC}">
                  <c16:uniqueId val="{00000000-681D-4EF0-9B18-4D8E4222E1E4}"/>
                </c:ext>
                <c:ext xmlns:c15="http://schemas.microsoft.com/office/drawing/2012/chart" uri="{CE6537A1-D6FC-4f65-9D91-7224C49458BB}"/>
              </c:extLst>
            </c:dLbl>
            <c:dLbl>
              <c:idx val="6"/>
              <c:layout>
                <c:manualLayout>
                  <c:x val="-0.21305841924398625"/>
                  <c:y val="0.01709356843215111"/>
                </c:manualLayout>
              </c:layout>
              <c:tx>
                <c:rich>
                  <a:bodyPr vertOverflow="clip"/>
                  <a:lstStyle/>
                  <a:p>
                    <a:r>
                      <a:rPr lang="en-US"/>
                      <a:t>2011</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681D-4EF0-9B18-4D8E4222E1E4}"/>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7-681D-4EF0-9B18-4D8E4222E1E4}"/>
                </c:ext>
                <c:ext xmlns:c15="http://schemas.microsoft.com/office/drawing/2012/chart" uri="{CE6537A1-D6FC-4f65-9D91-7224C49458BB}"/>
              </c:extLst>
            </c:dLbl>
            <c:dLbl>
              <c:idx val="8"/>
              <c:delete val="1"/>
              <c:extLst>
                <c:ext xmlns:c="http://schemas.openxmlformats.org/drawingml/2006/chart" xmlns:c16="http://schemas.microsoft.com/office/drawing/2014/chart" uri="{C3380CC4-5D6E-409C-BE32-E72D297353CC}">
                  <c16:uniqueId val="{00000008-681D-4EF0-9B18-4D8E4222E1E4}"/>
                </c:ext>
                <c:ext xmlns:c15="http://schemas.microsoft.com/office/drawing/2012/chart" uri="{CE6537A1-D6FC-4f65-9D91-7224C49458BB}"/>
              </c:extLst>
            </c:dLbl>
            <c:dLbl>
              <c:idx val="9"/>
              <c:layout>
                <c:manualLayout>
                  <c:x val="-0.055362718835403307"/>
                  <c:y val="-0.047821970971577268"/>
                </c:manualLayout>
              </c:layout>
              <c:tx>
                <c:rich>
                  <a:bodyPr vertOverflow="clip"/>
                  <a:lstStyle/>
                  <a:p>
                    <a:r>
                      <a:rPr lang="en-US"/>
                      <a:t>2014</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681D-4EF0-9B18-4D8E4222E1E4}"/>
                </c:ext>
                <c:ext xmlns:c15="http://schemas.microsoft.com/office/drawing/2012/chart" uri="{CE6537A1-D6FC-4f65-9D91-7224C49458BB}"/>
              </c:extLst>
            </c:dLbl>
            <c:dLbl>
              <c:idx val="10"/>
              <c:layout>
                <c:manualLayout>
                  <c:x val="-0.048682691305879967"/>
                  <c:y val="-0.05288250515989211"/>
                </c:manualLayout>
              </c:layout>
              <c:tx>
                <c:rich>
                  <a:bodyPr vertOverflow="clip"/>
                  <a:lstStyle/>
                  <a:p>
                    <a:r>
                      <a:rPr lang="en-US"/>
                      <a:t>2015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681D-4EF0-9B18-4D8E4222E1E4}"/>
                </c:ext>
                <c:ext xmlns:c15="http://schemas.microsoft.com/office/drawing/2012/chart" uri="{CE6537A1-D6FC-4f65-9D91-7224C49458BB}"/>
              </c:extLst>
            </c:dLbl>
            <c:dLbl>
              <c:idx val="11"/>
              <c:layout>
                <c:manualLayout>
                  <c:x val="-0.045473776802943768"/>
                  <c:y val="-0.029435967255112244"/>
                </c:manualLayout>
              </c:layout>
              <c:tx>
                <c:rich>
                  <a:bodyPr/>
                  <a:lstStyle/>
                  <a:p>
                    <a:r>
                      <a:rPr lang="lv-LV"/>
                      <a:t>SK</a:t>
                    </a:r>
                    <a:endParaRPr lang="en-US"/>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681D-4EF0-9B18-4D8E4222E1E4}"/>
                </c:ext>
                <c:ext xmlns:c15="http://schemas.microsoft.com/office/drawing/2012/chart" uri="{CE6537A1-D6FC-4f65-9D91-7224C49458BB}"/>
              </c:extLst>
            </c:dLbl>
            <c:dLbl>
              <c:idx val="12"/>
              <c:tx>
                <c:rich>
                  <a:bodyPr/>
                  <a:lstStyle/>
                  <a:p>
                    <a:r>
                      <a:rPr lang="lv-LV"/>
                      <a:t>FI</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681D-4EF0-9B18-4D8E4222E1E4}"/>
                </c:ext>
                <c:ext xmlns:c15="http://schemas.microsoft.com/office/drawing/2012/chart" uri="{CE6537A1-D6FC-4f65-9D91-7224C49458BB}"/>
              </c:extLst>
            </c:dLbl>
            <c:dLbl>
              <c:idx val="13"/>
              <c:tx>
                <c:rich>
                  <a:bodyPr/>
                  <a:lstStyle/>
                  <a:p>
                    <a:r>
                      <a:rPr lang="lv-LV" b="0"/>
                      <a:t>SE</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681D-4EF0-9B18-4D8E4222E1E4}"/>
                </c:ext>
                <c:ext xmlns:c15="http://schemas.microsoft.com/office/drawing/2012/chart" uri="{CE6537A1-D6FC-4f65-9D91-7224C49458BB}"/>
              </c:extLst>
            </c:dLbl>
            <c:spPr>
              <a:noFill/>
              <a:ln>
                <a:noFill/>
              </a:ln>
              <a:effectLst/>
            </c:spPr>
            <c:txPr>
              <a:bodyPr/>
              <a:lstStyle/>
              <a:p>
                <a:pPr>
                  <a:defRPr b="0"/>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Sheet1!$B$3:$B$13</c:f>
              <c:numCache>
                <c:formatCode>0.0</c:formatCode>
                <c:ptCount val="11"/>
                <c:pt idx="0">
                  <c:v>11.954225352112678</c:v>
                </c:pt>
                <c:pt idx="1">
                  <c:v>9.70404984423676</c:v>
                </c:pt>
                <c:pt idx="2">
                  <c:v>16.461824953445067</c:v>
                </c:pt>
                <c:pt idx="3">
                  <c:v>15.221052631578948</c:v>
                </c:pt>
                <c:pt idx="4">
                  <c:v>15.342019543973942</c:v>
                </c:pt>
                <c:pt idx="5">
                  <c:v>12.951807228915664</c:v>
                </c:pt>
                <c:pt idx="6">
                  <c:v>16.028169014084508</c:v>
                </c:pt>
                <c:pt idx="7">
                  <c:v>16.470588235294116</c:v>
                </c:pt>
                <c:pt idx="8">
                  <c:v>16.527415143603132</c:v>
                </c:pt>
                <c:pt idx="9">
                  <c:v>16.405405405405407</c:v>
                </c:pt>
                <c:pt idx="10">
                  <c:v>15.645569620253163</c:v>
                </c:pt>
              </c:numCache>
            </c:numRef>
          </c:xVal>
          <c:yVal>
            <c:numRef>
              <c:f>Sheet1!$C$3:$C$13</c:f>
              <c:numCache>
                <c:formatCode>0.0</c:formatCode>
                <c:ptCount val="11"/>
                <c:pt idx="0">
                  <c:v>0.446762517731362</c:v>
                </c:pt>
                <c:pt idx="1">
                  <c:v>0.51860546582941636</c:v>
                </c:pt>
                <c:pt idx="2">
                  <c:v>0.55526194852941169</c:v>
                </c:pt>
                <c:pt idx="3">
                  <c:v>0.69218039913060647</c:v>
                </c:pt>
                <c:pt idx="4">
                  <c:v>0.63157625009151475</c:v>
                </c:pt>
                <c:pt idx="5">
                  <c:v>0.769618366129994</c:v>
                </c:pt>
                <c:pt idx="6">
                  <c:v>0.57144138866458727</c:v>
                </c:pt>
                <c:pt idx="7">
                  <c:v>0.70108473188702414</c:v>
                </c:pt>
                <c:pt idx="8">
                  <c:v>0.7253977813271888</c:v>
                </c:pt>
                <c:pt idx="9">
                  <c:v>0.76062650442246771</c:v>
                </c:pt>
                <c:pt idx="10">
                  <c:v>0.84173342529223494</c:v>
                </c:pt>
              </c:numCache>
            </c:numRef>
          </c:yVal>
          <c:smooth val="1"/>
          <c:extLst>
            <c:ext xmlns:c="http://schemas.openxmlformats.org/drawingml/2006/chart" xmlns:c16="http://schemas.microsoft.com/office/drawing/2014/chart" uri="{C3380CC4-5D6E-409C-BE32-E72D297353CC}">
              <c16:uniqueId val="{0000000E-681D-4EF0-9B18-4D8E4222E1E4}"/>
            </c:ext>
          </c:extLst>
        </c:ser>
        <c:dLbls>
          <c:showLegendKey val="0"/>
          <c:showVal val="0"/>
          <c:showCatName val="0"/>
          <c:showSerName val="0"/>
          <c:showPercent val="0"/>
          <c:showBubbleSize val="0"/>
        </c:dLbls>
        <c:axId val="656318632"/>
        <c:axId val="656320984"/>
      </c:scatterChart>
      <c:valAx>
        <c:axId val="656318632"/>
        <c:scaling>
          <c:orientation val="minMax"/>
          <c:max val="25"/>
          <c:min val="5"/>
        </c:scaling>
        <c:delete val="0"/>
        <c:axPos val="b"/>
        <c:title>
          <c:tx>
            <c:rich>
              <a:bodyPr vertOverflow="clip"/>
              <a:lstStyle/>
              <a:p>
                <a:pPr>
                  <a:defRPr sz="700" b="0">
                    <a:latin typeface="Arial Narrow" pitchFamily="34" charset="0"/>
                  </a:defRPr>
                </a:pPr>
                <a:r>
                  <a:rPr lang="lv-LV" sz="700" b="0">
                    <a:latin typeface="Arial Narrow" pitchFamily="34" charset="0"/>
                  </a:rPr>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56320984"/>
        <c:crosses val="autoZero"/>
        <c:crossBetween val="midCat"/>
        <c:majorUnit val="5"/>
      </c:valAx>
      <c:valAx>
        <c:axId val="656320984"/>
        <c:scaling>
          <c:orientation val="minMax"/>
          <c:min val="0.4"/>
        </c:scaling>
        <c:delete val="0"/>
        <c:axPos val="l"/>
        <c:title>
          <c:tx>
            <c:rich>
              <a:bodyPr vertOverflow="clip"/>
              <a:lstStyle/>
              <a:p>
                <a:pPr>
                  <a:defRPr sz="700" b="0"/>
                </a:pPr>
                <a:r>
                  <a:rPr lang="lv-LV" sz="700" b="0">
                    <a:latin typeface="Arial Narrow" pitchFamily="34" charset="0"/>
                  </a:rPr>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56318632"/>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20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8"/>
          <c:y val="0.046005165816941182"/>
          <c:w val="0.85762258292899962"/>
          <c:h val="0.831279863372076"/>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Sheet1!$B$1:$J$1</c:f>
              <c:strCache>
                <c:ptCount val="9"/>
                <c:pt idx="0">
                  <c:v>2007</c:v>
                </c:pt>
                <c:pt idx="1">
                  <c:v>2008</c:v>
                </c:pt>
                <c:pt idx="2">
                  <c:v>2009</c:v>
                </c:pt>
                <c:pt idx="3">
                  <c:v>2010</c:v>
                </c:pt>
                <c:pt idx="4">
                  <c:v>2011</c:v>
                </c:pt>
                <c:pt idx="5">
                  <c:v>2012</c:v>
                </c:pt>
                <c:pt idx="6">
                  <c:v>2013</c:v>
                </c:pt>
                <c:pt idx="7">
                  <c:v>2014</c:v>
                </c:pt>
                <c:pt idx="8">
                  <c:v>2015</c:v>
                </c:pt>
              </c:strCache>
            </c:strRef>
          </c:cat>
          <c:val>
            <c:numRef>
              <c:f>Sheet1!$B$2:$J$2</c:f>
              <c:numCache>
                <c:formatCode>0</c:formatCode>
                <c:ptCount val="9"/>
                <c:pt idx="0">
                  <c:v>33.733810364325855</c:v>
                </c:pt>
                <c:pt idx="1">
                  <c:v>39.366062694556014</c:v>
                </c:pt>
                <c:pt idx="2">
                  <c:v>35.265739314535836</c:v>
                </c:pt>
                <c:pt idx="3">
                  <c:v>31.598932010849889</c:v>
                </c:pt>
                <c:pt idx="4">
                  <c:v>31.869900214985641</c:v>
                </c:pt>
                <c:pt idx="5">
                  <c:v>33.801329812213076</c:v>
                </c:pt>
                <c:pt idx="6">
                  <c:v>35.118191713592282</c:v>
                </c:pt>
                <c:pt idx="7">
                  <c:v>37.375186420479331</c:v>
                </c:pt>
                <c:pt idx="8">
                  <c:v>39.02724647709001</c:v>
                </c:pt>
              </c:numCache>
            </c:numRef>
          </c:val>
          <c:extLst>
            <c:ext xmlns:c="http://schemas.openxmlformats.org/drawingml/2006/chart" xmlns:c16="http://schemas.microsoft.com/office/drawing/2014/chart" uri="{C3380CC4-5D6E-409C-BE32-E72D297353CC}">
              <c16:uniqueId val="{00000000-76B3-4DB6-9A89-75B63958DA93}"/>
            </c:ext>
          </c:extLst>
        </c:ser>
        <c:ser>
          <c:idx val="1"/>
          <c:order val="1"/>
          <c:tx>
            <c:strRef>
              <c:f>Sheet1!$A$3</c:f>
              <c:strCache>
                <c:ptCount val="1"/>
                <c:pt idx="0">
                  <c:v>Mašīnu un iekārtu ražošana</c:v>
                </c:pt>
              </c:strCache>
            </c:strRef>
          </c:tx>
          <c:spPr>
            <a:ln>
              <a:solidFill>
                <a:sysClr val="windowText" lastClr="000000"/>
              </a:solidFill>
            </a:ln>
          </c:spPr>
          <c:invertIfNegative val="0"/>
          <c:dLbls>
            <c:numFmt formatCode="#,##0" sourceLinked="0"/>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2007</c:v>
                </c:pt>
                <c:pt idx="1">
                  <c:v>2008</c:v>
                </c:pt>
                <c:pt idx="2">
                  <c:v>2009</c:v>
                </c:pt>
                <c:pt idx="3">
                  <c:v>2010</c:v>
                </c:pt>
                <c:pt idx="4">
                  <c:v>2011</c:v>
                </c:pt>
                <c:pt idx="5">
                  <c:v>2012</c:v>
                </c:pt>
                <c:pt idx="6">
                  <c:v>2013</c:v>
                </c:pt>
                <c:pt idx="7">
                  <c:v>2014</c:v>
                </c:pt>
                <c:pt idx="8">
                  <c:v>2015</c:v>
                </c:pt>
              </c:strCache>
            </c:strRef>
          </c:cat>
          <c:val>
            <c:numRef>
              <c:f>Sheet1!$B$3:$J$3</c:f>
              <c:numCache>
                <c:formatCode>0</c:formatCode>
                <c:ptCount val="9"/>
                <c:pt idx="0">
                  <c:v>22.290836048882294</c:v>
                </c:pt>
                <c:pt idx="1">
                  <c:v>25.657601165641132</c:v>
                </c:pt>
                <c:pt idx="2">
                  <c:v>24.278997924603576</c:v>
                </c:pt>
                <c:pt idx="3">
                  <c:v>23.350224731419143</c:v>
                </c:pt>
                <c:pt idx="4">
                  <c:v>20.186929885524982</c:v>
                </c:pt>
                <c:pt idx="5">
                  <c:v>24.866062125784481</c:v>
                </c:pt>
                <c:pt idx="6">
                  <c:v>25.329832597270507</c:v>
                </c:pt>
                <c:pt idx="7">
                  <c:v>25.878209155721581</c:v>
                </c:pt>
                <c:pt idx="8">
                  <c:v>27.030289051095448</c:v>
                </c:pt>
              </c:numCache>
            </c:numRef>
          </c:val>
          <c:extLst>
            <c:ext xmlns:c="http://schemas.openxmlformats.org/drawingml/2006/chart" xmlns:c16="http://schemas.microsoft.com/office/drawing/2014/chart" uri="{C3380CC4-5D6E-409C-BE32-E72D297353CC}">
              <c16:uniqueId val="{00000001-76B3-4DB6-9A89-75B63958DA93}"/>
            </c:ext>
          </c:extLst>
        </c:ser>
        <c:dLbls>
          <c:showLegendKey val="0"/>
          <c:showVal val="0"/>
          <c:showCatName val="0"/>
          <c:showSerName val="0"/>
          <c:showPercent val="0"/>
          <c:showBubbleSize val="0"/>
        </c:dLbls>
        <c:gapWidth val="50"/>
        <c:overlap val="52"/>
        <c:axId val="656317064"/>
        <c:axId val="656317456"/>
      </c:barChart>
      <c:catAx>
        <c:axId val="656317064"/>
        <c:scaling>
          <c:orientation val="minMax"/>
        </c:scaling>
        <c:delete val="0"/>
        <c:axPos val="b"/>
        <c:numFmt formatCode="General" sourceLinked="0"/>
        <c:majorTickMark val="out"/>
        <c:minorTickMark val="none"/>
        <c:tickLblPos val="nextTo"/>
        <c:txPr>
          <a:bodyPr/>
          <a:lstStyle/>
          <a:p>
            <a:pPr>
              <a:defRPr sz="700"/>
            </a:pPr>
            <a:endParaRPr lang="lv-LV"/>
          </a:p>
        </c:txPr>
        <c:crossAx val="656317456"/>
        <c:crosses val="autoZero"/>
        <c:auto val="1"/>
        <c:lblAlgn val="ctr"/>
        <c:lblOffset val="100"/>
        <c:noMultiLvlLbl val="0"/>
      </c:catAx>
      <c:valAx>
        <c:axId val="656317456"/>
        <c:scaling>
          <c:orientation val="minMax"/>
          <c:max val="80"/>
        </c:scaling>
        <c:delete val="0"/>
        <c:axPos val="l"/>
        <c:numFmt formatCode="0" sourceLinked="0"/>
        <c:majorTickMark val="out"/>
        <c:minorTickMark val="none"/>
        <c:tickLblPos val="nextTo"/>
        <c:txPr>
          <a:bodyPr/>
          <a:lstStyle/>
          <a:p>
            <a:pPr>
              <a:defRPr sz="800"/>
            </a:pPr>
            <a:endParaRPr lang="lv-LV"/>
          </a:p>
        </c:txPr>
        <c:crossAx val="656317064"/>
        <c:crosses val="autoZero"/>
        <c:crossBetween val="between"/>
        <c:majorUnit val="20"/>
      </c:valAx>
      <c:spPr>
        <a:ln>
          <a:noFill/>
        </a:ln>
      </c:spPr>
    </c:plotArea>
    <c:legend>
      <c:legendPos val="r"/>
      <c:layout>
        <c:manualLayout>
          <c:xMode val="edge"/>
          <c:yMode val="edge"/>
          <c:x val="0.10756494003272012"/>
          <c:y val="0.061540280437918232"/>
          <c:w val="0.86652448712969166"/>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20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738"/>
          <c:y val="0.046005165816941182"/>
          <c:w val="0.85762258292899962"/>
          <c:h val="0.83127986337207582"/>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Sheet1!$B$1:$J$1</c:f>
              <c:strCache>
                <c:ptCount val="9"/>
                <c:pt idx="0">
                  <c:v>2007</c:v>
                </c:pt>
                <c:pt idx="1">
                  <c:v>2008</c:v>
                </c:pt>
                <c:pt idx="2">
                  <c:v>2009</c:v>
                </c:pt>
                <c:pt idx="3">
                  <c:v>2010</c:v>
                </c:pt>
                <c:pt idx="4">
                  <c:v>2011</c:v>
                </c:pt>
                <c:pt idx="5">
                  <c:v>2012</c:v>
                </c:pt>
                <c:pt idx="6">
                  <c:v>2013</c:v>
                </c:pt>
                <c:pt idx="7">
                  <c:v>2014</c:v>
                </c:pt>
                <c:pt idx="8">
                  <c:v>2015</c:v>
                </c:pt>
              </c:strCache>
            </c:strRef>
          </c:cat>
          <c:val>
            <c:numRef>
              <c:f>Sheet1!$B$2:$J$2</c:f>
              <c:numCache>
                <c:formatCode>0</c:formatCode>
                <c:ptCount val="9"/>
                <c:pt idx="0">
                  <c:v>37.543267740570116</c:v>
                </c:pt>
                <c:pt idx="1">
                  <c:v>40.842057643741676</c:v>
                </c:pt>
                <c:pt idx="2">
                  <c:v>38.288707041966028</c:v>
                </c:pt>
                <c:pt idx="3">
                  <c:v>37.097778599507883</c:v>
                </c:pt>
                <c:pt idx="4">
                  <c:v>40.389766440010831</c:v>
                </c:pt>
                <c:pt idx="5">
                  <c:v>42.46259667259212</c:v>
                </c:pt>
                <c:pt idx="6">
                  <c:v>42.568476309606638</c:v>
                </c:pt>
                <c:pt idx="7">
                  <c:v>43.635115226322327</c:v>
                </c:pt>
                <c:pt idx="8">
                  <c:v>42.45554310298936</c:v>
                </c:pt>
              </c:numCache>
            </c:numRef>
          </c:val>
          <c:extLst>
            <c:ext xmlns:c="http://schemas.openxmlformats.org/drawingml/2006/chart" xmlns:c16="http://schemas.microsoft.com/office/drawing/2014/chart" uri="{C3380CC4-5D6E-409C-BE32-E72D297353CC}">
              <c16:uniqueId val="{00000000-1EC6-450E-AED5-B169B3E25A22}"/>
            </c:ext>
          </c:extLst>
        </c:ser>
        <c:ser>
          <c:idx val="1"/>
          <c:order val="1"/>
          <c:tx>
            <c:strRef>
              <c:f>Sheet1!$A$3</c:f>
              <c:strCache>
                <c:ptCount val="1"/>
                <c:pt idx="0">
                  <c:v>Mašīnu un iekārtu ražošana</c:v>
                </c:pt>
              </c:strCache>
            </c:strRef>
          </c:tx>
          <c:spPr>
            <a:ln>
              <a:solidFill>
                <a:sysClr val="windowText" lastClr="000000"/>
              </a:solidFill>
            </a:ln>
          </c:spPr>
          <c:invertIfNegative val="0"/>
          <c:dLbls>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2007</c:v>
                </c:pt>
                <c:pt idx="1">
                  <c:v>2008</c:v>
                </c:pt>
                <c:pt idx="2">
                  <c:v>2009</c:v>
                </c:pt>
                <c:pt idx="3">
                  <c:v>2010</c:v>
                </c:pt>
                <c:pt idx="4">
                  <c:v>2011</c:v>
                </c:pt>
                <c:pt idx="5">
                  <c:v>2012</c:v>
                </c:pt>
                <c:pt idx="6">
                  <c:v>2013</c:v>
                </c:pt>
                <c:pt idx="7">
                  <c:v>2014</c:v>
                </c:pt>
                <c:pt idx="8">
                  <c:v>2015</c:v>
                </c:pt>
              </c:strCache>
            </c:strRef>
          </c:cat>
          <c:val>
            <c:numRef>
              <c:f>Sheet1!$B$3:$J$3</c:f>
              <c:numCache>
                <c:formatCode>0</c:formatCode>
                <c:ptCount val="9"/>
                <c:pt idx="0">
                  <c:v>23.600427734795538</c:v>
                </c:pt>
                <c:pt idx="1">
                  <c:v>23.9271487867166</c:v>
                </c:pt>
                <c:pt idx="2">
                  <c:v>28.97013060336613</c:v>
                </c:pt>
                <c:pt idx="3">
                  <c:v>20.165358564798446</c:v>
                </c:pt>
                <c:pt idx="4">
                  <c:v>24.305009773419897</c:v>
                </c:pt>
                <c:pt idx="5">
                  <c:v>26.876039847974969</c:v>
                </c:pt>
                <c:pt idx="6">
                  <c:v>27.707251601357658</c:v>
                </c:pt>
                <c:pt idx="7">
                  <c:v>26.516664640514563</c:v>
                </c:pt>
                <c:pt idx="8">
                  <c:v>25.105369972794044</c:v>
                </c:pt>
              </c:numCache>
            </c:numRef>
          </c:val>
          <c:extLst>
            <c:ext xmlns:c="http://schemas.openxmlformats.org/drawingml/2006/chart" xmlns:c16="http://schemas.microsoft.com/office/drawing/2014/chart" uri="{C3380CC4-5D6E-409C-BE32-E72D297353CC}">
              <c16:uniqueId val="{00000001-1EC6-450E-AED5-B169B3E25A22}"/>
            </c:ext>
          </c:extLst>
        </c:ser>
        <c:dLbls>
          <c:showLegendKey val="0"/>
          <c:showVal val="0"/>
          <c:showCatName val="0"/>
          <c:showSerName val="0"/>
          <c:showPercent val="0"/>
          <c:showBubbleSize val="0"/>
        </c:dLbls>
        <c:gapWidth val="50"/>
        <c:overlap val="52"/>
        <c:axId val="656317848"/>
        <c:axId val="656324512"/>
      </c:barChart>
      <c:catAx>
        <c:axId val="656317848"/>
        <c:scaling>
          <c:orientation val="minMax"/>
        </c:scaling>
        <c:delete val="0"/>
        <c:axPos val="b"/>
        <c:numFmt formatCode="General" sourceLinked="0"/>
        <c:majorTickMark val="out"/>
        <c:minorTickMark val="none"/>
        <c:tickLblPos val="nextTo"/>
        <c:txPr>
          <a:bodyPr rot="-2700000"/>
          <a:lstStyle/>
          <a:p>
            <a:pPr>
              <a:defRPr sz="700"/>
            </a:pPr>
            <a:endParaRPr lang="lv-LV"/>
          </a:p>
        </c:txPr>
        <c:crossAx val="656324512"/>
        <c:crosses val="autoZero"/>
        <c:auto val="1"/>
        <c:lblAlgn val="ctr"/>
        <c:lblOffset val="100"/>
        <c:noMultiLvlLbl val="0"/>
      </c:catAx>
      <c:valAx>
        <c:axId val="656324512"/>
        <c:scaling>
          <c:orientation val="minMax"/>
          <c:max val="80"/>
        </c:scaling>
        <c:delete val="0"/>
        <c:axPos val="l"/>
        <c:numFmt formatCode="0" sourceLinked="1"/>
        <c:majorTickMark val="out"/>
        <c:minorTickMark val="none"/>
        <c:tickLblPos val="nextTo"/>
        <c:txPr>
          <a:bodyPr/>
          <a:lstStyle/>
          <a:p>
            <a:pPr>
              <a:defRPr sz="800"/>
            </a:pPr>
            <a:endParaRPr lang="lv-LV"/>
          </a:p>
        </c:txPr>
        <c:crossAx val="656317848"/>
        <c:crosses val="autoZero"/>
        <c:crossBetween val="between"/>
        <c:majorUnit val="20"/>
      </c:valAx>
      <c:spPr>
        <a:ln>
          <a:noFill/>
        </a:ln>
      </c:spPr>
    </c:plotArea>
    <c:legend>
      <c:legendPos val="r"/>
      <c:layout>
        <c:manualLayout>
          <c:xMode val="edge"/>
          <c:yMode val="edge"/>
          <c:x val="0.13842777005815449"/>
          <c:y val="0.04952826842590622"/>
          <c:w val="0.82930163141372037"/>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8"/>
          <c:y val="0.046005165816941182"/>
          <c:w val="0.85981050574956153"/>
          <c:h val="0.831279863372076"/>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Sheet1!$B$1:$J$1</c:f>
              <c:strCache>
                <c:ptCount val="9"/>
                <c:pt idx="0">
                  <c:v>2008</c:v>
                </c:pt>
                <c:pt idx="1">
                  <c:v>2009</c:v>
                </c:pt>
                <c:pt idx="2">
                  <c:v>2010</c:v>
                </c:pt>
                <c:pt idx="3">
                  <c:v>2011</c:v>
                </c:pt>
                <c:pt idx="4">
                  <c:v>2012</c:v>
                </c:pt>
                <c:pt idx="5">
                  <c:v>2013</c:v>
                </c:pt>
                <c:pt idx="6">
                  <c:v>2014</c:v>
                </c:pt>
                <c:pt idx="7">
                  <c:v>2015</c:v>
                </c:pt>
                <c:pt idx="8">
                  <c:v>2016</c:v>
                </c:pt>
              </c:strCache>
            </c:strRef>
          </c:cat>
          <c:val>
            <c:numRef>
              <c:f>Sheet1!$B$2:$J$2</c:f>
              <c:numCache>
                <c:formatCode>0</c:formatCode>
                <c:ptCount val="9"/>
                <c:pt idx="0">
                  <c:v>39.366062694556014</c:v>
                </c:pt>
                <c:pt idx="1">
                  <c:v>35.265739314535836</c:v>
                </c:pt>
                <c:pt idx="2">
                  <c:v>31.598932010849889</c:v>
                </c:pt>
                <c:pt idx="3">
                  <c:v>31.869900214985641</c:v>
                </c:pt>
                <c:pt idx="4">
                  <c:v>33.801329812213076</c:v>
                </c:pt>
                <c:pt idx="5">
                  <c:v>35.118191713592282</c:v>
                </c:pt>
                <c:pt idx="6">
                  <c:v>37.375186420479331</c:v>
                </c:pt>
                <c:pt idx="7">
                  <c:v>39.02724647709001</c:v>
                </c:pt>
                <c:pt idx="8">
                  <c:v>41.8751646537594</c:v>
                </c:pt>
              </c:numCache>
            </c:numRef>
          </c:val>
          <c:extLst>
            <c:ext xmlns:c="http://schemas.openxmlformats.org/drawingml/2006/chart" xmlns:c16="http://schemas.microsoft.com/office/drawing/2014/chart" uri="{C3380CC4-5D6E-409C-BE32-E72D297353CC}">
              <c16:uniqueId val="{00000000-469A-4D69-AB69-16A8CBFD1651}"/>
            </c:ext>
          </c:extLst>
        </c:ser>
        <c:ser>
          <c:idx val="1"/>
          <c:order val="1"/>
          <c:tx>
            <c:strRef>
              <c:f>Sheet1!$A$3</c:f>
              <c:strCache>
                <c:ptCount val="1"/>
                <c:pt idx="0">
                  <c:v>Lauksaimn., mežsaimn., zivsaimn.</c:v>
                </c:pt>
              </c:strCache>
            </c:strRef>
          </c:tx>
          <c:spPr>
            <a:ln>
              <a:solidFill>
                <a:sysClr val="windowText" lastClr="000000"/>
              </a:solidFill>
            </a:ln>
          </c:spPr>
          <c:invertIfNegative val="0"/>
          <c:dLbls>
            <c:numFmt formatCode="#,##0" sourceLinked="0"/>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2008</c:v>
                </c:pt>
                <c:pt idx="1">
                  <c:v>2009</c:v>
                </c:pt>
                <c:pt idx="2">
                  <c:v>2010</c:v>
                </c:pt>
                <c:pt idx="3">
                  <c:v>2011</c:v>
                </c:pt>
                <c:pt idx="4">
                  <c:v>2012</c:v>
                </c:pt>
                <c:pt idx="5">
                  <c:v>2013</c:v>
                </c:pt>
                <c:pt idx="6">
                  <c:v>2014</c:v>
                </c:pt>
                <c:pt idx="7">
                  <c:v>2015</c:v>
                </c:pt>
                <c:pt idx="8">
                  <c:v>2016</c:v>
                </c:pt>
              </c:strCache>
            </c:strRef>
          </c:cat>
          <c:val>
            <c:numRef>
              <c:f>Sheet1!$B$3:$J$3</c:f>
              <c:numCache>
                <c:formatCode>0</c:formatCode>
                <c:ptCount val="9"/>
                <c:pt idx="0">
                  <c:v>50.100606240466995</c:v>
                </c:pt>
                <c:pt idx="1">
                  <c:v>42.816365208881187</c:v>
                </c:pt>
                <c:pt idx="2">
                  <c:v>46.571289695196924</c:v>
                </c:pt>
                <c:pt idx="3">
                  <c:v>45.347384156672618</c:v>
                </c:pt>
                <c:pt idx="4">
                  <c:v>45.571743003791227</c:v>
                </c:pt>
                <c:pt idx="5">
                  <c:v>43.26865688622911</c:v>
                </c:pt>
                <c:pt idx="6">
                  <c:v>54.526842851450837</c:v>
                </c:pt>
                <c:pt idx="7">
                  <c:v>55.194742991254778</c:v>
                </c:pt>
                <c:pt idx="8">
                  <c:v>61.458655126864791</c:v>
                </c:pt>
              </c:numCache>
            </c:numRef>
          </c:val>
          <c:extLst>
            <c:ext xmlns:c="http://schemas.openxmlformats.org/drawingml/2006/chart" xmlns:c16="http://schemas.microsoft.com/office/drawing/2014/chart" uri="{C3380CC4-5D6E-409C-BE32-E72D297353CC}">
              <c16:uniqueId val="{00000001-469A-4D69-AB69-16A8CBFD1651}"/>
            </c:ext>
          </c:extLst>
        </c:ser>
        <c:dLbls>
          <c:showLegendKey val="0"/>
          <c:showVal val="0"/>
          <c:showCatName val="0"/>
          <c:showSerName val="0"/>
          <c:showPercent val="0"/>
          <c:showBubbleSize val="0"/>
        </c:dLbls>
        <c:gapWidth val="50"/>
        <c:overlap val="52"/>
        <c:axId val="629822816"/>
        <c:axId val="629823208"/>
      </c:barChart>
      <c:catAx>
        <c:axId val="629822816"/>
        <c:scaling>
          <c:orientation val="minMax"/>
        </c:scaling>
        <c:delete val="0"/>
        <c:axPos val="b"/>
        <c:numFmt formatCode="General" sourceLinked="0"/>
        <c:majorTickMark val="out"/>
        <c:minorTickMark val="none"/>
        <c:tickLblPos val="nextTo"/>
        <c:txPr>
          <a:bodyPr/>
          <a:lstStyle/>
          <a:p>
            <a:pPr>
              <a:defRPr sz="700"/>
            </a:pPr>
            <a:endParaRPr lang="lv-LV"/>
          </a:p>
        </c:txPr>
        <c:crossAx val="629823208"/>
        <c:crosses val="autoZero"/>
        <c:auto val="1"/>
        <c:lblAlgn val="ctr"/>
        <c:lblOffset val="100"/>
        <c:noMultiLvlLbl val="0"/>
      </c:catAx>
      <c:valAx>
        <c:axId val="629823208"/>
        <c:scaling>
          <c:orientation val="minMax"/>
          <c:max val="100"/>
        </c:scaling>
        <c:delete val="0"/>
        <c:axPos val="l"/>
        <c:numFmt formatCode="0" sourceLinked="0"/>
        <c:majorTickMark val="out"/>
        <c:minorTickMark val="none"/>
        <c:tickLblPos val="nextTo"/>
        <c:txPr>
          <a:bodyPr/>
          <a:lstStyle/>
          <a:p>
            <a:pPr>
              <a:defRPr sz="800"/>
            </a:pPr>
            <a:endParaRPr lang="lv-LV"/>
          </a:p>
        </c:txPr>
        <c:crossAx val="629822816"/>
        <c:crosses val="autoZero"/>
        <c:crossBetween val="between"/>
        <c:majorUnit val="20"/>
      </c:valAx>
      <c:spPr>
        <a:ln>
          <a:noFill/>
        </a:ln>
      </c:spPr>
    </c:plotArea>
    <c:legend>
      <c:legendPos val="r"/>
      <c:layout>
        <c:manualLayout>
          <c:xMode val="edge"/>
          <c:yMode val="edge"/>
          <c:x val="0.1255021597636618"/>
          <c:y val="0.073552292449930237"/>
          <c:w val="0.85456634064239723"/>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2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46717244654"/>
          <c:y val="0.044057617797775277"/>
          <c:w val="0.9310540474739486"/>
          <c:h val="0.51653970083007916"/>
        </c:manualLayout>
      </c:layout>
      <c:barChart>
        <c:barDir val="col"/>
        <c:grouping val="clustered"/>
        <c:varyColors val="0"/>
        <c:ser>
          <c:idx val="1"/>
          <c:order val="0"/>
          <c:tx>
            <c:strRef>
              <c:f>Sheet1!$B$3</c:f>
              <c:strCache>
                <c:ptCount val="1"/>
                <c:pt idx="0">
                  <c:v>Compensation per employees 1000 of euro</c:v>
                </c:pt>
              </c:strCache>
            </c:strRef>
          </c:tx>
          <c:spPr>
            <a:solidFill>
              <a:schemeClr val="accent3">
                <a:lumMod val="50000"/>
              </a:schemeClr>
            </a:solidFill>
            <a:ln w="19050"/>
          </c:spPr>
          <c:invertIfNegative val="0"/>
          <c:dPt>
            <c:idx val="9"/>
            <c:invertIfNegative val="0"/>
            <c:bubble3D val="0"/>
            <c:extLst>
              <c:ext xmlns:c="http://schemas.openxmlformats.org/drawingml/2006/chart" xmlns:c16="http://schemas.microsoft.com/office/drawing/2014/chart" uri="{C3380CC4-5D6E-409C-BE32-E72D297353CC}">
                <c16:uniqueId val="{00000006-C373-44BC-B380-5B95A7D8080E}"/>
              </c:ext>
            </c:extLst>
          </c:dPt>
          <c:dPt>
            <c:idx val="10"/>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2-2E31-41C7-B139-B4B680C41185}"/>
              </c:ext>
            </c:extLst>
          </c:dPt>
          <c:dPt>
            <c:idx val="19"/>
            <c:invertIfNegative val="0"/>
            <c:bubble3D val="0"/>
            <c:extLst>
              <c:ext xmlns:c="http://schemas.openxmlformats.org/drawingml/2006/chart" xmlns:c16="http://schemas.microsoft.com/office/drawing/2014/chart" uri="{C3380CC4-5D6E-409C-BE32-E72D297353CC}">
                <c16:uniqueId val="{00000000-88DB-495D-9760-7206199DE87E}"/>
              </c:ext>
            </c:extLst>
          </c:dPt>
          <c:dPt>
            <c:idx val="20"/>
            <c:invertIfNegative val="0"/>
            <c:bubble3D val="0"/>
            <c:extLst>
              <c:ext xmlns:c="http://schemas.openxmlformats.org/drawingml/2006/chart" xmlns:c16="http://schemas.microsoft.com/office/drawing/2014/chart" uri="{C3380CC4-5D6E-409C-BE32-E72D297353CC}">
                <c16:uniqueId val="{00000001-88DB-495D-9760-7206199DE87E}"/>
              </c:ext>
            </c:extLst>
          </c:dPt>
          <c:dPt>
            <c:idx val="21"/>
            <c:invertIfNegative val="0"/>
            <c:bubble3D val="0"/>
            <c:spPr>
              <a:solidFill>
                <a:srgbClr val="C00000"/>
              </a:solidFill>
              <a:ln w="19050"/>
            </c:spPr>
            <c:extLst>
              <c:ext xmlns:c="http://schemas.openxmlformats.org/drawingml/2006/chart" xmlns:c16="http://schemas.microsoft.com/office/drawing/2014/chart" uri="{C3380CC4-5D6E-409C-BE32-E72D297353CC}">
                <c16:uniqueId val="{00000006-2E31-41C7-B139-B4B680C41185}"/>
              </c:ext>
            </c:extLst>
          </c:dPt>
          <c:dPt>
            <c:idx val="22"/>
            <c:invertIfNegative val="0"/>
            <c:bubble3D val="0"/>
            <c:extLst>
              <c:ext xmlns:c="http://schemas.openxmlformats.org/drawingml/2006/chart" xmlns:c16="http://schemas.microsoft.com/office/drawing/2014/chart" uri="{C3380CC4-5D6E-409C-BE32-E72D297353CC}">
                <c16:uniqueId val="{00000002-88DB-495D-9760-7206199DE87E}"/>
              </c:ext>
            </c:extLst>
          </c:dPt>
          <c:dPt>
            <c:idx val="24"/>
            <c:invertIfNegative val="0"/>
            <c:bubble3D val="0"/>
            <c:extLst>
              <c:ext xmlns:c="http://schemas.openxmlformats.org/drawingml/2006/chart" xmlns:c16="http://schemas.microsoft.com/office/drawing/2014/chart" uri="{C3380CC4-5D6E-409C-BE32-E72D297353CC}">
                <c16:uniqueId val="{00000004-88DB-495D-9760-7206199DE87E}"/>
              </c:ext>
            </c:extLst>
          </c:dPt>
          <c:dPt>
            <c:idx val="25"/>
            <c:invertIfNegative val="0"/>
            <c:bubble3D val="0"/>
            <c:extLst>
              <c:ext xmlns:c="http://schemas.openxmlformats.org/drawingml/2006/chart" xmlns:c16="http://schemas.microsoft.com/office/drawing/2014/chart" uri="{C3380CC4-5D6E-409C-BE32-E72D297353CC}">
                <c16:uniqueId val="{00000005-88DB-495D-9760-7206199DE87E}"/>
              </c:ext>
            </c:extLst>
          </c:dPt>
          <c:dLbls>
            <c:dLbl>
              <c:idx val="10"/>
              <c:tx>
                <c:rich>
                  <a:bodyPr vertOverflow="clip"/>
                  <a:lstStyle/>
                  <a:p>
                    <a:pPr>
                      <a:defRPr sz="600" b="0"/>
                    </a:pPr>
                    <a:r>
                      <a:rPr lang="en-US" b="0"/>
                      <a:t>49</a:t>
                    </a:r>
                  </a:p>
                </c:rich>
              </c:tx>
              <c:numFmt formatCode="#,##0" sourceLinked="0"/>
              <c:spPr>
                <a:noFill/>
                <a:ln>
                  <a:noFill/>
                </a:ln>
                <a:effectLst/>
              </c:sp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2E31-41C7-B139-B4B680C41185}"/>
                </c:ext>
                <c:ext xmlns:c15="http://schemas.microsoft.com/office/drawing/2012/chart" uri="{CE6537A1-D6FC-4f65-9D91-7224C49458BB}"/>
              </c:extLst>
            </c:dLbl>
            <c:dLbl>
              <c:idx val="19"/>
              <c:layout>
                <c:manualLayout>
                  <c:x val="0"/>
                  <c:y val="4.9683256226419487E-17"/>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88DB-495D-9760-7206199DE87E}"/>
                </c:ext>
                <c:ext xmlns:c15="http://schemas.microsoft.com/office/drawing/2012/chart" uri="{CE6537A1-D6FC-4f65-9D91-7224C49458BB}"/>
              </c:extLst>
            </c:dLbl>
            <c:dLbl>
              <c:idx val="21"/>
              <c:numFmt formatCode="#,##0" sourceLinked="0"/>
              <c:spPr>
                <a:noFill/>
                <a:ln>
                  <a:noFill/>
                </a:ln>
                <a:effectLst/>
              </c:spPr>
              <c:txPr>
                <a:bodyPr/>
                <a:lstStyle/>
                <a:p>
                  <a:pPr>
                    <a:defRPr sz="600" b="1"/>
                  </a:pPr>
                  <a:endParaRPr lang="lv-LV"/>
                </a:p>
              </c:txPr>
              <c:showLegendKey val="0"/>
              <c:showVal val="1"/>
              <c:showCatName val="0"/>
              <c:showSerName val="0"/>
              <c:showPercent val="0"/>
              <c:showBubbleSize val="0"/>
            </c:dLbl>
            <c:dLbl>
              <c:idx val="22"/>
              <c:layout>
                <c:manualLayout>
                  <c:x val="0"/>
                  <c:y val="0.010839254849241406"/>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88DB-495D-9760-7206199DE87E}"/>
                </c:ext>
                <c:ext xmlns:c15="http://schemas.microsoft.com/office/drawing/2012/chart" uri="{CE6537A1-D6FC-4f65-9D91-7224C49458BB}"/>
              </c:extLst>
            </c:dLbl>
            <c:dLbl>
              <c:idx val="24"/>
              <c:layout>
                <c:manualLayout>
                  <c:x val="0"/>
                  <c:y val="-3.7556281074621773E-05"/>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88DB-495D-9760-7206199DE87E}"/>
                </c:ext>
                <c:ext xmlns:c15="http://schemas.microsoft.com/office/drawing/2012/chart" uri="{CE6537A1-D6FC-4f65-9D91-7224C49458BB}"/>
              </c:extLst>
            </c:dLbl>
            <c:dLbl>
              <c:idx val="25"/>
              <c:layout>
                <c:manualLayout>
                  <c:x val="0"/>
                  <c:y val="0.0047350290403144375"/>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88DB-495D-9760-7206199DE87E}"/>
                </c:ext>
                <c:ext xmlns:c15="http://schemas.microsoft.com/office/drawing/2012/chart" uri="{CE6537A1-D6FC-4f65-9D91-7224C49458BB}"/>
              </c:extLst>
            </c:dLbl>
            <c:numFmt formatCode="#,##0" sourceLinked="0"/>
            <c:spPr>
              <a:noFill/>
              <a:ln>
                <a:noFill/>
              </a:ln>
              <a:effectLst/>
            </c:spPr>
            <c:txPr>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Sheet1!$A$4:$A$29</c:f>
              <c:strCache>
                <c:ptCount val="26"/>
                <c:pt idx="0">
                  <c:v>Dānija</c:v>
                </c:pt>
                <c:pt idx="1">
                  <c:v>Apv. Karaliste</c:v>
                </c:pt>
                <c:pt idx="2">
                  <c:v>Beļģija</c:v>
                </c:pt>
                <c:pt idx="3">
                  <c:v>Nīderlande</c:v>
                </c:pt>
                <c:pt idx="4">
                  <c:v>Vācija</c:v>
                </c:pt>
                <c:pt idx="5">
                  <c:v>Somija</c:v>
                </c:pt>
                <c:pt idx="6">
                  <c:v>Austrija</c:v>
                </c:pt>
                <c:pt idx="7">
                  <c:v>Francija</c:v>
                </c:pt>
                <c:pt idx="8">
                  <c:v>Zviedrija</c:v>
                </c:pt>
                <c:pt idx="9">
                  <c:v>Itālija</c:v>
                </c:pt>
                <c:pt idx="10">
                  <c:v>ES-28</c:v>
                </c:pt>
                <c:pt idx="11">
                  <c:v>Spānija</c:v>
                </c:pt>
                <c:pt idx="12">
                  <c:v>Igaunija</c:v>
                </c:pt>
                <c:pt idx="13">
                  <c:v>Slovēnija</c:v>
                </c:pt>
                <c:pt idx="14">
                  <c:v>Kipra</c:v>
                </c:pt>
                <c:pt idx="15">
                  <c:v>Portugāle</c:v>
                </c:pt>
                <c:pt idx="16">
                  <c:v>Grieķija</c:v>
                </c:pt>
                <c:pt idx="17">
                  <c:v>Horvātija</c:v>
                </c:pt>
                <c:pt idx="18">
                  <c:v>Slovākija</c:v>
                </c:pt>
                <c:pt idx="19">
                  <c:v>Čehija</c:v>
                </c:pt>
                <c:pt idx="20">
                  <c:v>Ungārija</c:v>
                </c:pt>
                <c:pt idx="21">
                  <c:v>Latvija</c:v>
                </c:pt>
                <c:pt idx="22">
                  <c:v>Lietuva</c:v>
                </c:pt>
                <c:pt idx="23">
                  <c:v>Polija</c:v>
                </c:pt>
                <c:pt idx="24">
                  <c:v>Rumānija</c:v>
                </c:pt>
                <c:pt idx="25">
                  <c:v>Bulgārija</c:v>
                </c:pt>
              </c:strCache>
            </c:strRef>
          </c:cat>
          <c:val>
            <c:numRef>
              <c:f>Sheet1!$B$4:$B$29</c:f>
              <c:numCache>
                <c:formatCode>#,##0.0</c:formatCode>
                <c:ptCount val="26"/>
                <c:pt idx="0">
                  <c:v>67.563461538461539</c:v>
                </c:pt>
                <c:pt idx="1">
                  <c:v>66.448065637285623</c:v>
                </c:pt>
                <c:pt idx="2">
                  <c:v>64.851973684210535</c:v>
                </c:pt>
                <c:pt idx="3">
                  <c:v>64.670886075949369</c:v>
                </c:pt>
                <c:pt idx="4">
                  <c:v>58.52236135957066</c:v>
                </c:pt>
                <c:pt idx="5">
                  <c:v>57.620087336244545</c:v>
                </c:pt>
                <c:pt idx="6">
                  <c:v>57.583437892095354</c:v>
                </c:pt>
                <c:pt idx="7">
                  <c:v>55.309210526315788</c:v>
                </c:pt>
                <c:pt idx="8">
                  <c:v>51.9986301369863</c:v>
                </c:pt>
                <c:pt idx="9">
                  <c:v>48.838879963277485</c:v>
                </c:pt>
                <c:pt idx="10">
                  <c:v>48.720895593123949</c:v>
                </c:pt>
                <c:pt idx="11">
                  <c:v>42.413261372397848</c:v>
                </c:pt>
                <c:pt idx="12">
                  <c:v>34.333333333333336</c:v>
                </c:pt>
                <c:pt idx="13">
                  <c:v>26.978756884343035</c:v>
                </c:pt>
                <c:pt idx="14">
                  <c:v>22.692307692307693</c:v>
                </c:pt>
                <c:pt idx="15">
                  <c:v>20.572868927589365</c:v>
                </c:pt>
                <c:pt idx="16">
                  <c:v>19.523076923076925</c:v>
                </c:pt>
                <c:pt idx="17">
                  <c:v>18.253968253968253</c:v>
                </c:pt>
                <c:pt idx="18">
                  <c:v>17.380388441496919</c:v>
                </c:pt>
                <c:pt idx="19">
                  <c:v>16.298144975042838</c:v>
                </c:pt>
                <c:pt idx="20">
                  <c:v>15.2478465789046</c:v>
                </c:pt>
                <c:pt idx="21">
                  <c:v>13.169398907103826</c:v>
                </c:pt>
                <c:pt idx="22">
                  <c:v>12.913385826771654</c:v>
                </c:pt>
                <c:pt idx="23">
                  <c:v>12.831959416613824</c:v>
                </c:pt>
                <c:pt idx="24">
                  <c:v>8.8589341692789976</c:v>
                </c:pt>
                <c:pt idx="25">
                  <c:v>6.8617021276595747</c:v>
                </c:pt>
              </c:numCache>
            </c:numRef>
          </c:val>
          <c:extLst>
            <c:ext xmlns:c="http://schemas.openxmlformats.org/drawingml/2006/chart" xmlns:c16="http://schemas.microsoft.com/office/drawing/2014/chart" uri="{C3380CC4-5D6E-409C-BE32-E72D297353CC}">
              <c16:uniqueId val="{00000006-88DB-495D-9760-7206199DE87E}"/>
            </c:ext>
          </c:extLst>
        </c:ser>
        <c:dLbls>
          <c:showLegendKey val="0"/>
          <c:showVal val="0"/>
          <c:showCatName val="0"/>
          <c:showSerName val="0"/>
          <c:showPercent val="0"/>
          <c:showBubbleSize val="0"/>
        </c:dLbls>
        <c:gapWidth val="20"/>
        <c:axId val="656319024"/>
        <c:axId val="656312360"/>
      </c:barChart>
      <c:catAx>
        <c:axId val="656319024"/>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56312360"/>
        <c:crosses val="autoZero"/>
        <c:auto val="1"/>
        <c:lblAlgn val="ctr"/>
        <c:lblOffset val="100"/>
        <c:tickLblSkip val="1"/>
        <c:noMultiLvlLbl val="0"/>
      </c:catAx>
      <c:valAx>
        <c:axId val="656312360"/>
        <c:scaling>
          <c:orientation val="minMax"/>
        </c:scaling>
        <c:delete val="0"/>
        <c:axPos val="l"/>
        <c:numFmt formatCode="0" sourceLinked="0"/>
        <c:majorTickMark val="out"/>
        <c:minorTickMark val="none"/>
        <c:tickLblPos val="nextTo"/>
        <c:txPr>
          <a:bodyPr/>
          <a:lstStyle/>
          <a:p>
            <a:pPr>
              <a:defRPr sz="600"/>
            </a:pPr>
            <a:endParaRPr lang="lv-LV"/>
          </a:p>
        </c:txPr>
        <c:crossAx val="656319024"/>
        <c:crosses val="autoZero"/>
        <c:crossBetween val="between"/>
      </c:valAx>
    </c:plotArea>
    <c:plotVisOnly val="1"/>
    <c:dispBlanksAs val="gap"/>
    <c:showDLblsOverMax val="0"/>
  </c:chart>
  <c:spPr>
    <a:ln w="9525">
      <a:noFill/>
    </a:ln>
  </c:spPr>
  <c:externalData r:id="rId1">
    <c:autoUpdate val="0"/>
  </c:externalData>
</c:chartSpace>
</file>

<file path=word/charts/chart2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5206365820586629"/>
          <c:y val="0.098667178797772245"/>
          <c:w val="0.92848141716424415"/>
          <c:h val="0.4364526385421334"/>
        </c:manualLayout>
      </c:layout>
      <c:barChart>
        <c:barDir val="col"/>
        <c:grouping val="clustered"/>
        <c:varyColors val="0"/>
        <c:ser>
          <c:idx val="1"/>
          <c:order val="0"/>
          <c:tx>
            <c:strRef>
              <c:f>Sheet1!$B$3</c:f>
              <c:strCache>
                <c:ptCount val="1"/>
                <c:pt idx="0">
                  <c:v>Productivity</c:v>
                </c:pt>
              </c:strCache>
            </c:strRef>
          </c:tx>
          <c:spPr>
            <a:solidFill>
              <a:schemeClr val="accent3">
                <a:lumMod val="50000"/>
              </a:schemeClr>
            </a:solidFill>
            <a:ln w="19050"/>
          </c:spPr>
          <c:invertIfNegative val="0"/>
          <c:dPt>
            <c:idx val="11"/>
            <c:invertIfNegative val="0"/>
            <c:bubble3D val="0"/>
            <c:extLst>
              <c:ext xmlns:c="http://schemas.openxmlformats.org/drawingml/2006/chart" xmlns:c16="http://schemas.microsoft.com/office/drawing/2014/chart" uri="{C3380CC4-5D6E-409C-BE32-E72D297353CC}">
                <c16:uniqueId val="{00000006-EE5F-4021-AC81-57774995B417}"/>
              </c:ext>
            </c:extLst>
          </c:dPt>
          <c:dPt>
            <c:idx val="17"/>
            <c:invertIfNegative val="0"/>
            <c:bubble3D val="0"/>
            <c:extLst>
              <c:ext xmlns:c="http://schemas.openxmlformats.org/drawingml/2006/chart" xmlns:c16="http://schemas.microsoft.com/office/drawing/2014/chart" uri="{C3380CC4-5D6E-409C-BE32-E72D297353CC}">
                <c16:uniqueId val="{00000000-F137-4098-A653-A6E9A571EC6C}"/>
              </c:ext>
            </c:extLst>
          </c:dPt>
          <c:dPt>
            <c:idx val="20"/>
            <c:invertIfNegative val="0"/>
            <c:bubble3D val="0"/>
            <c:extLst>
              <c:ext xmlns:c="http://schemas.openxmlformats.org/drawingml/2006/chart" xmlns:c16="http://schemas.microsoft.com/office/drawing/2014/chart" uri="{C3380CC4-5D6E-409C-BE32-E72D297353CC}">
                <c16:uniqueId val="{00000001-F137-4098-A653-A6E9A571EC6C}"/>
              </c:ext>
            </c:extLst>
          </c:dPt>
          <c:dPt>
            <c:idx val="22"/>
            <c:invertIfNegative val="0"/>
            <c:bubble3D val="0"/>
            <c:extLst>
              <c:ext xmlns:c="http://schemas.openxmlformats.org/drawingml/2006/chart" xmlns:c16="http://schemas.microsoft.com/office/drawing/2014/chart" uri="{C3380CC4-5D6E-409C-BE32-E72D297353CC}">
                <c16:uniqueId val="{00000002-F137-4098-A653-A6E9A571EC6C}"/>
              </c:ext>
            </c:extLst>
          </c:dPt>
          <c:dPt>
            <c:idx val="23"/>
            <c:invertIfNegative val="0"/>
            <c:bubble3D val="0"/>
            <c:spPr>
              <a:solidFill>
                <a:srgbClr val="C00000"/>
              </a:solidFill>
              <a:ln w="19050"/>
            </c:spPr>
            <c:extLst>
              <c:ext xmlns:c="http://schemas.openxmlformats.org/drawingml/2006/chart" xmlns:c16="http://schemas.microsoft.com/office/drawing/2014/chart" uri="{C3380CC4-5D6E-409C-BE32-E72D297353CC}">
                <c16:uniqueId val="{00000005-FE58-49F4-B2AB-D9B528D73777}"/>
              </c:ext>
            </c:extLst>
          </c:dPt>
          <c:dPt>
            <c:idx val="24"/>
            <c:invertIfNegative val="0"/>
            <c:bubble3D val="0"/>
            <c:extLst>
              <c:ext xmlns:c="http://schemas.openxmlformats.org/drawingml/2006/chart" xmlns:c16="http://schemas.microsoft.com/office/drawing/2014/chart" uri="{C3380CC4-5D6E-409C-BE32-E72D297353CC}">
                <c16:uniqueId val="{00000003-F137-4098-A653-A6E9A571EC6C}"/>
              </c:ext>
            </c:extLst>
          </c:dPt>
          <c:dPt>
            <c:idx val="25"/>
            <c:invertIfNegative val="0"/>
            <c:bubble3D val="0"/>
            <c:spPr>
              <a:solidFill>
                <a:srgbClr val="C00000"/>
              </a:solidFill>
              <a:ln w="19050"/>
            </c:spPr>
            <c:extLst>
              <c:ext xmlns:c="http://schemas.openxmlformats.org/drawingml/2006/chart" xmlns:c16="http://schemas.microsoft.com/office/drawing/2014/chart" uri="{C3380CC4-5D6E-409C-BE32-E72D297353CC}">
                <c16:uniqueId val="{00000005-F137-4098-A653-A6E9A571EC6C}"/>
              </c:ext>
            </c:extLst>
          </c:dPt>
          <c:dLbls>
            <c:dLbl>
              <c:idx val="17"/>
              <c:layout>
                <c:manualLayout>
                  <c:x val="-3.1718089619462218E-07"/>
                  <c:y val="0"/>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F137-4098-A653-A6E9A571EC6C}"/>
                </c:ext>
                <c:ext xmlns:c15="http://schemas.microsoft.com/office/drawing/2012/chart" uri="{CE6537A1-D6FC-4f65-9D91-7224C49458BB}"/>
              </c:extLst>
            </c:dLbl>
            <c:dLbl>
              <c:idx val="22"/>
              <c:layout>
                <c:manualLayout>
                  <c:x val="0"/>
                  <c:y val="0.010840108401084011"/>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F137-4098-A653-A6E9A571EC6C}"/>
                </c:ext>
                <c:ext xmlns:c15="http://schemas.microsoft.com/office/drawing/2012/chart" uri="{CE6537A1-D6FC-4f65-9D91-7224C49458BB}"/>
              </c:extLst>
            </c:dLbl>
            <c:dLbl>
              <c:idx val="23"/>
              <c:numFmt formatCode="#,##0" sourceLinked="0"/>
              <c:spPr>
                <a:noFill/>
                <a:ln>
                  <a:noFill/>
                </a:ln>
                <a:effectLst/>
              </c:spPr>
              <c:txPr>
                <a:bodyPr/>
                <a:lstStyle/>
                <a:p>
                  <a:pPr>
                    <a:defRPr sz="600" b="1"/>
                  </a:pPr>
                  <a:endParaRPr lang="lv-LV"/>
                </a:p>
              </c:txPr>
              <c:showLegendKey val="0"/>
              <c:showVal val="1"/>
              <c:showCatName val="0"/>
              <c:showSerName val="0"/>
              <c:showPercent val="0"/>
              <c:showBubbleSize val="0"/>
            </c:dLbl>
            <c:dLbl>
              <c:idx val="24"/>
              <c:layout>
                <c:manualLayout>
                  <c:x val="0.0040281973816717019"/>
                  <c:y val="-3.6702729232016727E-05"/>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F137-4098-A653-A6E9A571EC6C}"/>
                </c:ext>
                <c:ext xmlns:c15="http://schemas.microsoft.com/office/drawing/2012/chart" uri="{CE6537A1-D6FC-4f65-9D91-7224C49458BB}"/>
              </c:extLst>
            </c:dLbl>
            <c:dLbl>
              <c:idx val="25"/>
              <c:layout>
                <c:manualLayout>
                  <c:x val="0"/>
                  <c:y val="0.0047346520709301088"/>
                </c:manualLayout>
              </c:layout>
              <c:numFmt formatCode="#,##0" sourceLinked="0"/>
              <c:txPr>
                <a:bodyPr/>
                <a:lstStyle/>
                <a:p>
                  <a:pPr>
                    <a:defRPr sz="600" b="1"/>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F137-4098-A653-A6E9A571EC6C}"/>
                </c:ext>
                <c:ext xmlns:c15="http://schemas.microsoft.com/office/drawing/2012/chart" uri="{CE6537A1-D6FC-4f65-9D91-7224C49458BB}"/>
              </c:extLst>
            </c:dLbl>
            <c:numFmt formatCode="#,##0" sourceLinked="0"/>
            <c:spPr>
              <a:noFill/>
              <a:ln>
                <a:noFill/>
              </a:ln>
              <a:effectLst/>
            </c:spPr>
            <c:txPr>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Sheet1!$A$4:$A$28</c:f>
              <c:strCache>
                <c:ptCount val="25"/>
                <c:pt idx="0">
                  <c:v>Nīderlande</c:v>
                </c:pt>
                <c:pt idx="1">
                  <c:v>Dānija</c:v>
                </c:pt>
                <c:pt idx="2">
                  <c:v>Beļģija</c:v>
                </c:pt>
                <c:pt idx="3">
                  <c:v>Somija</c:v>
                </c:pt>
                <c:pt idx="4">
                  <c:v>Zviedrija</c:v>
                </c:pt>
                <c:pt idx="5">
                  <c:v>Austrija</c:v>
                </c:pt>
                <c:pt idx="6">
                  <c:v>Francija</c:v>
                </c:pt>
                <c:pt idx="7">
                  <c:v>Vācija</c:v>
                </c:pt>
                <c:pt idx="8">
                  <c:v>Spānija</c:v>
                </c:pt>
                <c:pt idx="9">
                  <c:v>Itālija</c:v>
                </c:pt>
                <c:pt idx="10">
                  <c:v>Apv. Karaliste</c:v>
                </c:pt>
                <c:pt idx="11">
                  <c:v>Ungārija</c:v>
                </c:pt>
                <c:pt idx="12">
                  <c:v>Igaunija</c:v>
                </c:pt>
                <c:pt idx="13">
                  <c:v>Slovēnija</c:v>
                </c:pt>
                <c:pt idx="14">
                  <c:v>Grieķija</c:v>
                </c:pt>
                <c:pt idx="15">
                  <c:v>Portugāle</c:v>
                </c:pt>
                <c:pt idx="16">
                  <c:v>Kipra</c:v>
                </c:pt>
                <c:pt idx="17">
                  <c:v>Čehija</c:v>
                </c:pt>
                <c:pt idx="18">
                  <c:v>Horvātija</c:v>
                </c:pt>
                <c:pt idx="19">
                  <c:v>Lietuva</c:v>
                </c:pt>
                <c:pt idx="20">
                  <c:v>Polija</c:v>
                </c:pt>
                <c:pt idx="21">
                  <c:v>Rumānija</c:v>
                </c:pt>
                <c:pt idx="22">
                  <c:v>Slovākija</c:v>
                </c:pt>
                <c:pt idx="23">
                  <c:v>Latvija</c:v>
                </c:pt>
                <c:pt idx="24">
                  <c:v>Bulgārija</c:v>
                </c:pt>
              </c:strCache>
            </c:strRef>
          </c:cat>
          <c:val>
            <c:numRef>
              <c:f>Sheet1!$B$4:$B$28</c:f>
              <c:numCache>
                <c:formatCode>#,##0.0</c:formatCode>
                <c:ptCount val="25"/>
                <c:pt idx="0">
                  <c:v>107.275</c:v>
                </c:pt>
                <c:pt idx="1">
                  <c:v>106.72115384615384</c:v>
                </c:pt>
                <c:pt idx="2">
                  <c:v>92.73139158576052</c:v>
                </c:pt>
                <c:pt idx="3">
                  <c:v>92.698072805139176</c:v>
                </c:pt>
                <c:pt idx="4">
                  <c:v>90.787837837837841</c:v>
                </c:pt>
                <c:pt idx="5">
                  <c:v>88.86298466525372</c:v>
                </c:pt>
                <c:pt idx="6">
                  <c:v>76.735483870967741</c:v>
                </c:pt>
                <c:pt idx="7">
                  <c:v>72.506806282722522</c:v>
                </c:pt>
                <c:pt idx="8">
                  <c:v>71.756134969325146</c:v>
                </c:pt>
                <c:pt idx="9">
                  <c:v>68.22410056350239</c:v>
                </c:pt>
                <c:pt idx="10">
                  <c:v>50.639739622238821</c:v>
                </c:pt>
                <c:pt idx="11">
                  <c:v>42.269820971867006</c:v>
                </c:pt>
                <c:pt idx="12">
                  <c:v>40.56</c:v>
                </c:pt>
                <c:pt idx="13">
                  <c:v>36.1171032357473</c:v>
                </c:pt>
                <c:pt idx="14">
                  <c:v>35.469301340860973</c:v>
                </c:pt>
                <c:pt idx="15">
                  <c:v>34.356213548676536</c:v>
                </c:pt>
                <c:pt idx="16">
                  <c:v>33.20754716981132</c:v>
                </c:pt>
                <c:pt idx="17">
                  <c:v>28.148555506672533</c:v>
                </c:pt>
                <c:pt idx="18">
                  <c:v>24.258064516129032</c:v>
                </c:pt>
                <c:pt idx="19">
                  <c:v>23.910761154855642</c:v>
                </c:pt>
                <c:pt idx="20">
                  <c:v>21.688861232109524</c:v>
                </c:pt>
                <c:pt idx="21">
                  <c:v>20.886115444617786</c:v>
                </c:pt>
                <c:pt idx="22">
                  <c:v>19.75763225355395</c:v>
                </c:pt>
                <c:pt idx="23">
                  <c:v>15.645569620253163</c:v>
                </c:pt>
                <c:pt idx="24">
                  <c:v>8.6895268474215843</c:v>
                </c:pt>
              </c:numCache>
            </c:numRef>
          </c:val>
          <c:extLst>
            <c:ext xmlns:c="http://schemas.openxmlformats.org/drawingml/2006/chart" xmlns:c16="http://schemas.microsoft.com/office/drawing/2014/chart" uri="{C3380CC4-5D6E-409C-BE32-E72D297353CC}">
              <c16:uniqueId val="{00000006-F137-4098-A653-A6E9A571EC6C}"/>
            </c:ext>
          </c:extLst>
        </c:ser>
        <c:dLbls>
          <c:showLegendKey val="0"/>
          <c:showVal val="0"/>
          <c:showCatName val="0"/>
          <c:showSerName val="0"/>
          <c:showPercent val="0"/>
          <c:showBubbleSize val="0"/>
        </c:dLbls>
        <c:gapWidth val="20"/>
        <c:axId val="656314712"/>
        <c:axId val="656322944"/>
      </c:barChart>
      <c:catAx>
        <c:axId val="656314712"/>
        <c:scaling>
          <c:orientation val="minMax"/>
        </c:scaling>
        <c:delete val="0"/>
        <c:axPos val="b"/>
        <c:numFmt formatCode="General" sourceLinked="0"/>
        <c:majorTickMark val="out"/>
        <c:minorTickMark val="none"/>
        <c:tickLblPos val="nextTo"/>
        <c:txPr>
          <a:bodyPr rot="-5400000" vert="horz" anchor="ctr" anchorCtr="1"/>
          <a:lstStyle/>
          <a:p>
            <a:pPr>
              <a:defRPr sz="600"/>
            </a:pPr>
            <a:endParaRPr lang="lv-LV"/>
          </a:p>
        </c:txPr>
        <c:crossAx val="656322944"/>
        <c:crosses val="autoZero"/>
        <c:auto val="1"/>
        <c:lblAlgn val="ctr"/>
        <c:lblOffset val="100"/>
        <c:tickLblSkip val="1"/>
        <c:noMultiLvlLbl val="0"/>
      </c:catAx>
      <c:valAx>
        <c:axId val="656322944"/>
        <c:scaling>
          <c:orientation val="minMax"/>
        </c:scaling>
        <c:delete val="0"/>
        <c:axPos val="l"/>
        <c:numFmt formatCode="0" sourceLinked="0"/>
        <c:majorTickMark val="out"/>
        <c:minorTickMark val="none"/>
        <c:tickLblPos val="nextTo"/>
        <c:txPr>
          <a:bodyPr/>
          <a:lstStyle/>
          <a:p>
            <a:pPr>
              <a:defRPr sz="600"/>
            </a:pPr>
            <a:endParaRPr lang="lv-LV"/>
          </a:p>
        </c:txPr>
        <c:crossAx val="656314712"/>
        <c:crosses val="autoZero"/>
        <c:crossBetween val="between"/>
      </c:valAx>
    </c:plotArea>
    <c:plotVisOnly val="1"/>
    <c:dispBlanksAs val="gap"/>
    <c:showDLblsOverMax val="0"/>
  </c:chart>
  <c:spPr>
    <a:ln w="9525">
      <a:noFill/>
    </a:ln>
  </c:spPr>
  <c:externalData r:id="rId1">
    <c:autoUpdate val="0"/>
  </c:externalData>
</c:chartSpace>
</file>

<file path=word/charts/chart21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1619797525309326"/>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8181-452F-AB91-B34E9C83CD9D}"/>
              </c:ext>
            </c:extLst>
          </c:dPt>
          <c:dPt>
            <c:idx val="5"/>
            <c:bubble3D val="0"/>
            <c:extLst>
              <c:ext xmlns:c="http://schemas.openxmlformats.org/drawingml/2006/chart" xmlns:c16="http://schemas.microsoft.com/office/drawing/2014/chart" uri="{C3380CC4-5D6E-409C-BE32-E72D297353CC}">
                <c16:uniqueId val="{00000001-8181-452F-AB91-B34E9C83CD9D}"/>
              </c:ext>
            </c:extLst>
          </c:dPt>
          <c:dPt>
            <c:idx val="11"/>
            <c:bubble3D val="0"/>
            <c:extLst>
              <c:ext xmlns:c="http://schemas.openxmlformats.org/drawingml/2006/chart" xmlns:c16="http://schemas.microsoft.com/office/drawing/2014/chart" uri="{C3380CC4-5D6E-409C-BE32-E72D297353CC}">
                <c16:uniqueId val="{00000002-8181-452F-AB91-B34E9C83CD9D}"/>
              </c:ext>
            </c:extLst>
          </c:dPt>
          <c:dPt>
            <c:idx val="12"/>
            <c:bubble3D val="0"/>
            <c:extLst>
              <c:ext xmlns:c="http://schemas.openxmlformats.org/drawingml/2006/chart" xmlns:c16="http://schemas.microsoft.com/office/drawing/2014/chart" uri="{C3380CC4-5D6E-409C-BE32-E72D297353CC}">
                <c16:uniqueId val="{00000003-8181-452F-AB91-B34E9C83CD9D}"/>
              </c:ext>
            </c:extLst>
          </c:dPt>
          <c:dPt>
            <c:idx val="13"/>
            <c:bubble3D val="0"/>
            <c:extLst>
              <c:ext xmlns:c="http://schemas.openxmlformats.org/drawingml/2006/chart" xmlns:c16="http://schemas.microsoft.com/office/drawing/2014/chart" uri="{C3380CC4-5D6E-409C-BE32-E72D297353CC}">
                <c16:uniqueId val="{00000004-8181-452F-AB91-B34E9C83CD9D}"/>
              </c:ext>
            </c:extLst>
          </c:dPt>
          <c:dPt>
            <c:idx val="14"/>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5-8181-452F-AB91-B34E9C83CD9D}"/>
              </c:ext>
            </c:extLst>
          </c:dPt>
          <c:dLbls>
            <c:dLbl>
              <c:idx val="0"/>
              <c:layout>
                <c:manualLayout>
                  <c:x val="-0.11630354616887842"/>
                  <c:y val="-0.057142857142857141"/>
                </c:manualLayout>
              </c:layout>
              <c:tx>
                <c:rich>
                  <a:bodyPr vertOverflow="clip"/>
                  <a:lstStyle/>
                  <a:p>
                    <a:r>
                      <a:rPr lang="en-US"/>
                      <a:t>EU-28</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8181-452F-AB91-B34E9C83CD9D}"/>
                </c:ext>
                <c:ext xmlns:c15="http://schemas.microsoft.com/office/drawing/2012/chart" uri="{CE6537A1-D6FC-4f65-9D91-7224C49458BB}"/>
              </c:extLst>
            </c:dLbl>
            <c:dLbl>
              <c:idx val="1"/>
              <c:layout>
                <c:manualLayout>
                  <c:x val="-0.024922118380062305"/>
                  <c:y val="-0.057142857142857141"/>
                </c:manualLayout>
              </c:layout>
              <c:tx>
                <c:rich>
                  <a:bodyPr vertOverflow="clip"/>
                  <a:lstStyle/>
                  <a:p>
                    <a:r>
                      <a:rPr lang="en-US"/>
                      <a:t>BE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8181-452F-AB91-B34E9C83CD9D}"/>
                </c:ext>
                <c:ext xmlns:c15="http://schemas.microsoft.com/office/drawing/2012/chart" uri="{CE6537A1-D6FC-4f65-9D91-7224C49458BB}"/>
              </c:extLst>
            </c:dLbl>
            <c:dLbl>
              <c:idx val="2"/>
              <c:layout>
                <c:manualLayout>
                  <c:x val="-0.0623052959501558"/>
                  <c:y val="0.085714285714285715"/>
                </c:manualLayout>
              </c:layout>
              <c:tx>
                <c:rich>
                  <a:bodyPr vertOverflow="clip"/>
                  <a:lstStyle/>
                  <a:p>
                    <a:r>
                      <a:rPr lang="en-US"/>
                      <a:t>BG</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8181-452F-AB91-B34E9C83CD9D}"/>
                </c:ext>
                <c:ext xmlns:c15="http://schemas.microsoft.com/office/drawing/2012/chart" uri="{CE6537A1-D6FC-4f65-9D91-7224C49458BB}"/>
              </c:extLst>
            </c:dLbl>
            <c:dLbl>
              <c:idx val="3"/>
              <c:layout>
                <c:manualLayout>
                  <c:x val="-0.024922118380062305"/>
                  <c:y val="0.066666666666666666"/>
                </c:manualLayout>
              </c:layout>
              <c:tx>
                <c:rich>
                  <a:bodyPr vertOverflow="clip"/>
                  <a:lstStyle/>
                  <a:p>
                    <a:r>
                      <a:rPr lang="en-US"/>
                      <a:t>PL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8181-452F-AB91-B34E9C83CD9D}"/>
                </c:ext>
                <c:ext xmlns:c15="http://schemas.microsoft.com/office/drawing/2012/chart" uri="{CE6537A1-D6FC-4f65-9D91-7224C49458BB}"/>
              </c:extLst>
            </c:dLbl>
            <c:dLbl>
              <c:idx val="4"/>
              <c:layout>
                <c:manualLayout>
                  <c:x val="-0.033229491173416406"/>
                  <c:y val="-0.057142857142857141"/>
                </c:manualLayout>
              </c:layout>
              <c:tx>
                <c:rich>
                  <a:bodyPr vertOverflow="clip"/>
                  <a:lstStyle/>
                  <a:p>
                    <a:r>
                      <a:rPr lang="en-US"/>
                      <a:t>DK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8181-452F-AB91-B34E9C83CD9D}"/>
                </c:ext>
                <c:ext xmlns:c15="http://schemas.microsoft.com/office/drawing/2012/chart" uri="{CE6537A1-D6FC-4f65-9D91-7224C49458BB}"/>
              </c:extLst>
            </c:dLbl>
            <c:dLbl>
              <c:idx val="5"/>
              <c:layout>
                <c:manualLayout>
                  <c:x val="-0.029075804776739357"/>
                  <c:y val="-0.066666666666666638"/>
                </c:manualLayout>
              </c:layout>
              <c:tx>
                <c:rich>
                  <a:bodyPr vertOverflow="clip"/>
                  <a:lstStyle/>
                  <a:p>
                    <a:r>
                      <a:rPr lang="en-US"/>
                      <a:t>DE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8181-452F-AB91-B34E9C83CD9D}"/>
                </c:ext>
                <c:ext xmlns:c15="http://schemas.microsoft.com/office/drawing/2012/chart" uri="{CE6537A1-D6FC-4f65-9D91-7224C49458BB}"/>
              </c:extLst>
            </c:dLbl>
            <c:dLbl>
              <c:idx val="6"/>
              <c:layout>
                <c:manualLayout>
                  <c:x val="-0.024922118380062305"/>
                  <c:y val="0.057142857142857162"/>
                </c:manualLayout>
              </c:layout>
              <c:tx>
                <c:rich>
                  <a:bodyPr vertOverflow="clip"/>
                  <a:lstStyle/>
                  <a:p>
                    <a:r>
                      <a:rPr lang="en-US"/>
                      <a:t>IE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8181-452F-AB91-B34E9C83CD9D}"/>
                </c:ext>
                <c:ext xmlns:c15="http://schemas.microsoft.com/office/drawing/2012/chart" uri="{CE6537A1-D6FC-4f65-9D91-7224C49458BB}"/>
              </c:extLst>
            </c:dLbl>
            <c:dLbl>
              <c:idx val="7"/>
              <c:layout>
                <c:manualLayout>
                  <c:x val="-0.083073727933541022"/>
                  <c:y val="0.057142857142857141"/>
                </c:manualLayout>
              </c:layout>
              <c:tx>
                <c:rich>
                  <a:bodyPr vertOverflow="clip"/>
                  <a:lstStyle/>
                  <a:p>
                    <a:r>
                      <a:rPr lang="en-US"/>
                      <a:t>EE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8181-452F-AB91-B34E9C83CD9D}"/>
                </c:ext>
                <c:ext xmlns:c15="http://schemas.microsoft.com/office/drawing/2012/chart" uri="{CE6537A1-D6FC-4f65-9D91-7224C49458BB}"/>
              </c:extLst>
            </c:dLbl>
            <c:dLbl>
              <c:idx val="8"/>
              <c:layout>
                <c:manualLayout>
                  <c:x val="-0.012461059190031152"/>
                  <c:y val="-0.019047619047619049"/>
                </c:manualLayout>
              </c:layout>
              <c:tx>
                <c:rich>
                  <a:bodyPr vertOverflow="clip"/>
                  <a:lstStyle/>
                  <a:p>
                    <a:r>
                      <a:rPr lang="en-US"/>
                      <a:t>EL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8181-452F-AB91-B34E9C83CD9D}"/>
                </c:ext>
                <c:ext xmlns:c15="http://schemas.microsoft.com/office/drawing/2012/chart" uri="{CE6537A1-D6FC-4f65-9D91-7224C49458BB}"/>
              </c:extLst>
            </c:dLbl>
            <c:dLbl>
              <c:idx val="9"/>
              <c:layout>
                <c:manualLayout>
                  <c:x val="-0.09138110072689512"/>
                  <c:y val="0.066666666666666707"/>
                </c:manualLayout>
              </c:layout>
              <c:tx>
                <c:rich>
                  <a:bodyPr vertOverflow="clip"/>
                  <a:lstStyle/>
                  <a:p>
                    <a:r>
                      <a:rPr lang="en-US"/>
                      <a:t>ES</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8181-452F-AB91-B34E9C83CD9D}"/>
                </c:ext>
                <c:ext xmlns:c15="http://schemas.microsoft.com/office/drawing/2012/chart" uri="{CE6537A1-D6FC-4f65-9D91-7224C49458BB}"/>
              </c:extLst>
            </c:dLbl>
            <c:dLbl>
              <c:idx val="10"/>
              <c:layout>
                <c:manualLayout>
                  <c:x val="-0.049844236760124609"/>
                  <c:y val="-0.0761904761904762"/>
                </c:manualLayout>
              </c:layout>
              <c:tx>
                <c:rich>
                  <a:bodyPr vertOverflow="clip"/>
                  <a:lstStyle/>
                  <a:p>
                    <a:r>
                      <a:rPr lang="en-US"/>
                      <a:t>FR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E-8181-452F-AB91-B34E9C83CD9D}"/>
                </c:ext>
                <c:ext xmlns:c15="http://schemas.microsoft.com/office/drawing/2012/chart" uri="{CE6537A1-D6FC-4f65-9D91-7224C49458BB}"/>
              </c:extLst>
            </c:dLbl>
            <c:dLbl>
              <c:idx val="11"/>
              <c:layout>
                <c:manualLayout>
                  <c:x val="-0.09138110072689512"/>
                  <c:y val="-0.028571428571428571"/>
                </c:manualLayout>
              </c:layout>
              <c:tx>
                <c:rich>
                  <a:bodyPr vertOverflow="clip"/>
                  <a:lstStyle/>
                  <a:p>
                    <a:r>
                      <a:rPr lang="en-US"/>
                      <a:t>HR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8181-452F-AB91-B34E9C83CD9D}"/>
                </c:ext>
                <c:ext xmlns:c15="http://schemas.microsoft.com/office/drawing/2012/chart" uri="{CE6537A1-D6FC-4f65-9D91-7224C49458BB}"/>
              </c:extLst>
            </c:dLbl>
            <c:dLbl>
              <c:idx val="12"/>
              <c:layout>
                <c:manualLayout>
                  <c:x val="-0.033229491173416406"/>
                  <c:y val="0.0761904761904762"/>
                </c:manualLayout>
              </c:layout>
              <c:tx>
                <c:rich>
                  <a:bodyPr vertOverflow="clip"/>
                  <a:lstStyle/>
                  <a:p>
                    <a:r>
                      <a:rPr lang="en-US"/>
                      <a:t>IT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8181-452F-AB91-B34E9C83CD9D}"/>
                </c:ext>
                <c:ext xmlns:c15="http://schemas.microsoft.com/office/drawing/2012/chart" uri="{CE6537A1-D6FC-4f65-9D91-7224C49458BB}"/>
              </c:extLst>
            </c:dLbl>
            <c:dLbl>
              <c:idx val="13"/>
              <c:layout>
                <c:manualLayout>
                  <c:x val="-0.029075804776739357"/>
                  <c:y val="0.066666666666666666"/>
                </c:manualLayout>
              </c:layout>
              <c:tx>
                <c:rich>
                  <a:bodyPr vertOverflow="clip"/>
                  <a:lstStyle/>
                  <a:p>
                    <a:r>
                      <a:rPr lang="en-US"/>
                      <a:t>CY</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8181-452F-AB91-B34E9C83CD9D}"/>
                </c:ext>
                <c:ext xmlns:c15="http://schemas.microsoft.com/office/drawing/2012/chart" uri="{CE6537A1-D6FC-4f65-9D91-7224C49458BB}"/>
              </c:extLst>
            </c:dLbl>
            <c:dLbl>
              <c:idx val="14"/>
              <c:layout>
                <c:manualLayout>
                  <c:x val="-0.091381100726895162"/>
                  <c:y val="0.057142857142857141"/>
                </c:manualLayout>
              </c:layout>
              <c:tx>
                <c:rich>
                  <a:bodyPr vertOverflow="clip"/>
                  <a:lstStyle/>
                  <a:p>
                    <a:r>
                      <a:rPr lang="en-US"/>
                      <a:t>LV</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8181-452F-AB91-B34E9C83CD9D}"/>
                </c:ext>
                <c:ext xmlns:c15="http://schemas.microsoft.com/office/drawing/2012/chart" uri="{CE6537A1-D6FC-4f65-9D91-7224C49458BB}"/>
              </c:extLst>
            </c:dLbl>
            <c:dLbl>
              <c:idx val="15"/>
              <c:layout>
                <c:manualLayout>
                  <c:x val="-0.087227414330218064"/>
                  <c:y val="0.028571428571428571"/>
                </c:manualLayout>
              </c:layout>
              <c:tx>
                <c:rich>
                  <a:bodyPr vertOverflow="clip"/>
                  <a:lstStyle/>
                  <a:p>
                    <a:r>
                      <a:rPr lang="en-US"/>
                      <a:t>LT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F-8181-452F-AB91-B34E9C83CD9D}"/>
                </c:ext>
                <c:ext xmlns:c15="http://schemas.microsoft.com/office/drawing/2012/chart" uri="{CE6537A1-D6FC-4f65-9D91-7224C49458BB}"/>
              </c:extLst>
            </c:dLbl>
            <c:dLbl>
              <c:idx val="16"/>
              <c:layout>
                <c:manualLayout>
                  <c:x val="-0.037383177570093455"/>
                  <c:y val="-0.066666666666666749"/>
                </c:manualLayout>
              </c:layout>
              <c:tx>
                <c:rich>
                  <a:bodyPr vertOverflow="clip"/>
                  <a:lstStyle/>
                  <a:p>
                    <a:r>
                      <a:rPr lang="en-US"/>
                      <a:t>HU</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0-8181-452F-AB91-B34E9C83CD9D}"/>
                </c:ext>
                <c:ext xmlns:c15="http://schemas.microsoft.com/office/drawing/2012/chart" uri="{CE6537A1-D6FC-4f65-9D91-7224C49458BB}"/>
              </c:extLst>
            </c:dLbl>
            <c:dLbl>
              <c:idx val="17"/>
              <c:tx>
                <c:rich>
                  <a:bodyPr vertOverflow="clip"/>
                  <a:lstStyle/>
                  <a:p>
                    <a:r>
                      <a:rPr lang="en-US"/>
                      <a:t>NL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1-8181-452F-AB91-B34E9C83CD9D}"/>
                </c:ext>
                <c:ext xmlns:c15="http://schemas.microsoft.com/office/drawing/2012/chart" uri="{CE6537A1-D6FC-4f65-9D91-7224C49458BB}"/>
              </c:extLst>
            </c:dLbl>
            <c:dLbl>
              <c:idx val="18"/>
              <c:layout>
                <c:manualLayout>
                  <c:x val="-0.066458982346832812"/>
                  <c:y val="0.066666666666666666"/>
                </c:manualLayout>
              </c:layout>
              <c:tx>
                <c:rich>
                  <a:bodyPr vertOverflow="clip"/>
                  <a:lstStyle/>
                  <a:p>
                    <a:r>
                      <a:rPr lang="en-US"/>
                      <a:t>AT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2-8181-452F-AB91-B34E9C83CD9D}"/>
                </c:ext>
                <c:ext xmlns:c15="http://schemas.microsoft.com/office/drawing/2012/chart" uri="{CE6537A1-D6FC-4f65-9D91-7224C49458BB}"/>
              </c:extLst>
            </c:dLbl>
            <c:dLbl>
              <c:idx val="19"/>
              <c:layout>
                <c:manualLayout>
                  <c:x val="-0.053997923156801658"/>
                  <c:y val="-0.066666666666666624"/>
                </c:manualLayout>
              </c:layout>
              <c:tx>
                <c:rich>
                  <a:bodyPr vertOverflow="clip"/>
                  <a:lstStyle/>
                  <a:p>
                    <a:r>
                      <a:rPr lang="en-US"/>
                      <a:t>CZ</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3-8181-452F-AB91-B34E9C83CD9D}"/>
                </c:ext>
                <c:ext xmlns:c15="http://schemas.microsoft.com/office/drawing/2012/chart" uri="{CE6537A1-D6FC-4f65-9D91-7224C49458BB}"/>
              </c:extLst>
            </c:dLbl>
            <c:dLbl>
              <c:idx val="20"/>
              <c:layout>
                <c:manualLayout>
                  <c:x val="-0.024922118380062305"/>
                  <c:y val="-0.0380952380952381"/>
                </c:manualLayout>
              </c:layout>
              <c:tx>
                <c:rich>
                  <a:bodyPr vertOverflow="clip"/>
                  <a:lstStyle/>
                  <a:p>
                    <a:r>
                      <a:rPr lang="en-US"/>
                      <a:t>PT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4-8181-452F-AB91-B34E9C83CD9D}"/>
                </c:ext>
                <c:ext xmlns:c15="http://schemas.microsoft.com/office/drawing/2012/chart" uri="{CE6537A1-D6FC-4f65-9D91-7224C49458BB}"/>
              </c:extLst>
            </c:dLbl>
            <c:dLbl>
              <c:idx val="21"/>
              <c:layout>
                <c:manualLayout>
                  <c:x val="-0.0955347871235722"/>
                  <c:y val="0.0380952380952381"/>
                </c:manualLayout>
              </c:layout>
              <c:tx>
                <c:rich>
                  <a:bodyPr vertOverflow="clip"/>
                  <a:lstStyle/>
                  <a:p>
                    <a:r>
                      <a:rPr lang="en-US"/>
                      <a:t>RO</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5-8181-452F-AB91-B34E9C83CD9D}"/>
                </c:ext>
                <c:ext xmlns:c15="http://schemas.microsoft.com/office/drawing/2012/chart" uri="{CE6537A1-D6FC-4f65-9D91-7224C49458BB}"/>
              </c:extLst>
            </c:dLbl>
            <c:dLbl>
              <c:idx val="22"/>
              <c:layout>
                <c:manualLayout>
                  <c:x val="-0.012461059190031152"/>
                  <c:y val="-0.019047619047619049"/>
                </c:manualLayout>
              </c:layout>
              <c:tx>
                <c:rich>
                  <a:bodyPr vertOverflow="clip"/>
                  <a:lstStyle/>
                  <a:p>
                    <a:r>
                      <a:rPr lang="en-US"/>
                      <a:t>SI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6-8181-452F-AB91-B34E9C83CD9D}"/>
                </c:ext>
                <c:ext xmlns:c15="http://schemas.microsoft.com/office/drawing/2012/chart" uri="{CE6537A1-D6FC-4f65-9D91-7224C49458BB}"/>
              </c:extLst>
            </c:dLbl>
            <c:dLbl>
              <c:idx val="23"/>
              <c:layout>
                <c:manualLayout>
                  <c:x val="-0.091381100726895079"/>
                  <c:y val="-0.0380952380952381"/>
                </c:manualLayout>
              </c:layout>
              <c:tx>
                <c:rich>
                  <a:bodyPr vertOverflow="clip"/>
                  <a:lstStyle/>
                  <a:p>
                    <a:r>
                      <a:rPr lang="en-US"/>
                      <a:t>SK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7-8181-452F-AB91-B34E9C83CD9D}"/>
                </c:ext>
                <c:ext xmlns:c15="http://schemas.microsoft.com/office/drawing/2012/chart" uri="{CE6537A1-D6FC-4f65-9D91-7224C49458BB}"/>
              </c:extLst>
            </c:dLbl>
            <c:dLbl>
              <c:idx val="24"/>
              <c:layout>
                <c:manualLayout>
                  <c:x val="-0.012461059190031152"/>
                  <c:y val="-0.05714285714285719"/>
                </c:manualLayout>
              </c:layout>
              <c:tx>
                <c:rich>
                  <a:bodyPr vertOverflow="clip"/>
                  <a:lstStyle/>
                  <a:p>
                    <a:r>
                      <a:rPr lang="en-US"/>
                      <a:t>FI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8-8181-452F-AB91-B34E9C83CD9D}"/>
                </c:ext>
                <c:ext xmlns:c15="http://schemas.microsoft.com/office/drawing/2012/chart" uri="{CE6537A1-D6FC-4f65-9D91-7224C49458BB}"/>
              </c:extLst>
            </c:dLbl>
            <c:dLbl>
              <c:idx val="25"/>
              <c:layout>
                <c:manualLayout>
                  <c:x val="-0.012461059190031152"/>
                  <c:y val="0.057142857142857141"/>
                </c:manualLayout>
              </c:layout>
              <c:tx>
                <c:rich>
                  <a:bodyPr vertOverflow="clip"/>
                  <a:lstStyle/>
                  <a:p>
                    <a:r>
                      <a:rPr lang="en-US"/>
                      <a:t>SE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9-8181-452F-AB91-B34E9C83CD9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Sheet1!$B$3:$B$29</c:f>
              <c:numCache>
                <c:formatCode>0.0</c:formatCode>
                <c:ptCount val="27"/>
                <c:pt idx="0">
                  <c:v>64.107740247829668</c:v>
                </c:pt>
                <c:pt idx="1">
                  <c:v>90.060869565217388</c:v>
                </c:pt>
                <c:pt idx="2">
                  <c:v>7.7756286266924564</c:v>
                </c:pt>
                <c:pt idx="3">
                  <c:v>26.987458193979933</c:v>
                </c:pt>
                <c:pt idx="4">
                  <c:v>84.432075471698113</c:v>
                </c:pt>
                <c:pt idx="5">
                  <c:v>74.065321805955818</c:v>
                </c:pt>
                <c:pt idx="6">
                  <c:v>22.206896551724142</c:v>
                </c:pt>
                <c:pt idx="7">
                  <c:v>23.984989278055753</c:v>
                </c:pt>
                <c:pt idx="8">
                  <c:v>29.064261555806091</c:v>
                </c:pt>
                <c:pt idx="9">
                  <c:v>61.177381874515881</c:v>
                </c:pt>
                <c:pt idx="10">
                  <c:v>68.157575757575756</c:v>
                </c:pt>
                <c:pt idx="11">
                  <c:v>25.353075170842825</c:v>
                </c:pt>
                <c:pt idx="12">
                  <c:v>64.944551487904079</c:v>
                </c:pt>
                <c:pt idx="13">
                  <c:v>30.82191780821918</c:v>
                </c:pt>
                <c:pt idx="14">
                  <c:v>12.951807228915664</c:v>
                </c:pt>
                <c:pt idx="15">
                  <c:v>21.464285714285715</c:v>
                </c:pt>
                <c:pt idx="16">
                  <c:v>51.251111111111115</c:v>
                </c:pt>
                <c:pt idx="17">
                  <c:v>107.35616438356165</c:v>
                </c:pt>
                <c:pt idx="18">
                  <c:v>85.771317290304637</c:v>
                </c:pt>
                <c:pt idx="19">
                  <c:v>27.551054852320675</c:v>
                </c:pt>
                <c:pt idx="20">
                  <c:v>33.131689157747793</c:v>
                </c:pt>
                <c:pt idx="21">
                  <c:v>15.44155844155844</c:v>
                </c:pt>
                <c:pt idx="22">
                  <c:v>30.293486041517536</c:v>
                </c:pt>
                <c:pt idx="23">
                  <c:v>24.821222606689734</c:v>
                </c:pt>
                <c:pt idx="24">
                  <c:v>94.459161147902876</c:v>
                </c:pt>
                <c:pt idx="25">
                  <c:v>90.117499999999993</c:v>
                </c:pt>
                <c:pt idx="26">
                  <c:v>58.286007341826817</c:v>
                </c:pt>
              </c:numCache>
            </c:numRef>
          </c:xVal>
          <c:yVal>
            <c:numRef>
              <c:f>Sheet1!$C$3:$C$29</c:f>
              <c:numCache>
                <c:formatCode>0.0</c:formatCode>
                <c:ptCount val="27"/>
                <c:pt idx="0">
                  <c:v>0.66378579452281539</c:v>
                </c:pt>
                <c:pt idx="1">
                  <c:v>0.62281109833489867</c:v>
                </c:pt>
                <c:pt idx="2">
                  <c:v>0.60187757629936045</c:v>
                </c:pt>
                <c:pt idx="3">
                  <c:v>0.56496234741871043</c:v>
                </c:pt>
                <c:pt idx="4">
                  <c:v>0.74452200908658039</c:v>
                </c:pt>
                <c:pt idx="5">
                  <c:v>0.68021566542105416</c:v>
                </c:pt>
                <c:pt idx="6">
                  <c:v>0.72360248447204967</c:v>
                </c:pt>
                <c:pt idx="7">
                  <c:v>0.67516329026235133</c:v>
                </c:pt>
                <c:pt idx="8">
                  <c:v>0.7880561161866203</c:v>
                </c:pt>
                <c:pt idx="9">
                  <c:v>0.64184175718948988</c:v>
                </c:pt>
                <c:pt idx="10">
                  <c:v>0.71316154400910381</c:v>
                </c:pt>
                <c:pt idx="11">
                  <c:v>0.78452455002320232</c:v>
                </c:pt>
                <c:pt idx="12">
                  <c:v>0.65964315081008085</c:v>
                </c:pt>
                <c:pt idx="13">
                  <c:v>0.73450617283950614</c:v>
                </c:pt>
                <c:pt idx="14">
                  <c:v>0.769618366129994</c:v>
                </c:pt>
                <c:pt idx="15">
                  <c:v>0.53905344281792678</c:v>
                </c:pt>
                <c:pt idx="16" formatCode="0.00">
                  <c:v>0.33512174884393536</c:v>
                </c:pt>
                <c:pt idx="17">
                  <c:v>0.52343938298385151</c:v>
                </c:pt>
                <c:pt idx="18">
                  <c:v>0.57359409427992247</c:v>
                </c:pt>
                <c:pt idx="19">
                  <c:v>0.56538031366964892</c:v>
                </c:pt>
                <c:pt idx="20">
                  <c:v>0.59624045863469888</c:v>
                </c:pt>
                <c:pt idx="21">
                  <c:v>0.43808989814036081</c:v>
                </c:pt>
                <c:pt idx="22" formatCode="0.00">
                  <c:v>0.73423860919604145</c:v>
                </c:pt>
                <c:pt idx="23">
                  <c:v>0.57225113160821184</c:v>
                </c:pt>
                <c:pt idx="24">
                  <c:v>0.53388007727944209</c:v>
                </c:pt>
                <c:pt idx="25">
                  <c:v>0.47279940078231203</c:v>
                </c:pt>
                <c:pt idx="26">
                  <c:v>0.91749813498863209</c:v>
                </c:pt>
              </c:numCache>
            </c:numRef>
          </c:yVal>
          <c:smooth val="0"/>
          <c:extLst>
            <c:ext xmlns:c="http://schemas.openxmlformats.org/drawingml/2006/chart" xmlns:c16="http://schemas.microsoft.com/office/drawing/2014/chart" uri="{C3380CC4-5D6E-409C-BE32-E72D297353CC}">
              <c16:uniqueId val="{0000001A-8181-452F-AB91-B34E9C83CD9D}"/>
            </c:ext>
          </c:extLst>
        </c:ser>
        <c:dLbls>
          <c:showLegendKey val="0"/>
          <c:showVal val="0"/>
          <c:showCatName val="0"/>
          <c:showSerName val="0"/>
          <c:showPercent val="0"/>
          <c:showBubbleSize val="0"/>
        </c:dLbls>
        <c:axId val="656314320"/>
        <c:axId val="656319808"/>
      </c:scatterChart>
      <c:valAx>
        <c:axId val="656314320"/>
        <c:scaling>
          <c:orientation val="minMax"/>
          <c:max val="110"/>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56319808"/>
        <c:crosses val="autoZero"/>
        <c:crossBetween val="midCat"/>
        <c:majorUnit val="10"/>
      </c:valAx>
      <c:valAx>
        <c:axId val="656319808"/>
        <c:scaling>
          <c:orientation val="minMax"/>
          <c:max val="0.8"/>
          <c:min val="0.30000000000000004"/>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56314320"/>
        <c:crosses val="autoZero"/>
        <c:crossBetween val="midCat"/>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21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69715035620547428"/>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C879-4379-B32F-FB2F4D1D29DB}"/>
              </c:ext>
            </c:extLst>
          </c:dPt>
          <c:dPt>
            <c:idx val="5"/>
            <c:bubble3D val="0"/>
            <c:extLst>
              <c:ext xmlns:c="http://schemas.openxmlformats.org/drawingml/2006/chart" xmlns:c16="http://schemas.microsoft.com/office/drawing/2014/chart" uri="{C3380CC4-5D6E-409C-BE32-E72D297353CC}">
                <c16:uniqueId val="{00000001-C879-4379-B32F-FB2F4D1D29DB}"/>
              </c:ext>
            </c:extLst>
          </c:dPt>
          <c:dPt>
            <c:idx val="11"/>
            <c:bubble3D val="0"/>
            <c:extLst>
              <c:ext xmlns:c="http://schemas.openxmlformats.org/drawingml/2006/chart" xmlns:c16="http://schemas.microsoft.com/office/drawing/2014/chart" uri="{C3380CC4-5D6E-409C-BE32-E72D297353CC}">
                <c16:uniqueId val="{00000002-C879-4379-B32F-FB2F4D1D29DB}"/>
              </c:ext>
            </c:extLst>
          </c:dPt>
          <c:dPt>
            <c:idx val="12"/>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3-C879-4379-B32F-FB2F4D1D29DB}"/>
              </c:ext>
            </c:extLst>
          </c:dPt>
          <c:dPt>
            <c:idx val="13"/>
            <c:bubble3D val="0"/>
            <c:extLst>
              <c:ext xmlns:c="http://schemas.openxmlformats.org/drawingml/2006/chart" xmlns:c16="http://schemas.microsoft.com/office/drawing/2014/chart" uri="{C3380CC4-5D6E-409C-BE32-E72D297353CC}">
                <c16:uniqueId val="{00000004-C879-4379-B32F-FB2F4D1D29DB}"/>
              </c:ext>
            </c:extLst>
          </c:dPt>
          <c:dPt>
            <c:idx val="14"/>
            <c:bubble3D val="0"/>
            <c:extLst>
              <c:ext xmlns:c="http://schemas.openxmlformats.org/drawingml/2006/chart" xmlns:c16="http://schemas.microsoft.com/office/drawing/2014/chart" uri="{C3380CC4-5D6E-409C-BE32-E72D297353CC}">
                <c16:uniqueId val="{00000005-C879-4379-B32F-FB2F4D1D29DB}"/>
              </c:ext>
            </c:extLst>
          </c:dPt>
          <c:dLbls>
            <c:dLbl>
              <c:idx val="0"/>
              <c:tx>
                <c:rich>
                  <a:bodyPr vertOverflow="clip"/>
                  <a:lstStyle/>
                  <a:p>
                    <a:fld id="{731c55f3-e48c-403b-a0db-ad5cf6fc839e}" type="CELLRANGE">
                      <a:rPr lang="en-US"/>
                      <a:t>BE</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0-C879-4379-B32F-FB2F4D1D29DB}"/>
                </c:ext>
                <c:ext xmlns:c15="http://schemas.microsoft.com/office/drawing/2012/chart" uri="{CE6537A1-D6FC-4f65-9D91-7224C49458BB}">
                  <c15:showDataLabelsRange val="1"/>
                </c:ext>
              </c:extLst>
            </c:dLbl>
            <c:dLbl>
              <c:idx val="1"/>
              <c:tx>
                <c:rich>
                  <a:bodyPr vertOverflow="clip"/>
                  <a:lstStyle/>
                  <a:p>
                    <a:fld id="{1c4e894a-8fea-4039-81ca-80704dcd624c}" type="CELLRANGE">
                      <a:rPr lang="en-US"/>
                      <a:t>BG</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6-D950-46CE-903B-F04F923391F9}"/>
                </c:ext>
                <c:ext xmlns:c15="http://schemas.microsoft.com/office/drawing/2012/chart" uri="{CE6537A1-D6FC-4f65-9D91-7224C49458BB}">
                  <c15:showDataLabelsRange val="1"/>
                </c:ext>
              </c:extLst>
            </c:dLbl>
            <c:dLbl>
              <c:idx val="2"/>
              <c:layout>
                <c:manualLayout>
                  <c:x val="-0.037383177570093531"/>
                  <c:y val="0.047619047619047616"/>
                </c:manualLayout>
              </c:layout>
              <c:tx>
                <c:rich>
                  <a:bodyPr vertOverflow="clip"/>
                  <a:lstStyle/>
                  <a:p>
                    <a:fld id="{a4912ff7-f238-4ce8-b0dc-72f3167dccea}" type="CELLRANGE">
                      <a:rPr lang="en-US"/>
                      <a:t>CZ</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C-D950-46CE-903B-F04F923391F9}"/>
                </c:ext>
                <c:ext xmlns:c15="http://schemas.microsoft.com/office/drawing/2012/chart" uri="{CE6537A1-D6FC-4f65-9D91-7224C49458BB}">
                  <c15:showDataLabelsRange val="1"/>
                </c:ext>
              </c:extLst>
            </c:dLbl>
            <c:dLbl>
              <c:idx val="3"/>
              <c:tx>
                <c:rich>
                  <a:bodyPr vertOverflow="clip"/>
                  <a:lstStyle/>
                  <a:p>
                    <a:fld id="{d5200535-56b7-4229-b1ac-c6ca1608d99f}" type="CELLRANGE">
                      <a:rPr lang="en-US"/>
                      <a:t>DK</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6-D950-46CE-903B-F04F923391F9}"/>
                </c:ext>
                <c:ext xmlns:c15="http://schemas.microsoft.com/office/drawing/2012/chart" uri="{CE6537A1-D6FC-4f65-9D91-7224C49458BB}">
                  <c15:showDataLabelsRange val="1"/>
                </c:ext>
              </c:extLst>
            </c:dLbl>
            <c:dLbl>
              <c:idx val="4"/>
              <c:tx>
                <c:rich>
                  <a:bodyPr vertOverflow="clip"/>
                  <a:lstStyle/>
                  <a:p>
                    <a:fld id="{dc73835b-cbb0-48cc-a5ac-a126998e5691}" type="CELLRANGE">
                      <a:rPr lang="en-US"/>
                      <a:t>DE</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1-D950-46CE-903B-F04F923391F9}"/>
                </c:ext>
                <c:ext xmlns:c15="http://schemas.microsoft.com/office/drawing/2012/chart" uri="{CE6537A1-D6FC-4f65-9D91-7224C49458BB}">
                  <c15:showDataLabelsRange val="1"/>
                </c:ext>
              </c:extLst>
            </c:dLbl>
            <c:dLbl>
              <c:idx val="5"/>
              <c:tx>
                <c:rich>
                  <a:bodyPr vertOverflow="clip"/>
                  <a:lstStyle/>
                  <a:p>
                    <a:fld id="{757a3d38-a688-4caf-8745-eaa94a3ff8bb}" type="CELLRANGE">
                      <a:rPr lang="en-US"/>
                      <a:t>EE</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1-C879-4379-B32F-FB2F4D1D29DB}"/>
                </c:ext>
                <c:ext xmlns:c15="http://schemas.microsoft.com/office/drawing/2012/chart" uri="{CE6537A1-D6FC-4f65-9D91-7224C49458BB}">
                  <c15:showDataLabelsRange val="1"/>
                </c:ext>
              </c:extLst>
            </c:dLbl>
            <c:dLbl>
              <c:idx val="6"/>
              <c:tx>
                <c:rich>
                  <a:bodyPr vertOverflow="clip"/>
                  <a:lstStyle/>
                  <a:p>
                    <a:fld id="{80d201e4-294b-465b-9465-d9e2cccf3426}" type="CELLRANGE">
                      <a:rPr lang="en-US"/>
                      <a:t>EL</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B-D950-46CE-903B-F04F923391F9}"/>
                </c:ext>
                <c:ext xmlns:c15="http://schemas.microsoft.com/office/drawing/2012/chart" uri="{CE6537A1-D6FC-4f65-9D91-7224C49458BB}">
                  <c15:showDataLabelsRange val="1"/>
                </c:ext>
              </c:extLst>
            </c:dLbl>
            <c:dLbl>
              <c:idx val="7"/>
              <c:tx>
                <c:rich>
                  <a:bodyPr vertOverflow="clip"/>
                  <a:lstStyle/>
                  <a:p>
                    <a:fld id="{1e9ffea9-5bd0-480e-9e2b-0a140ee75ceb}" type="CELLRANGE">
                      <a:rPr lang="en-US"/>
                      <a:t>ES</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0-D950-46CE-903B-F04F923391F9}"/>
                </c:ext>
                <c:ext xmlns:c15="http://schemas.microsoft.com/office/drawing/2012/chart" uri="{CE6537A1-D6FC-4f65-9D91-7224C49458BB}">
                  <c15:showDataLabelsRange val="1"/>
                </c:ext>
              </c:extLst>
            </c:dLbl>
            <c:dLbl>
              <c:idx val="8"/>
              <c:layout>
                <c:manualLayout>
                  <c:x val="-0.016614745586708203"/>
                  <c:y val="-0.019047619047619049"/>
                </c:manualLayout>
              </c:layout>
              <c:tx>
                <c:rich>
                  <a:bodyPr vertOverflow="clip"/>
                  <a:lstStyle/>
                  <a:p>
                    <a:fld id="{5f215556-4f7b-4a03-8d54-4a8b15d32f56}" type="CELLRANGE">
                      <a:rPr lang="en-US"/>
                      <a:t>FR</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2-D950-46CE-903B-F04F923391F9}"/>
                </c:ext>
                <c:ext xmlns:c15="http://schemas.microsoft.com/office/drawing/2012/chart" uri="{CE6537A1-D6FC-4f65-9D91-7224C49458BB}">
                  <c15:showDataLabelsRange val="1"/>
                </c:ext>
              </c:extLst>
            </c:dLbl>
            <c:dLbl>
              <c:idx val="9"/>
              <c:layout>
                <c:manualLayout>
                  <c:x val="-0.016614745586708203"/>
                  <c:y val="-0.0095238095238095247"/>
                </c:manualLayout>
              </c:layout>
              <c:tx>
                <c:rich>
                  <a:bodyPr vertOverflow="clip"/>
                  <a:lstStyle/>
                  <a:p>
                    <a:fld id="{a696e8a0-f36c-4b07-9a0c-6834bcd14c22}" type="CELLRANGE">
                      <a:rPr lang="en-US"/>
                      <a:t>HR</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A-D950-46CE-903B-F04F923391F9}"/>
                </c:ext>
                <c:ext xmlns:c15="http://schemas.microsoft.com/office/drawing/2012/chart" uri="{CE6537A1-D6FC-4f65-9D91-7224C49458BB}">
                  <c15:showDataLabelsRange val="1"/>
                </c:ext>
              </c:extLst>
            </c:dLbl>
            <c:dLbl>
              <c:idx val="10"/>
              <c:tx>
                <c:rich>
                  <a:bodyPr vertOverflow="clip"/>
                  <a:lstStyle/>
                  <a:p>
                    <a:fld id="{e9f2823f-63eb-4918-8088-e99028112a36}" type="CELLRANGE">
                      <a:rPr lang="en-US"/>
                      <a:t>IT</a:t>
                    </a:fld>
                    <a:endParaRPr lang="lv-LV"/>
                  </a:p>
                </c:rich>
              </c:tx>
              <c:dLblPos val="l"/>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F-D950-46CE-903B-F04F923391F9}"/>
                </c:ext>
                <c:ext xmlns:c15="http://schemas.microsoft.com/office/drawing/2012/chart" uri="{CE6537A1-D6FC-4f65-9D91-7224C49458BB}">
                  <c15:showDataLabelsRange val="1"/>
                </c:ext>
              </c:extLst>
            </c:dLbl>
            <c:dLbl>
              <c:idx val="11"/>
              <c:tx>
                <c:rich>
                  <a:bodyPr vertOverflow="clip"/>
                  <a:lstStyle/>
                  <a:p>
                    <a:fld id="{6a6609b2-33ff-405a-beeb-901e3cd7a9a1}" type="CELLRANGE">
                      <a:rPr lang="lv-LV"/>
                      <a:t>CY</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2"/>
              <c:tx>
                <c:rich>
                  <a:bodyPr vertOverflow="clip"/>
                  <a:lstStyle/>
                  <a:p>
                    <a:fld id="{c3c2a646-35d5-452f-a72b-752830304b3c}" type="CELLRANGE">
                      <a:rPr lang="en-US"/>
                      <a:t>LV</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3-C879-4379-B32F-FB2F4D1D29DB}"/>
                </c:ext>
                <c:ext xmlns:c15="http://schemas.microsoft.com/office/drawing/2012/chart" uri="{CE6537A1-D6FC-4f65-9D91-7224C49458BB}">
                  <c15:showDataLabelsRange val="1"/>
                </c:ext>
              </c:extLst>
            </c:dLbl>
            <c:dLbl>
              <c:idx val="13"/>
              <c:layout>
                <c:manualLayout>
                  <c:x val="-0.10039460020768436"/>
                  <c:y val="0.019047619047619049"/>
                </c:manualLayout>
              </c:layout>
              <c:tx>
                <c:rich>
                  <a:bodyPr vertOverflow="clip"/>
                  <a:lstStyle/>
                  <a:p>
                    <a:fld id="{4f887816-62f1-4f5f-ae52-d791af0d0b0f}" type="CELLRANGE">
                      <a:rPr lang="en-US"/>
                      <a:t>LT</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4-C879-4379-B32F-FB2F4D1D29DB}"/>
                </c:ext>
                <c:ext xmlns:c15="http://schemas.microsoft.com/office/drawing/2012/chart" uri="{CE6537A1-D6FC-4f65-9D91-7224C49458BB}">
                  <c15:showDataLabelsRange val="1"/>
                </c:ext>
              </c:extLst>
            </c:dLbl>
            <c:dLbl>
              <c:idx val="14"/>
              <c:layout>
                <c:manualLayout>
                  <c:x val="-0.016614745586708203"/>
                  <c:y val="0"/>
                </c:manualLayout>
              </c:layout>
              <c:tx>
                <c:rich>
                  <a:bodyPr vertOverflow="clip"/>
                  <a:lstStyle/>
                  <a:p>
                    <a:fld id="{3e36959c-c0f9-47cd-ac8d-2e1db3267206}" type="CELLRANGE">
                      <a:rPr lang="en-US"/>
                      <a:t>HU</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5-C879-4379-B32F-FB2F4D1D29DB}"/>
                </c:ext>
                <c:ext xmlns:c15="http://schemas.microsoft.com/office/drawing/2012/chart" uri="{CE6537A1-D6FC-4f65-9D91-7224C49458BB}">
                  <c15:showDataLabelsRange val="1"/>
                </c:ext>
              </c:extLst>
            </c:dLbl>
            <c:dLbl>
              <c:idx val="15"/>
              <c:tx>
                <c:rich>
                  <a:bodyPr vertOverflow="clip"/>
                  <a:lstStyle/>
                  <a:p>
                    <a:fld id="{5da6f765-5557-4424-aa30-bd92dd473003}" type="CELLRANGE">
                      <a:rPr lang="en-US"/>
                      <a:t>NL</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5-D950-46CE-903B-F04F923391F9}"/>
                </c:ext>
                <c:ext xmlns:c15="http://schemas.microsoft.com/office/drawing/2012/chart" uri="{CE6537A1-D6FC-4f65-9D91-7224C49458BB}">
                  <c15:showDataLabelsRange val="1"/>
                </c:ext>
              </c:extLst>
            </c:dLbl>
            <c:dLbl>
              <c:idx val="16"/>
              <c:layout>
                <c:manualLayout>
                  <c:x val="-0.091152811506038531"/>
                  <c:y val="0"/>
                </c:manualLayout>
              </c:layout>
              <c:tx>
                <c:rich>
                  <a:bodyPr vertOverflow="clip"/>
                  <a:lstStyle/>
                  <a:p>
                    <a:fld id="{27e16361-e419-427b-971b-5786dd23e797}" type="CELLRANGE">
                      <a:rPr lang="en-US"/>
                      <a:t>AT</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4-D950-46CE-903B-F04F923391F9}"/>
                </c:ext>
                <c:ext xmlns:c15="http://schemas.microsoft.com/office/drawing/2012/chart" uri="{CE6537A1-D6FC-4f65-9D91-7224C49458BB}">
                  <c15:showDataLabelsRange val="1"/>
                </c:ext>
              </c:extLst>
            </c:dLbl>
            <c:dLbl>
              <c:idx val="17"/>
              <c:layout>
                <c:manualLayout>
                  <c:x val="-0.093728097071978184"/>
                  <c:y val="-0.0095238095238096114"/>
                </c:manualLayout>
              </c:layout>
              <c:tx>
                <c:rich>
                  <a:bodyPr vertOverflow="clip"/>
                  <a:lstStyle/>
                  <a:p>
                    <a:fld id="{589c7d41-8a31-4c9e-8f8c-5ac6d7cdaaad}" type="CELLRANGE">
                      <a:rPr lang="en-US"/>
                      <a:t>PL</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9-D950-46CE-903B-F04F923391F9}"/>
                </c:ext>
                <c:ext xmlns:c15="http://schemas.microsoft.com/office/drawing/2012/chart" uri="{CE6537A1-D6FC-4f65-9D91-7224C49458BB}">
                  <c15:showDataLabelsRange val="1"/>
                </c:ext>
              </c:extLst>
            </c:dLbl>
            <c:dLbl>
              <c:idx val="18"/>
              <c:layout>
                <c:manualLayout>
                  <c:x val="-0.016614745586708203"/>
                  <c:y val="0.0095238095238094362"/>
                </c:manualLayout>
              </c:layout>
              <c:tx>
                <c:rich>
                  <a:bodyPr vertOverflow="clip"/>
                  <a:lstStyle/>
                  <a:p>
                    <a:fld id="{047b1198-37fb-471a-9794-7bfb731b3061}" type="CELLRANGE">
                      <a:rPr lang="en-US"/>
                      <a:t>PT</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D-D950-46CE-903B-F04F923391F9}"/>
                </c:ext>
                <c:ext xmlns:c15="http://schemas.microsoft.com/office/drawing/2012/chart" uri="{CE6537A1-D6FC-4f65-9D91-7224C49458BB}">
                  <c15:showDataLabelsRange val="1"/>
                </c:ext>
              </c:extLst>
            </c:dLbl>
            <c:dLbl>
              <c:idx val="19"/>
              <c:layout>
                <c:manualLayout>
                  <c:x val="-0.057113187954309488"/>
                  <c:y val="0.076428946381702292"/>
                </c:manualLayout>
              </c:layout>
              <c:tx>
                <c:rich>
                  <a:bodyPr vertOverflow="clip"/>
                  <a:lstStyle/>
                  <a:p>
                    <a:fld id="{7b7ff0b6-ad54-4dcf-8920-4de83b1a527e}" type="CELLRANGE">
                      <a:rPr lang="en-US"/>
                      <a:t>RO</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8-D950-46CE-903B-F04F923391F9}"/>
                </c:ext>
                <c:ext xmlns:c15="http://schemas.microsoft.com/office/drawing/2012/chart" uri="{CE6537A1-D6FC-4f65-9D91-7224C49458BB}">
                  <c15:showDataLabelsRange val="1"/>
                </c:ext>
              </c:extLst>
            </c:dLbl>
            <c:dLbl>
              <c:idx val="20"/>
              <c:layout>
                <c:manualLayout>
                  <c:x val="-0.0041536863966770508"/>
                  <c:y val="-0.0095238095238095247"/>
                </c:manualLayout>
              </c:layout>
              <c:tx>
                <c:rich>
                  <a:bodyPr vertOverflow="clip"/>
                  <a:lstStyle/>
                  <a:p>
                    <a:fld id="{a04c73bf-03b6-43cd-abe9-59f4707e741f}" type="CELLRANGE">
                      <a:rPr lang="en-US"/>
                      <a:t>SI</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E-D950-46CE-903B-F04F923391F9}"/>
                </c:ext>
                <c:ext xmlns:c15="http://schemas.microsoft.com/office/drawing/2012/chart" uri="{CE6537A1-D6FC-4f65-9D91-7224C49458BB}">
                  <c15:showDataLabelsRange val="1"/>
                </c:ext>
              </c:extLst>
            </c:dLbl>
            <c:dLbl>
              <c:idx val="21"/>
              <c:layout>
                <c:manualLayout>
                  <c:x val="-0.020768431983385294"/>
                  <c:y val="-0.0095238095238095247"/>
                </c:manualLayout>
              </c:layout>
              <c:tx>
                <c:rich>
                  <a:bodyPr vertOverflow="clip"/>
                  <a:lstStyle/>
                  <a:p>
                    <a:fld id="{2e9ab6b4-7c30-467f-9403-48410549fbb7}" type="CELLRANGE">
                      <a:rPr lang="en-US"/>
                      <a:t>SK</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7-D950-46CE-903B-F04F923391F9}"/>
                </c:ext>
                <c:ext xmlns:c15="http://schemas.microsoft.com/office/drawing/2012/chart" uri="{CE6537A1-D6FC-4f65-9D91-7224C49458BB}">
                  <c15:showDataLabelsRange val="1"/>
                </c:ext>
              </c:extLst>
            </c:dLbl>
            <c:dLbl>
              <c:idx val="22"/>
              <c:tx>
                <c:rich>
                  <a:bodyPr vertOverflow="clip"/>
                  <a:lstStyle/>
                  <a:p>
                    <a:fld id="{8b805f08-9ff4-4643-ae70-e5d42d4549b9}" type="CELLRANGE">
                      <a:rPr lang="lv-LV"/>
                      <a:t>FI</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23"/>
              <c:tx>
                <c:rich>
                  <a:bodyPr vertOverflow="clip"/>
                  <a:lstStyle/>
                  <a:p>
                    <a:fld id="{9368e8ce-e85c-49f1-9bb7-5f8cf5ee65de}" type="CELLRANGE">
                      <a:rPr lang="en-US"/>
                      <a:t>SE</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3-D950-46CE-903B-F04F923391F9}"/>
                </c:ext>
                <c:ext xmlns:c15="http://schemas.microsoft.com/office/drawing/2012/chart" uri="{CE6537A1-D6FC-4f65-9D91-7224C49458BB}">
                  <c15:showDataLabelsRange val="1"/>
                </c:ext>
              </c:extLst>
            </c:dLbl>
            <c:dLbl>
              <c:idx val="24"/>
              <c:tx>
                <c:rich>
                  <a:bodyPr vertOverflow="clip"/>
                  <a:lstStyle/>
                  <a:p>
                    <a:fld id="{52e96119-2f2e-4081-b238-9c2faefa5679}" type="CELLRANGE">
                      <a:rPr lang="lv-LV"/>
                      <a:t>UK</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Sheet1!$B$3:$B$27</c:f>
              <c:numCache>
                <c:formatCode>#,##0.0</c:formatCode>
                <c:ptCount val="25"/>
                <c:pt idx="0">
                  <c:v>92.73139158576052</c:v>
                </c:pt>
                <c:pt idx="1">
                  <c:v>8.6895268474215843</c:v>
                </c:pt>
                <c:pt idx="2">
                  <c:v>28.148555506672533</c:v>
                </c:pt>
                <c:pt idx="3">
                  <c:v>106.72115384615384</c:v>
                </c:pt>
                <c:pt idx="4">
                  <c:v>72.506806282722522</c:v>
                </c:pt>
                <c:pt idx="5">
                  <c:v>40.56</c:v>
                </c:pt>
                <c:pt idx="6">
                  <c:v>35.469301340860973</c:v>
                </c:pt>
                <c:pt idx="7">
                  <c:v>71.756134969325146</c:v>
                </c:pt>
                <c:pt idx="8">
                  <c:v>76.735483870967741</c:v>
                </c:pt>
                <c:pt idx="9">
                  <c:v>24.258064516129032</c:v>
                </c:pt>
                <c:pt idx="10">
                  <c:v>68.22410056350239</c:v>
                </c:pt>
                <c:pt idx="11">
                  <c:v>33.20754716981132</c:v>
                </c:pt>
                <c:pt idx="12">
                  <c:v>15.645569620253163</c:v>
                </c:pt>
                <c:pt idx="13">
                  <c:v>23.910761154855642</c:v>
                </c:pt>
                <c:pt idx="14">
                  <c:v>42.269820971867006</c:v>
                </c:pt>
                <c:pt idx="15">
                  <c:v>107.275</c:v>
                </c:pt>
                <c:pt idx="16">
                  <c:v>88.86298466525372</c:v>
                </c:pt>
                <c:pt idx="17">
                  <c:v>21.688861232109524</c:v>
                </c:pt>
                <c:pt idx="18">
                  <c:v>34.356213548676536</c:v>
                </c:pt>
                <c:pt idx="19">
                  <c:v>20.886115444617786</c:v>
                </c:pt>
                <c:pt idx="20">
                  <c:v>36.1171032357473</c:v>
                </c:pt>
                <c:pt idx="21">
                  <c:v>19.75763225355395</c:v>
                </c:pt>
                <c:pt idx="22">
                  <c:v>92.698072805139176</c:v>
                </c:pt>
                <c:pt idx="23">
                  <c:v>90.787837837837841</c:v>
                </c:pt>
                <c:pt idx="24">
                  <c:v>50.639739622238821</c:v>
                </c:pt>
              </c:numCache>
            </c:numRef>
          </c:xVal>
          <c:yVal>
            <c:numRef>
              <c:f>Sheet1!$C$3:$C$27</c:f>
              <c:numCache>
                <c:formatCode>#,##0.0</c:formatCode>
                <c:ptCount val="25"/>
                <c:pt idx="0">
                  <c:v>0.69935296532494784</c:v>
                </c:pt>
                <c:pt idx="1">
                  <c:v>0.7896519854467825</c:v>
                </c:pt>
                <c:pt idx="2">
                  <c:v>0.57900466584082477</c:v>
                </c:pt>
                <c:pt idx="3">
                  <c:v>0.63308406162717368</c:v>
                </c:pt>
                <c:pt idx="4">
                  <c:v>0.80712921117194225</c:v>
                </c:pt>
                <c:pt idx="5">
                  <c:v>0.846482577251808</c:v>
                </c:pt>
                <c:pt idx="6">
                  <c:v>0.55042180660565065</c:v>
                </c:pt>
                <c:pt idx="7">
                  <c:v>0.591075054286703</c:v>
                </c:pt>
                <c:pt idx="8">
                  <c:v>0.72077750391617179</c:v>
                </c:pt>
                <c:pt idx="9">
                  <c:v>0.75249071259709555</c:v>
                </c:pt>
                <c:pt idx="10">
                  <c:v>0.71585963845457645</c:v>
                </c:pt>
                <c:pt idx="11">
                  <c:v>0.68334790209790208</c:v>
                </c:pt>
                <c:pt idx="12">
                  <c:v>0.84173342529223494</c:v>
                </c:pt>
                <c:pt idx="13">
                  <c:v>0.54006586169045012</c:v>
                </c:pt>
                <c:pt idx="14">
                  <c:v>0.36072654741199206</c:v>
                </c:pt>
                <c:pt idx="15">
                  <c:v>0.60285141995757974</c:v>
                </c:pt>
                <c:pt idx="16">
                  <c:v>0.64800251881041115</c:v>
                </c:pt>
                <c:pt idx="17">
                  <c:v>0.5916382275348141</c:v>
                </c:pt>
                <c:pt idx="18">
                  <c:v>0.59881071872024938</c:v>
                </c:pt>
                <c:pt idx="19">
                  <c:v>0.42415422785388684</c:v>
                </c:pt>
                <c:pt idx="20">
                  <c:v>0.746980086089532</c:v>
                </c:pt>
                <c:pt idx="21">
                  <c:v>0.87967972166151542</c:v>
                </c:pt>
                <c:pt idx="22">
                  <c:v>0.62158883774604312</c:v>
                </c:pt>
                <c:pt idx="23">
                  <c:v>0.57274885464135061</c:v>
                </c:pt>
                <c:pt idx="24">
                  <c:v>1.3121723400035898</c:v>
                </c:pt>
              </c:numCache>
            </c:numRef>
          </c:yVal>
          <c:smooth val="0"/>
          <c:extLst>
            <c:ext xmlns:c="http://schemas.openxmlformats.org/drawingml/2006/chart" xmlns:c16="http://schemas.microsoft.com/office/drawing/2014/chart" uri="{C3380CC4-5D6E-409C-BE32-E72D297353CC}">
              <c16:uniqueId val="{0000001A-C879-4379-B32F-FB2F4D1D29DB}"/>
            </c:ext>
            <c:ext xmlns:c15="http://schemas.microsoft.com/office/drawing/2012/chart" uri="{02D57815-91ED-43cb-92C2-25804820EDAC}">
              <c15:datalabelsRange>
                <c15:f>Sheet1!$A$3:$A$27</c15:f>
                <c15:dlblRangeCache>
                  <c:ptCount val="25"/>
                  <c:pt idx="0">
                    <c:v>BE</c:v>
                  </c:pt>
                  <c:pt idx="1">
                    <c:v>BG</c:v>
                  </c:pt>
                  <c:pt idx="2">
                    <c:v>CZ</c:v>
                  </c:pt>
                  <c:pt idx="3">
                    <c:v>DK</c:v>
                  </c:pt>
                  <c:pt idx="4">
                    <c:v>DE</c:v>
                  </c:pt>
                  <c:pt idx="5">
                    <c:v>EE</c:v>
                  </c:pt>
                  <c:pt idx="6">
                    <c:v>EL</c:v>
                  </c:pt>
                  <c:pt idx="7">
                    <c:v>ES</c:v>
                  </c:pt>
                  <c:pt idx="8">
                    <c:v>FR</c:v>
                  </c:pt>
                  <c:pt idx="9">
                    <c:v>HR</c:v>
                  </c:pt>
                  <c:pt idx="10">
                    <c:v>IT</c:v>
                  </c:pt>
                  <c:pt idx="11">
                    <c:v>CY</c:v>
                  </c:pt>
                  <c:pt idx="12">
                    <c:v>LV</c:v>
                  </c:pt>
                  <c:pt idx="13">
                    <c:v>LT</c:v>
                  </c:pt>
                  <c:pt idx="14">
                    <c:v>HU</c:v>
                  </c:pt>
                  <c:pt idx="15">
                    <c:v>NL</c:v>
                  </c:pt>
                  <c:pt idx="16">
                    <c:v>AT</c:v>
                  </c:pt>
                  <c:pt idx="17">
                    <c:v>PL</c:v>
                  </c:pt>
                  <c:pt idx="18">
                    <c:v>PT</c:v>
                  </c:pt>
                  <c:pt idx="19">
                    <c:v>RO</c:v>
                  </c:pt>
                  <c:pt idx="20">
                    <c:v>SI</c:v>
                  </c:pt>
                  <c:pt idx="21">
                    <c:v>SK</c:v>
                  </c:pt>
                  <c:pt idx="22">
                    <c:v>FI</c:v>
                  </c:pt>
                  <c:pt idx="23">
                    <c:v>SE</c:v>
                  </c:pt>
                  <c:pt idx="24">
                    <c:v>UK</c:v>
                  </c:pt>
                </c15:dlblRangeCache>
              </c15:datalabelsRange>
            </c:ext>
          </c:extLst>
        </c:ser>
        <c:dLbls>
          <c:showLegendKey val="0"/>
          <c:showVal val="0"/>
          <c:showCatName val="0"/>
          <c:showSerName val="0"/>
          <c:showPercent val="0"/>
          <c:showBubbleSize val="0"/>
        </c:dLbls>
        <c:axId val="656315104"/>
        <c:axId val="656313928"/>
      </c:scatterChart>
      <c:valAx>
        <c:axId val="656315104"/>
        <c:scaling>
          <c:orientation val="minMax"/>
          <c:max val="110"/>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56313928"/>
        <c:crosses val="autoZero"/>
        <c:crossBetween val="midCat"/>
        <c:majorUnit val="10"/>
      </c:valAx>
      <c:valAx>
        <c:axId val="656313928"/>
        <c:scaling>
          <c:orientation val="minMax"/>
          <c:min val="0.2"/>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56315104"/>
        <c:crosses val="autoZero"/>
        <c:crossBetween val="midCat"/>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2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59412201441466"/>
          <c:y val="0.098301682877875565"/>
          <c:w val="0.77357359176256812"/>
          <c:h val="0.74022028496437942"/>
        </c:manualLayout>
      </c:layout>
      <c:barChart>
        <c:barDir val="col"/>
        <c:grouping val="clustered"/>
        <c:varyColors val="0"/>
        <c:ser>
          <c:idx val="4"/>
          <c:order val="0"/>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9DD5-472C-BE68-8E1AC143559F}"/>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9DD5-472C-BE68-8E1AC143559F}"/>
              </c:ext>
            </c:extLst>
          </c:dPt>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Sheet1!$A$3:$A$5</c:f>
              <c:strCache>
                <c:ptCount val="3"/>
                <c:pt idx="0">
                  <c:v>2005</c:v>
                </c:pt>
                <c:pt idx="1">
                  <c:v>2010</c:v>
                </c:pt>
                <c:pt idx="2">
                  <c:v>2015</c:v>
                </c:pt>
              </c:strCache>
            </c:strRef>
          </c:cat>
          <c:val>
            <c:numRef>
              <c:f>Sheet1!$B$3:$B$5</c:f>
              <c:numCache>
                <c:formatCode>0.0</c:formatCode>
                <c:ptCount val="3"/>
                <c:pt idx="0">
                  <c:v>0.25821153672751718</c:v>
                </c:pt>
                <c:pt idx="1">
                  <c:v>0.30732262552168965</c:v>
                </c:pt>
                <c:pt idx="2">
                  <c:v>0.38105759868174671</c:v>
                </c:pt>
              </c:numCache>
            </c:numRef>
          </c:val>
          <c:extLst>
            <c:ext xmlns:c="http://schemas.openxmlformats.org/drawingml/2006/chart" xmlns:c16="http://schemas.microsoft.com/office/drawing/2014/chart" uri="{C3380CC4-5D6E-409C-BE32-E72D297353CC}">
              <c16:uniqueId val="{00000004-9DD5-472C-BE68-8E1AC143559F}"/>
            </c:ext>
          </c:extLst>
        </c:ser>
        <c:dLbls>
          <c:showLegendKey val="0"/>
          <c:showVal val="0"/>
          <c:showCatName val="0"/>
          <c:showSerName val="0"/>
          <c:showPercent val="0"/>
          <c:showBubbleSize val="0"/>
        </c:dLbls>
        <c:gapWidth val="20"/>
        <c:axId val="656320592"/>
        <c:axId val="656332352"/>
      </c:barChart>
      <c:catAx>
        <c:axId val="656320592"/>
        <c:scaling>
          <c:orientation val="minMax"/>
        </c:scaling>
        <c:delete val="0"/>
        <c:axPos val="b"/>
        <c:numFmt formatCode="General" sourceLinked="0"/>
        <c:majorTickMark val="out"/>
        <c:minorTickMark val="none"/>
        <c:tickLblPos val="nextTo"/>
        <c:crossAx val="656332352"/>
        <c:crosses val="autoZero"/>
        <c:auto val="1"/>
        <c:lblAlgn val="ctr"/>
        <c:lblOffset val="100"/>
        <c:noMultiLvlLbl val="0"/>
      </c:catAx>
      <c:valAx>
        <c:axId val="656332352"/>
        <c:scaling>
          <c:orientation val="minMax"/>
          <c:max val="0.60000000000000009"/>
          <c:min val="0"/>
        </c:scaling>
        <c:delete val="0"/>
        <c:axPos val="l"/>
        <c:numFmt formatCode="0.0" sourceLinked="0"/>
        <c:majorTickMark val="out"/>
        <c:minorTickMark val="none"/>
        <c:tickLblPos val="nextTo"/>
        <c:crossAx val="656320592"/>
        <c:crosses val="autoZero"/>
        <c:crossBetween val="between"/>
        <c:majorUnit val="0.2"/>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mbria Math" panose="02040503050406030204" pitchFamily="18" charset="0"/>
          <a:ea typeface="Cambria Math" panose="02040503050406030204" pitchFamily="18" charset="0"/>
          <a:cs typeface="Arial"/>
        </a:defRPr>
      </a:pPr>
      <a:endParaRPr lang="lv-LV"/>
    </a:p>
  </c:txPr>
  <c:externalData r:id="rId1">
    <c:autoUpdate val="0"/>
  </c:externalData>
</c:chartSpace>
</file>

<file path=word/charts/chart21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73546128124922"/>
          <c:y val="0.048706240487062395"/>
          <c:w val="0.84631315184653555"/>
          <c:h val="0.73779794474843186"/>
        </c:manualLayout>
      </c:layout>
      <c:lineChart>
        <c:grouping val="standard"/>
        <c:varyColors val="0"/>
        <c:ser>
          <c:idx val="0"/>
          <c:order val="0"/>
          <c:tx>
            <c:strRef>
              <c:f>Sheet1!$A$2</c:f>
              <c:strCache>
                <c:ptCount val="1"/>
                <c:pt idx="0">
                  <c:v>Nodarbinātie</c:v>
                </c:pt>
              </c:strCache>
            </c:strRef>
          </c:tx>
          <c:spPr>
            <a:ln w="19050">
              <a:solidFill>
                <a:srgbClr val="0070C0"/>
              </a:solidFill>
              <a:prstDash val="dash"/>
            </a:ln>
          </c:spPr>
          <c:marker>
            <c:symbol val="none"/>
          </c:marker>
          <c:cat>
            <c:numRef>
              <c:f>Sheet1!$B$1:$K$1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Sheet1!$B$2:$K$2</c:f>
              <c:numCache>
                <c:formatCode>0.0</c:formatCode>
                <c:ptCount val="10"/>
                <c:pt idx="0">
                  <c:v>104.34782608695652</c:v>
                </c:pt>
                <c:pt idx="1">
                  <c:v>88.998988877654185</c:v>
                </c:pt>
                <c:pt idx="2">
                  <c:v>86.248736097067734</c:v>
                </c:pt>
                <c:pt idx="3">
                  <c:v>61.253791708796761</c:v>
                </c:pt>
                <c:pt idx="4">
                  <c:v>61.638018200202218</c:v>
                </c:pt>
                <c:pt idx="5">
                  <c:v>66.4509605662285</c:v>
                </c:pt>
                <c:pt idx="6">
                  <c:v>72.74014155712841</c:v>
                </c:pt>
                <c:pt idx="7">
                  <c:v>77.775530839231536</c:v>
                </c:pt>
                <c:pt idx="8">
                  <c:v>76.279069767441854</c:v>
                </c:pt>
                <c:pt idx="9">
                  <c:v>74.175935288169867</c:v>
                </c:pt>
              </c:numCache>
            </c:numRef>
          </c:val>
          <c:smooth val="0"/>
          <c:extLst>
            <c:ext xmlns:c="http://schemas.openxmlformats.org/drawingml/2006/chart" xmlns:c16="http://schemas.microsoft.com/office/drawing/2014/chart" uri="{C3380CC4-5D6E-409C-BE32-E72D297353CC}">
              <c16:uniqueId val="{00000000-722F-4D87-ADF4-EFDAA125F85A}"/>
            </c:ext>
          </c:extLst>
        </c:ser>
        <c:ser>
          <c:idx val="1"/>
          <c:order val="1"/>
          <c:tx>
            <c:strRef>
              <c:f>Sheet1!$A$3</c:f>
              <c:strCache>
                <c:ptCount val="1"/>
                <c:pt idx="0">
                  <c:v>Ražošanas apjomi</c:v>
                </c:pt>
              </c:strCache>
            </c:strRef>
          </c:tx>
          <c:marker>
            <c:symbol val="none"/>
          </c:marker>
          <c:cat>
            <c:numRef>
              <c:f>Sheet1!$B$1:$K$1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Sheet1!$B$3:$K$3</c:f>
              <c:numCache>
                <c:formatCode>0.0</c:formatCode>
                <c:ptCount val="10"/>
                <c:pt idx="0">
                  <c:v>148.76404494382024</c:v>
                </c:pt>
                <c:pt idx="1">
                  <c:v>127.86516853932584</c:v>
                </c:pt>
                <c:pt idx="2">
                  <c:v>149.21348314606743</c:v>
                </c:pt>
                <c:pt idx="3">
                  <c:v>82.921348314606732</c:v>
                </c:pt>
                <c:pt idx="4">
                  <c:v>109.2134831460674</c:v>
                </c:pt>
                <c:pt idx="5">
                  <c:v>144.2696629213483</c:v>
                </c:pt>
                <c:pt idx="6">
                  <c:v>159.32584269662919</c:v>
                </c:pt>
                <c:pt idx="7">
                  <c:v>169.66292134831457</c:v>
                </c:pt>
                <c:pt idx="8">
                  <c:v>191.91011235955054</c:v>
                </c:pt>
                <c:pt idx="9" formatCode="General">
                  <c:v>184.94382022471905</c:v>
                </c:pt>
              </c:numCache>
            </c:numRef>
          </c:val>
          <c:smooth val="0"/>
          <c:extLst>
            <c:ext xmlns:c="http://schemas.openxmlformats.org/drawingml/2006/chart" xmlns:c16="http://schemas.microsoft.com/office/drawing/2014/chart" uri="{C3380CC4-5D6E-409C-BE32-E72D297353CC}">
              <c16:uniqueId val="{00000001-722F-4D87-ADF4-EFDAA125F85A}"/>
            </c:ext>
          </c:extLst>
        </c:ser>
        <c:dLbls>
          <c:showLegendKey val="0"/>
          <c:showVal val="0"/>
          <c:showCatName val="0"/>
          <c:showSerName val="0"/>
          <c:showPercent val="0"/>
          <c:showBubbleSize val="0"/>
        </c:dLbls>
        <c:smooth val="0"/>
        <c:axId val="656335880"/>
        <c:axId val="656327256"/>
      </c:lineChart>
      <c:catAx>
        <c:axId val="656335880"/>
        <c:scaling>
          <c:orientation val="minMax"/>
        </c:scaling>
        <c:delete val="0"/>
        <c:axPos val="b"/>
        <c:numFmt formatCode="General" sourceLinked="1"/>
        <c:majorTickMark val="cross"/>
        <c:minorTickMark val="none"/>
        <c:tickLblPos val="nextTo"/>
        <c:spPr>
          <a:ln w="6350">
            <a:solidFill>
              <a:srgbClr val="000000"/>
            </a:solidFill>
          </a:ln>
        </c:spPr>
        <c:txPr>
          <a:bodyPr rot="-5400000" vert="horz"/>
          <a:lstStyle/>
          <a:p>
            <a:pPr>
              <a:defRPr sz="700" b="0" i="0" u="none" strike="noStrike" baseline="0">
                <a:solidFill>
                  <a:srgbClr val="000000"/>
                </a:solidFill>
                <a:latin typeface="Arial Narrow" pitchFamily="34" charset="0"/>
                <a:ea typeface="Times New Roman"/>
                <a:cs typeface="Times New Roman" pitchFamily="18" charset="0"/>
              </a:defRPr>
            </a:pPr>
            <a:endParaRPr lang="lv-LV"/>
          </a:p>
        </c:txPr>
        <c:crossAx val="656327256"/>
        <c:crosses val="autoZero"/>
        <c:auto val="1"/>
        <c:lblAlgn val="ctr"/>
        <c:lblOffset val="0"/>
        <c:noMultiLvlLbl val="0"/>
      </c:catAx>
      <c:valAx>
        <c:axId val="656327256"/>
        <c:scaling>
          <c:orientation val="minMax"/>
          <c:max val="200"/>
          <c:min val="50"/>
        </c:scaling>
        <c:delete val="0"/>
        <c:axPos val="l"/>
        <c:numFmt formatCode="0" sourceLinked="0"/>
        <c:majorTickMark val="cross"/>
        <c:minorTickMark val="none"/>
        <c:tickLblPos val="nextTo"/>
        <c:spPr>
          <a:ln w="6350">
            <a:solidFill>
              <a:sysClr val="windowText" lastClr="000000"/>
            </a:solidFill>
          </a:ln>
        </c:spPr>
        <c:txPr>
          <a:bodyPr rot="0" vert="horz"/>
          <a:lstStyle/>
          <a:p>
            <a:pPr>
              <a:defRPr sz="700" b="0" i="0" u="none" strike="noStrike" baseline="0">
                <a:solidFill>
                  <a:srgbClr val="000000"/>
                </a:solidFill>
                <a:latin typeface="Arial Narrow" pitchFamily="34" charset="0"/>
                <a:ea typeface="Times New Roman"/>
                <a:cs typeface="Times New Roman"/>
              </a:defRPr>
            </a:pPr>
            <a:endParaRPr lang="lv-LV"/>
          </a:p>
        </c:txPr>
        <c:crossAx val="656335880"/>
        <c:crosses val="autoZero"/>
        <c:crossBetween val="between"/>
        <c:majorUnit val="25"/>
      </c:valAx>
      <c:spPr>
        <a:solidFill>
          <a:sysClr val="window" lastClr="FFFFFF"/>
        </a:solidFill>
        <a:ln w="6350">
          <a:noFill/>
        </a:ln>
      </c:spPr>
    </c:plotArea>
    <c:legend>
      <c:legendPos val="t"/>
      <c:layout>
        <c:manualLayout>
          <c:xMode val="edge"/>
          <c:yMode val="edge"/>
          <c:x val="0.038124736926435226"/>
          <c:y val="0.030901137357830271"/>
          <c:w val="0.65805884790716951"/>
          <c:h val="0.19964223582144541"/>
        </c:manualLayout>
      </c:layout>
      <c:overlay val="0"/>
      <c:txPr>
        <a:bodyPr/>
        <a:lstStyle/>
        <a:p>
          <a:pPr>
            <a:defRPr sz="700" b="0">
              <a:latin typeface="Arial Narrow" pitchFamily="34" charset="0"/>
            </a:defRPr>
          </a:pPr>
          <a:endParaRPr lang="lv-LV"/>
        </a:p>
      </c:txPr>
    </c:legend>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2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7354822834645707"/>
          <c:y val="0.054187037037040774"/>
          <c:w val="0.8789631193571017"/>
          <c:h val="0.69107010720045536"/>
        </c:manualLayout>
      </c:layout>
      <c:lineChart>
        <c:grouping val="standard"/>
        <c:varyColors val="0"/>
        <c:ser>
          <c:idx val="9"/>
          <c:order val="0"/>
          <c:tx>
            <c:strRef>
              <c:f>Sheet1!$A$3</c:f>
              <c:strCache>
                <c:ptCount val="1"/>
                <c:pt idx="0">
                  <c:v>Eksports, kopā</c:v>
                </c:pt>
              </c:strCache>
            </c:strRef>
          </c:tx>
          <c:spPr>
            <a:ln w="25400">
              <a:solidFill>
                <a:schemeClr val="accent5">
                  <a:lumMod val="75000"/>
                </a:schemeClr>
              </a:solidFill>
            </a:ln>
            <a:effectLst/>
          </c:spPr>
          <c:marker>
            <c:symbol val="none"/>
          </c:marker>
          <c:cat>
            <c:numRef>
              <c:f>Sheet1!$B$2:$M$2</c:f>
              <c:numCache>
                <c:formatCode>0</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Sheet1!$B$3:$M$3</c:f>
              <c:numCache>
                <c:formatCode>0.0</c:formatCode>
                <c:ptCount val="12"/>
                <c:pt idx="0">
                  <c:v>158.28499600000004</c:v>
                </c:pt>
                <c:pt idx="1">
                  <c:v>282.499047</c:v>
                </c:pt>
                <c:pt idx="2">
                  <c:v>400.36570400000005</c:v>
                </c:pt>
                <c:pt idx="3">
                  <c:v>464.54108299999996</c:v>
                </c:pt>
                <c:pt idx="4">
                  <c:v>362.349102</c:v>
                </c:pt>
                <c:pt idx="5">
                  <c:v>402.848064</c:v>
                </c:pt>
                <c:pt idx="6">
                  <c:v>571.63531100000012</c:v>
                </c:pt>
                <c:pt idx="7">
                  <c:v>534.015494</c:v>
                </c:pt>
                <c:pt idx="8">
                  <c:v>452.398958</c:v>
                </c:pt>
                <c:pt idx="9">
                  <c:v>528.254152</c:v>
                </c:pt>
                <c:pt idx="10">
                  <c:v>544.245532</c:v>
                </c:pt>
                <c:pt idx="11" formatCode="0">
                  <c:v>660.756224</c:v>
                </c:pt>
              </c:numCache>
            </c:numRef>
          </c:val>
          <c:smooth val="0"/>
          <c:extLst>
            <c:ext xmlns:c="http://schemas.openxmlformats.org/drawingml/2006/chart" xmlns:c16="http://schemas.microsoft.com/office/drawing/2014/chart" uri="{C3380CC4-5D6E-409C-BE32-E72D297353CC}">
              <c16:uniqueId val="{00000000-D781-4211-80B3-FCF4103E5571}"/>
            </c:ext>
          </c:extLst>
        </c:ser>
        <c:dLbls>
          <c:showLegendKey val="0"/>
          <c:showVal val="0"/>
          <c:showCatName val="0"/>
          <c:showSerName val="0"/>
          <c:showPercent val="0"/>
          <c:showBubbleSize val="0"/>
        </c:dLbls>
        <c:smooth val="0"/>
        <c:axId val="656335488"/>
        <c:axId val="656330392"/>
      </c:lineChart>
      <c:catAx>
        <c:axId val="656335488"/>
        <c:scaling>
          <c:orientation val="minMax"/>
        </c:scaling>
        <c:delete val="0"/>
        <c:axPos val="b"/>
        <c:numFmt formatCode="0" sourceLinked="1"/>
        <c:majorTickMark val="out"/>
        <c:minorTickMark val="none"/>
        <c:tickLblPos val="low"/>
        <c:spPr>
          <a:noFill/>
          <a:ln w="3175">
            <a:solidFill>
              <a:sysClr val="window" lastClr="FFFFFF">
                <a:lumMod val="50000"/>
              </a:sysClr>
            </a:solidFill>
            <a:round/>
          </a:ln>
          <a:effectLst/>
        </c:spPr>
        <c:txPr>
          <a:bodyPr rot="-5400000" vert="horz"/>
          <a:lstStyle/>
          <a:p>
            <a:pPr>
              <a:defRPr sz="700"/>
            </a:pPr>
            <a:endParaRPr lang="lv-LV"/>
          </a:p>
        </c:txPr>
        <c:crossAx val="656330392"/>
        <c:crosses val="autoZero"/>
        <c:lblAlgn val="ctr"/>
        <c:lblOffset val="100"/>
        <c:noMultiLvlLbl val="0"/>
      </c:catAx>
      <c:valAx>
        <c:axId val="656330392"/>
        <c:scaling>
          <c:orientation val="minMax"/>
          <c:max val="700"/>
          <c:min val="0"/>
        </c:scaling>
        <c:delete val="0"/>
        <c:axPos val="l"/>
        <c:numFmt formatCode="0" sourceLinked="0"/>
        <c:majorTickMark val="out"/>
        <c:minorTickMark val="none"/>
        <c:tickLblPos val="nextTo"/>
        <c:spPr>
          <a:noFill/>
          <a:ln w="3175">
            <a:solidFill>
              <a:sysClr val="window" lastClr="FFFFFF">
                <a:lumMod val="50000"/>
              </a:sysClr>
            </a:solidFill>
            <a:round/>
          </a:ln>
          <a:effectLst/>
        </c:spPr>
        <c:txPr>
          <a:bodyPr rot="0"/>
          <a:lstStyle/>
          <a:p>
            <a:pPr>
              <a:defRPr/>
            </a:pPr>
            <a:endParaRPr lang="lv-LV"/>
          </a:p>
        </c:txPr>
        <c:crossAx val="656335488"/>
        <c:crosses val="autoZero"/>
        <c:crossBetween val="between"/>
        <c:majorUnit val="230"/>
      </c:valAx>
      <c:spPr>
        <a:noFill/>
        <a:ln w="24631">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Arial Narrow" panose="020B0606020202030204" pitchFamily="34" charset="0"/>
          <a:ea typeface="Arial"/>
          <a:cs typeface="Arial"/>
        </a:defRPr>
      </a:pPr>
      <a:endParaRPr lang="lv-LV"/>
    </a:p>
  </c:txPr>
  <c:externalData r:id="rId1">
    <c:autoUpdate val="0"/>
  </c:externalData>
</c:chartSpace>
</file>

<file path=word/charts/chart2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5939056398438"/>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5B10-4391-8A54-387DBCC8463B}"/>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5B10-4391-8A54-387DBCC8463B}"/>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Sheet1!$B$2:$L$2</c:f>
              <c:numCache>
                <c:formatCode>0</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Sheet1!$B$3:$L$3</c:f>
              <c:numCache>
                <c:formatCode>0</c:formatCode>
                <c:ptCount val="11"/>
                <c:pt idx="0">
                  <c:v>29.585980560747672</c:v>
                </c:pt>
                <c:pt idx="1">
                  <c:v>52.025607182320449</c:v>
                </c:pt>
                <c:pt idx="2">
                  <c:v>86.847224295010847</c:v>
                </c:pt>
                <c:pt idx="3">
                  <c:v>95.97956260330578</c:v>
                </c:pt>
                <c:pt idx="4">
                  <c:v>97.144531367292231</c:v>
                </c:pt>
                <c:pt idx="5">
                  <c:v>106.85625039787799</c:v>
                </c:pt>
                <c:pt idx="6">
                  <c:v>143.98874332493705</c:v>
                </c:pt>
                <c:pt idx="7">
                  <c:v>123.61469768518518</c:v>
                </c:pt>
                <c:pt idx="8">
                  <c:v>101.66268719101123</c:v>
                </c:pt>
                <c:pt idx="9">
                  <c:v>123.7129161592506</c:v>
                </c:pt>
                <c:pt idx="10">
                  <c:v>123.97392528473806</c:v>
                </c:pt>
              </c:numCache>
            </c:numRef>
          </c:val>
          <c:extLst>
            <c:ext xmlns:c="http://schemas.openxmlformats.org/drawingml/2006/chart" xmlns:c16="http://schemas.microsoft.com/office/drawing/2014/chart" uri="{C3380CC4-5D6E-409C-BE32-E72D297353CC}">
              <c16:uniqueId val="{00000004-5B10-4391-8A54-387DBCC8463B}"/>
            </c:ext>
          </c:extLst>
        </c:ser>
        <c:dLbls>
          <c:showLegendKey val="0"/>
          <c:showVal val="0"/>
          <c:showCatName val="0"/>
          <c:showSerName val="0"/>
          <c:showPercent val="0"/>
          <c:showBubbleSize val="0"/>
        </c:dLbls>
        <c:gapWidth val="20"/>
        <c:axId val="656337056"/>
        <c:axId val="656326864"/>
      </c:barChart>
      <c:catAx>
        <c:axId val="656337056"/>
        <c:scaling>
          <c:orientation val="minMax"/>
        </c:scaling>
        <c:delete val="0"/>
        <c:axPos val="b"/>
        <c:numFmt formatCode="0" sourceLinked="1"/>
        <c:majorTickMark val="out"/>
        <c:minorTickMark val="none"/>
        <c:tickLblPos val="low"/>
        <c:txPr>
          <a:bodyPr rot="-5400000" vert="horz"/>
          <a:lstStyle/>
          <a:p>
            <a:pPr>
              <a:defRPr/>
            </a:pPr>
            <a:endParaRPr lang="lv-LV"/>
          </a:p>
        </c:txPr>
        <c:crossAx val="656326864"/>
        <c:crosses val="autoZero"/>
        <c:auto val="1"/>
        <c:lblAlgn val="ctr"/>
        <c:lblOffset val="100"/>
        <c:noMultiLvlLbl val="0"/>
      </c:catAx>
      <c:valAx>
        <c:axId val="656326864"/>
        <c:scaling>
          <c:orientation val="minMax"/>
          <c:max val="150"/>
        </c:scaling>
        <c:delete val="0"/>
        <c:axPos val="l"/>
        <c:numFmt formatCode="0" sourceLinked="0"/>
        <c:majorTickMark val="out"/>
        <c:minorTickMark val="none"/>
        <c:tickLblPos val="nextTo"/>
        <c:crossAx val="656337056"/>
        <c:crosses val="autoZero"/>
        <c:crossBetween val="between"/>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2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572372897835"/>
          <c:y val="0.044057785459744363"/>
          <c:w val="0.9310540474739486"/>
          <c:h val="0.73334186885175934"/>
        </c:manualLayout>
      </c:layout>
      <c:barChart>
        <c:barDir val="col"/>
        <c:grouping val="clustered"/>
        <c:varyColors val="0"/>
        <c:ser>
          <c:idx val="1"/>
          <c:order val="0"/>
          <c:tx>
            <c:strRef>
              <c:f>Sheet1!$B$3</c:f>
              <c:strCache>
                <c:ptCount val="1"/>
              </c:strCache>
            </c:strRef>
          </c:tx>
          <c:spPr>
            <a:solidFill>
              <a:schemeClr val="accent3">
                <a:lumMod val="50000"/>
              </a:schemeClr>
            </a:solidFill>
            <a:ln w="19050"/>
          </c:spPr>
          <c:invertIfNegative val="0"/>
          <c:dPt>
            <c:idx val="9"/>
            <c:invertIfNegative val="0"/>
            <c:bubble3D val="0"/>
            <c:extLst>
              <c:ext xmlns:c="http://schemas.openxmlformats.org/drawingml/2006/chart" xmlns:c16="http://schemas.microsoft.com/office/drawing/2014/chart" uri="{C3380CC4-5D6E-409C-BE32-E72D297353CC}">
                <c16:uniqueId val="{00000000-89F8-4A13-AE3D-274457D14D8A}"/>
              </c:ext>
            </c:extLst>
          </c:dPt>
          <c:dPt>
            <c:idx val="12"/>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2-89F8-4A13-AE3D-274457D14D8A}"/>
              </c:ext>
            </c:extLst>
          </c:dPt>
          <c:dPt>
            <c:idx val="13"/>
            <c:invertIfNegative val="0"/>
            <c:bubble3D val="0"/>
            <c:extLst>
              <c:ext xmlns:c="http://schemas.openxmlformats.org/drawingml/2006/chart" xmlns:c16="http://schemas.microsoft.com/office/drawing/2014/chart" uri="{C3380CC4-5D6E-409C-BE32-E72D297353CC}">
                <c16:uniqueId val="{00000003-89F8-4A13-AE3D-274457D14D8A}"/>
              </c:ext>
            </c:extLst>
          </c:dPt>
          <c:dPt>
            <c:idx val="20"/>
            <c:invertIfNegative val="0"/>
            <c:bubble3D val="0"/>
            <c:extLst>
              <c:ext xmlns:c="http://schemas.openxmlformats.org/drawingml/2006/chart" xmlns:c16="http://schemas.microsoft.com/office/drawing/2014/chart" uri="{C3380CC4-5D6E-409C-BE32-E72D297353CC}">
                <c16:uniqueId val="{00000004-89F8-4A13-AE3D-274457D14D8A}"/>
              </c:ext>
            </c:extLst>
          </c:dPt>
          <c:dPt>
            <c:idx val="22"/>
            <c:invertIfNegative val="0"/>
            <c:bubble3D val="0"/>
            <c:spPr>
              <a:ln w="19050"/>
            </c:spPr>
            <c:extLst>
              <c:ext xmlns:c="http://schemas.openxmlformats.org/drawingml/2006/chart" xmlns:c16="http://schemas.microsoft.com/office/drawing/2014/chart" uri="{C3380CC4-5D6E-409C-BE32-E72D297353CC}">
                <c16:uniqueId val="{00000006-89F8-4A13-AE3D-274457D14D8A}"/>
              </c:ext>
            </c:extLst>
          </c:dPt>
          <c:dPt>
            <c:idx val="25"/>
            <c:invertIfNegative val="0"/>
            <c:bubble3D val="0"/>
            <c:extLst>
              <c:ext xmlns:c="http://schemas.openxmlformats.org/drawingml/2006/chart" xmlns:c16="http://schemas.microsoft.com/office/drawing/2014/chart" uri="{C3380CC4-5D6E-409C-BE32-E72D297353CC}">
                <c16:uniqueId val="{00000007-89F8-4A13-AE3D-274457D14D8A}"/>
              </c:ext>
            </c:extLst>
          </c:dPt>
          <c:dLbls>
            <c:dLbl>
              <c:idx val="0"/>
              <c:spPr>
                <a:noFill/>
                <a:ln>
                  <a:noFill/>
                </a:ln>
                <a:effectLst/>
              </c:spPr>
              <c:txPr>
                <a:bodyPr wrap="square" lIns="38100" tIns="19050" rIns="38100" bIns="19050" anchor="ctr">
                  <a:spAutoFit/>
                </a:bodyPr>
                <a:lstStyle/>
                <a:p>
                  <a:pPr>
                    <a:defRPr sz="400">
                      <a:solidFill>
                        <a:schemeClr val="bg1">
                          <a:lumMod val="95000"/>
                        </a:schemeClr>
                      </a:solidFill>
                    </a:defRPr>
                  </a:pPr>
                  <a:endParaRPr lang="lv-LV"/>
                </a:p>
              </c:txPr>
              <c:dLblPos val="inBase"/>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89F8-4A13-AE3D-274457D14D8A}"/>
                </c:ext>
                <c:ext xmlns:c15="http://schemas.microsoft.com/office/drawing/2012/chart" uri="{CE6537A1-D6FC-4f65-9D91-7224C49458BB}"/>
              </c:extLst>
            </c:dLbl>
            <c:dLbl>
              <c:idx val="1"/>
              <c:spPr>
                <a:noFill/>
                <a:ln>
                  <a:noFill/>
                </a:ln>
                <a:effectLst/>
              </c:spPr>
              <c:txPr>
                <a:bodyPr wrap="square" lIns="38100" tIns="19050" rIns="38100" bIns="19050" anchor="ctr">
                  <a:spAutoFit/>
                </a:bodyPr>
                <a:lstStyle/>
                <a:p>
                  <a:pPr>
                    <a:defRPr sz="400">
                      <a:solidFill>
                        <a:schemeClr val="bg1"/>
                      </a:solidFill>
                    </a:defRPr>
                  </a:pPr>
                  <a:endParaRPr lang="lv-LV"/>
                </a:p>
              </c:txPr>
              <c:dLblPos val="inBase"/>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89F8-4A13-AE3D-274457D14D8A}"/>
                </c:ext>
                <c:ext xmlns:c15="http://schemas.microsoft.com/office/drawing/2012/chart" uri="{CE6537A1-D6FC-4f65-9D91-7224C49458BB}"/>
              </c:extLst>
            </c:dLbl>
            <c:dLbl>
              <c:idx val="2"/>
              <c:spPr>
                <a:noFill/>
                <a:ln>
                  <a:noFill/>
                </a:ln>
                <a:effectLst/>
              </c:spPr>
              <c:txPr>
                <a:bodyPr wrap="square" lIns="38100" tIns="19050" rIns="38100" bIns="19050" anchor="ctr">
                  <a:spAutoFit/>
                </a:bodyPr>
                <a:lstStyle/>
                <a:p>
                  <a:pPr>
                    <a:defRPr sz="400">
                      <a:solidFill>
                        <a:schemeClr val="bg1"/>
                      </a:solidFill>
                    </a:defRPr>
                  </a:pPr>
                  <a:endParaRPr lang="lv-LV"/>
                </a:p>
              </c:txPr>
              <c:dLblPos val="inBase"/>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89F8-4A13-AE3D-274457D14D8A}"/>
                </c:ext>
                <c:ext xmlns:c15="http://schemas.microsoft.com/office/drawing/2012/chart" uri="{CE6537A1-D6FC-4f65-9D91-7224C49458BB}"/>
              </c:extLst>
            </c:dLbl>
            <c:dLbl>
              <c:idx val="12"/>
              <c:spPr>
                <a:noFill/>
                <a:ln>
                  <a:noFill/>
                </a:ln>
                <a:effectLst/>
              </c:spPr>
              <c:txPr>
                <a:bodyPr wrap="square" lIns="38100" tIns="19050" rIns="38100" bIns="19050" anchor="ctr">
                  <a:spAutoFit/>
                </a:bodyPr>
                <a:lstStyle/>
                <a:p>
                  <a:pPr>
                    <a:defRPr sz="600" b="0"/>
                  </a:pPr>
                  <a:endParaRPr lang="lv-LV"/>
                </a:p>
              </c:txPr>
              <c:dLblPos val="outEnd"/>
              <c:showLegendKey val="0"/>
              <c:showVal val="1"/>
              <c:showCatName val="0"/>
              <c:showSerName val="0"/>
              <c:showPercent val="0"/>
              <c:showBubbleSize val="0"/>
            </c:dLbl>
            <c:dLbl>
              <c:idx val="20"/>
              <c:spPr>
                <a:noFill/>
                <a:ln>
                  <a:noFill/>
                </a:ln>
                <a:effectLst/>
              </c:spPr>
              <c:txPr>
                <a:bodyPr wrap="square" lIns="38100" tIns="19050" rIns="38100" bIns="19050" anchor="ctr">
                  <a:spAutoFit/>
                </a:bodyPr>
                <a:lstStyle/>
                <a:p>
                  <a:pPr>
                    <a:defRPr sz="600" b="0"/>
                  </a:pPr>
                  <a:endParaRPr lang="lv-LV"/>
                </a:p>
              </c:txPr>
              <c:dLblPos val="outEnd"/>
              <c:showLegendKey val="0"/>
              <c:showVal val="1"/>
              <c:showCatName val="0"/>
              <c:showSerName val="0"/>
              <c:showPercent val="0"/>
              <c:showBubbleSize val="0"/>
            </c:dLbl>
            <c:dLbl>
              <c:idx val="22"/>
              <c:spPr>
                <a:noFill/>
                <a:ln>
                  <a:noFill/>
                </a:ln>
                <a:effectLst/>
              </c:spPr>
              <c:txPr>
                <a:bodyPr wrap="square" lIns="38100" tIns="19050" rIns="38100" bIns="19050" anchor="ctr">
                  <a:spAutoFit/>
                </a:bodyPr>
                <a:lstStyle/>
                <a:p>
                  <a:pPr>
                    <a:defRPr sz="600" b="1"/>
                  </a:pPr>
                  <a:endParaRPr lang="lv-LV"/>
                </a:p>
              </c:txPr>
              <c:dLblPos val="outEnd"/>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600"/>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Sheet1!$A$4:$A$31</c:f>
              <c:strCache>
                <c:ptCount val="28"/>
                <c:pt idx="0">
                  <c:v>CY</c:v>
                </c:pt>
                <c:pt idx="1">
                  <c:v>IE</c:v>
                </c:pt>
                <c:pt idx="2">
                  <c:v>BE</c:v>
                </c:pt>
                <c:pt idx="3">
                  <c:v>NL</c:v>
                </c:pt>
                <c:pt idx="4">
                  <c:v>DK</c:v>
                </c:pt>
                <c:pt idx="5">
                  <c:v>FR</c:v>
                </c:pt>
                <c:pt idx="6">
                  <c:v>AT</c:v>
                </c:pt>
                <c:pt idx="7">
                  <c:v>FI</c:v>
                </c:pt>
                <c:pt idx="8">
                  <c:v>SI</c:v>
                </c:pt>
                <c:pt idx="9">
                  <c:v>DE</c:v>
                </c:pt>
                <c:pt idx="10">
                  <c:v>ES</c:v>
                </c:pt>
                <c:pt idx="11">
                  <c:v>SK</c:v>
                </c:pt>
                <c:pt idx="12">
                  <c:v>EU-28</c:v>
                </c:pt>
                <c:pt idx="13">
                  <c:v>UK</c:v>
                </c:pt>
                <c:pt idx="14">
                  <c:v>SE</c:v>
                </c:pt>
                <c:pt idx="15">
                  <c:v>EE</c:v>
                </c:pt>
                <c:pt idx="16">
                  <c:v>IT</c:v>
                </c:pt>
                <c:pt idx="17">
                  <c:v>LT</c:v>
                </c:pt>
                <c:pt idx="18">
                  <c:v>PT</c:v>
                </c:pt>
                <c:pt idx="19">
                  <c:v>HU</c:v>
                </c:pt>
                <c:pt idx="20">
                  <c:v>CZ</c:v>
                </c:pt>
                <c:pt idx="21">
                  <c:v>MT</c:v>
                </c:pt>
                <c:pt idx="22">
                  <c:v>LV</c:v>
                </c:pt>
                <c:pt idx="23">
                  <c:v>PL</c:v>
                </c:pt>
                <c:pt idx="24">
                  <c:v>EL</c:v>
                </c:pt>
                <c:pt idx="25">
                  <c:v>HR</c:v>
                </c:pt>
                <c:pt idx="26">
                  <c:v>RO</c:v>
                </c:pt>
                <c:pt idx="27">
                  <c:v>BG</c:v>
                </c:pt>
              </c:strCache>
            </c:strRef>
          </c:cat>
          <c:val>
            <c:numRef>
              <c:f>Sheet1!$B$4:$B$31</c:f>
              <c:numCache>
                <c:formatCode>0</c:formatCode>
                <c:ptCount val="28"/>
                <c:pt idx="0">
                  <c:v>6826.9131954545446</c:v>
                </c:pt>
                <c:pt idx="1">
                  <c:v>1300.1466577011495</c:v>
                </c:pt>
                <c:pt idx="2">
                  <c:v>1054.4504475749318</c:v>
                </c:pt>
                <c:pt idx="3">
                  <c:v>669.95256463157887</c:v>
                </c:pt>
                <c:pt idx="4">
                  <c:v>522.62141633333329</c:v>
                </c:pt>
                <c:pt idx="5">
                  <c:v>470.47299435751296</c:v>
                </c:pt>
                <c:pt idx="6">
                  <c:v>384.602853544137</c:v>
                </c:pt>
                <c:pt idx="7">
                  <c:v>318.00413652482268</c:v>
                </c:pt>
                <c:pt idx="8">
                  <c:v>309.04871037673496</c:v>
                </c:pt>
                <c:pt idx="9">
                  <c:v>273.08978037202382</c:v>
                </c:pt>
                <c:pt idx="10">
                  <c:v>261.00743952668682</c:v>
                </c:pt>
                <c:pt idx="11">
                  <c:v>256.11221788787122</c:v>
                </c:pt>
                <c:pt idx="12">
                  <c:v>233.2920779769498</c:v>
                </c:pt>
                <c:pt idx="13">
                  <c:v>225.36696787774937</c:v>
                </c:pt>
                <c:pt idx="14">
                  <c:v>202.49000994936708</c:v>
                </c:pt>
                <c:pt idx="15">
                  <c:v>197.85561914285714</c:v>
                </c:pt>
                <c:pt idx="16">
                  <c:v>167.59018245997655</c:v>
                </c:pt>
                <c:pt idx="17">
                  <c:v>149.61786291390729</c:v>
                </c:pt>
                <c:pt idx="18">
                  <c:v>148.90348667711598</c:v>
                </c:pt>
                <c:pt idx="19">
                  <c:v>148.69153741368487</c:v>
                </c:pt>
                <c:pt idx="20">
                  <c:v>144.1255268115942</c:v>
                </c:pt>
                <c:pt idx="21">
                  <c:v>127.98048596491229</c:v>
                </c:pt>
                <c:pt idx="22">
                  <c:v>124</c:v>
                </c:pt>
                <c:pt idx="23">
                  <c:v>78.980807664034018</c:v>
                </c:pt>
                <c:pt idx="24">
                  <c:v>67.563607131537239</c:v>
                </c:pt>
                <c:pt idx="25">
                  <c:v>57.402353408292335</c:v>
                </c:pt>
                <c:pt idx="26">
                  <c:v>39.932871251089793</c:v>
                </c:pt>
                <c:pt idx="27">
                  <c:v>31.515001774447953</c:v>
                </c:pt>
              </c:numCache>
            </c:numRef>
          </c:val>
          <c:extLst>
            <c:ext xmlns:c="http://schemas.openxmlformats.org/drawingml/2006/chart" xmlns:c16="http://schemas.microsoft.com/office/drawing/2014/chart" uri="{C3380CC4-5D6E-409C-BE32-E72D297353CC}">
              <c16:uniqueId val="{0000000B-89F8-4A13-AE3D-274457D14D8A}"/>
            </c:ext>
          </c:extLst>
        </c:ser>
        <c:dLbls>
          <c:showLegendKey val="0"/>
          <c:showVal val="0"/>
          <c:showCatName val="0"/>
          <c:showSerName val="0"/>
          <c:showPercent val="0"/>
          <c:showBubbleSize val="0"/>
        </c:dLbls>
        <c:gapWidth val="20"/>
        <c:axId val="656327648"/>
        <c:axId val="656331960"/>
      </c:barChart>
      <c:catAx>
        <c:axId val="656327648"/>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56331960"/>
        <c:crosses val="autoZero"/>
        <c:auto val="1"/>
        <c:lblAlgn val="ctr"/>
        <c:lblOffset val="100"/>
        <c:tickLblSkip val="1"/>
        <c:noMultiLvlLbl val="0"/>
      </c:catAx>
      <c:valAx>
        <c:axId val="656331960"/>
        <c:scaling>
          <c:orientation val="minMax"/>
          <c:max val="900"/>
          <c:min val="0"/>
        </c:scaling>
        <c:delete val="0"/>
        <c:axPos val="l"/>
        <c:numFmt formatCode="0" sourceLinked="0"/>
        <c:majorTickMark val="out"/>
        <c:minorTickMark val="none"/>
        <c:tickLblPos val="nextTo"/>
        <c:txPr>
          <a:bodyPr/>
          <a:lstStyle/>
          <a:p>
            <a:pPr>
              <a:defRPr sz="600"/>
            </a:pPr>
            <a:endParaRPr lang="lv-LV"/>
          </a:p>
        </c:txPr>
        <c:crossAx val="656327648"/>
        <c:crosses val="autoZero"/>
        <c:crossBetween val="between"/>
        <c:majorUnit val="300"/>
      </c:valAx>
    </c:plotArea>
    <c:plotVisOnly val="1"/>
    <c:dispBlanksAs val="gap"/>
    <c:showDLblsOverMax val="0"/>
  </c:chart>
  <c:spPr>
    <a:ln w="9525">
      <a:noFill/>
    </a:ln>
  </c:spPr>
  <c:externalData r:id="rId1">
    <c:autoUpdate val="0"/>
  </c:externalData>
  <c:userShapes r:id="rId2"/>
</c:chartSpace>
</file>

<file path=word/charts/chart2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449061330451076"/>
          <c:y val="0.15218914041994749"/>
          <c:w val="0.52181675566416263"/>
          <c:h val="0.709344652230971"/>
        </c:manualLayout>
      </c:layout>
      <c:pieChart>
        <c:varyColors val="1"/>
        <c:ser>
          <c:idx val="0"/>
          <c:order val="0"/>
          <c:tx>
            <c:strRef>
              <c:f>Sheet1!$B$1</c:f>
              <c:strCache>
                <c:ptCount val="1"/>
                <c:pt idx="0">
                  <c:v>Column1</c:v>
                </c:pt>
              </c:strCache>
            </c:strRef>
          </c:tx>
          <c:dPt>
            <c:idx val="0"/>
            <c:bubble3D val="0"/>
            <c:spPr>
              <a:solidFill>
                <a:schemeClr val="accent1"/>
              </a:solidFill>
              <a:ln>
                <a:noFill/>
              </a:ln>
              <a:effectLst/>
            </c:spPr>
            <c:extLst>
              <c:ext xmlns:c="http://schemas.openxmlformats.org/drawingml/2006/chart" xmlns:c16="http://schemas.microsoft.com/office/drawing/2014/chart" uri="{C3380CC4-5D6E-409C-BE32-E72D297353CC}">
                <c16:uniqueId val="{00000001-224A-4CC4-B508-690C59610FCB}"/>
              </c:ext>
            </c:extLst>
          </c:dPt>
          <c:dPt>
            <c:idx val="1"/>
            <c:bubble3D val="0"/>
            <c:spPr>
              <a:solidFill>
                <a:schemeClr val="accent2"/>
              </a:solidFill>
              <a:ln>
                <a:noFill/>
              </a:ln>
              <a:effectLst/>
            </c:spPr>
            <c:extLst>
              <c:ext xmlns:c="http://schemas.openxmlformats.org/drawingml/2006/chart" xmlns:c16="http://schemas.microsoft.com/office/drawing/2014/chart" uri="{C3380CC4-5D6E-409C-BE32-E72D297353CC}">
                <c16:uniqueId val="{00000003-224A-4CC4-B508-690C59610FCB}"/>
              </c:ext>
            </c:extLst>
          </c:dPt>
          <c:dPt>
            <c:idx val="2"/>
            <c:bubble3D val="0"/>
            <c:spPr>
              <a:solidFill>
                <a:schemeClr val="accent3"/>
              </a:solidFill>
              <a:ln>
                <a:noFill/>
              </a:ln>
              <a:effectLst/>
            </c:spPr>
            <c:extLst>
              <c:ext xmlns:c="http://schemas.openxmlformats.org/drawingml/2006/chart" xmlns:c16="http://schemas.microsoft.com/office/drawing/2014/chart" uri="{C3380CC4-5D6E-409C-BE32-E72D297353CC}">
                <c16:uniqueId val="{00000005-224A-4CC4-B508-690C59610FCB}"/>
              </c:ext>
            </c:extLst>
          </c:dPt>
          <c:dPt>
            <c:idx val="3"/>
            <c:bubble3D val="0"/>
            <c:spPr>
              <a:solidFill>
                <a:schemeClr val="accent4"/>
              </a:solidFill>
              <a:ln>
                <a:noFill/>
              </a:ln>
              <a:effectLst/>
            </c:spPr>
            <c:extLst>
              <c:ext xmlns:c="http://schemas.openxmlformats.org/drawingml/2006/chart" xmlns:c16="http://schemas.microsoft.com/office/drawing/2014/chart" uri="{C3380CC4-5D6E-409C-BE32-E72D297353CC}">
                <c16:uniqueId val="{00000007-224A-4CC4-B508-690C59610FCB}"/>
              </c:ext>
            </c:extLst>
          </c:dPt>
          <c:dPt>
            <c:idx val="4"/>
            <c:bubble3D val="0"/>
            <c:spPr>
              <a:solidFill>
                <a:schemeClr val="accent5"/>
              </a:solidFill>
              <a:ln>
                <a:noFill/>
              </a:ln>
              <a:effectLst/>
            </c:spPr>
            <c:extLst>
              <c:ext xmlns:c="http://schemas.openxmlformats.org/drawingml/2006/chart" xmlns:c16="http://schemas.microsoft.com/office/drawing/2014/chart" uri="{C3380CC4-5D6E-409C-BE32-E72D297353CC}">
                <c16:uniqueId val="{00000009-224A-4CC4-B508-690C59610FCB}"/>
              </c:ext>
            </c:extLst>
          </c:dPt>
          <c:dPt>
            <c:idx val="5"/>
            <c:bubble3D val="0"/>
            <c:spPr>
              <a:solidFill>
                <a:schemeClr val="accent6"/>
              </a:solidFill>
              <a:ln>
                <a:noFill/>
              </a:ln>
              <a:effectLst/>
            </c:spPr>
            <c:extLst>
              <c:ext xmlns:c="http://schemas.openxmlformats.org/drawingml/2006/chart" xmlns:c16="http://schemas.microsoft.com/office/drawing/2014/chart" uri="{C3380CC4-5D6E-409C-BE32-E72D297353CC}">
                <c16:uniqueId val="{0000000B-224A-4CC4-B508-690C59610FCB}"/>
              </c:ext>
            </c:extLst>
          </c:dPt>
          <c:dPt>
            <c:idx val="6"/>
            <c:bubble3D val="0"/>
            <c:spPr>
              <a:solidFill>
                <a:schemeClr val="accent1">
                  <a:lumMod val="60000"/>
                </a:schemeClr>
              </a:solidFill>
              <a:ln>
                <a:noFill/>
              </a:ln>
              <a:effectLst/>
            </c:spPr>
            <c:extLst>
              <c:ext xmlns:c="http://schemas.openxmlformats.org/drawingml/2006/chart" xmlns:c16="http://schemas.microsoft.com/office/drawing/2014/chart" uri="{C3380CC4-5D6E-409C-BE32-E72D297353CC}">
                <c16:uniqueId val="{0000000D-224A-4CC4-B508-690C59610FCB}"/>
              </c:ext>
            </c:extLst>
          </c:dPt>
          <c:dLbls>
            <c:dLbl>
              <c:idx val="0"/>
              <c:layout>
                <c:manualLayout>
                  <c:x val="0.056107021905527632"/>
                  <c:y val="0"/>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1-224A-4CC4-B508-690C59610FCB}"/>
                </c:ext>
                <c:ext xmlns:c15="http://schemas.microsoft.com/office/drawing/2012/chart" uri="{CE6537A1-D6FC-4f65-9D91-7224C49458BB}">
                  <c15:layout>
                    <c:manualLayout>
                      <c:w val="0.24190605484659244"/>
                      <c:h val="0.29986108978717491"/>
                    </c:manualLayout>
                  </c15:layout>
                </c:ext>
              </c:extLst>
            </c:dLbl>
            <c:dLbl>
              <c:idx val="1"/>
              <c:layout>
                <c:manualLayout>
                  <c:x val="-0.0078851905642984572"/>
                  <c:y val="0.01734835228929717"/>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3-224A-4CC4-B508-690C59610FCB}"/>
                </c:ext>
                <c:ext xmlns:c15="http://schemas.microsoft.com/office/drawing/2012/chart" uri="{CE6537A1-D6FC-4f65-9D91-7224C49458BB}">
                  <c15:layout>
                    <c:manualLayout>
                      <c:w val="0.26091893685703083"/>
                      <c:h val="0.23486573231270882"/>
                    </c:manualLayout>
                  </c15:layout>
                </c:ext>
              </c:extLst>
            </c:dLbl>
            <c:dLbl>
              <c:idx val="2"/>
              <c:layout>
                <c:manualLayout>
                  <c:x val="0.030651340996168581"/>
                  <c:y val="-0.023096381754509013"/>
                </c:manualLayout>
              </c:layout>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5-224A-4CC4-B508-690C59610FCB}"/>
                </c:ext>
                <c:ext xmlns:c15="http://schemas.microsoft.com/office/drawing/2012/chart" uri="{CE6537A1-D6FC-4f65-9D91-7224C49458BB}"/>
              </c:extLst>
            </c:dLbl>
            <c:dLbl>
              <c:idx val="3"/>
              <c:layout>
                <c:manualLayout>
                  <c:x val="-0.022926678398894541"/>
                  <c:y val="-0.0069648585593467486"/>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7-224A-4CC4-B508-690C59610FCB}"/>
                </c:ext>
                <c:ext xmlns:c15="http://schemas.microsoft.com/office/drawing/2012/chart" uri="{CE6537A1-D6FC-4f65-9D91-7224C49458BB}">
                  <c15:layout>
                    <c:manualLayout>
                      <c:w val="0.28536398467432944"/>
                      <c:h val="0.24140913444315282"/>
                    </c:manualLayout>
                  </c15:layout>
                </c:ext>
              </c:extLst>
            </c:dLbl>
            <c:dLbl>
              <c:idx val="4"/>
              <c:layout>
                <c:manualLayout>
                  <c:x val="0.0075515129574320388"/>
                  <c:y val="-0.042349337252063544"/>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9-224A-4CC4-B508-690C59610FCB}"/>
                </c:ext>
                <c:ext xmlns:c15="http://schemas.microsoft.com/office/drawing/2012/chart" uri="{CE6537A1-D6FC-4f65-9D91-7224C49458BB}">
                  <c15:layout>
                    <c:manualLayout>
                      <c:w val="0.26724168099677192"/>
                      <c:h val="0.24265666010498688"/>
                    </c:manualLayout>
                  </c15:layout>
                </c:ext>
              </c:extLst>
            </c:dLbl>
            <c:dLbl>
              <c:idx val="5"/>
              <c:layout>
                <c:manualLayout>
                  <c:x val="-0.065553973975675819"/>
                  <c:y val="-0.059027413240011664"/>
                </c:manualLayout>
              </c:layout>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B-224A-4CC4-B508-690C59610FCB}"/>
                </c:ext>
                <c:ext xmlns:c15="http://schemas.microsoft.com/office/drawing/2012/chart" uri="{CE6537A1-D6FC-4f65-9D91-7224C49458BB}">
                  <c15:layout>
                    <c:manualLayout>
                      <c:w val="0.25226053639846741"/>
                      <c:h val="0.33640666010498688"/>
                    </c:manualLayout>
                  </c15:layout>
                </c:ext>
              </c:extLst>
            </c:dLbl>
            <c:dLbl>
              <c:idx val="6"/>
              <c:layout>
                <c:manualLayout>
                  <c:x val="0.061253563830011716"/>
                  <c:y val="-0.10185112277631962"/>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D-224A-4CC4-B508-690C59610FCB}"/>
                </c:ext>
                <c:ext xmlns:c15="http://schemas.microsoft.com/office/drawing/2012/chart" uri="{CE6537A1-D6FC-4f65-9D91-7224C49458BB}">
                  <c15:layout>
                    <c:manualLayout>
                      <c:w val="0.21118773946360153"/>
                      <c:h val="0.37562499999999993"/>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outEnd"/>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Sheet1!$A$2:$A$7</c:f>
              <c:strCache>
                <c:ptCount val="6"/>
                <c:pt idx="0">
                  <c:v>Lietuva</c:v>
                </c:pt>
                <c:pt idx="1">
                  <c:v>Igaunija</c:v>
                </c:pt>
                <c:pt idx="2">
                  <c:v>Vācija</c:v>
                </c:pt>
                <c:pt idx="3">
                  <c:v>Zviedrija</c:v>
                </c:pt>
                <c:pt idx="4">
                  <c:v>Beļģija</c:v>
                </c:pt>
                <c:pt idx="5">
                  <c:v>Citas valstis</c:v>
                </c:pt>
              </c:strCache>
            </c:strRef>
          </c:cat>
          <c:val>
            <c:numRef>
              <c:f>Sheet1!$B$2:$B$7</c:f>
              <c:numCache>
                <c:formatCode>0.00</c:formatCode>
                <c:ptCount val="6"/>
                <c:pt idx="0">
                  <c:v>0.33457978852089132</c:v>
                </c:pt>
                <c:pt idx="1">
                  <c:v>0.18757636213355261</c:v>
                </c:pt>
                <c:pt idx="2">
                  <c:v>0.0907066040920663</c:v>
                </c:pt>
                <c:pt idx="3">
                  <c:v>0.058727916208230813</c:v>
                </c:pt>
                <c:pt idx="4">
                  <c:v>0.046387599926130396</c:v>
                </c:pt>
                <c:pt idx="5">
                  <c:v>0.28202172911912859</c:v>
                </c:pt>
              </c:numCache>
            </c:numRef>
          </c:val>
          <c:extLst>
            <c:ext xmlns:c="http://schemas.openxmlformats.org/drawingml/2006/chart" xmlns:c16="http://schemas.microsoft.com/office/drawing/2014/chart" uri="{C3380CC4-5D6E-409C-BE32-E72D297353CC}">
              <c16:uniqueId val="{0000000E-224A-4CC4-B508-690C59610FCB}"/>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noFill/>
    <a:ln w="9525">
      <a:noFill/>
      <a:round/>
    </a:ln>
    <a:effectLst/>
  </c:spPr>
  <c:txPr>
    <a:bodyPr/>
    <a:lstStyle/>
    <a:p>
      <a:pPr>
        <a:defRPr sz="800">
          <a:latin typeface="Candara" panose="020E0502030303020204" pitchFamily="34" charset="0"/>
        </a:defRPr>
      </a:pPr>
      <a:endParaRPr lang="lv-LV"/>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738"/>
          <c:y val="0.046005165816941182"/>
          <c:w val="0.85762258292899962"/>
          <c:h val="0.83127986337207582"/>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Sheet1!$B$1:$J$1</c:f>
              <c:strCache>
                <c:ptCount val="9"/>
                <c:pt idx="0">
                  <c:v>2008</c:v>
                </c:pt>
                <c:pt idx="1">
                  <c:v>2009</c:v>
                </c:pt>
                <c:pt idx="2">
                  <c:v>2010</c:v>
                </c:pt>
                <c:pt idx="3">
                  <c:v>2011</c:v>
                </c:pt>
                <c:pt idx="4">
                  <c:v>2012</c:v>
                </c:pt>
                <c:pt idx="5">
                  <c:v>2013</c:v>
                </c:pt>
                <c:pt idx="6">
                  <c:v>2014</c:v>
                </c:pt>
                <c:pt idx="7">
                  <c:v>2015</c:v>
                </c:pt>
                <c:pt idx="8">
                  <c:v>2016</c:v>
                </c:pt>
              </c:strCache>
            </c:strRef>
          </c:cat>
          <c:val>
            <c:numRef>
              <c:f>Sheet1!$B$2:$J$2</c:f>
              <c:numCache>
                <c:formatCode>0</c:formatCode>
                <c:ptCount val="9"/>
                <c:pt idx="0">
                  <c:v>40.842057643741676</c:v>
                </c:pt>
                <c:pt idx="1">
                  <c:v>38.288707041966028</c:v>
                </c:pt>
                <c:pt idx="2">
                  <c:v>37.097778599507883</c:v>
                </c:pt>
                <c:pt idx="3">
                  <c:v>40.389766440010831</c:v>
                </c:pt>
                <c:pt idx="4">
                  <c:v>42.46259667259212</c:v>
                </c:pt>
                <c:pt idx="5">
                  <c:v>42.568476309606638</c:v>
                </c:pt>
                <c:pt idx="6">
                  <c:v>43.635115226322327</c:v>
                </c:pt>
                <c:pt idx="7">
                  <c:v>42.45554310298936</c:v>
                </c:pt>
                <c:pt idx="8">
                  <c:v>43.804313173121656</c:v>
                </c:pt>
              </c:numCache>
            </c:numRef>
          </c:val>
          <c:extLst>
            <c:ext xmlns:c="http://schemas.openxmlformats.org/drawingml/2006/chart" xmlns:c16="http://schemas.microsoft.com/office/drawing/2014/chart" uri="{C3380CC4-5D6E-409C-BE32-E72D297353CC}">
              <c16:uniqueId val="{00000000-C4FC-4E49-9AEA-D41B53A74AF7}"/>
            </c:ext>
          </c:extLst>
        </c:ser>
        <c:ser>
          <c:idx val="1"/>
          <c:order val="1"/>
          <c:tx>
            <c:strRef>
              <c:f>Sheet1!$A$3</c:f>
              <c:strCache>
                <c:ptCount val="1"/>
                <c:pt idx="0">
                  <c:v>Lauksaimn., mežsaimn., zivsaimn.</c:v>
                </c:pt>
              </c:strCache>
            </c:strRef>
          </c:tx>
          <c:spPr>
            <a:ln>
              <a:solidFill>
                <a:sysClr val="windowText" lastClr="000000"/>
              </a:solidFill>
            </a:ln>
          </c:spPr>
          <c:invertIfNegative val="0"/>
          <c:dLbls>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2008</c:v>
                </c:pt>
                <c:pt idx="1">
                  <c:v>2009</c:v>
                </c:pt>
                <c:pt idx="2">
                  <c:v>2010</c:v>
                </c:pt>
                <c:pt idx="3">
                  <c:v>2011</c:v>
                </c:pt>
                <c:pt idx="4">
                  <c:v>2012</c:v>
                </c:pt>
                <c:pt idx="5">
                  <c:v>2013</c:v>
                </c:pt>
                <c:pt idx="6">
                  <c:v>2014</c:v>
                </c:pt>
                <c:pt idx="7">
                  <c:v>2015</c:v>
                </c:pt>
                <c:pt idx="8">
                  <c:v>2016</c:v>
                </c:pt>
              </c:strCache>
            </c:strRef>
          </c:cat>
          <c:val>
            <c:numRef>
              <c:f>Sheet1!$B$3:$J$3</c:f>
              <c:numCache>
                <c:formatCode>0</c:formatCode>
                <c:ptCount val="9"/>
                <c:pt idx="0">
                  <c:v>58.25654132552566</c:v>
                </c:pt>
                <c:pt idx="1">
                  <c:v>59.458676370379415</c:v>
                </c:pt>
                <c:pt idx="2">
                  <c:v>69.283057542217222</c:v>
                </c:pt>
                <c:pt idx="3">
                  <c:v>60.616847567971689</c:v>
                </c:pt>
                <c:pt idx="4">
                  <c:v>61.911929806679112</c:v>
                </c:pt>
                <c:pt idx="5">
                  <c:v>59.785366740415078</c:v>
                </c:pt>
                <c:pt idx="6">
                  <c:v>66.4278559578931</c:v>
                </c:pt>
                <c:pt idx="7">
                  <c:v>67.402403462605477</c:v>
                </c:pt>
                <c:pt idx="8">
                  <c:v>65.794801818041591</c:v>
                </c:pt>
              </c:numCache>
            </c:numRef>
          </c:val>
          <c:extLst>
            <c:ext xmlns:c="http://schemas.openxmlformats.org/drawingml/2006/chart" xmlns:c16="http://schemas.microsoft.com/office/drawing/2014/chart" uri="{C3380CC4-5D6E-409C-BE32-E72D297353CC}">
              <c16:uniqueId val="{00000001-C4FC-4E49-9AEA-D41B53A74AF7}"/>
            </c:ext>
          </c:extLst>
        </c:ser>
        <c:dLbls>
          <c:showLegendKey val="0"/>
          <c:showVal val="0"/>
          <c:showCatName val="0"/>
          <c:showSerName val="0"/>
          <c:showPercent val="0"/>
          <c:showBubbleSize val="0"/>
        </c:dLbls>
        <c:gapWidth val="50"/>
        <c:overlap val="52"/>
        <c:axId val="629838104"/>
        <c:axId val="629836928"/>
      </c:barChart>
      <c:catAx>
        <c:axId val="629838104"/>
        <c:scaling>
          <c:orientation val="minMax"/>
        </c:scaling>
        <c:delete val="0"/>
        <c:axPos val="b"/>
        <c:numFmt formatCode="General" sourceLinked="0"/>
        <c:majorTickMark val="out"/>
        <c:minorTickMark val="none"/>
        <c:tickLblPos val="nextTo"/>
        <c:txPr>
          <a:bodyPr/>
          <a:lstStyle/>
          <a:p>
            <a:pPr>
              <a:defRPr sz="700"/>
            </a:pPr>
            <a:endParaRPr lang="lv-LV"/>
          </a:p>
        </c:txPr>
        <c:crossAx val="629836928"/>
        <c:crosses val="autoZero"/>
        <c:auto val="1"/>
        <c:lblAlgn val="ctr"/>
        <c:lblOffset val="100"/>
        <c:noMultiLvlLbl val="0"/>
      </c:catAx>
      <c:valAx>
        <c:axId val="629836928"/>
        <c:scaling>
          <c:orientation val="minMax"/>
          <c:max val="100"/>
        </c:scaling>
        <c:delete val="0"/>
        <c:axPos val="l"/>
        <c:numFmt formatCode="0" sourceLinked="1"/>
        <c:majorTickMark val="out"/>
        <c:minorTickMark val="none"/>
        <c:tickLblPos val="nextTo"/>
        <c:txPr>
          <a:bodyPr/>
          <a:lstStyle/>
          <a:p>
            <a:pPr>
              <a:defRPr sz="800"/>
            </a:pPr>
            <a:endParaRPr lang="lv-LV"/>
          </a:p>
        </c:txPr>
        <c:crossAx val="629838104"/>
        <c:crosses val="autoZero"/>
        <c:crossBetween val="between"/>
        <c:majorUnit val="20"/>
      </c:valAx>
      <c:spPr>
        <a:ln>
          <a:noFill/>
        </a:ln>
      </c:spPr>
    </c:plotArea>
    <c:legend>
      <c:legendPos val="r"/>
      <c:layout>
        <c:manualLayout>
          <c:xMode val="edge"/>
          <c:yMode val="edge"/>
          <c:x val="0.1079654105736783"/>
          <c:y val="0.025504244401882196"/>
          <c:w val="0.86723331458567676"/>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2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98553601027233415"/>
          <c:y val="0.01722532963499513"/>
          <c:w val="0.34507319571774181"/>
          <c:h val="0.920462379795931"/>
        </c:manualLayout>
      </c:layout>
      <c:barChart>
        <c:barDir val="col"/>
        <c:grouping val="percentStacked"/>
        <c:varyColors val="0"/>
        <c:ser>
          <c:idx val="0"/>
          <c:order val="0"/>
          <c:tx>
            <c:strRef>
              <c:f>Sheet1!$A$2</c:f>
              <c:strCache>
                <c:ptCount val="1"/>
                <c:pt idx="0">
                  <c:v>automašīnas pasažieru pārvadāšanai</c:v>
                </c:pt>
              </c:strCache>
            </c:strRef>
          </c:tx>
          <c:invertIfNegative val="0"/>
          <c:cat>
            <c:strRef>
              <c:f>Sheet1!$B$1:$F$1</c:f>
              <c:strCache>
                <c:ptCount val="5"/>
                <c:pt idx="0">
                  <c:v>2005</c:v>
                </c:pt>
                <c:pt idx="1">
                  <c:v>2010</c:v>
                </c:pt>
                <c:pt idx="2">
                  <c:v>2014</c:v>
                </c:pt>
                <c:pt idx="3">
                  <c:v>2015</c:v>
                </c:pt>
                <c:pt idx="4">
                  <c:v>2016</c:v>
                </c:pt>
              </c:strCache>
            </c:strRef>
          </c:cat>
          <c:val>
            <c:numRef>
              <c:f>Sheet1!$B$2:$F$2</c:f>
              <c:numCache>
                <c:formatCode>0</c:formatCode>
                <c:ptCount val="5"/>
                <c:pt idx="0">
                  <c:v>40.187670967316208</c:v>
                </c:pt>
                <c:pt idx="1">
                  <c:v>46.623730879425338</c:v>
                </c:pt>
                <c:pt idx="2">
                  <c:v>36.352223124599313</c:v>
                </c:pt>
                <c:pt idx="3">
                  <c:v>37.7562658612694</c:v>
                </c:pt>
                <c:pt idx="4">
                  <c:v>33.923462341690083</c:v>
                </c:pt>
              </c:numCache>
            </c:numRef>
          </c:val>
          <c:extLst>
            <c:ext xmlns:c="http://schemas.openxmlformats.org/drawingml/2006/chart" xmlns:c16="http://schemas.microsoft.com/office/drawing/2014/chart" uri="{C3380CC4-5D6E-409C-BE32-E72D297353CC}">
              <c16:uniqueId val="{00000000-CEED-42A7-B3DE-A4DD4D8E004D}"/>
            </c:ext>
          </c:extLst>
        </c:ser>
        <c:ser>
          <c:idx val="1"/>
          <c:order val="1"/>
          <c:tx>
            <c:strRef>
              <c:f>Sheet1!$A$3</c:f>
              <c:strCache>
                <c:ptCount val="1"/>
                <c:pt idx="0">
                  <c:v>daļas un piederumi mehāniskajiem transportlīdzekļiem</c:v>
                </c:pt>
              </c:strCache>
            </c:strRef>
          </c:tx>
          <c:invertIfNegative val="0"/>
          <c:cat>
            <c:strRef>
              <c:f>Sheet1!$B$1:$F$1</c:f>
              <c:strCache>
                <c:ptCount val="5"/>
                <c:pt idx="0">
                  <c:v>2005</c:v>
                </c:pt>
                <c:pt idx="1">
                  <c:v>2010</c:v>
                </c:pt>
                <c:pt idx="2">
                  <c:v>2014</c:v>
                </c:pt>
                <c:pt idx="3">
                  <c:v>2015</c:v>
                </c:pt>
                <c:pt idx="4">
                  <c:v>2016</c:v>
                </c:pt>
              </c:strCache>
            </c:strRef>
          </c:cat>
          <c:val>
            <c:numRef>
              <c:f>Sheet1!$B$3:$F$3</c:f>
              <c:numCache>
                <c:formatCode>0</c:formatCode>
                <c:ptCount val="5"/>
                <c:pt idx="0">
                  <c:v>11.680022374829505</c:v>
                </c:pt>
                <c:pt idx="1">
                  <c:v>13.726421617700568</c:v>
                </c:pt>
                <c:pt idx="2">
                  <c:v>26.928481198194159</c:v>
                </c:pt>
                <c:pt idx="3">
                  <c:v>30.550657970307416</c:v>
                </c:pt>
                <c:pt idx="4">
                  <c:v>27.835863131576922</c:v>
                </c:pt>
              </c:numCache>
            </c:numRef>
          </c:val>
          <c:extLst>
            <c:ext xmlns:c="http://schemas.openxmlformats.org/drawingml/2006/chart" xmlns:c16="http://schemas.microsoft.com/office/drawing/2014/chart" uri="{C3380CC4-5D6E-409C-BE32-E72D297353CC}">
              <c16:uniqueId val="{00000001-CEED-42A7-B3DE-A4DD4D8E004D}"/>
            </c:ext>
          </c:extLst>
        </c:ser>
        <c:ser>
          <c:idx val="2"/>
          <c:order val="2"/>
          <c:tx>
            <c:strRef>
              <c:f>Sheet1!$A$4</c:f>
              <c:strCache>
                <c:ptCount val="1"/>
                <c:pt idx="0">
                  <c:v>pārējie transportlīdzekļi</c:v>
                </c:pt>
              </c:strCache>
            </c:strRef>
          </c:tx>
          <c:invertIfNegative val="0"/>
          <c:cat>
            <c:strRef>
              <c:f>Sheet1!$B$1:$F$1</c:f>
              <c:strCache>
                <c:ptCount val="5"/>
                <c:pt idx="0">
                  <c:v>2005</c:v>
                </c:pt>
                <c:pt idx="1">
                  <c:v>2010</c:v>
                </c:pt>
                <c:pt idx="2">
                  <c:v>2014</c:v>
                </c:pt>
                <c:pt idx="3">
                  <c:v>2015</c:v>
                </c:pt>
                <c:pt idx="4">
                  <c:v>2016</c:v>
                </c:pt>
              </c:strCache>
            </c:strRef>
          </c:cat>
          <c:val>
            <c:numRef>
              <c:f>Sheet1!$B$4:$F$4</c:f>
              <c:numCache>
                <c:formatCode>0</c:formatCode>
                <c:ptCount val="5"/>
                <c:pt idx="0">
                  <c:v>48.132306657854286</c:v>
                </c:pt>
                <c:pt idx="1">
                  <c:v>39.649847502874088</c:v>
                </c:pt>
                <c:pt idx="2">
                  <c:v>36.719295677206524</c:v>
                </c:pt>
                <c:pt idx="3">
                  <c:v>31.693076168423183</c:v>
                </c:pt>
                <c:pt idx="4">
                  <c:v>38.240674526732995</c:v>
                </c:pt>
              </c:numCache>
            </c:numRef>
          </c:val>
          <c:extLst>
            <c:ext xmlns:c="http://schemas.openxmlformats.org/drawingml/2006/chart" xmlns:c16="http://schemas.microsoft.com/office/drawing/2014/chart" uri="{C3380CC4-5D6E-409C-BE32-E72D297353CC}">
              <c16:uniqueId val="{00000002-CEED-42A7-B3DE-A4DD4D8E004D}"/>
            </c:ext>
          </c:extLst>
        </c:ser>
        <c:dLbls>
          <c:showLegendKey val="0"/>
          <c:showVal val="0"/>
          <c:showCatName val="0"/>
          <c:showSerName val="0"/>
          <c:showPercent val="0"/>
          <c:showBubbleSize val="0"/>
        </c:dLbls>
        <c:gapWidth val="20"/>
        <c:overlap val="100"/>
        <c:axId val="656328040"/>
        <c:axId val="656325688"/>
      </c:barChart>
      <c:catAx>
        <c:axId val="656328040"/>
        <c:scaling>
          <c:orientation val="minMax"/>
        </c:scaling>
        <c:delete val="0"/>
        <c:axPos val="b"/>
        <c:numFmt formatCode="General" sourceLinked="0"/>
        <c:majorTickMark val="out"/>
        <c:minorTickMark val="none"/>
        <c:tickLblPos val="nextTo"/>
        <c:txPr>
          <a:bodyPr/>
          <a:lstStyle/>
          <a:p>
            <a:pPr>
              <a:defRPr sz="700"/>
            </a:pPr>
            <a:endParaRPr lang="lv-LV"/>
          </a:p>
        </c:txPr>
        <c:crossAx val="656325688"/>
        <c:crosses val="autoZero"/>
        <c:auto val="1"/>
        <c:lblAlgn val="ctr"/>
        <c:lblOffset val="100"/>
        <c:noMultiLvlLbl val="0"/>
      </c:catAx>
      <c:valAx>
        <c:axId val="656325688"/>
        <c:scaling>
          <c:orientation val="minMax"/>
        </c:scaling>
        <c:delete val="0"/>
        <c:axPos val="l"/>
        <c:numFmt formatCode="0%" sourceLinked="1"/>
        <c:majorTickMark val="out"/>
        <c:minorTickMark val="none"/>
        <c:tickLblPos val="nextTo"/>
        <c:txPr>
          <a:bodyPr/>
          <a:lstStyle/>
          <a:p>
            <a:pPr>
              <a:defRPr sz="700"/>
            </a:pPr>
            <a:endParaRPr lang="lv-LV"/>
          </a:p>
        </c:txPr>
        <c:crossAx val="656328040"/>
        <c:crosses val="autoZero"/>
        <c:crossBetween val="between"/>
      </c:valAx>
    </c:plotArea>
    <c:legend>
      <c:legendPos val="r"/>
      <c:layout>
        <c:manualLayout>
          <c:xMode val="edge"/>
          <c:yMode val="edge"/>
          <c:x val="0.48187518226888304"/>
          <c:y val="0.018061189542134811"/>
          <c:w val="0.518124817731117"/>
          <c:h val="0.78433646228559717"/>
        </c:manualLayout>
      </c:layout>
      <c:overlay val="0"/>
      <c:txPr>
        <a:bodyPr/>
        <a:lstStyle/>
        <a:p>
          <a:pPr>
            <a:defRPr sz="600">
              <a:latin typeface="Arial Narrow" panose="020B0606020202030204" pitchFamily="34" charset="0"/>
            </a:defRPr>
          </a:pPr>
          <a:endParaRPr lang="lv-LV"/>
        </a:p>
      </c:txPr>
    </c:legend>
    <c:plotVisOnly val="1"/>
    <c:dispBlanksAs val="gap"/>
    <c:showDLblsOverMax val="0"/>
  </c:chart>
  <c:spPr>
    <a:ln w="9525">
      <a:noFill/>
    </a:ln>
  </c:spPr>
  <c:txPr>
    <a:bodyPr/>
    <a:lstStyle/>
    <a:p>
      <a:pPr>
        <a:defRPr sz="800"/>
      </a:pPr>
      <a:endParaRPr lang="lv-LV"/>
    </a:p>
  </c:txPr>
  <c:externalData r:id="rId1">
    <c:autoUpdate val="0"/>
  </c:externalData>
</c:chartSpace>
</file>

<file path=word/charts/chart2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98553601027233415"/>
          <c:y val="0.01722532963499513"/>
          <c:w val="0.88592589806420907"/>
          <c:h val="0.920462379795931"/>
        </c:manualLayout>
      </c:layout>
      <c:barChart>
        <c:barDir val="col"/>
        <c:grouping val="percentStacked"/>
        <c:varyColors val="0"/>
        <c:ser>
          <c:idx val="0"/>
          <c:order val="0"/>
          <c:tx>
            <c:strRef>
              <c:f>Sheet1!$A$2</c:f>
              <c:strCache>
                <c:ptCount val="1"/>
                <c:pt idx="0">
                  <c:v>automašīnas pasažieru pārvadāšanai</c:v>
                </c:pt>
              </c:strCache>
            </c:strRef>
          </c:tx>
          <c:invertIfNegative val="0"/>
          <c:cat>
            <c:strRef>
              <c:f>Sheet1!$B$1:$F$1</c:f>
              <c:strCache>
                <c:ptCount val="5"/>
                <c:pt idx="0">
                  <c:v>2005</c:v>
                </c:pt>
                <c:pt idx="1">
                  <c:v>2010</c:v>
                </c:pt>
                <c:pt idx="2">
                  <c:v>2014</c:v>
                </c:pt>
                <c:pt idx="3">
                  <c:v>2015</c:v>
                </c:pt>
                <c:pt idx="4">
                  <c:v>2016</c:v>
                </c:pt>
              </c:strCache>
            </c:strRef>
          </c:cat>
          <c:val>
            <c:numRef>
              <c:f>Sheet1!$B$2:$F$2</c:f>
              <c:numCache>
                <c:formatCode>0</c:formatCode>
                <c:ptCount val="5"/>
                <c:pt idx="0">
                  <c:v>44.957565044428293</c:v>
                </c:pt>
                <c:pt idx="1">
                  <c:v>41.885036662018912</c:v>
                </c:pt>
                <c:pt idx="2">
                  <c:v>42.883614140568696</c:v>
                </c:pt>
                <c:pt idx="3">
                  <c:v>43.854991381515553</c:v>
                </c:pt>
                <c:pt idx="4">
                  <c:v>44.225104685807068</c:v>
                </c:pt>
              </c:numCache>
            </c:numRef>
          </c:val>
          <c:extLst>
            <c:ext xmlns:c="http://schemas.openxmlformats.org/drawingml/2006/chart" xmlns:c16="http://schemas.microsoft.com/office/drawing/2014/chart" uri="{C3380CC4-5D6E-409C-BE32-E72D297353CC}">
              <c16:uniqueId val="{00000000-E990-4019-A6A4-4F0962EC0154}"/>
            </c:ext>
          </c:extLst>
        </c:ser>
        <c:ser>
          <c:idx val="1"/>
          <c:order val="1"/>
          <c:tx>
            <c:strRef>
              <c:f>Sheet1!$A$3</c:f>
              <c:strCache>
                <c:ptCount val="1"/>
                <c:pt idx="0">
                  <c:v>daļas un piederumi mehāniskajiem transportlīdzekļiem</c:v>
                </c:pt>
              </c:strCache>
            </c:strRef>
          </c:tx>
          <c:invertIfNegative val="0"/>
          <c:cat>
            <c:strRef>
              <c:f>Sheet1!$B$1:$F$1</c:f>
              <c:strCache>
                <c:ptCount val="5"/>
                <c:pt idx="0">
                  <c:v>2005</c:v>
                </c:pt>
                <c:pt idx="1">
                  <c:v>2010</c:v>
                </c:pt>
                <c:pt idx="2">
                  <c:v>2014</c:v>
                </c:pt>
                <c:pt idx="3">
                  <c:v>2015</c:v>
                </c:pt>
                <c:pt idx="4">
                  <c:v>2016</c:v>
                </c:pt>
              </c:strCache>
            </c:strRef>
          </c:cat>
          <c:val>
            <c:numRef>
              <c:f>Sheet1!$B$3:$F$3</c:f>
              <c:numCache>
                <c:formatCode>0</c:formatCode>
                <c:ptCount val="5"/>
                <c:pt idx="0">
                  <c:v>18.39915653927001</c:v>
                </c:pt>
                <c:pt idx="1">
                  <c:v>19.640424580879774</c:v>
                </c:pt>
                <c:pt idx="2">
                  <c:v>19.821195381445975</c:v>
                </c:pt>
                <c:pt idx="3">
                  <c:v>18.84808380145174</c:v>
                </c:pt>
                <c:pt idx="4">
                  <c:v>19.484132443054708</c:v>
                </c:pt>
              </c:numCache>
            </c:numRef>
          </c:val>
          <c:extLst>
            <c:ext xmlns:c="http://schemas.openxmlformats.org/drawingml/2006/chart" xmlns:c16="http://schemas.microsoft.com/office/drawing/2014/chart" uri="{C3380CC4-5D6E-409C-BE32-E72D297353CC}">
              <c16:uniqueId val="{00000001-E990-4019-A6A4-4F0962EC0154}"/>
            </c:ext>
          </c:extLst>
        </c:ser>
        <c:ser>
          <c:idx val="2"/>
          <c:order val="2"/>
          <c:tx>
            <c:strRef>
              <c:f>Sheet1!$A$4</c:f>
              <c:strCache>
                <c:ptCount val="1"/>
                <c:pt idx="0">
                  <c:v>pārējie transportlīdzekļi</c:v>
                </c:pt>
              </c:strCache>
            </c:strRef>
          </c:tx>
          <c:invertIfNegative val="0"/>
          <c:cat>
            <c:strRef>
              <c:f>Sheet1!$B$1:$F$1</c:f>
              <c:strCache>
                <c:ptCount val="5"/>
                <c:pt idx="0">
                  <c:v>2005</c:v>
                </c:pt>
                <c:pt idx="1">
                  <c:v>2010</c:v>
                </c:pt>
                <c:pt idx="2">
                  <c:v>2014</c:v>
                </c:pt>
                <c:pt idx="3">
                  <c:v>2015</c:v>
                </c:pt>
                <c:pt idx="4">
                  <c:v>2016</c:v>
                </c:pt>
              </c:strCache>
            </c:strRef>
          </c:cat>
          <c:val>
            <c:numRef>
              <c:f>Sheet1!$B$4:$F$4</c:f>
              <c:numCache>
                <c:formatCode>0</c:formatCode>
                <c:ptCount val="5"/>
                <c:pt idx="0">
                  <c:v>36.6432784163017</c:v>
                </c:pt>
                <c:pt idx="1">
                  <c:v>38.474538757101314</c:v>
                </c:pt>
                <c:pt idx="2">
                  <c:v>37.295190477985329</c:v>
                </c:pt>
                <c:pt idx="3">
                  <c:v>37.2969248170327</c:v>
                </c:pt>
                <c:pt idx="4">
                  <c:v>36.290762871138227</c:v>
                </c:pt>
              </c:numCache>
            </c:numRef>
          </c:val>
          <c:extLst>
            <c:ext xmlns:c="http://schemas.openxmlformats.org/drawingml/2006/chart" xmlns:c16="http://schemas.microsoft.com/office/drawing/2014/chart" uri="{C3380CC4-5D6E-409C-BE32-E72D297353CC}">
              <c16:uniqueId val="{00000002-E990-4019-A6A4-4F0962EC0154}"/>
            </c:ext>
          </c:extLst>
        </c:ser>
        <c:dLbls>
          <c:showLegendKey val="0"/>
          <c:showVal val="0"/>
          <c:showCatName val="0"/>
          <c:showSerName val="0"/>
          <c:showPercent val="0"/>
          <c:showBubbleSize val="0"/>
        </c:dLbls>
        <c:gapWidth val="20"/>
        <c:overlap val="100"/>
        <c:axId val="656326080"/>
        <c:axId val="656326472"/>
      </c:barChart>
      <c:catAx>
        <c:axId val="656326080"/>
        <c:scaling>
          <c:orientation val="minMax"/>
        </c:scaling>
        <c:delete val="0"/>
        <c:axPos val="b"/>
        <c:numFmt formatCode="General" sourceLinked="0"/>
        <c:majorTickMark val="out"/>
        <c:minorTickMark val="none"/>
        <c:tickLblPos val="nextTo"/>
        <c:txPr>
          <a:bodyPr/>
          <a:lstStyle/>
          <a:p>
            <a:pPr>
              <a:defRPr sz="700"/>
            </a:pPr>
            <a:endParaRPr lang="lv-LV"/>
          </a:p>
        </c:txPr>
        <c:crossAx val="656326472"/>
        <c:crosses val="autoZero"/>
        <c:auto val="1"/>
        <c:lblAlgn val="ctr"/>
        <c:lblOffset val="100"/>
        <c:noMultiLvlLbl val="0"/>
      </c:catAx>
      <c:valAx>
        <c:axId val="656326472"/>
        <c:scaling>
          <c:orientation val="minMax"/>
        </c:scaling>
        <c:delete val="0"/>
        <c:axPos val="l"/>
        <c:numFmt formatCode="0%" sourceLinked="1"/>
        <c:majorTickMark val="out"/>
        <c:minorTickMark val="none"/>
        <c:tickLblPos val="nextTo"/>
        <c:txPr>
          <a:bodyPr/>
          <a:lstStyle/>
          <a:p>
            <a:pPr>
              <a:defRPr sz="700"/>
            </a:pPr>
            <a:endParaRPr lang="lv-LV"/>
          </a:p>
        </c:txPr>
        <c:crossAx val="656326080"/>
        <c:crosses val="autoZero"/>
        <c:crossBetween val="between"/>
      </c:valAx>
    </c:plotArea>
    <c:plotVisOnly val="1"/>
    <c:dispBlanksAs val="gap"/>
    <c:showDLblsOverMax val="0"/>
  </c:chart>
  <c:spPr>
    <a:ln w="9525">
      <a:noFill/>
    </a:ln>
  </c:spPr>
  <c:txPr>
    <a:bodyPr/>
    <a:lstStyle/>
    <a:p>
      <a:pPr>
        <a:defRPr sz="800"/>
      </a:pPr>
      <a:endParaRPr lang="lv-LV"/>
    </a:p>
  </c:txPr>
  <c:externalData r:id="rId1">
    <c:autoUpdate val="0"/>
  </c:externalData>
</c:chartSpace>
</file>

<file path=word/charts/chart2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3D52-4F0F-A3BD-A83C090B1D76}"/>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3D52-4F0F-A3BD-A83C090B1D76}"/>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Sheet1!$B$2:$M$2</c:f>
              <c:numCache>
                <c:formatCode>0</c:formatCode>
                <c:ptCount val="12"/>
                <c:pt idx="0">
                  <c:v>2004</c:v>
                </c:pt>
                <c:pt idx="1">
                  <c:v>2005</c:v>
                </c:pt>
                <c:pt idx="2">
                  <c:v>2006</c:v>
                </c:pt>
                <c:pt idx="3">
                  <c:v>2007</c:v>
                </c:pt>
                <c:pt idx="4">
                  <c:v>2008</c:v>
                </c:pt>
                <c:pt idx="5">
                  <c:v>2009</c:v>
                </c:pt>
                <c:pt idx="6">
                  <c:v>2010</c:v>
                </c:pt>
                <c:pt idx="7">
                  <c:v>2011</c:v>
                </c:pt>
                <c:pt idx="8">
                  <c:v>2012</c:v>
                </c:pt>
                <c:pt idx="9">
                  <c:v>2013</c:v>
                </c:pt>
                <c:pt idx="10" formatCode="General">
                  <c:v>2014</c:v>
                </c:pt>
                <c:pt idx="11">
                  <c:v>2015</c:v>
                </c:pt>
              </c:numCache>
            </c:numRef>
          </c:cat>
          <c:val>
            <c:numRef>
              <c:f>Sheet1!$B$3:$M$3</c:f>
              <c:numCache>
                <c:formatCode>0.0</c:formatCode>
                <c:ptCount val="12"/>
                <c:pt idx="0">
                  <c:v>7.8547854785478552</c:v>
                </c:pt>
                <c:pt idx="1">
                  <c:v>5.0293542074363984</c:v>
                </c:pt>
                <c:pt idx="2">
                  <c:v>7.6300578034682074</c:v>
                </c:pt>
                <c:pt idx="3">
                  <c:v>9.7038724373576315</c:v>
                </c:pt>
                <c:pt idx="4">
                  <c:v>12.214912280701757</c:v>
                </c:pt>
                <c:pt idx="5">
                  <c:v>9.7727272727272716</c:v>
                </c:pt>
                <c:pt idx="6">
                  <c:v>10.704225352112676</c:v>
                </c:pt>
                <c:pt idx="7">
                  <c:v>10.563002680965146</c:v>
                </c:pt>
                <c:pt idx="8">
                  <c:v>11.188118811881189</c:v>
                </c:pt>
                <c:pt idx="9">
                  <c:v>11.499999999999998</c:v>
                </c:pt>
                <c:pt idx="10">
                  <c:v>12.55</c:v>
                </c:pt>
                <c:pt idx="11" formatCode="General">
                  <c:v>13.882063882063882</c:v>
                </c:pt>
              </c:numCache>
            </c:numRef>
          </c:val>
          <c:extLst>
            <c:ext xmlns:c="http://schemas.openxmlformats.org/drawingml/2006/chart" xmlns:c16="http://schemas.microsoft.com/office/drawing/2014/chart" uri="{C3380CC4-5D6E-409C-BE32-E72D297353CC}">
              <c16:uniqueId val="{00000004-3D52-4F0F-A3BD-A83C090B1D76}"/>
            </c:ext>
          </c:extLst>
        </c:ser>
        <c:dLbls>
          <c:showLegendKey val="0"/>
          <c:showVal val="0"/>
          <c:showCatName val="0"/>
          <c:showSerName val="0"/>
          <c:showPercent val="0"/>
          <c:showBubbleSize val="0"/>
        </c:dLbls>
        <c:gapWidth val="20"/>
        <c:axId val="656328824"/>
        <c:axId val="656334704"/>
      </c:barChart>
      <c:catAx>
        <c:axId val="656328824"/>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56334704"/>
        <c:crosses val="autoZero"/>
        <c:auto val="1"/>
        <c:lblAlgn val="ctr"/>
        <c:lblOffset val="100"/>
        <c:noMultiLvlLbl val="0"/>
      </c:catAx>
      <c:valAx>
        <c:axId val="656334704"/>
        <c:scaling>
          <c:orientation val="minMax"/>
          <c:max val="20"/>
          <c:min val="0"/>
        </c:scaling>
        <c:delete val="0"/>
        <c:axPos val="l"/>
        <c:numFmt formatCode="0" sourceLinked="0"/>
        <c:majorTickMark val="out"/>
        <c:minorTickMark val="none"/>
        <c:tickLblPos val="nextTo"/>
        <c:crossAx val="656328824"/>
        <c:crosses val="autoZero"/>
        <c:crossBetween val="between"/>
        <c:majorUnit val="5"/>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2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987F-42BD-8058-C0A802836AF6}"/>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987F-42BD-8058-C0A802836AF6}"/>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Sheet1!$B$2:$M$2</c:f>
              <c:numCache>
                <c:formatCode>0</c:formatCode>
                <c:ptCount val="12"/>
                <c:pt idx="0">
                  <c:v>2004</c:v>
                </c:pt>
                <c:pt idx="1">
                  <c:v>2005</c:v>
                </c:pt>
                <c:pt idx="2">
                  <c:v>2006</c:v>
                </c:pt>
                <c:pt idx="3">
                  <c:v>2007</c:v>
                </c:pt>
                <c:pt idx="4">
                  <c:v>2008</c:v>
                </c:pt>
                <c:pt idx="5">
                  <c:v>2009</c:v>
                </c:pt>
                <c:pt idx="6">
                  <c:v>2010</c:v>
                </c:pt>
                <c:pt idx="7">
                  <c:v>2011</c:v>
                </c:pt>
                <c:pt idx="8">
                  <c:v>2012</c:v>
                </c:pt>
                <c:pt idx="9">
                  <c:v>2013</c:v>
                </c:pt>
                <c:pt idx="10" formatCode="General">
                  <c:v>2014</c:v>
                </c:pt>
                <c:pt idx="11">
                  <c:v>2015</c:v>
                </c:pt>
              </c:numCache>
            </c:numRef>
          </c:cat>
          <c:val>
            <c:numRef>
              <c:f>Sheet1!$B$3:$M$3</c:f>
              <c:numCache>
                <c:formatCode>0.0</c:formatCode>
                <c:ptCount val="12"/>
                <c:pt idx="0">
                  <c:v>13.037974683544304</c:v>
                </c:pt>
                <c:pt idx="1">
                  <c:v>8.3177570093457955</c:v>
                </c:pt>
                <c:pt idx="2">
                  <c:v>12.191528545119706</c:v>
                </c:pt>
                <c:pt idx="3">
                  <c:v>12.342733188720173</c:v>
                </c:pt>
                <c:pt idx="4">
                  <c:v>13.719008264462811</c:v>
                </c:pt>
                <c:pt idx="5">
                  <c:v>9.8927613941018766</c:v>
                </c:pt>
                <c:pt idx="6">
                  <c:v>12.891246684350133</c:v>
                </c:pt>
                <c:pt idx="7">
                  <c:v>16.171284634760706</c:v>
                </c:pt>
                <c:pt idx="8">
                  <c:v>16.412037037037038</c:v>
                </c:pt>
                <c:pt idx="9">
                  <c:v>16.966292134831459</c:v>
                </c:pt>
                <c:pt idx="10">
                  <c:v>20.000000000000004</c:v>
                </c:pt>
                <c:pt idx="11" formatCode="General">
                  <c:v>18.747152619589979</c:v>
                </c:pt>
              </c:numCache>
            </c:numRef>
          </c:val>
          <c:extLst>
            <c:ext xmlns:c="http://schemas.openxmlformats.org/drawingml/2006/chart" xmlns:c16="http://schemas.microsoft.com/office/drawing/2014/chart" uri="{C3380CC4-5D6E-409C-BE32-E72D297353CC}">
              <c16:uniqueId val="{00000004-987F-42BD-8058-C0A802836AF6}"/>
            </c:ext>
          </c:extLst>
        </c:ser>
        <c:dLbls>
          <c:showLegendKey val="0"/>
          <c:showVal val="0"/>
          <c:showCatName val="0"/>
          <c:showSerName val="0"/>
          <c:showPercent val="0"/>
          <c:showBubbleSize val="0"/>
        </c:dLbls>
        <c:gapWidth val="20"/>
        <c:axId val="656329216"/>
        <c:axId val="656329608"/>
      </c:barChart>
      <c:catAx>
        <c:axId val="656329216"/>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56329608"/>
        <c:crosses val="autoZero"/>
        <c:auto val="1"/>
        <c:lblAlgn val="ctr"/>
        <c:lblOffset val="100"/>
        <c:noMultiLvlLbl val="0"/>
      </c:catAx>
      <c:valAx>
        <c:axId val="656329608"/>
        <c:scaling>
          <c:orientation val="minMax"/>
        </c:scaling>
        <c:delete val="0"/>
        <c:axPos val="l"/>
        <c:numFmt formatCode="0" sourceLinked="0"/>
        <c:majorTickMark val="out"/>
        <c:minorTickMark val="none"/>
        <c:tickLblPos val="nextTo"/>
        <c:crossAx val="656329216"/>
        <c:crosses val="autoZero"/>
        <c:crossBetween val="between"/>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22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72841410287632"/>
          <c:y val="0.057971014492753624"/>
          <c:w val="0.69294856184214082"/>
          <c:h val="0.726718711443121"/>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extLst>
              <c:ext xmlns:c="http://schemas.openxmlformats.org/drawingml/2006/chart" xmlns:c16="http://schemas.microsoft.com/office/drawing/2014/chart" uri="{C3380CC4-5D6E-409C-BE32-E72D297353CC}">
                <c16:uniqueId val="{00000000-FBA0-4ACD-9079-A469113396AA}"/>
              </c:ext>
            </c:extLst>
          </c:dPt>
          <c:dLbls>
            <c:dLbl>
              <c:idx val="0"/>
              <c:layout>
                <c:manualLayout>
                  <c:x val="-0.10589658251481451"/>
                  <c:y val="0.056643560580568457"/>
                </c:manualLayout>
              </c:layout>
              <c:tx>
                <c:rich>
                  <a:bodyPr vertOverflow="clip"/>
                  <a:lstStyle/>
                  <a:p>
                    <a:r>
                      <a:rPr lang="en-US"/>
                      <a:t>2005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FBA0-4ACD-9079-A469113396AA}"/>
                </c:ext>
                <c:ext xmlns:c15="http://schemas.microsoft.com/office/drawing/2012/chart" uri="{CE6537A1-D6FC-4f65-9D91-7224C49458BB}"/>
              </c:extLst>
            </c:dLbl>
            <c:dLbl>
              <c:idx val="1"/>
              <c:layout>
                <c:manualLayout>
                  <c:x val="-0.21288903320074681"/>
                  <c:y val="-0.15408708526818762"/>
                </c:manualLayout>
              </c:layout>
              <c:tx>
                <c:rich>
                  <a:bodyPr vertOverflow="clip"/>
                  <a:lstStyle/>
                  <a:p>
                    <a:r>
                      <a:rPr lang="en-US"/>
                      <a:t>2007</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FBA0-4ACD-9079-A469113396AA}"/>
                </c:ext>
                <c:ext xmlns:c15="http://schemas.microsoft.com/office/drawing/2012/chart" uri="{CE6537A1-D6FC-4f65-9D91-7224C49458BB}"/>
              </c:extLst>
            </c:dLbl>
            <c:dLbl>
              <c:idx val="2"/>
              <c:layout>
                <c:manualLayout>
                  <c:x val="-0.0069583570094975244"/>
                  <c:y val="-0.041311438634273279"/>
                </c:manualLayout>
              </c:layout>
              <c:tx>
                <c:rich>
                  <a:bodyPr vertOverflow="clip"/>
                  <a:lstStyle/>
                  <a:p>
                    <a:r>
                      <a:rPr lang="en-US"/>
                      <a:t>2010</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FBA0-4ACD-9079-A469113396AA}"/>
                </c:ext>
                <c:ext xmlns:c15="http://schemas.microsoft.com/office/drawing/2012/chart" uri="{CE6537A1-D6FC-4f65-9D91-7224C49458BB}"/>
              </c:extLst>
            </c:dLbl>
            <c:dLbl>
              <c:idx val="3"/>
              <c:layout>
                <c:manualLayout>
                  <c:x val="-0.30953702952079443"/>
                  <c:y val="-0.15609484711846913"/>
                </c:manualLayout>
              </c:layout>
              <c:tx>
                <c:rich>
                  <a:bodyPr vertOverflow="clip"/>
                  <a:lstStyle/>
                  <a:p>
                    <a:r>
                      <a:rPr lang="en-US"/>
                      <a:t>2009</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FBA0-4ACD-9079-A469113396AA}"/>
                </c:ext>
                <c:ext xmlns:c15="http://schemas.microsoft.com/office/drawing/2012/chart" uri="{CE6537A1-D6FC-4f65-9D91-7224C49458BB}"/>
              </c:extLst>
            </c:dLbl>
            <c:dLbl>
              <c:idx val="4"/>
              <c:delete val="1"/>
              <c:extLst>
                <c:ext xmlns:c="http://schemas.openxmlformats.org/drawingml/2006/chart" xmlns:c16="http://schemas.microsoft.com/office/drawing/2014/chart" uri="{C3380CC4-5D6E-409C-BE32-E72D297353CC}">
                  <c16:uniqueId val="{00000005-FBA0-4ACD-9079-A469113396AA}"/>
                </c:ext>
                <c:ext xmlns:c15="http://schemas.microsoft.com/office/drawing/2012/chart" uri="{CE6537A1-D6FC-4f65-9D91-7224C49458BB}"/>
              </c:extLst>
            </c:dLbl>
            <c:dLbl>
              <c:idx val="5"/>
              <c:delete val="1"/>
              <c:extLst>
                <c:ext xmlns:c="http://schemas.openxmlformats.org/drawingml/2006/chart" xmlns:c16="http://schemas.microsoft.com/office/drawing/2014/chart" uri="{C3380CC4-5D6E-409C-BE32-E72D297353CC}">
                  <c16:uniqueId val="{00000000-FBA0-4ACD-9079-A469113396AA}"/>
                </c:ext>
                <c:ext xmlns:c15="http://schemas.microsoft.com/office/drawing/2012/chart" uri="{CE6537A1-D6FC-4f65-9D91-7224C49458BB}"/>
              </c:extLst>
            </c:dLbl>
            <c:dLbl>
              <c:idx val="6"/>
              <c:layout>
                <c:manualLayout>
                  <c:x val="-0.13745704467353953"/>
                  <c:y val="0.062677614016196689"/>
                </c:manualLayout>
              </c:layout>
              <c:tx>
                <c:rich>
                  <a:bodyPr vertOverflow="clip"/>
                  <a:lstStyle/>
                  <a:p>
                    <a:r>
                      <a:rPr lang="en-US"/>
                      <a:t>2011</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FBA0-4ACD-9079-A469113396AA}"/>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7-FBA0-4ACD-9079-A469113396AA}"/>
                </c:ext>
                <c:ext xmlns:c15="http://schemas.microsoft.com/office/drawing/2012/chart" uri="{CE6537A1-D6FC-4f65-9D91-7224C49458BB}"/>
              </c:extLst>
            </c:dLbl>
            <c:dLbl>
              <c:idx val="8"/>
              <c:delete val="1"/>
              <c:extLst>
                <c:ext xmlns:c="http://schemas.openxmlformats.org/drawingml/2006/chart" xmlns:c16="http://schemas.microsoft.com/office/drawing/2014/chart" uri="{C3380CC4-5D6E-409C-BE32-E72D297353CC}">
                  <c16:uniqueId val="{00000008-FBA0-4ACD-9079-A469113396AA}"/>
                </c:ext>
                <c:ext xmlns:c15="http://schemas.microsoft.com/office/drawing/2012/chart" uri="{CE6537A1-D6FC-4f65-9D91-7224C49458BB}"/>
              </c:extLst>
            </c:dLbl>
            <c:dLbl>
              <c:idx val="9"/>
              <c:layout>
                <c:manualLayout>
                  <c:x val="-0.020998457667018428"/>
                  <c:y val="0.00915808600847971"/>
                </c:manualLayout>
              </c:layout>
              <c:tx>
                <c:rich>
                  <a:bodyPr vertOverflow="clip"/>
                  <a:lstStyle/>
                  <a:p>
                    <a:r>
                      <a:rPr lang="en-US"/>
                      <a:t>2014</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FBA0-4ACD-9079-A469113396AA}"/>
                </c:ext>
                <c:ext xmlns:c15="http://schemas.microsoft.com/office/drawing/2012/chart" uri="{CE6537A1-D6FC-4f65-9D91-7224C49458BB}"/>
              </c:extLst>
            </c:dLbl>
            <c:dLbl>
              <c:idx val="10"/>
              <c:layout>
                <c:manualLayout>
                  <c:x val="-0.048682691305879967"/>
                  <c:y val="-0.05288250515989211"/>
                </c:manualLayout>
              </c:layout>
              <c:tx>
                <c:rich>
                  <a:bodyPr vertOverflow="clip"/>
                  <a:lstStyle/>
                  <a:p>
                    <a:r>
                      <a:rPr lang="en-US"/>
                      <a:t>2015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FBA0-4ACD-9079-A469113396AA}"/>
                </c:ext>
                <c:ext xmlns:c15="http://schemas.microsoft.com/office/drawing/2012/chart" uri="{CE6537A1-D6FC-4f65-9D91-7224C49458BB}"/>
              </c:extLst>
            </c:dLbl>
            <c:dLbl>
              <c:idx val="11"/>
              <c:layout>
                <c:manualLayout>
                  <c:x val="-0.045473776802943768"/>
                  <c:y val="-0.029435967255112244"/>
                </c:manualLayout>
              </c:layout>
              <c:tx>
                <c:rich>
                  <a:bodyPr/>
                  <a:lstStyle/>
                  <a:p>
                    <a:r>
                      <a:rPr lang="lv-LV"/>
                      <a:t>SK</a:t>
                    </a:r>
                    <a:endParaRPr lang="en-US"/>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FBA0-4ACD-9079-A469113396AA}"/>
                </c:ext>
                <c:ext xmlns:c15="http://schemas.microsoft.com/office/drawing/2012/chart" uri="{CE6537A1-D6FC-4f65-9D91-7224C49458BB}"/>
              </c:extLst>
            </c:dLbl>
            <c:dLbl>
              <c:idx val="12"/>
              <c:tx>
                <c:rich>
                  <a:bodyPr/>
                  <a:lstStyle/>
                  <a:p>
                    <a:r>
                      <a:rPr lang="lv-LV"/>
                      <a:t>FI</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FBA0-4ACD-9079-A469113396AA}"/>
                </c:ext>
                <c:ext xmlns:c15="http://schemas.microsoft.com/office/drawing/2012/chart" uri="{CE6537A1-D6FC-4f65-9D91-7224C49458BB}"/>
              </c:extLst>
            </c:dLbl>
            <c:dLbl>
              <c:idx val="13"/>
              <c:tx>
                <c:rich>
                  <a:bodyPr/>
                  <a:lstStyle/>
                  <a:p>
                    <a:r>
                      <a:rPr lang="lv-LV" b="0"/>
                      <a:t>SE</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FBA0-4ACD-9079-A469113396AA}"/>
                </c:ext>
                <c:ext xmlns:c15="http://schemas.microsoft.com/office/drawing/2012/chart" uri="{CE6537A1-D6FC-4f65-9D91-7224C49458BB}"/>
              </c:extLst>
            </c:dLbl>
            <c:spPr>
              <a:noFill/>
              <a:ln>
                <a:noFill/>
              </a:ln>
              <a:effectLst/>
            </c:spPr>
            <c:txPr>
              <a:bodyPr/>
              <a:lstStyle/>
              <a:p>
                <a:pPr>
                  <a:defRPr b="0"/>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Sheet1!$B$3:$B$13</c:f>
              <c:numCache>
                <c:formatCode>0.0</c:formatCode>
                <c:ptCount val="11"/>
                <c:pt idx="0">
                  <c:v>8.3177570093457955</c:v>
                </c:pt>
                <c:pt idx="1">
                  <c:v>12.191528545119706</c:v>
                </c:pt>
                <c:pt idx="2">
                  <c:v>12.342733188720173</c:v>
                </c:pt>
                <c:pt idx="3">
                  <c:v>13.719008264462811</c:v>
                </c:pt>
                <c:pt idx="4">
                  <c:v>9.8927613941018766</c:v>
                </c:pt>
                <c:pt idx="5">
                  <c:v>12.891246684350133</c:v>
                </c:pt>
                <c:pt idx="6">
                  <c:v>16.171284634760706</c:v>
                </c:pt>
                <c:pt idx="7">
                  <c:v>16.412037037037038</c:v>
                </c:pt>
                <c:pt idx="8">
                  <c:v>16.966292134831459</c:v>
                </c:pt>
                <c:pt idx="9">
                  <c:v>20.000000000000004</c:v>
                </c:pt>
                <c:pt idx="10">
                  <c:v>18.747152619589979</c:v>
                </c:pt>
              </c:numCache>
            </c:numRef>
          </c:xVal>
          <c:yVal>
            <c:numRef>
              <c:f>Sheet1!$C$3:$C$13</c:f>
              <c:numCache>
                <c:formatCode>0.0</c:formatCode>
                <c:ptCount val="11"/>
                <c:pt idx="0">
                  <c:v>0.604652696849095</c:v>
                </c:pt>
                <c:pt idx="1">
                  <c:v>0.62584915215758863</c:v>
                </c:pt>
                <c:pt idx="2">
                  <c:v>0.78620126425691883</c:v>
                </c:pt>
                <c:pt idx="3">
                  <c:v>0.89036408793067012</c:v>
                </c:pt>
                <c:pt idx="4">
                  <c:v>0.98786646957378654</c:v>
                </c:pt>
                <c:pt idx="5">
                  <c:v>0.83034834521532486</c:v>
                </c:pt>
                <c:pt idx="6">
                  <c:v>0.65319502559862352</c:v>
                </c:pt>
                <c:pt idx="7">
                  <c:v>0.68170202069572261</c:v>
                </c:pt>
                <c:pt idx="8">
                  <c:v>0.67781456953642383</c:v>
                </c:pt>
                <c:pt idx="9">
                  <c:v>0.6275</c:v>
                </c:pt>
                <c:pt idx="10">
                  <c:v>0.7404891912789846</c:v>
                </c:pt>
              </c:numCache>
            </c:numRef>
          </c:yVal>
          <c:smooth val="1"/>
          <c:extLst>
            <c:ext xmlns:c="http://schemas.openxmlformats.org/drawingml/2006/chart" xmlns:c16="http://schemas.microsoft.com/office/drawing/2014/chart" uri="{C3380CC4-5D6E-409C-BE32-E72D297353CC}">
              <c16:uniqueId val="{0000000E-FBA0-4ACD-9079-A469113396AA}"/>
            </c:ext>
          </c:extLst>
        </c:ser>
        <c:dLbls>
          <c:showLegendKey val="0"/>
          <c:showVal val="0"/>
          <c:showCatName val="0"/>
          <c:showSerName val="0"/>
          <c:showPercent val="0"/>
          <c:showBubbleSize val="0"/>
        </c:dLbls>
        <c:axId val="656331176"/>
        <c:axId val="656331568"/>
      </c:scatterChart>
      <c:valAx>
        <c:axId val="656331176"/>
        <c:scaling>
          <c:orientation val="minMax"/>
          <c:max val="25"/>
          <c:min val="5"/>
        </c:scaling>
        <c:delete val="0"/>
        <c:axPos val="b"/>
        <c:title>
          <c:tx>
            <c:rich>
              <a:bodyPr vertOverflow="clip"/>
              <a:lstStyle/>
              <a:p>
                <a:pPr>
                  <a:defRPr sz="700" b="0">
                    <a:latin typeface="Arial Narrow" pitchFamily="34" charset="0"/>
                  </a:defRPr>
                </a:pPr>
                <a:r>
                  <a:rPr lang="lv-LV" sz="700" b="0">
                    <a:latin typeface="Arial Narrow" pitchFamily="34" charset="0"/>
                  </a:rPr>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56331568"/>
        <c:crosses val="autoZero"/>
        <c:crossBetween val="midCat"/>
        <c:majorUnit val="5"/>
      </c:valAx>
      <c:valAx>
        <c:axId val="656331568"/>
        <c:scaling>
          <c:orientation val="minMax"/>
          <c:min val="0.4"/>
        </c:scaling>
        <c:delete val="0"/>
        <c:axPos val="l"/>
        <c:title>
          <c:tx>
            <c:rich>
              <a:bodyPr vertOverflow="clip"/>
              <a:lstStyle/>
              <a:p>
                <a:pPr>
                  <a:defRPr sz="700" b="0"/>
                </a:pPr>
                <a:r>
                  <a:rPr lang="lv-LV" sz="700" b="0">
                    <a:latin typeface="Arial Narrow" pitchFamily="34" charset="0"/>
                  </a:rPr>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56331176"/>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2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8"/>
          <c:y val="0.046005165816941182"/>
          <c:w val="0.85762258292899962"/>
          <c:h val="0.831279863372076"/>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Sheet1!$B$1:$I$1</c:f>
              <c:strCache>
                <c:ptCount val="8"/>
                <c:pt idx="0">
                  <c:v>2007</c:v>
                </c:pt>
                <c:pt idx="1">
                  <c:v>2008</c:v>
                </c:pt>
                <c:pt idx="2">
                  <c:v>2009</c:v>
                </c:pt>
                <c:pt idx="3">
                  <c:v>2010</c:v>
                </c:pt>
                <c:pt idx="4">
                  <c:v>2011</c:v>
                </c:pt>
                <c:pt idx="5">
                  <c:v>2012</c:v>
                </c:pt>
                <c:pt idx="6">
                  <c:v>2013</c:v>
                </c:pt>
                <c:pt idx="7">
                  <c:v>2014</c:v>
                </c:pt>
              </c:strCache>
            </c:strRef>
          </c:cat>
          <c:val>
            <c:numRef>
              <c:f>Sheet1!$B$2:$I$2</c:f>
              <c:numCache>
                <c:formatCode>0</c:formatCode>
                <c:ptCount val="8"/>
                <c:pt idx="0">
                  <c:v>33.721439159401655</c:v>
                </c:pt>
                <c:pt idx="1">
                  <c:v>39.357747157592392</c:v>
                </c:pt>
                <c:pt idx="2">
                  <c:v>35.257643303741311</c:v>
                </c:pt>
                <c:pt idx="3">
                  <c:v>31.604252389710798</c:v>
                </c:pt>
                <c:pt idx="4">
                  <c:v>31.875002820972814</c:v>
                </c:pt>
                <c:pt idx="5">
                  <c:v>33.804118310790848</c:v>
                </c:pt>
                <c:pt idx="6">
                  <c:v>35.156533977007385</c:v>
                </c:pt>
                <c:pt idx="7">
                  <c:v>37.421947439091205</c:v>
                </c:pt>
              </c:numCache>
            </c:numRef>
          </c:val>
          <c:extLst>
            <c:ext xmlns:c="http://schemas.openxmlformats.org/drawingml/2006/chart" xmlns:c16="http://schemas.microsoft.com/office/drawing/2014/chart" uri="{C3380CC4-5D6E-409C-BE32-E72D297353CC}">
              <c16:uniqueId val="{00000000-C230-46D2-A6CA-4149FA87A6F8}"/>
            </c:ext>
          </c:extLst>
        </c:ser>
        <c:ser>
          <c:idx val="1"/>
          <c:order val="1"/>
          <c:tx>
            <c:strRef>
              <c:f>Sheet1!$A$3</c:f>
              <c:strCache>
                <c:ptCount val="1"/>
                <c:pt idx="0">
                  <c:v>Transportlīdzekļu ražošana</c:v>
                </c:pt>
              </c:strCache>
            </c:strRef>
          </c:tx>
          <c:spPr>
            <a:ln>
              <a:solidFill>
                <a:sysClr val="windowText" lastClr="000000"/>
              </a:solidFill>
            </a:ln>
          </c:spPr>
          <c:invertIfNegative val="0"/>
          <c:dLbls>
            <c:numFmt formatCode="#,##0" sourceLinked="0"/>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2007</c:v>
                </c:pt>
                <c:pt idx="1">
                  <c:v>2008</c:v>
                </c:pt>
                <c:pt idx="2">
                  <c:v>2009</c:v>
                </c:pt>
                <c:pt idx="3">
                  <c:v>2010</c:v>
                </c:pt>
                <c:pt idx="4">
                  <c:v>2011</c:v>
                </c:pt>
                <c:pt idx="5">
                  <c:v>2012</c:v>
                </c:pt>
                <c:pt idx="6">
                  <c:v>2013</c:v>
                </c:pt>
                <c:pt idx="7">
                  <c:v>2014</c:v>
                </c:pt>
              </c:strCache>
            </c:strRef>
          </c:cat>
          <c:val>
            <c:numRef>
              <c:f>Sheet1!$B$3:$I$3</c:f>
              <c:numCache>
                <c:formatCode>0</c:formatCode>
                <c:ptCount val="8"/>
                <c:pt idx="0">
                  <c:v>23.337017453257388</c:v>
                </c:pt>
                <c:pt idx="1">
                  <c:v>29.717070440133654</c:v>
                </c:pt>
                <c:pt idx="2">
                  <c:v>24.89514084523228</c:v>
                </c:pt>
                <c:pt idx="3">
                  <c:v>24.932715619213994</c:v>
                </c:pt>
                <c:pt idx="4">
                  <c:v>24.073865799868344</c:v>
                </c:pt>
                <c:pt idx="5">
                  <c:v>24.750238195605554</c:v>
                </c:pt>
                <c:pt idx="6">
                  <c:v>24.88971216483759</c:v>
                </c:pt>
                <c:pt idx="7">
                  <c:v>26.370069705479267</c:v>
                </c:pt>
              </c:numCache>
            </c:numRef>
          </c:val>
          <c:extLst>
            <c:ext xmlns:c="http://schemas.openxmlformats.org/drawingml/2006/chart" xmlns:c16="http://schemas.microsoft.com/office/drawing/2014/chart" uri="{C3380CC4-5D6E-409C-BE32-E72D297353CC}">
              <c16:uniqueId val="{00000001-C230-46D2-A6CA-4149FA87A6F8}"/>
            </c:ext>
          </c:extLst>
        </c:ser>
        <c:dLbls>
          <c:showLegendKey val="0"/>
          <c:showVal val="0"/>
          <c:showCatName val="0"/>
          <c:showSerName val="0"/>
          <c:showPercent val="0"/>
          <c:showBubbleSize val="0"/>
        </c:dLbls>
        <c:gapWidth val="50"/>
        <c:overlap val="52"/>
        <c:axId val="656334312"/>
        <c:axId val="656335096"/>
      </c:barChart>
      <c:catAx>
        <c:axId val="656334312"/>
        <c:scaling>
          <c:orientation val="minMax"/>
        </c:scaling>
        <c:delete val="0"/>
        <c:axPos val="b"/>
        <c:numFmt formatCode="General" sourceLinked="0"/>
        <c:majorTickMark val="out"/>
        <c:minorTickMark val="none"/>
        <c:tickLblPos val="nextTo"/>
        <c:txPr>
          <a:bodyPr/>
          <a:lstStyle/>
          <a:p>
            <a:pPr>
              <a:defRPr sz="800"/>
            </a:pPr>
            <a:endParaRPr lang="lv-LV"/>
          </a:p>
        </c:txPr>
        <c:crossAx val="656335096"/>
        <c:crosses val="autoZero"/>
        <c:auto val="1"/>
        <c:lblAlgn val="ctr"/>
        <c:lblOffset val="100"/>
        <c:noMultiLvlLbl val="0"/>
      </c:catAx>
      <c:valAx>
        <c:axId val="656335096"/>
        <c:scaling>
          <c:orientation val="minMax"/>
          <c:max val="80"/>
        </c:scaling>
        <c:delete val="0"/>
        <c:axPos val="l"/>
        <c:numFmt formatCode="0" sourceLinked="0"/>
        <c:majorTickMark val="out"/>
        <c:minorTickMark val="none"/>
        <c:tickLblPos val="nextTo"/>
        <c:txPr>
          <a:bodyPr/>
          <a:lstStyle/>
          <a:p>
            <a:pPr>
              <a:defRPr sz="800"/>
            </a:pPr>
            <a:endParaRPr lang="lv-LV"/>
          </a:p>
        </c:txPr>
        <c:crossAx val="656334312"/>
        <c:crosses val="autoZero"/>
        <c:crossBetween val="between"/>
        <c:majorUnit val="20"/>
      </c:valAx>
      <c:spPr>
        <a:ln>
          <a:noFill/>
        </a:ln>
      </c:spPr>
    </c:plotArea>
    <c:legend>
      <c:legendPos val="r"/>
      <c:layout>
        <c:manualLayout>
          <c:xMode val="edge"/>
          <c:yMode val="edge"/>
          <c:x val="0.11354401327636736"/>
          <c:y val="0.061540280437918232"/>
          <c:w val="0.85456634064239723"/>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2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738"/>
          <c:y val="0.046005165816941182"/>
          <c:w val="0.85762258292899962"/>
          <c:h val="0.83127986337207582"/>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Sheet1!$B$1:$I$1</c:f>
              <c:strCache>
                <c:ptCount val="8"/>
                <c:pt idx="0">
                  <c:v>2007</c:v>
                </c:pt>
                <c:pt idx="1">
                  <c:v>2008</c:v>
                </c:pt>
                <c:pt idx="2">
                  <c:v>2009</c:v>
                </c:pt>
                <c:pt idx="3">
                  <c:v>2010</c:v>
                </c:pt>
                <c:pt idx="4">
                  <c:v>2011</c:v>
                </c:pt>
                <c:pt idx="5">
                  <c:v>2012</c:v>
                </c:pt>
                <c:pt idx="6">
                  <c:v>2013</c:v>
                </c:pt>
                <c:pt idx="7">
                  <c:v>2014</c:v>
                </c:pt>
              </c:strCache>
            </c:strRef>
          </c:cat>
          <c:val>
            <c:numRef>
              <c:f>Sheet1!$B$2:$I$2</c:f>
              <c:numCache>
                <c:formatCode>0</c:formatCode>
                <c:ptCount val="8"/>
                <c:pt idx="0">
                  <c:v>37.571008081742491</c:v>
                </c:pt>
                <c:pt idx="1">
                  <c:v>40.886874357448278</c:v>
                </c:pt>
                <c:pt idx="2">
                  <c:v>38.340696631750923</c:v>
                </c:pt>
                <c:pt idx="3">
                  <c:v>37.13786218879887</c:v>
                </c:pt>
                <c:pt idx="4">
                  <c:v>40.358416265069444</c:v>
                </c:pt>
                <c:pt idx="5">
                  <c:v>42.444824679460964</c:v>
                </c:pt>
                <c:pt idx="6">
                  <c:v>42.534590211759</c:v>
                </c:pt>
                <c:pt idx="7">
                  <c:v>43.637999214462909</c:v>
                </c:pt>
              </c:numCache>
            </c:numRef>
          </c:val>
          <c:extLst>
            <c:ext xmlns:c="http://schemas.openxmlformats.org/drawingml/2006/chart" xmlns:c16="http://schemas.microsoft.com/office/drawing/2014/chart" uri="{C3380CC4-5D6E-409C-BE32-E72D297353CC}">
              <c16:uniqueId val="{00000000-BB47-4661-ABC2-3545C300E69D}"/>
            </c:ext>
          </c:extLst>
        </c:ser>
        <c:ser>
          <c:idx val="1"/>
          <c:order val="1"/>
          <c:tx>
            <c:strRef>
              <c:f>Sheet1!$A$3</c:f>
              <c:strCache>
                <c:ptCount val="1"/>
                <c:pt idx="0">
                  <c:v>Transportlīdzekļu ražošana</c:v>
                </c:pt>
              </c:strCache>
            </c:strRef>
          </c:tx>
          <c:spPr>
            <a:ln>
              <a:solidFill>
                <a:sysClr val="windowText" lastClr="000000"/>
              </a:solidFill>
            </a:ln>
          </c:spPr>
          <c:invertIfNegative val="0"/>
          <c:dLbls>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2007</c:v>
                </c:pt>
                <c:pt idx="1">
                  <c:v>2008</c:v>
                </c:pt>
                <c:pt idx="2">
                  <c:v>2009</c:v>
                </c:pt>
                <c:pt idx="3">
                  <c:v>2010</c:v>
                </c:pt>
                <c:pt idx="4">
                  <c:v>2011</c:v>
                </c:pt>
                <c:pt idx="5">
                  <c:v>2012</c:v>
                </c:pt>
                <c:pt idx="6">
                  <c:v>2013</c:v>
                </c:pt>
                <c:pt idx="7">
                  <c:v>2014</c:v>
                </c:pt>
              </c:strCache>
            </c:strRef>
          </c:cat>
          <c:val>
            <c:numRef>
              <c:f>Sheet1!$B$3:$I$3</c:f>
              <c:numCache>
                <c:formatCode>0</c:formatCode>
                <c:ptCount val="8"/>
                <c:pt idx="0">
                  <c:v>17.449230586542029</c:v>
                </c:pt>
                <c:pt idx="1">
                  <c:v>22.872605550655852</c:v>
                </c:pt>
                <c:pt idx="2">
                  <c:v>18.361286541081196</c:v>
                </c:pt>
                <c:pt idx="3">
                  <c:v>17.649681240729684</c:v>
                </c:pt>
                <c:pt idx="4">
                  <c:v>20.914389098365287</c:v>
                </c:pt>
                <c:pt idx="5">
                  <c:v>21.421295201687553</c:v>
                </c:pt>
                <c:pt idx="6">
                  <c:v>21.622798912349555</c:v>
                </c:pt>
                <c:pt idx="7">
                  <c:v>23.701940664142658</c:v>
                </c:pt>
              </c:numCache>
            </c:numRef>
          </c:val>
          <c:extLst>
            <c:ext xmlns:c="http://schemas.openxmlformats.org/drawingml/2006/chart" xmlns:c16="http://schemas.microsoft.com/office/drawing/2014/chart" uri="{C3380CC4-5D6E-409C-BE32-E72D297353CC}">
              <c16:uniqueId val="{00000001-BB47-4661-ABC2-3545C300E69D}"/>
            </c:ext>
          </c:extLst>
        </c:ser>
        <c:dLbls>
          <c:showLegendKey val="0"/>
          <c:showVal val="0"/>
          <c:showCatName val="0"/>
          <c:showSerName val="0"/>
          <c:showPercent val="0"/>
          <c:showBubbleSize val="0"/>
        </c:dLbls>
        <c:gapWidth val="50"/>
        <c:overlap val="52"/>
        <c:axId val="656341368"/>
        <c:axId val="656342936"/>
      </c:barChart>
      <c:catAx>
        <c:axId val="656341368"/>
        <c:scaling>
          <c:orientation val="minMax"/>
        </c:scaling>
        <c:delete val="0"/>
        <c:axPos val="b"/>
        <c:numFmt formatCode="General" sourceLinked="0"/>
        <c:majorTickMark val="out"/>
        <c:minorTickMark val="none"/>
        <c:tickLblPos val="nextTo"/>
        <c:txPr>
          <a:bodyPr rot="-2700000"/>
          <a:lstStyle/>
          <a:p>
            <a:pPr>
              <a:defRPr sz="800"/>
            </a:pPr>
            <a:endParaRPr lang="lv-LV"/>
          </a:p>
        </c:txPr>
        <c:crossAx val="656342936"/>
        <c:crosses val="autoZero"/>
        <c:auto val="1"/>
        <c:lblAlgn val="ctr"/>
        <c:lblOffset val="100"/>
        <c:noMultiLvlLbl val="0"/>
      </c:catAx>
      <c:valAx>
        <c:axId val="656342936"/>
        <c:scaling>
          <c:orientation val="minMax"/>
          <c:max val="80"/>
        </c:scaling>
        <c:delete val="0"/>
        <c:axPos val="l"/>
        <c:numFmt formatCode="0" sourceLinked="1"/>
        <c:majorTickMark val="out"/>
        <c:minorTickMark val="none"/>
        <c:tickLblPos val="nextTo"/>
        <c:txPr>
          <a:bodyPr/>
          <a:lstStyle/>
          <a:p>
            <a:pPr>
              <a:defRPr sz="800"/>
            </a:pPr>
            <a:endParaRPr lang="lv-LV"/>
          </a:p>
        </c:txPr>
        <c:crossAx val="656341368"/>
        <c:crosses val="autoZero"/>
        <c:crossBetween val="between"/>
        <c:majorUnit val="20"/>
      </c:valAx>
      <c:spPr>
        <a:ln>
          <a:noFill/>
        </a:ln>
      </c:spPr>
    </c:plotArea>
    <c:legend>
      <c:legendPos val="r"/>
      <c:layout>
        <c:manualLayout>
          <c:xMode val="edge"/>
          <c:yMode val="edge"/>
          <c:x val="0.13842777005815449"/>
          <c:y val="0.04952826842590622"/>
          <c:w val="0.81622973598888371"/>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2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46717244654"/>
          <c:y val="0.044057617797775277"/>
          <c:w val="0.9310540474739486"/>
          <c:h val="0.52737980923116323"/>
        </c:manualLayout>
      </c:layout>
      <c:barChart>
        <c:barDir val="col"/>
        <c:grouping val="clustered"/>
        <c:varyColors val="0"/>
        <c:ser>
          <c:idx val="1"/>
          <c:order val="0"/>
          <c:tx>
            <c:strRef>
              <c:f>Sheet1!$B$3</c:f>
              <c:strCache>
                <c:ptCount val="1"/>
                <c:pt idx="0">
                  <c:v>Compensation per employees 1000 of euro</c:v>
                </c:pt>
              </c:strCache>
            </c:strRef>
          </c:tx>
          <c:spPr>
            <a:solidFill>
              <a:schemeClr val="accent3">
                <a:lumMod val="50000"/>
              </a:schemeClr>
            </a:solidFill>
            <a:ln w="19050"/>
          </c:spPr>
          <c:invertIfNegative val="0"/>
          <c:dPt>
            <c:idx val="8"/>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1-AD7B-4640-9531-CD6CBAF61510}"/>
              </c:ext>
            </c:extLst>
          </c:dPt>
          <c:dPt>
            <c:idx val="9"/>
            <c:invertIfNegative val="0"/>
            <c:bubble3D val="0"/>
            <c:extLst>
              <c:ext xmlns:c="http://schemas.openxmlformats.org/drawingml/2006/chart" xmlns:c16="http://schemas.microsoft.com/office/drawing/2014/chart" uri="{C3380CC4-5D6E-409C-BE32-E72D297353CC}">
                <c16:uniqueId val="{00000006-926A-4E2D-A919-FAE8F1080F0D}"/>
              </c:ext>
            </c:extLst>
          </c:dPt>
          <c:dPt>
            <c:idx val="19"/>
            <c:invertIfNegative val="0"/>
            <c:bubble3D val="0"/>
            <c:extLst>
              <c:ext xmlns:c="http://schemas.openxmlformats.org/drawingml/2006/chart" xmlns:c16="http://schemas.microsoft.com/office/drawing/2014/chart" uri="{C3380CC4-5D6E-409C-BE32-E72D297353CC}">
                <c16:uniqueId val="{00000000-A7D0-4D3F-9EF6-38C66D4FD123}"/>
              </c:ext>
            </c:extLst>
          </c:dPt>
          <c:dPt>
            <c:idx val="20"/>
            <c:invertIfNegative val="0"/>
            <c:bubble3D val="0"/>
            <c:extLst>
              <c:ext xmlns:c="http://schemas.openxmlformats.org/drawingml/2006/chart" xmlns:c16="http://schemas.microsoft.com/office/drawing/2014/chart" uri="{C3380CC4-5D6E-409C-BE32-E72D297353CC}">
                <c16:uniqueId val="{00000001-A7D0-4D3F-9EF6-38C66D4FD123}"/>
              </c:ext>
            </c:extLst>
          </c:dPt>
          <c:dPt>
            <c:idx val="22"/>
            <c:invertIfNegative val="0"/>
            <c:bubble3D val="0"/>
            <c:spPr>
              <a:solidFill>
                <a:srgbClr val="C00000"/>
              </a:solidFill>
              <a:ln w="19050"/>
            </c:spPr>
            <c:extLst>
              <c:ext xmlns:c="http://schemas.openxmlformats.org/drawingml/2006/chart" xmlns:c16="http://schemas.microsoft.com/office/drawing/2014/chart" uri="{C3380CC4-5D6E-409C-BE32-E72D297353CC}">
                <c16:uniqueId val="{00000002-A7D0-4D3F-9EF6-38C66D4FD123}"/>
              </c:ext>
            </c:extLst>
          </c:dPt>
          <c:dPt>
            <c:idx val="24"/>
            <c:invertIfNegative val="0"/>
            <c:bubble3D val="0"/>
            <c:extLst>
              <c:ext xmlns:c="http://schemas.openxmlformats.org/drawingml/2006/chart" xmlns:c16="http://schemas.microsoft.com/office/drawing/2014/chart" uri="{C3380CC4-5D6E-409C-BE32-E72D297353CC}">
                <c16:uniqueId val="{00000004-A7D0-4D3F-9EF6-38C66D4FD123}"/>
              </c:ext>
            </c:extLst>
          </c:dPt>
          <c:dPt>
            <c:idx val="25"/>
            <c:invertIfNegative val="0"/>
            <c:bubble3D val="0"/>
            <c:extLst>
              <c:ext xmlns:c="http://schemas.openxmlformats.org/drawingml/2006/chart" xmlns:c16="http://schemas.microsoft.com/office/drawing/2014/chart" uri="{C3380CC4-5D6E-409C-BE32-E72D297353CC}">
                <c16:uniqueId val="{00000005-A7D0-4D3F-9EF6-38C66D4FD123}"/>
              </c:ext>
            </c:extLst>
          </c:dPt>
          <c:dLbls>
            <c:dLbl>
              <c:idx val="8"/>
              <c:numFmt formatCode="#,##0" sourceLinked="0"/>
              <c:spPr>
                <a:noFill/>
                <a:ln>
                  <a:noFill/>
                </a:ln>
                <a:effectLst/>
              </c:spPr>
              <c:txPr>
                <a:bodyPr/>
                <a:lstStyle/>
                <a:p>
                  <a:pPr>
                    <a:defRPr sz="600" b="0"/>
                  </a:pPr>
                  <a:endParaRPr lang="lv-LV"/>
                </a:p>
              </c:txPr>
              <c:showLegendKey val="0"/>
              <c:showVal val="1"/>
              <c:showCatName val="0"/>
              <c:showSerName val="0"/>
              <c:showPercent val="0"/>
              <c:showBubbleSize val="0"/>
            </c:dLbl>
            <c:dLbl>
              <c:idx val="19"/>
              <c:layout>
                <c:manualLayout>
                  <c:x val="0"/>
                  <c:y val="4.9683256226419487E-17"/>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A7D0-4D3F-9EF6-38C66D4FD123}"/>
                </c:ext>
                <c:ext xmlns:c15="http://schemas.microsoft.com/office/drawing/2012/chart" uri="{CE6537A1-D6FC-4f65-9D91-7224C49458BB}"/>
              </c:extLst>
            </c:dLbl>
            <c:dLbl>
              <c:idx val="22"/>
              <c:layout>
                <c:manualLayout>
                  <c:x val="0"/>
                  <c:y val="0.010839254849241406"/>
                </c:manualLayout>
              </c:layout>
              <c:numFmt formatCode="#,##0" sourceLinked="0"/>
              <c:txPr>
                <a:bodyPr/>
                <a:lstStyle/>
                <a:p>
                  <a:pPr>
                    <a:defRPr sz="600" b="1"/>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A7D0-4D3F-9EF6-38C66D4FD123}"/>
                </c:ext>
                <c:ext xmlns:c15="http://schemas.microsoft.com/office/drawing/2012/chart" uri="{CE6537A1-D6FC-4f65-9D91-7224C49458BB}"/>
              </c:extLst>
            </c:dLbl>
            <c:dLbl>
              <c:idx val="24"/>
              <c:layout>
                <c:manualLayout>
                  <c:x val="0"/>
                  <c:y val="-3.7556281074671456E-05"/>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A7D0-4D3F-9EF6-38C66D4FD123}"/>
                </c:ext>
                <c:ext xmlns:c15="http://schemas.microsoft.com/office/drawing/2012/chart" uri="{CE6537A1-D6FC-4f65-9D91-7224C49458BB}"/>
              </c:extLst>
            </c:dLbl>
            <c:dLbl>
              <c:idx val="25"/>
              <c:layout>
                <c:manualLayout>
                  <c:x val="0"/>
                  <c:y val="0.0047350290403144375"/>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A7D0-4D3F-9EF6-38C66D4FD123}"/>
                </c:ext>
                <c:ext xmlns:c15="http://schemas.microsoft.com/office/drawing/2012/chart" uri="{CE6537A1-D6FC-4f65-9D91-7224C49458BB}"/>
              </c:extLst>
            </c:dLbl>
            <c:numFmt formatCode="#,##0" sourceLinked="0"/>
            <c:spPr>
              <a:noFill/>
              <a:ln>
                <a:noFill/>
              </a:ln>
              <a:effectLst/>
            </c:spPr>
            <c:txPr>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Sheet1!$A$4:$A$31</c:f>
              <c:strCache>
                <c:ptCount val="28"/>
                <c:pt idx="0">
                  <c:v>Apv. Karaliste</c:v>
                </c:pt>
                <c:pt idx="1">
                  <c:v>Francija</c:v>
                </c:pt>
                <c:pt idx="2">
                  <c:v>Vācija</c:v>
                </c:pt>
                <c:pt idx="3">
                  <c:v>Beļģija</c:v>
                </c:pt>
                <c:pt idx="4">
                  <c:v>Austrija</c:v>
                </c:pt>
                <c:pt idx="5">
                  <c:v>Zviedrija</c:v>
                </c:pt>
                <c:pt idx="6">
                  <c:v>Nīderlande</c:v>
                </c:pt>
                <c:pt idx="7">
                  <c:v>Dānija</c:v>
                </c:pt>
                <c:pt idx="8">
                  <c:v>ES-28</c:v>
                </c:pt>
                <c:pt idx="9">
                  <c:v>Somija</c:v>
                </c:pt>
                <c:pt idx="10">
                  <c:v>Spānija</c:v>
                </c:pt>
                <c:pt idx="11">
                  <c:v>Itālija</c:v>
                </c:pt>
                <c:pt idx="12">
                  <c:v>Īrija</c:v>
                </c:pt>
                <c:pt idx="13">
                  <c:v>Slovēnija</c:v>
                </c:pt>
                <c:pt idx="14">
                  <c:v>Malta</c:v>
                </c:pt>
                <c:pt idx="15">
                  <c:v>Portugāle</c:v>
                </c:pt>
                <c:pt idx="16">
                  <c:v>Igaunija</c:v>
                </c:pt>
                <c:pt idx="17">
                  <c:v>Slovākija</c:v>
                </c:pt>
                <c:pt idx="18">
                  <c:v>Grieķija</c:v>
                </c:pt>
                <c:pt idx="19">
                  <c:v>Kipra</c:v>
                </c:pt>
                <c:pt idx="20">
                  <c:v>Čehija</c:v>
                </c:pt>
                <c:pt idx="21">
                  <c:v>Ungārija</c:v>
                </c:pt>
                <c:pt idx="22">
                  <c:v>Latvija</c:v>
                </c:pt>
                <c:pt idx="23">
                  <c:v>Lietuva</c:v>
                </c:pt>
                <c:pt idx="24">
                  <c:v>Horvātija</c:v>
                </c:pt>
                <c:pt idx="25">
                  <c:v>Polija</c:v>
                </c:pt>
                <c:pt idx="26">
                  <c:v>Rumānija</c:v>
                </c:pt>
                <c:pt idx="27">
                  <c:v>Bulgārija</c:v>
                </c:pt>
              </c:strCache>
            </c:strRef>
          </c:cat>
          <c:val>
            <c:numRef>
              <c:f>Sheet1!$B$4:$B$31</c:f>
              <c:numCache>
                <c:formatCode>#,##0.0</c:formatCode>
                <c:ptCount val="28"/>
                <c:pt idx="0">
                  <c:v>82.1289665951801</c:v>
                </c:pt>
                <c:pt idx="1">
                  <c:v>72.505208333333329</c:v>
                </c:pt>
                <c:pt idx="2">
                  <c:v>71.853439680957123</c:v>
                </c:pt>
                <c:pt idx="3">
                  <c:v>64.282967032967036</c:v>
                </c:pt>
                <c:pt idx="4">
                  <c:v>59.981461864406782</c:v>
                </c:pt>
                <c:pt idx="5">
                  <c:v>59.820253164556966</c:v>
                </c:pt>
                <c:pt idx="6">
                  <c:v>58.891891891891895</c:v>
                </c:pt>
                <c:pt idx="7">
                  <c:v>58.583333333333336</c:v>
                </c:pt>
                <c:pt idx="8">
                  <c:v>49.490059194339516</c:v>
                </c:pt>
                <c:pt idx="9">
                  <c:v>48.043478260869563</c:v>
                </c:pt>
                <c:pt idx="10">
                  <c:v>47.992939989914269</c:v>
                </c:pt>
                <c:pt idx="11">
                  <c:v>46.946634806849858</c:v>
                </c:pt>
                <c:pt idx="12">
                  <c:v>42.120481927710841</c:v>
                </c:pt>
                <c:pt idx="13">
                  <c:v>25.159362549800793</c:v>
                </c:pt>
                <c:pt idx="14">
                  <c:v>23.214285714285712</c:v>
                </c:pt>
                <c:pt idx="15">
                  <c:v>22.773530187186921</c:v>
                </c:pt>
                <c:pt idx="16">
                  <c:v>22.030303030303031</c:v>
                </c:pt>
                <c:pt idx="17">
                  <c:v>19.000972627483673</c:v>
                </c:pt>
                <c:pt idx="18">
                  <c:v>18.269550748752081</c:v>
                </c:pt>
                <c:pt idx="19">
                  <c:v>17.777777777777779</c:v>
                </c:pt>
                <c:pt idx="20">
                  <c:v>17.690994243340814</c:v>
                </c:pt>
                <c:pt idx="21">
                  <c:v>17.369030086261308</c:v>
                </c:pt>
                <c:pt idx="22">
                  <c:v>13.882063882063882</c:v>
                </c:pt>
                <c:pt idx="23">
                  <c:v>13.377483443708609</c:v>
                </c:pt>
                <c:pt idx="24">
                  <c:v>12.380607814761214</c:v>
                </c:pt>
                <c:pt idx="25">
                  <c:v>11.339494762784966</c:v>
                </c:pt>
                <c:pt idx="26">
                  <c:v>9.0483870967741922</c:v>
                </c:pt>
                <c:pt idx="27">
                  <c:v>6.3690476190476195</c:v>
                </c:pt>
              </c:numCache>
            </c:numRef>
          </c:val>
          <c:extLst>
            <c:ext xmlns:c="http://schemas.openxmlformats.org/drawingml/2006/chart" xmlns:c16="http://schemas.microsoft.com/office/drawing/2014/chart" uri="{C3380CC4-5D6E-409C-BE32-E72D297353CC}">
              <c16:uniqueId val="{00000006-A7D0-4D3F-9EF6-38C66D4FD123}"/>
            </c:ext>
          </c:extLst>
        </c:ser>
        <c:dLbls>
          <c:showLegendKey val="0"/>
          <c:showVal val="0"/>
          <c:showCatName val="0"/>
          <c:showSerName val="0"/>
          <c:showPercent val="0"/>
          <c:showBubbleSize val="0"/>
        </c:dLbls>
        <c:gapWidth val="20"/>
        <c:axId val="656343328"/>
        <c:axId val="656343720"/>
      </c:barChart>
      <c:catAx>
        <c:axId val="656343328"/>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56343720"/>
        <c:crosses val="autoZero"/>
        <c:auto val="1"/>
        <c:lblAlgn val="ctr"/>
        <c:lblOffset val="100"/>
        <c:tickLblSkip val="1"/>
        <c:noMultiLvlLbl val="0"/>
      </c:catAx>
      <c:valAx>
        <c:axId val="656343720"/>
        <c:scaling>
          <c:orientation val="minMax"/>
        </c:scaling>
        <c:delete val="0"/>
        <c:axPos val="l"/>
        <c:numFmt formatCode="0" sourceLinked="0"/>
        <c:majorTickMark val="out"/>
        <c:minorTickMark val="none"/>
        <c:tickLblPos val="nextTo"/>
        <c:txPr>
          <a:bodyPr/>
          <a:lstStyle/>
          <a:p>
            <a:pPr>
              <a:defRPr sz="600"/>
            </a:pPr>
            <a:endParaRPr lang="lv-LV"/>
          </a:p>
        </c:txPr>
        <c:crossAx val="656343328"/>
        <c:crosses val="autoZero"/>
        <c:crossBetween val="between"/>
      </c:valAx>
    </c:plotArea>
    <c:plotVisOnly val="1"/>
    <c:dispBlanksAs val="gap"/>
    <c:showDLblsOverMax val="0"/>
  </c:chart>
  <c:spPr>
    <a:ln w="9525">
      <a:noFill/>
    </a:ln>
  </c:spPr>
  <c:externalData r:id="rId1">
    <c:autoUpdate val="0"/>
  </c:externalData>
</c:chartSpace>
</file>

<file path=word/charts/chart2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5206365820586629"/>
          <c:y val="0.098667178797772245"/>
          <c:w val="0.92848141716424415"/>
          <c:h val="0.44729274694321747"/>
        </c:manualLayout>
      </c:layout>
      <c:barChart>
        <c:barDir val="col"/>
        <c:grouping val="clustered"/>
        <c:varyColors val="0"/>
        <c:ser>
          <c:idx val="1"/>
          <c:order val="0"/>
          <c:tx>
            <c:strRef>
              <c:f>Sheet1!$B$3</c:f>
              <c:strCache>
                <c:ptCount val="1"/>
                <c:pt idx="0">
                  <c:v>Productivity</c:v>
                </c:pt>
              </c:strCache>
            </c:strRef>
          </c:tx>
          <c:spPr>
            <a:solidFill>
              <a:schemeClr val="accent3">
                <a:lumMod val="50000"/>
              </a:schemeClr>
            </a:solidFill>
            <a:ln w="19050"/>
          </c:spPr>
          <c:invertIfNegative val="0"/>
          <c:dPt>
            <c:idx val="7"/>
            <c:invertIfNegative val="0"/>
            <c:bubble3D val="0"/>
            <c:extLst>
              <c:ext xmlns:c="http://schemas.openxmlformats.org/drawingml/2006/chart" xmlns:c16="http://schemas.microsoft.com/office/drawing/2014/chart" uri="{C3380CC4-5D6E-409C-BE32-E72D297353CC}">
                <c16:uniqueId val="{00000006-AAD7-4D4D-BF17-29966B30D152}"/>
              </c:ext>
            </c:extLst>
          </c:dPt>
          <c:dPt>
            <c:idx val="17"/>
            <c:invertIfNegative val="0"/>
            <c:bubble3D val="0"/>
            <c:extLst>
              <c:ext xmlns:c="http://schemas.openxmlformats.org/drawingml/2006/chart" xmlns:c16="http://schemas.microsoft.com/office/drawing/2014/chart" uri="{C3380CC4-5D6E-409C-BE32-E72D297353CC}">
                <c16:uniqueId val="{00000000-0250-4086-9002-CE217EC346F3}"/>
              </c:ext>
            </c:extLst>
          </c:dPt>
          <c:dPt>
            <c:idx val="20"/>
            <c:invertIfNegative val="0"/>
            <c:bubble3D val="0"/>
            <c:extLst>
              <c:ext xmlns:c="http://schemas.openxmlformats.org/drawingml/2006/chart" xmlns:c16="http://schemas.microsoft.com/office/drawing/2014/chart" uri="{C3380CC4-5D6E-409C-BE32-E72D297353CC}">
                <c16:uniqueId val="{00000001-0250-4086-9002-CE217EC346F3}"/>
              </c:ext>
            </c:extLst>
          </c:dPt>
          <c:dPt>
            <c:idx val="22"/>
            <c:invertIfNegative val="0"/>
            <c:bubble3D val="0"/>
            <c:extLst>
              <c:ext xmlns:c="http://schemas.openxmlformats.org/drawingml/2006/chart" xmlns:c16="http://schemas.microsoft.com/office/drawing/2014/chart" uri="{C3380CC4-5D6E-409C-BE32-E72D297353CC}">
                <c16:uniqueId val="{00000002-0250-4086-9002-CE217EC346F3}"/>
              </c:ext>
            </c:extLst>
          </c:dPt>
          <c:dPt>
            <c:idx val="23"/>
            <c:invertIfNegative val="0"/>
            <c:bubble3D val="0"/>
            <c:spPr>
              <a:solidFill>
                <a:srgbClr val="C00000"/>
              </a:solidFill>
              <a:ln w="19050"/>
            </c:spPr>
            <c:extLst>
              <c:ext xmlns:c="http://schemas.openxmlformats.org/drawingml/2006/chart" xmlns:c16="http://schemas.microsoft.com/office/drawing/2014/chart" uri="{C3380CC4-5D6E-409C-BE32-E72D297353CC}">
                <c16:uniqueId val="{00000005-8E5D-444E-B7C4-AB333CC28995}"/>
              </c:ext>
            </c:extLst>
          </c:dPt>
          <c:dPt>
            <c:idx val="24"/>
            <c:invertIfNegative val="0"/>
            <c:bubble3D val="0"/>
            <c:extLst>
              <c:ext xmlns:c="http://schemas.openxmlformats.org/drawingml/2006/chart" xmlns:c16="http://schemas.microsoft.com/office/drawing/2014/chart" uri="{C3380CC4-5D6E-409C-BE32-E72D297353CC}">
                <c16:uniqueId val="{00000004-0250-4086-9002-CE217EC346F3}"/>
              </c:ext>
            </c:extLst>
          </c:dPt>
          <c:dPt>
            <c:idx val="25"/>
            <c:invertIfNegative val="0"/>
            <c:bubble3D val="0"/>
            <c:extLst>
              <c:ext xmlns:c="http://schemas.openxmlformats.org/drawingml/2006/chart" xmlns:c16="http://schemas.microsoft.com/office/drawing/2014/chart" uri="{C3380CC4-5D6E-409C-BE32-E72D297353CC}">
                <c16:uniqueId val="{00000005-0250-4086-9002-CE217EC346F3}"/>
              </c:ext>
            </c:extLst>
          </c:dPt>
          <c:dLbls>
            <c:dLbl>
              <c:idx val="17"/>
              <c:layout>
                <c:manualLayout>
                  <c:x val="-3.1718089619462218E-07"/>
                  <c:y val="0"/>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0250-4086-9002-CE217EC346F3}"/>
                </c:ext>
                <c:ext xmlns:c15="http://schemas.microsoft.com/office/drawing/2012/chart" uri="{CE6537A1-D6FC-4f65-9D91-7224C49458BB}"/>
              </c:extLst>
            </c:dLbl>
            <c:dLbl>
              <c:idx val="22"/>
              <c:layout>
                <c:manualLayout>
                  <c:x val="0"/>
                  <c:y val="0.010840108401084011"/>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0250-4086-9002-CE217EC346F3}"/>
                </c:ext>
                <c:ext xmlns:c15="http://schemas.microsoft.com/office/drawing/2012/chart" uri="{CE6537A1-D6FC-4f65-9D91-7224C49458BB}"/>
              </c:extLst>
            </c:dLbl>
            <c:dLbl>
              <c:idx val="23"/>
              <c:numFmt formatCode="#,##0" sourceLinked="0"/>
              <c:spPr>
                <a:noFill/>
                <a:ln>
                  <a:noFill/>
                </a:ln>
                <a:effectLst/>
              </c:spPr>
              <c:txPr>
                <a:bodyPr/>
                <a:lstStyle/>
                <a:p>
                  <a:pPr>
                    <a:defRPr sz="600" b="1"/>
                  </a:pPr>
                  <a:endParaRPr lang="lv-LV"/>
                </a:p>
              </c:txPr>
              <c:showLegendKey val="0"/>
              <c:showVal val="1"/>
              <c:showCatName val="0"/>
              <c:showSerName val="0"/>
              <c:showPercent val="0"/>
              <c:showBubbleSize val="0"/>
            </c:dLbl>
            <c:dLbl>
              <c:idx val="24"/>
              <c:layout>
                <c:manualLayout>
                  <c:x val="0"/>
                  <c:y val="-3.6702729232016727E-05"/>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0250-4086-9002-CE217EC346F3}"/>
                </c:ext>
                <c:ext xmlns:c15="http://schemas.microsoft.com/office/drawing/2012/chart" uri="{CE6537A1-D6FC-4f65-9D91-7224C49458BB}"/>
              </c:extLst>
            </c:dLbl>
            <c:dLbl>
              <c:idx val="25"/>
              <c:layout>
                <c:manualLayout>
                  <c:x val="0.0040281973816717019"/>
                  <c:y val="0.0047346520709301582"/>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0250-4086-9002-CE217EC346F3}"/>
                </c:ext>
                <c:ext xmlns:c15="http://schemas.microsoft.com/office/drawing/2012/chart" uri="{CE6537A1-D6FC-4f65-9D91-7224C49458BB}"/>
              </c:extLst>
            </c:dLbl>
            <c:numFmt formatCode="#,##0" sourceLinked="0"/>
            <c:spPr>
              <a:noFill/>
              <a:ln>
                <a:noFill/>
              </a:ln>
              <a:effectLst/>
            </c:spPr>
            <c:txPr>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Sheet1!$A$4:$A$29</c:f>
              <c:strCache>
                <c:ptCount val="26"/>
                <c:pt idx="0">
                  <c:v>Vācija</c:v>
                </c:pt>
                <c:pt idx="1">
                  <c:v>Zviedrija</c:v>
                </c:pt>
                <c:pt idx="2">
                  <c:v>Austrija</c:v>
                </c:pt>
                <c:pt idx="3">
                  <c:v>Nīderlande</c:v>
                </c:pt>
                <c:pt idx="4">
                  <c:v>Francija</c:v>
                </c:pt>
                <c:pt idx="5">
                  <c:v>Spānija</c:v>
                </c:pt>
                <c:pt idx="6">
                  <c:v>Apv. Karaliste</c:v>
                </c:pt>
                <c:pt idx="7">
                  <c:v>Beļģija</c:v>
                </c:pt>
                <c:pt idx="8">
                  <c:v>Dānija</c:v>
                </c:pt>
                <c:pt idx="9">
                  <c:v>Itālija</c:v>
                </c:pt>
                <c:pt idx="10">
                  <c:v>Ungārija</c:v>
                </c:pt>
                <c:pt idx="11">
                  <c:v>Somija</c:v>
                </c:pt>
                <c:pt idx="12">
                  <c:v>Slovākija</c:v>
                </c:pt>
                <c:pt idx="13">
                  <c:v>Portugāle</c:v>
                </c:pt>
                <c:pt idx="14">
                  <c:v>Grieķija</c:v>
                </c:pt>
                <c:pt idx="15">
                  <c:v>Slovēnija</c:v>
                </c:pt>
                <c:pt idx="16">
                  <c:v>Igaunija</c:v>
                </c:pt>
                <c:pt idx="17">
                  <c:v>Čehija</c:v>
                </c:pt>
                <c:pt idx="18">
                  <c:v>Īrija</c:v>
                </c:pt>
                <c:pt idx="19">
                  <c:v>Lietuva</c:v>
                </c:pt>
                <c:pt idx="20">
                  <c:v>Rumānija</c:v>
                </c:pt>
                <c:pt idx="21">
                  <c:v>Polija</c:v>
                </c:pt>
                <c:pt idx="22">
                  <c:v>Kipra</c:v>
                </c:pt>
                <c:pt idx="23">
                  <c:v>Latvija</c:v>
                </c:pt>
                <c:pt idx="24">
                  <c:v>Horvātija</c:v>
                </c:pt>
                <c:pt idx="25">
                  <c:v>Bulgārija</c:v>
                </c:pt>
              </c:strCache>
            </c:strRef>
          </c:cat>
          <c:val>
            <c:numRef>
              <c:f>Sheet1!$B$4:$B$29</c:f>
              <c:numCache>
                <c:formatCode>#,##0.0</c:formatCode>
                <c:ptCount val="26"/>
                <c:pt idx="0">
                  <c:v>128.77371031746031</c:v>
                </c:pt>
                <c:pt idx="1">
                  <c:v>128.53670886075949</c:v>
                </c:pt>
                <c:pt idx="2">
                  <c:v>115.91567852437417</c:v>
                </c:pt>
                <c:pt idx="3">
                  <c:v>111.68421052631579</c:v>
                </c:pt>
                <c:pt idx="4">
                  <c:v>109.45077720207254</c:v>
                </c:pt>
                <c:pt idx="5">
                  <c:v>91.737160120845928</c:v>
                </c:pt>
                <c:pt idx="6">
                  <c:v>84.540686085953055</c:v>
                </c:pt>
                <c:pt idx="7">
                  <c:v>82.629427792915521</c:v>
                </c:pt>
                <c:pt idx="8">
                  <c:v>78.033333333333331</c:v>
                </c:pt>
                <c:pt idx="9">
                  <c:v>71.348301444748131</c:v>
                </c:pt>
                <c:pt idx="10">
                  <c:v>57.750575434191255</c:v>
                </c:pt>
                <c:pt idx="11">
                  <c:v>55.673758865248232</c:v>
                </c:pt>
                <c:pt idx="12">
                  <c:v>46.266999722453512</c:v>
                </c:pt>
                <c:pt idx="13">
                  <c:v>41.886102403343784</c:v>
                </c:pt>
                <c:pt idx="14">
                  <c:v>41.188589540412046</c:v>
                </c:pt>
                <c:pt idx="15">
                  <c:v>40.812954395241242</c:v>
                </c:pt>
                <c:pt idx="16">
                  <c:v>39.657142857142858</c:v>
                </c:pt>
                <c:pt idx="17">
                  <c:v>36.808189864799147</c:v>
                </c:pt>
                <c:pt idx="18">
                  <c:v>34.09195402298851</c:v>
                </c:pt>
                <c:pt idx="19">
                  <c:v>28.112582781456954</c:v>
                </c:pt>
                <c:pt idx="20">
                  <c:v>26.230165649520487</c:v>
                </c:pt>
                <c:pt idx="21">
                  <c:v>19.194714459295263</c:v>
                </c:pt>
                <c:pt idx="22">
                  <c:v>19.09090909090909</c:v>
                </c:pt>
                <c:pt idx="23">
                  <c:v>18.747152619589979</c:v>
                </c:pt>
                <c:pt idx="24">
                  <c:v>15.61489810260014</c:v>
                </c:pt>
                <c:pt idx="25">
                  <c:v>7.2003154574132493</c:v>
                </c:pt>
              </c:numCache>
            </c:numRef>
          </c:val>
          <c:extLst>
            <c:ext xmlns:c="http://schemas.openxmlformats.org/drawingml/2006/chart" xmlns:c16="http://schemas.microsoft.com/office/drawing/2014/chart" uri="{C3380CC4-5D6E-409C-BE32-E72D297353CC}">
              <c16:uniqueId val="{00000006-0250-4086-9002-CE217EC346F3}"/>
            </c:ext>
          </c:extLst>
        </c:ser>
        <c:dLbls>
          <c:showLegendKey val="0"/>
          <c:showVal val="0"/>
          <c:showCatName val="0"/>
          <c:showSerName val="0"/>
          <c:showPercent val="0"/>
          <c:showBubbleSize val="0"/>
        </c:dLbls>
        <c:gapWidth val="20"/>
        <c:axId val="656346464"/>
        <c:axId val="656338232"/>
      </c:barChart>
      <c:catAx>
        <c:axId val="656346464"/>
        <c:scaling>
          <c:orientation val="minMax"/>
        </c:scaling>
        <c:delete val="0"/>
        <c:axPos val="b"/>
        <c:numFmt formatCode="General" sourceLinked="0"/>
        <c:majorTickMark val="out"/>
        <c:minorTickMark val="none"/>
        <c:tickLblPos val="nextTo"/>
        <c:txPr>
          <a:bodyPr rot="-5400000" vert="horz" anchor="ctr" anchorCtr="1"/>
          <a:lstStyle/>
          <a:p>
            <a:pPr>
              <a:defRPr sz="600"/>
            </a:pPr>
            <a:endParaRPr lang="lv-LV"/>
          </a:p>
        </c:txPr>
        <c:crossAx val="656338232"/>
        <c:crosses val="autoZero"/>
        <c:auto val="1"/>
        <c:lblAlgn val="ctr"/>
        <c:lblOffset val="100"/>
        <c:tickLblSkip val="1"/>
        <c:noMultiLvlLbl val="0"/>
      </c:catAx>
      <c:valAx>
        <c:axId val="656338232"/>
        <c:scaling>
          <c:orientation val="minMax"/>
        </c:scaling>
        <c:delete val="0"/>
        <c:axPos val="l"/>
        <c:numFmt formatCode="0" sourceLinked="0"/>
        <c:majorTickMark val="out"/>
        <c:minorTickMark val="none"/>
        <c:tickLblPos val="nextTo"/>
        <c:txPr>
          <a:bodyPr/>
          <a:lstStyle/>
          <a:p>
            <a:pPr>
              <a:defRPr sz="600"/>
            </a:pPr>
            <a:endParaRPr lang="lv-LV"/>
          </a:p>
        </c:txPr>
        <c:crossAx val="656346464"/>
        <c:crosses val="autoZero"/>
        <c:crossBetween val="between"/>
      </c:valAx>
    </c:plotArea>
    <c:plotVisOnly val="1"/>
    <c:dispBlanksAs val="gap"/>
    <c:showDLblsOverMax val="0"/>
  </c:chart>
  <c:spPr>
    <a:ln w="9525">
      <a:noFill/>
    </a:ln>
  </c:spPr>
  <c:externalData r:id="rId1">
    <c:autoUpdate val="0"/>
  </c:externalData>
</c:chartSpace>
</file>

<file path=word/charts/chart229.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1619797525309326"/>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5E37-4305-8538-0505C0F4710B}"/>
              </c:ext>
            </c:extLst>
          </c:dPt>
          <c:dPt>
            <c:idx val="5"/>
            <c:bubble3D val="0"/>
            <c:extLst>
              <c:ext xmlns:c="http://schemas.openxmlformats.org/drawingml/2006/chart" xmlns:c16="http://schemas.microsoft.com/office/drawing/2014/chart" uri="{C3380CC4-5D6E-409C-BE32-E72D297353CC}">
                <c16:uniqueId val="{00000001-5E37-4305-8538-0505C0F4710B}"/>
              </c:ext>
            </c:extLst>
          </c:dPt>
          <c:dPt>
            <c:idx val="11"/>
            <c:bubble3D val="0"/>
            <c:extLst>
              <c:ext xmlns:c="http://schemas.openxmlformats.org/drawingml/2006/chart" xmlns:c16="http://schemas.microsoft.com/office/drawing/2014/chart" uri="{C3380CC4-5D6E-409C-BE32-E72D297353CC}">
                <c16:uniqueId val="{00000002-5E37-4305-8538-0505C0F4710B}"/>
              </c:ext>
            </c:extLst>
          </c:dPt>
          <c:dPt>
            <c:idx val="12"/>
            <c:bubble3D val="0"/>
            <c:extLst>
              <c:ext xmlns:c="http://schemas.openxmlformats.org/drawingml/2006/chart" xmlns:c16="http://schemas.microsoft.com/office/drawing/2014/chart" uri="{C3380CC4-5D6E-409C-BE32-E72D297353CC}">
                <c16:uniqueId val="{00000003-5E37-4305-8538-0505C0F4710B}"/>
              </c:ext>
            </c:extLst>
          </c:dPt>
          <c:dPt>
            <c:idx val="13"/>
            <c:bubble3D val="0"/>
            <c:extLst>
              <c:ext xmlns:c="http://schemas.openxmlformats.org/drawingml/2006/chart" xmlns:c16="http://schemas.microsoft.com/office/drawing/2014/chart" uri="{C3380CC4-5D6E-409C-BE32-E72D297353CC}">
                <c16:uniqueId val="{00000004-5E37-4305-8538-0505C0F4710B}"/>
              </c:ext>
            </c:extLst>
          </c:dPt>
          <c:dPt>
            <c:idx val="14"/>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5-5E37-4305-8538-0505C0F4710B}"/>
              </c:ext>
            </c:extLst>
          </c:dPt>
          <c:dLbls>
            <c:dLbl>
              <c:idx val="0"/>
              <c:layout>
                <c:manualLayout>
                  <c:x val="-0.024922445441983302"/>
                  <c:y val="0.047619047619047616"/>
                </c:manualLayout>
              </c:layout>
              <c:tx>
                <c:rich>
                  <a:bodyPr vertOverflow="clip"/>
                  <a:lstStyle/>
                  <a:p>
                    <a:r>
                      <a:rPr lang="en-US"/>
                      <a:t>EU-28</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5E37-4305-8538-0505C0F4710B}"/>
                </c:ext>
                <c:ext xmlns:c15="http://schemas.microsoft.com/office/drawing/2012/chart" uri="{CE6537A1-D6FC-4f65-9D91-7224C49458BB}"/>
              </c:extLst>
            </c:dLbl>
            <c:dLbl>
              <c:idx val="1"/>
              <c:layout>
                <c:manualLayout>
                  <c:x val="-0.053997923156801658"/>
                  <c:y val="-0.0761904761904762"/>
                </c:manualLayout>
              </c:layout>
              <c:tx>
                <c:rich>
                  <a:bodyPr vertOverflow="clip"/>
                  <a:lstStyle/>
                  <a:p>
                    <a:r>
                      <a:rPr lang="en-US"/>
                      <a:t>BE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5E37-4305-8538-0505C0F4710B}"/>
                </c:ext>
                <c:ext xmlns:c15="http://schemas.microsoft.com/office/drawing/2012/chart" uri="{CE6537A1-D6FC-4f65-9D91-7224C49458BB}"/>
              </c:extLst>
            </c:dLbl>
            <c:dLbl>
              <c:idx val="2"/>
              <c:layout>
                <c:manualLayout>
                  <c:x val="-0.0623052959501558"/>
                  <c:y val="0.085714285714285715"/>
                </c:manualLayout>
              </c:layout>
              <c:tx>
                <c:rich>
                  <a:bodyPr vertOverflow="clip"/>
                  <a:lstStyle/>
                  <a:p>
                    <a:r>
                      <a:rPr lang="en-US"/>
                      <a:t>BG</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5E37-4305-8538-0505C0F4710B}"/>
                </c:ext>
                <c:ext xmlns:c15="http://schemas.microsoft.com/office/drawing/2012/chart" uri="{CE6537A1-D6FC-4f65-9D91-7224C49458BB}"/>
              </c:extLst>
            </c:dLbl>
            <c:dLbl>
              <c:idx val="3"/>
              <c:layout>
                <c:manualLayout>
                  <c:x val="-0.024922118380062305"/>
                  <c:y val="-0.028571428571428571"/>
                </c:manualLayout>
              </c:layout>
              <c:tx>
                <c:rich>
                  <a:bodyPr vertOverflow="clip"/>
                  <a:lstStyle/>
                  <a:p>
                    <a:r>
                      <a:rPr lang="en-US"/>
                      <a:t>CZ</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5E37-4305-8538-0505C0F4710B}"/>
                </c:ext>
                <c:ext xmlns:c15="http://schemas.microsoft.com/office/drawing/2012/chart" uri="{CE6537A1-D6FC-4f65-9D91-7224C49458BB}"/>
              </c:extLst>
            </c:dLbl>
            <c:dLbl>
              <c:idx val="4"/>
              <c:layout>
                <c:manualLayout>
                  <c:x val="-0.033229491173416406"/>
                  <c:y val="-0.057142857142857141"/>
                </c:manualLayout>
              </c:layout>
              <c:tx>
                <c:rich>
                  <a:bodyPr vertOverflow="clip"/>
                  <a:lstStyle/>
                  <a:p>
                    <a:r>
                      <a:rPr lang="en-US"/>
                      <a:t>DK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5E37-4305-8538-0505C0F4710B}"/>
                </c:ext>
                <c:ext xmlns:c15="http://schemas.microsoft.com/office/drawing/2012/chart" uri="{CE6537A1-D6FC-4f65-9D91-7224C49458BB}"/>
              </c:extLst>
            </c:dLbl>
            <c:dLbl>
              <c:idx val="5"/>
              <c:layout>
                <c:manualLayout>
                  <c:x val="-0.029075804776739357"/>
                  <c:y val="-0.066666666666666638"/>
                </c:manualLayout>
              </c:layout>
              <c:tx>
                <c:rich>
                  <a:bodyPr vertOverflow="clip"/>
                  <a:lstStyle/>
                  <a:p>
                    <a:r>
                      <a:rPr lang="en-US"/>
                      <a:t>DE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5E37-4305-8538-0505C0F4710B}"/>
                </c:ext>
                <c:ext xmlns:c15="http://schemas.microsoft.com/office/drawing/2012/chart" uri="{CE6537A1-D6FC-4f65-9D91-7224C49458BB}"/>
              </c:extLst>
            </c:dLbl>
            <c:dLbl>
              <c:idx val="6"/>
              <c:layout>
                <c:manualLayout>
                  <c:x val="-0.062305295950155763"/>
                  <c:y val="-0.085714285714285715"/>
                </c:manualLayout>
              </c:layout>
              <c:tx>
                <c:rich>
                  <a:bodyPr vertOverflow="clip"/>
                  <a:lstStyle/>
                  <a:p>
                    <a:r>
                      <a:rPr lang="en-US"/>
                      <a:t>EE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5E37-4305-8538-0505C0F4710B}"/>
                </c:ext>
                <c:ext xmlns:c15="http://schemas.microsoft.com/office/drawing/2012/chart" uri="{CE6537A1-D6FC-4f65-9D91-7224C49458BB}"/>
              </c:extLst>
            </c:dLbl>
            <c:dLbl>
              <c:idx val="7"/>
              <c:layout>
                <c:manualLayout>
                  <c:x val="-0.053997923156801658"/>
                  <c:y val="-0.085714285714285715"/>
                </c:manualLayout>
              </c:layout>
              <c:tx>
                <c:rich>
                  <a:bodyPr vertOverflow="clip"/>
                  <a:lstStyle/>
                  <a:p>
                    <a:r>
                      <a:rPr lang="en-US"/>
                      <a:t>IE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5E37-4305-8538-0505C0F4710B}"/>
                </c:ext>
                <c:ext xmlns:c15="http://schemas.microsoft.com/office/drawing/2012/chart" uri="{CE6537A1-D6FC-4f65-9D91-7224C49458BB}"/>
              </c:extLst>
            </c:dLbl>
            <c:dLbl>
              <c:idx val="8"/>
              <c:layout>
                <c:manualLayout>
                  <c:x val="-0.012461059190031152"/>
                  <c:y val="-0.019047619047619049"/>
                </c:manualLayout>
              </c:layout>
              <c:tx>
                <c:rich>
                  <a:bodyPr vertOverflow="clip"/>
                  <a:lstStyle/>
                  <a:p>
                    <a:r>
                      <a:rPr lang="en-US"/>
                      <a:t>EL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5E37-4305-8538-0505C0F4710B}"/>
                </c:ext>
                <c:ext xmlns:c15="http://schemas.microsoft.com/office/drawing/2012/chart" uri="{CE6537A1-D6FC-4f65-9D91-7224C49458BB}"/>
              </c:extLst>
            </c:dLbl>
            <c:dLbl>
              <c:idx val="9"/>
              <c:layout>
                <c:manualLayout>
                  <c:x val="-0.053997923156801658"/>
                  <c:y val="-0.066666666666666666"/>
                </c:manualLayout>
              </c:layout>
              <c:tx>
                <c:rich>
                  <a:bodyPr vertOverflow="clip"/>
                  <a:lstStyle/>
                  <a:p>
                    <a:r>
                      <a:rPr lang="en-US"/>
                      <a:t>ES</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5E37-4305-8538-0505C0F4710B}"/>
                </c:ext>
                <c:ext xmlns:c15="http://schemas.microsoft.com/office/drawing/2012/chart" uri="{CE6537A1-D6FC-4f65-9D91-7224C49458BB}"/>
              </c:extLst>
            </c:dLbl>
            <c:dLbl>
              <c:idx val="10"/>
              <c:layout>
                <c:manualLayout>
                  <c:x val="-0.049844236760124609"/>
                  <c:y val="-0.0761904761904762"/>
                </c:manualLayout>
              </c:layout>
              <c:tx>
                <c:rich>
                  <a:bodyPr vertOverflow="clip"/>
                  <a:lstStyle/>
                  <a:p>
                    <a:r>
                      <a:rPr lang="en-US"/>
                      <a:t>FR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E-5E37-4305-8538-0505C0F4710B}"/>
                </c:ext>
                <c:ext xmlns:c15="http://schemas.microsoft.com/office/drawing/2012/chart" uri="{CE6537A1-D6FC-4f65-9D91-7224C49458BB}"/>
              </c:extLst>
            </c:dLbl>
            <c:dLbl>
              <c:idx val="11"/>
              <c:layout>
                <c:manualLayout>
                  <c:x val="-0.09138110072689512"/>
                  <c:y val="-0.028571428571428571"/>
                </c:manualLayout>
              </c:layout>
              <c:tx>
                <c:rich>
                  <a:bodyPr/>
                  <a:lstStyle/>
                  <a:p>
                    <a:r>
                      <a:rPr lang="en-US"/>
                      <a:t>HR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5E37-4305-8538-0505C0F4710B}"/>
                </c:ext>
                <c:ext xmlns:c15="http://schemas.microsoft.com/office/drawing/2012/chart" uri="{CE6537A1-D6FC-4f65-9D91-7224C49458BB}"/>
              </c:extLst>
            </c:dLbl>
            <c:dLbl>
              <c:idx val="12"/>
              <c:layout>
                <c:manualLayout>
                  <c:x val="-0.091381100726895037"/>
                  <c:y val="0.047619047619047616"/>
                </c:manualLayout>
              </c:layout>
              <c:tx>
                <c:rich>
                  <a:bodyPr vertOverflow="clip"/>
                  <a:lstStyle/>
                  <a:p>
                    <a:r>
                      <a:rPr lang="en-US"/>
                      <a:t>IT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5E37-4305-8538-0505C0F4710B}"/>
                </c:ext>
                <c:ext xmlns:c15="http://schemas.microsoft.com/office/drawing/2012/chart" uri="{CE6537A1-D6FC-4f65-9D91-7224C49458BB}"/>
              </c:extLst>
            </c:dLbl>
            <c:dLbl>
              <c:idx val="13"/>
              <c:layout>
                <c:manualLayout>
                  <c:x val="-0.020768759045306253"/>
                  <c:y val="-0.06666666666666668"/>
                </c:manualLayout>
              </c:layout>
              <c:tx>
                <c:rich>
                  <a:bodyPr vertOverflow="clip"/>
                  <a:lstStyle/>
                  <a:p>
                    <a:r>
                      <a:rPr lang="en-US"/>
                      <a:t>CY</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5E37-4305-8538-0505C0F4710B}"/>
                </c:ext>
                <c:ext xmlns:c15="http://schemas.microsoft.com/office/drawing/2012/chart" uri="{CE6537A1-D6FC-4f65-9D91-7224C49458BB}"/>
              </c:extLst>
            </c:dLbl>
            <c:dLbl>
              <c:idx val="14"/>
              <c:layout>
                <c:manualLayout>
                  <c:x val="-0.087227414330218064"/>
                  <c:y val="-0.047619047619047596"/>
                </c:manualLayout>
              </c:layout>
              <c:tx>
                <c:rich>
                  <a:bodyPr vertOverflow="clip"/>
                  <a:lstStyle/>
                  <a:p>
                    <a:r>
                      <a:rPr lang="en-US"/>
                      <a:t>LV</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5E37-4305-8538-0505C0F4710B}"/>
                </c:ext>
                <c:ext xmlns:c15="http://schemas.microsoft.com/office/drawing/2012/chart" uri="{CE6537A1-D6FC-4f65-9D91-7224C49458BB}"/>
              </c:extLst>
            </c:dLbl>
            <c:dLbl>
              <c:idx val="15"/>
              <c:layout>
                <c:manualLayout>
                  <c:x val="-0.016614745586708127"/>
                  <c:y val="0.0380952380952381"/>
                </c:manualLayout>
              </c:layout>
              <c:tx>
                <c:rich>
                  <a:bodyPr vertOverflow="clip"/>
                  <a:lstStyle/>
                  <a:p>
                    <a:r>
                      <a:rPr lang="en-US"/>
                      <a:t>LT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F-5E37-4305-8538-0505C0F4710B}"/>
                </c:ext>
                <c:ext xmlns:c15="http://schemas.microsoft.com/office/drawing/2012/chart" uri="{CE6537A1-D6FC-4f65-9D91-7224C49458BB}"/>
              </c:extLst>
            </c:dLbl>
            <c:dLbl>
              <c:idx val="16"/>
              <c:layout>
                <c:manualLayout>
                  <c:x val="-0.066458982346832812"/>
                  <c:y val="0.076189726284214471"/>
                </c:manualLayout>
              </c:layout>
              <c:tx>
                <c:rich>
                  <a:bodyPr vertOverflow="clip"/>
                  <a:lstStyle/>
                  <a:p>
                    <a:r>
                      <a:rPr lang="en-US"/>
                      <a:t>LU</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0-5E37-4305-8538-0505C0F4710B}"/>
                </c:ext>
                <c:ext xmlns:c15="http://schemas.microsoft.com/office/drawing/2012/chart" uri="{CE6537A1-D6FC-4f65-9D91-7224C49458BB}"/>
              </c:extLst>
            </c:dLbl>
            <c:dLbl>
              <c:idx val="17"/>
              <c:layout>
                <c:manualLayout>
                  <c:x val="-0.033229818235337404"/>
                  <c:y val="0.066666666666666749"/>
                </c:manualLayout>
              </c:layout>
              <c:tx>
                <c:rich>
                  <a:bodyPr vertOverflow="clip"/>
                  <a:lstStyle/>
                  <a:p>
                    <a:r>
                      <a:rPr lang="en-US"/>
                      <a:t>HU</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1-5E37-4305-8538-0505C0F4710B}"/>
                </c:ext>
                <c:ext xmlns:c15="http://schemas.microsoft.com/office/drawing/2012/chart" uri="{CE6537A1-D6FC-4f65-9D91-7224C49458BB}"/>
              </c:extLst>
            </c:dLbl>
            <c:dLbl>
              <c:idx val="18"/>
              <c:layout>
                <c:manualLayout>
                  <c:x val="-0.078920041536863966"/>
                  <c:y val="0.076189726284214471"/>
                </c:manualLayout>
              </c:layout>
              <c:tx>
                <c:rich>
                  <a:bodyPr vertOverflow="clip"/>
                  <a:lstStyle/>
                  <a:p>
                    <a:r>
                      <a:rPr lang="en-US"/>
                      <a:t>NL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2-5E37-4305-8538-0505C0F4710B}"/>
                </c:ext>
                <c:ext xmlns:c15="http://schemas.microsoft.com/office/drawing/2012/chart" uri="{CE6537A1-D6FC-4f65-9D91-7224C49458BB}"/>
              </c:extLst>
            </c:dLbl>
            <c:dLbl>
              <c:idx val="19"/>
              <c:layout>
                <c:manualLayout>
                  <c:x val="-0.066458982346832812"/>
                  <c:y val="0.095238095238095233"/>
                </c:manualLayout>
              </c:layout>
              <c:tx>
                <c:rich>
                  <a:bodyPr vertOverflow="clip"/>
                  <a:lstStyle/>
                  <a:p>
                    <a:r>
                      <a:rPr lang="en-US"/>
                      <a:t>AT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3-5E37-4305-8538-0505C0F4710B}"/>
                </c:ext>
                <c:ext xmlns:c15="http://schemas.microsoft.com/office/drawing/2012/chart" uri="{CE6537A1-D6FC-4f65-9D91-7224C49458BB}"/>
              </c:extLst>
            </c:dLbl>
            <c:dLbl>
              <c:idx val="20"/>
              <c:layout>
                <c:manualLayout>
                  <c:x val="-0.062305623012076761"/>
                  <c:y val="-0.066667416572928379"/>
                </c:manualLayout>
              </c:layout>
              <c:tx>
                <c:rich>
                  <a:bodyPr vertOverflow="clip"/>
                  <a:lstStyle/>
                  <a:p>
                    <a:r>
                      <a:rPr lang="en-US"/>
                      <a:t>PL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4-5E37-4305-8538-0505C0F4710B}"/>
                </c:ext>
                <c:ext xmlns:c15="http://schemas.microsoft.com/office/drawing/2012/chart" uri="{CE6537A1-D6FC-4f65-9D91-7224C49458BB}"/>
              </c:extLst>
            </c:dLbl>
            <c:dLbl>
              <c:idx val="21"/>
              <c:layout>
                <c:manualLayout>
                  <c:x val="-0.053997923156801658"/>
                  <c:y val="-0.066666666666666582"/>
                </c:manualLayout>
              </c:layout>
              <c:tx>
                <c:rich>
                  <a:bodyPr vertOverflow="clip"/>
                  <a:lstStyle/>
                  <a:p>
                    <a:r>
                      <a:rPr lang="en-US"/>
                      <a:t>PT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5-5E37-4305-8538-0505C0F4710B}"/>
                </c:ext>
                <c:ext xmlns:c15="http://schemas.microsoft.com/office/drawing/2012/chart" uri="{CE6537A1-D6FC-4f65-9D91-7224C49458BB}"/>
              </c:extLst>
            </c:dLbl>
            <c:dLbl>
              <c:idx val="22"/>
              <c:layout>
                <c:manualLayout>
                  <c:x val="-0.087227414330218064"/>
                  <c:y val="-0.028571428571428571"/>
                </c:manualLayout>
              </c:layout>
              <c:tx>
                <c:rich>
                  <a:bodyPr vertOverflow="clip"/>
                  <a:lstStyle/>
                  <a:p>
                    <a:r>
                      <a:rPr lang="en-US"/>
                      <a:t>RO</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6-5E37-4305-8538-0505C0F4710B}"/>
                </c:ext>
                <c:ext xmlns:c15="http://schemas.microsoft.com/office/drawing/2012/chart" uri="{CE6537A1-D6FC-4f65-9D91-7224C49458BB}"/>
              </c:extLst>
            </c:dLbl>
            <c:dLbl>
              <c:idx val="23"/>
              <c:layout>
                <c:manualLayout>
                  <c:x val="-0.037383177570093455"/>
                  <c:y val="-0.0761904761904762"/>
                </c:manualLayout>
              </c:layout>
              <c:tx>
                <c:rich>
                  <a:bodyPr vertOverflow="clip"/>
                  <a:lstStyle/>
                  <a:p>
                    <a:r>
                      <a:rPr lang="en-US"/>
                      <a:t>SI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7-5E37-4305-8538-0505C0F4710B}"/>
                </c:ext>
                <c:ext xmlns:c15="http://schemas.microsoft.com/office/drawing/2012/chart" uri="{CE6537A1-D6FC-4f65-9D91-7224C49458BB}"/>
              </c:extLst>
            </c:dLbl>
            <c:dLbl>
              <c:idx val="24"/>
              <c:layout>
                <c:manualLayout>
                  <c:x val="-0.09138110072689512"/>
                  <c:y val="0.0095238095238095247"/>
                </c:manualLayout>
              </c:layout>
              <c:tx>
                <c:rich>
                  <a:bodyPr vertOverflow="clip"/>
                  <a:lstStyle/>
                  <a:p>
                    <a:r>
                      <a:rPr lang="en-US"/>
                      <a:t>SK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8-5E37-4305-8538-0505C0F4710B}"/>
                </c:ext>
                <c:ext xmlns:c15="http://schemas.microsoft.com/office/drawing/2012/chart" uri="{CE6537A1-D6FC-4f65-9D91-7224C49458BB}"/>
              </c:extLst>
            </c:dLbl>
            <c:dLbl>
              <c:idx val="25"/>
              <c:layout>
                <c:manualLayout>
                  <c:x val="-0.049844563822045683"/>
                  <c:y val="0.076189726284214429"/>
                </c:manualLayout>
              </c:layout>
              <c:tx>
                <c:rich>
                  <a:bodyPr vertOverflow="clip"/>
                  <a:lstStyle/>
                  <a:p>
                    <a:r>
                      <a:rPr lang="en-US"/>
                      <a:t>FI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9-5E37-4305-8538-0505C0F4710B}"/>
                </c:ext>
                <c:ext xmlns:c15="http://schemas.microsoft.com/office/drawing/2012/chart" uri="{CE6537A1-D6FC-4f65-9D91-7224C49458BB}"/>
              </c:extLst>
            </c:dLbl>
            <c:dLbl>
              <c:idx val="26"/>
              <c:layout>
                <c:manualLayout>
                  <c:x val="-0.016614745586708203"/>
                  <c:y val="-0.047619047619047616"/>
                </c:manualLayout>
              </c:layout>
              <c:tx>
                <c:rich>
                  <a:bodyPr vertOverflow="clip"/>
                  <a:lstStyle/>
                  <a:p>
                    <a:r>
                      <a:rPr lang="en-US"/>
                      <a:t>SE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A-5E37-4305-8538-0505C0F4710B}"/>
                </c:ext>
                <c:ext xmlns:c15="http://schemas.microsoft.com/office/drawing/2012/chart" uri="{CE6537A1-D6FC-4f65-9D91-7224C49458BB}"/>
              </c:extLst>
            </c:dLbl>
            <c:dLbl>
              <c:idx val="27"/>
              <c:layout>
                <c:manualLayout>
                  <c:x val="-0.049844236760124533"/>
                  <c:y val="-0.085714285714285715"/>
                </c:manualLayout>
              </c:layout>
              <c:tx>
                <c:rich>
                  <a:bodyPr vertOverflow="clip"/>
                  <a:lstStyle/>
                  <a:p>
                    <a:r>
                      <a:rPr lang="en-US"/>
                      <a:t>UK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B-5E37-4305-8538-0505C0F4710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Sheet1!$B$3:$B$30</c:f>
              <c:numCache>
                <c:formatCode>0.0</c:formatCode>
                <c:ptCount val="28"/>
                <c:pt idx="0">
                  <c:v>73.039543935792778</c:v>
                </c:pt>
                <c:pt idx="1">
                  <c:v>75.4245283018868</c:v>
                </c:pt>
                <c:pt idx="2">
                  <c:v>10.589651022864018</c:v>
                </c:pt>
                <c:pt idx="3">
                  <c:v>40.250626566416038</c:v>
                </c:pt>
                <c:pt idx="4">
                  <c:v>79.757142857142853</c:v>
                </c:pt>
                <c:pt idx="5">
                  <c:v>107.14523281596452</c:v>
                </c:pt>
                <c:pt idx="6">
                  <c:v>29.428571428571427</c:v>
                </c:pt>
                <c:pt idx="7">
                  <c:v>51.990049751243788</c:v>
                </c:pt>
                <c:pt idx="8">
                  <c:v>32.18664226898445</c:v>
                </c:pt>
                <c:pt idx="9">
                  <c:v>67.360905957656328</c:v>
                </c:pt>
                <c:pt idx="10">
                  <c:v>100.89767441860465</c:v>
                </c:pt>
                <c:pt idx="11">
                  <c:v>15.276008492569003</c:v>
                </c:pt>
                <c:pt idx="12">
                  <c:v>64.441176470588232</c:v>
                </c:pt>
                <c:pt idx="13">
                  <c:v>20.666666666666668</c:v>
                </c:pt>
                <c:pt idx="14">
                  <c:v>12.891246684350133</c:v>
                </c:pt>
                <c:pt idx="15">
                  <c:v>40.64425770308123</c:v>
                </c:pt>
                <c:pt idx="16">
                  <c:v>65.714285714285722</c:v>
                </c:pt>
                <c:pt idx="17">
                  <c:v>37.681530214424953</c:v>
                </c:pt>
                <c:pt idx="18">
                  <c:v>97.89473684210526</c:v>
                </c:pt>
                <c:pt idx="19">
                  <c:v>108.43907916900618</c:v>
                </c:pt>
                <c:pt idx="20">
                  <c:v>19.031635802469136</c:v>
                </c:pt>
                <c:pt idx="21">
                  <c:v>34.9116127277672</c:v>
                </c:pt>
                <c:pt idx="22">
                  <c:v>25.265822784810126</c:v>
                </c:pt>
                <c:pt idx="23">
                  <c:v>41.461254612546121</c:v>
                </c:pt>
                <c:pt idx="24">
                  <c:v>37.7158371040724</c:v>
                </c:pt>
                <c:pt idx="25">
                  <c:v>52.266666666666666</c:v>
                </c:pt>
                <c:pt idx="26">
                  <c:v>113.99866666666667</c:v>
                </c:pt>
                <c:pt idx="27">
                  <c:v>67.989492519130465</c:v>
                </c:pt>
              </c:numCache>
            </c:numRef>
          </c:xVal>
          <c:yVal>
            <c:numRef>
              <c:f>Sheet1!$C$3:$C$30</c:f>
              <c:numCache>
                <c:formatCode>0.0</c:formatCode>
                <c:ptCount val="28"/>
                <c:pt idx="0">
                  <c:v>0.58779732764143511</c:v>
                </c:pt>
                <c:pt idx="1">
                  <c:v>0.75449703458026185</c:v>
                </c:pt>
                <c:pt idx="2">
                  <c:v>0.45471408512747091</c:v>
                </c:pt>
                <c:pt idx="3">
                  <c:v>0.42149634131738267</c:v>
                </c:pt>
                <c:pt idx="4">
                  <c:v>0.69604155471968487</c:v>
                </c:pt>
                <c:pt idx="5">
                  <c:v>0.56007091490949945</c:v>
                </c:pt>
                <c:pt idx="6">
                  <c:v>0.53069674471730444</c:v>
                </c:pt>
                <c:pt idx="7" formatCode="0.00">
                  <c:v>0.85079654197477139</c:v>
                </c:pt>
                <c:pt idx="8">
                  <c:v>0.90062865018635563</c:v>
                </c:pt>
                <c:pt idx="9">
                  <c:v>0.64393597363360444</c:v>
                </c:pt>
                <c:pt idx="10">
                  <c:v>0.6185131859150913</c:v>
                </c:pt>
                <c:pt idx="11">
                  <c:v>1.0118160121550284</c:v>
                </c:pt>
                <c:pt idx="12">
                  <c:v>0.62096022967107245</c:v>
                </c:pt>
                <c:pt idx="13">
                  <c:v>0.94913151364764248</c:v>
                </c:pt>
                <c:pt idx="14">
                  <c:v>0.83034834521532486</c:v>
                </c:pt>
                <c:pt idx="15">
                  <c:v>0.4155754651964163</c:v>
                </c:pt>
                <c:pt idx="16" formatCode="0.00">
                  <c:v>0.5279503105590061</c:v>
                </c:pt>
                <c:pt idx="17">
                  <c:v>0.34061883669048465</c:v>
                </c:pt>
                <c:pt idx="18">
                  <c:v>0.521519907003778</c:v>
                </c:pt>
                <c:pt idx="19">
                  <c:v>0.46878188571550405</c:v>
                </c:pt>
                <c:pt idx="20">
                  <c:v>0.52409414700678414</c:v>
                </c:pt>
                <c:pt idx="21" formatCode="0.00">
                  <c:v>0.63746570863613883</c:v>
                </c:pt>
                <c:pt idx="22">
                  <c:v>0.30632462643919012</c:v>
                </c:pt>
                <c:pt idx="23">
                  <c:v>0.54817315200716965</c:v>
                </c:pt>
                <c:pt idx="24">
                  <c:v>0.39915293927024742</c:v>
                </c:pt>
                <c:pt idx="25" formatCode="0.00">
                  <c:v>0.82477247655819086</c:v>
                </c:pt>
                <c:pt idx="26">
                  <c:v>0.44821576860548074</c:v>
                </c:pt>
                <c:pt idx="27">
                  <c:v>0.8927903317014565</c:v>
                </c:pt>
              </c:numCache>
            </c:numRef>
          </c:yVal>
          <c:smooth val="0"/>
          <c:extLst>
            <c:ext xmlns:c="http://schemas.openxmlformats.org/drawingml/2006/chart" xmlns:c16="http://schemas.microsoft.com/office/drawing/2014/chart" uri="{C3380CC4-5D6E-409C-BE32-E72D297353CC}">
              <c16:uniqueId val="{0000001C-5E37-4305-8538-0505C0F4710B}"/>
            </c:ext>
          </c:extLst>
        </c:ser>
        <c:dLbls>
          <c:showLegendKey val="0"/>
          <c:showVal val="0"/>
          <c:showCatName val="0"/>
          <c:showSerName val="0"/>
          <c:showPercent val="0"/>
          <c:showBubbleSize val="0"/>
        </c:dLbls>
        <c:axId val="656346856"/>
        <c:axId val="656344112"/>
      </c:scatterChart>
      <c:valAx>
        <c:axId val="656346856"/>
        <c:scaling>
          <c:orientation val="minMax"/>
          <c:max val="130"/>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56344112"/>
        <c:crosses val="autoZero"/>
        <c:crossBetween val="midCat"/>
        <c:majorUnit val="10"/>
      </c:valAx>
      <c:valAx>
        <c:axId val="656344112"/>
        <c:scaling>
          <c:orientation val="minMax"/>
          <c:max val="1.1"/>
          <c:min val="0.2"/>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56346856"/>
        <c:crosses val="autoZero"/>
        <c:crossBetween val="midCat"/>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46717244654"/>
          <c:y val="0.044057617797775277"/>
          <c:w val="0.9310540474739486"/>
          <c:h val="0.70082154364850735"/>
        </c:manualLayout>
      </c:layout>
      <c:barChart>
        <c:barDir val="col"/>
        <c:grouping val="clustered"/>
        <c:varyColors val="0"/>
        <c:ser>
          <c:idx val="1"/>
          <c:order val="0"/>
          <c:tx>
            <c:strRef>
              <c:f>Sheet1!$B$3</c:f>
              <c:strCache>
                <c:ptCount val="1"/>
                <c:pt idx="0">
                  <c:v>Compensation per employees 1000 of euro</c:v>
                </c:pt>
              </c:strCache>
            </c:strRef>
          </c:tx>
          <c:spPr>
            <a:solidFill>
              <a:schemeClr val="accent3">
                <a:lumMod val="50000"/>
              </a:schemeClr>
            </a:solidFill>
            <a:ln w="19050"/>
          </c:spPr>
          <c:invertIfNegative val="0"/>
          <c:dPt>
            <c:idx val="14"/>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5-EE26-4A3B-8C7D-195C186AD535}"/>
              </c:ext>
            </c:extLst>
          </c:dPt>
          <c:dPt>
            <c:idx val="20"/>
            <c:invertIfNegative val="0"/>
            <c:bubble3D val="0"/>
            <c:extLst>
              <c:ext xmlns:c="http://schemas.openxmlformats.org/drawingml/2006/chart" xmlns:c16="http://schemas.microsoft.com/office/drawing/2014/chart" uri="{C3380CC4-5D6E-409C-BE32-E72D297353CC}">
                <c16:uniqueId val="{00000000-3234-4B94-9300-A2D6BF262D42}"/>
              </c:ext>
            </c:extLst>
          </c:dPt>
          <c:dPt>
            <c:idx val="21"/>
            <c:invertIfNegative val="0"/>
            <c:bubble3D val="0"/>
            <c:spPr>
              <a:ln w="19050"/>
            </c:spPr>
            <c:extLst>
              <c:ext xmlns:c="http://schemas.openxmlformats.org/drawingml/2006/chart" xmlns:c16="http://schemas.microsoft.com/office/drawing/2014/chart" uri="{C3380CC4-5D6E-409C-BE32-E72D297353CC}">
                <c16:uniqueId val="{00000007-6E18-4707-A475-35547130C576}"/>
              </c:ext>
            </c:extLst>
          </c:dPt>
          <c:dPt>
            <c:idx val="22"/>
            <c:invertIfNegative val="0"/>
            <c:bubble3D val="0"/>
            <c:extLst>
              <c:ext xmlns:c="http://schemas.openxmlformats.org/drawingml/2006/chart" xmlns:c16="http://schemas.microsoft.com/office/drawing/2014/chart" uri="{C3380CC4-5D6E-409C-BE32-E72D297353CC}">
                <c16:uniqueId val="{00000002-3234-4B94-9300-A2D6BF262D42}"/>
              </c:ext>
            </c:extLst>
          </c:dPt>
          <c:dPt>
            <c:idx val="24"/>
            <c:invertIfNegative val="0"/>
            <c:bubble3D val="0"/>
            <c:extLst>
              <c:ext xmlns:c="http://schemas.openxmlformats.org/drawingml/2006/chart" xmlns:c16="http://schemas.microsoft.com/office/drawing/2014/chart" uri="{C3380CC4-5D6E-409C-BE32-E72D297353CC}">
                <c16:uniqueId val="{00000003-3234-4B94-9300-A2D6BF262D42}"/>
              </c:ext>
            </c:extLst>
          </c:dPt>
          <c:dPt>
            <c:idx val="25"/>
            <c:invertIfNegative val="0"/>
            <c:bubble3D val="0"/>
            <c:extLst>
              <c:ext xmlns:c="http://schemas.openxmlformats.org/drawingml/2006/chart" xmlns:c16="http://schemas.microsoft.com/office/drawing/2014/chart" uri="{C3380CC4-5D6E-409C-BE32-E72D297353CC}">
                <c16:uniqueId val="{00000004-3234-4B94-9300-A2D6BF262D42}"/>
              </c:ext>
            </c:extLst>
          </c:dPt>
          <c:dLbls>
            <c:dLbl>
              <c:idx val="21"/>
              <c:numFmt formatCode="#,##0" sourceLinked="0"/>
              <c:spPr>
                <a:noFill/>
                <a:ln>
                  <a:noFill/>
                </a:ln>
                <a:effectLst/>
              </c:spPr>
              <c:txPr>
                <a:bodyPr/>
                <a:lstStyle/>
                <a:p>
                  <a:pPr>
                    <a:defRPr sz="600" b="1"/>
                  </a:pPr>
                  <a:endParaRPr lang="lv-LV"/>
                </a:p>
              </c:txPr>
              <c:showLegendKey val="0"/>
              <c:showVal val="1"/>
              <c:showCatName val="0"/>
              <c:showSerName val="0"/>
              <c:showPercent val="0"/>
              <c:showBubbleSize val="0"/>
            </c:dLbl>
            <c:dLbl>
              <c:idx val="22"/>
              <c:layout>
                <c:manualLayout>
                  <c:x val="0"/>
                  <c:y val="0.00011693660243684083"/>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3234-4B94-9300-A2D6BF262D42}"/>
                </c:ext>
                <c:ext xmlns:c15="http://schemas.microsoft.com/office/drawing/2012/chart" uri="{CE6537A1-D6FC-4f65-9D91-7224C49458BB}"/>
              </c:extLst>
            </c:dLbl>
            <c:dLbl>
              <c:idx val="24"/>
              <c:layout>
                <c:manualLayout>
                  <c:x val="0"/>
                  <c:y val="0.010839254849241406"/>
                </c:manualLayout>
              </c:layout>
              <c:numFmt formatCode="#,##0" sourceLinked="0"/>
              <c:spPr>
                <a:noFill/>
                <a:ln>
                  <a:noFill/>
                </a:ln>
                <a:effectLst/>
              </c:spPr>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3234-4B94-9300-A2D6BF262D42}"/>
                </c:ext>
                <c:ext xmlns:c15="http://schemas.microsoft.com/office/drawing/2012/chart" uri="{CE6537A1-D6FC-4f65-9D91-7224C49458BB}"/>
              </c:extLst>
            </c:dLbl>
            <c:dLbl>
              <c:idx val="25"/>
              <c:layout>
                <c:manualLayout>
                  <c:x val="0"/>
                  <c:y val="0.0047350290403144375"/>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3234-4B94-9300-A2D6BF262D42}"/>
                </c:ext>
                <c:ext xmlns:c15="http://schemas.microsoft.com/office/drawing/2012/chart" uri="{CE6537A1-D6FC-4f65-9D91-7224C49458BB}"/>
              </c:extLst>
            </c:dLbl>
            <c:numFmt formatCode="#,##0" sourceLinked="0"/>
            <c:spPr>
              <a:noFill/>
              <a:ln>
                <a:noFill/>
              </a:ln>
              <a:effectLst/>
            </c:spPr>
            <c:txPr>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Sheet1!$A$4:$A$30</c:f>
              <c:strCache>
                <c:ptCount val="27"/>
                <c:pt idx="0">
                  <c:v>SE</c:v>
                </c:pt>
                <c:pt idx="1">
                  <c:v>DK</c:v>
                </c:pt>
                <c:pt idx="2">
                  <c:v>UK</c:v>
                </c:pt>
                <c:pt idx="3">
                  <c:v>LU</c:v>
                </c:pt>
                <c:pt idx="4">
                  <c:v>NL</c:v>
                </c:pt>
                <c:pt idx="5">
                  <c:v>FI</c:v>
                </c:pt>
                <c:pt idx="6">
                  <c:v>FR</c:v>
                </c:pt>
                <c:pt idx="7">
                  <c:v>IE</c:v>
                </c:pt>
                <c:pt idx="8">
                  <c:v>BE</c:v>
                </c:pt>
                <c:pt idx="9">
                  <c:v>AT</c:v>
                </c:pt>
                <c:pt idx="10">
                  <c:v>DE</c:v>
                </c:pt>
                <c:pt idx="11">
                  <c:v>MT</c:v>
                </c:pt>
                <c:pt idx="12">
                  <c:v>SI</c:v>
                </c:pt>
                <c:pt idx="13">
                  <c:v>IT</c:v>
                </c:pt>
                <c:pt idx="14">
                  <c:v>EU-28</c:v>
                </c:pt>
                <c:pt idx="15">
                  <c:v>CY</c:v>
                </c:pt>
                <c:pt idx="16">
                  <c:v>PL</c:v>
                </c:pt>
                <c:pt idx="17">
                  <c:v>CZ</c:v>
                </c:pt>
                <c:pt idx="18">
                  <c:v>EE</c:v>
                </c:pt>
                <c:pt idx="19">
                  <c:v>SK</c:v>
                </c:pt>
                <c:pt idx="20">
                  <c:v>HR</c:v>
                </c:pt>
                <c:pt idx="21">
                  <c:v>LV</c:v>
                </c:pt>
                <c:pt idx="22">
                  <c:v>ES</c:v>
                </c:pt>
                <c:pt idx="23">
                  <c:v>PT</c:v>
                </c:pt>
                <c:pt idx="24">
                  <c:v>HU</c:v>
                </c:pt>
                <c:pt idx="25">
                  <c:v>EL</c:v>
                </c:pt>
                <c:pt idx="26">
                  <c:v>LT</c:v>
                </c:pt>
              </c:strCache>
            </c:strRef>
          </c:cat>
          <c:val>
            <c:numRef>
              <c:f>Sheet1!$B$4:$B$30</c:f>
              <c:numCache>
                <c:formatCode>0.0</c:formatCode>
                <c:ptCount val="27"/>
                <c:pt idx="0" formatCode="General">
                  <c:v>36.864814814814814</c:v>
                </c:pt>
                <c:pt idx="1">
                  <c:v>34.553846153846152</c:v>
                </c:pt>
                <c:pt idx="2" formatCode="General">
                  <c:v>33.015215871821063</c:v>
                </c:pt>
                <c:pt idx="3">
                  <c:v>32.773722627737222</c:v>
                </c:pt>
                <c:pt idx="4">
                  <c:v>30.557894736842105</c:v>
                </c:pt>
                <c:pt idx="5">
                  <c:v>29.896373056994818</c:v>
                </c:pt>
                <c:pt idx="6">
                  <c:v>29.164222873900293</c:v>
                </c:pt>
                <c:pt idx="7">
                  <c:v>28.139917695473248</c:v>
                </c:pt>
                <c:pt idx="8">
                  <c:v>25.198237885462557</c:v>
                </c:pt>
                <c:pt idx="9">
                  <c:v>24.375441072688776</c:v>
                </c:pt>
                <c:pt idx="10">
                  <c:v>22.716332378223495</c:v>
                </c:pt>
                <c:pt idx="11">
                  <c:v>21.32450331125828</c:v>
                </c:pt>
                <c:pt idx="12">
                  <c:v>20.815533980582522</c:v>
                </c:pt>
                <c:pt idx="13">
                  <c:v>19.837073608617594</c:v>
                </c:pt>
                <c:pt idx="14">
                  <c:v>17.560640787619665</c:v>
                </c:pt>
                <c:pt idx="15">
                  <c:v>14.728546409807354</c:v>
                </c:pt>
                <c:pt idx="16">
                  <c:v>13.215301618440412</c:v>
                </c:pt>
                <c:pt idx="17">
                  <c:v>12.869328174463595</c:v>
                </c:pt>
                <c:pt idx="18">
                  <c:v>12.68181818181818</c:v>
                </c:pt>
                <c:pt idx="19">
                  <c:v>11.604089546976908</c:v>
                </c:pt>
                <c:pt idx="20">
                  <c:v>11.05341246290801</c:v>
                </c:pt>
                <c:pt idx="21">
                  <c:v>10.792533659730722</c:v>
                </c:pt>
                <c:pt idx="22">
                  <c:v>10.43375053949072</c:v>
                </c:pt>
                <c:pt idx="23">
                  <c:v>10.166476407914764</c:v>
                </c:pt>
                <c:pt idx="24">
                  <c:v>9.8595505617977519</c:v>
                </c:pt>
                <c:pt idx="25">
                  <c:v>8.2887820154345153</c:v>
                </c:pt>
                <c:pt idx="26">
                  <c:v>7.7725582305734973</c:v>
                </c:pt>
              </c:numCache>
            </c:numRef>
          </c:val>
          <c:extLst>
            <c:ext xmlns:c="http://schemas.openxmlformats.org/drawingml/2006/chart" xmlns:c16="http://schemas.microsoft.com/office/drawing/2014/chart" uri="{C3380CC4-5D6E-409C-BE32-E72D297353CC}">
              <c16:uniqueId val="{00000005-3234-4B94-9300-A2D6BF262D42}"/>
            </c:ext>
          </c:extLst>
        </c:ser>
        <c:dLbls>
          <c:showLegendKey val="0"/>
          <c:showVal val="0"/>
          <c:showCatName val="0"/>
          <c:showSerName val="0"/>
          <c:showPercent val="0"/>
          <c:showBubbleSize val="0"/>
        </c:dLbls>
        <c:gapWidth val="20"/>
        <c:axId val="629842808"/>
        <c:axId val="629831832"/>
      </c:barChart>
      <c:catAx>
        <c:axId val="629842808"/>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29831832"/>
        <c:crosses val="autoZero"/>
        <c:auto val="1"/>
        <c:lblAlgn val="ctr"/>
        <c:lblOffset val="100"/>
        <c:tickLblSkip val="1"/>
        <c:noMultiLvlLbl val="0"/>
      </c:catAx>
      <c:valAx>
        <c:axId val="629831832"/>
        <c:scaling>
          <c:orientation val="minMax"/>
        </c:scaling>
        <c:delete val="0"/>
        <c:axPos val="l"/>
        <c:numFmt formatCode="0" sourceLinked="0"/>
        <c:majorTickMark val="out"/>
        <c:minorTickMark val="none"/>
        <c:tickLblPos val="nextTo"/>
        <c:txPr>
          <a:bodyPr/>
          <a:lstStyle/>
          <a:p>
            <a:pPr>
              <a:defRPr sz="600"/>
            </a:pPr>
            <a:endParaRPr lang="lv-LV"/>
          </a:p>
        </c:txPr>
        <c:crossAx val="629842808"/>
        <c:crosses val="autoZero"/>
        <c:crossBetween val="between"/>
      </c:valAx>
    </c:plotArea>
    <c:plotVisOnly val="1"/>
    <c:dispBlanksAs val="gap"/>
    <c:showDLblsOverMax val="0"/>
  </c:chart>
  <c:spPr>
    <a:ln w="9525">
      <a:noFill/>
    </a:ln>
  </c:spPr>
  <c:externalData r:id="rId1">
    <c:autoUpdate val="0"/>
  </c:externalData>
</c:chartSpace>
</file>

<file path=word/charts/chart230.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2572178477690286"/>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7968-4D6E-90D2-E36E6AC0F49E}"/>
              </c:ext>
            </c:extLst>
          </c:dPt>
          <c:dPt>
            <c:idx val="5"/>
            <c:bubble3D val="0"/>
            <c:extLst>
              <c:ext xmlns:c="http://schemas.openxmlformats.org/drawingml/2006/chart" xmlns:c16="http://schemas.microsoft.com/office/drawing/2014/chart" uri="{C3380CC4-5D6E-409C-BE32-E72D297353CC}">
                <c16:uniqueId val="{00000001-7968-4D6E-90D2-E36E6AC0F49E}"/>
              </c:ext>
            </c:extLst>
          </c:dPt>
          <c:dPt>
            <c:idx val="11"/>
            <c:bubble3D val="0"/>
            <c:extLst>
              <c:ext xmlns:c="http://schemas.openxmlformats.org/drawingml/2006/chart" xmlns:c16="http://schemas.microsoft.com/office/drawing/2014/chart" uri="{C3380CC4-5D6E-409C-BE32-E72D297353CC}">
                <c16:uniqueId val="{00000002-7968-4D6E-90D2-E36E6AC0F49E}"/>
              </c:ext>
            </c:extLst>
          </c:dPt>
          <c:dPt>
            <c:idx val="12"/>
            <c:bubble3D val="0"/>
            <c:extLst>
              <c:ext xmlns:c="http://schemas.openxmlformats.org/drawingml/2006/chart" xmlns:c16="http://schemas.microsoft.com/office/drawing/2014/chart" uri="{C3380CC4-5D6E-409C-BE32-E72D297353CC}">
                <c16:uniqueId val="{00000003-7968-4D6E-90D2-E36E6AC0F49E}"/>
              </c:ext>
            </c:extLst>
          </c:dPt>
          <c:dPt>
            <c:idx val="13"/>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4-7968-4D6E-90D2-E36E6AC0F49E}"/>
              </c:ext>
            </c:extLst>
          </c:dPt>
          <c:dPt>
            <c:idx val="14"/>
            <c:bubble3D val="0"/>
            <c:extLst>
              <c:ext xmlns:c="http://schemas.openxmlformats.org/drawingml/2006/chart" xmlns:c16="http://schemas.microsoft.com/office/drawing/2014/chart" uri="{C3380CC4-5D6E-409C-BE32-E72D297353CC}">
                <c16:uniqueId val="{00000005-7968-4D6E-90D2-E36E6AC0F49E}"/>
              </c:ext>
            </c:extLst>
          </c:dPt>
          <c:dLbls>
            <c:dLbl>
              <c:idx val="0"/>
              <c:tx>
                <c:rich>
                  <a:bodyPr vertOverflow="clip"/>
                  <a:lstStyle/>
                  <a:p>
                    <a:fld id="{8e9255bf-17fb-421c-8178-e2a6b6f9ffe6}" type="CELLRANGE">
                      <a:rPr lang="en-US"/>
                      <a:t>BE</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0-7968-4D6E-90D2-E36E6AC0F49E}"/>
                </c:ext>
                <c:ext xmlns:c15="http://schemas.microsoft.com/office/drawing/2012/chart" uri="{CE6537A1-D6FC-4f65-9D91-7224C49458BB}">
                  <c15:showDataLabelsRange val="1"/>
                </c:ext>
              </c:extLst>
            </c:dLbl>
            <c:dLbl>
              <c:idx val="1"/>
              <c:tx>
                <c:rich>
                  <a:bodyPr vertOverflow="clip"/>
                  <a:lstStyle/>
                  <a:p>
                    <a:fld id="{cd6af92d-7d35-4f63-a0ea-290091ee04a7}" type="CELLRANGE">
                      <a:rPr lang="en-US"/>
                      <a:t>BG</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6-245D-4C61-81B2-6BC073AAF58D}"/>
                </c:ext>
                <c:ext xmlns:c15="http://schemas.microsoft.com/office/drawing/2012/chart" uri="{CE6537A1-D6FC-4f65-9D91-7224C49458BB}">
                  <c15:showDataLabelsRange val="1"/>
                </c:ext>
              </c:extLst>
            </c:dLbl>
            <c:dLbl>
              <c:idx val="2"/>
              <c:tx>
                <c:rich>
                  <a:bodyPr vertOverflow="clip"/>
                  <a:lstStyle/>
                  <a:p>
                    <a:fld id="{38894657-bfa2-4098-8108-fa689dfa25dc}" type="CELLRANGE">
                      <a:rPr lang="en-US"/>
                      <a:t>CZ</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C-245D-4C61-81B2-6BC073AAF58D}"/>
                </c:ext>
                <c:ext xmlns:c15="http://schemas.microsoft.com/office/drawing/2012/chart" uri="{CE6537A1-D6FC-4f65-9D91-7224C49458BB}">
                  <c15:showDataLabelsRange val="1"/>
                </c:ext>
              </c:extLst>
            </c:dLbl>
            <c:dLbl>
              <c:idx val="3"/>
              <c:tx>
                <c:rich>
                  <a:bodyPr vertOverflow="clip"/>
                  <a:lstStyle/>
                  <a:p>
                    <a:fld id="{b1e57730-e118-42b2-b1f6-72ca4ad2cbaf}" type="CELLRANGE">
                      <a:rPr lang="en-US"/>
                      <a:t>DK</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D-245D-4C61-81B2-6BC073AAF58D}"/>
                </c:ext>
                <c:ext xmlns:c15="http://schemas.microsoft.com/office/drawing/2012/chart" uri="{CE6537A1-D6FC-4f65-9D91-7224C49458BB}">
                  <c15:showDataLabelsRange val="1"/>
                </c:ext>
              </c:extLst>
            </c:dLbl>
            <c:dLbl>
              <c:idx val="4"/>
              <c:tx>
                <c:rich>
                  <a:bodyPr vertOverflow="clip"/>
                  <a:lstStyle/>
                  <a:p>
                    <a:fld id="{e586c7c4-6cfd-407f-aa43-3e4a1889a108}" type="CELLRANGE">
                      <a:rPr lang="en-US"/>
                      <a:t>DE</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2-245D-4C61-81B2-6BC073AAF58D}"/>
                </c:ext>
                <c:ext xmlns:c15="http://schemas.microsoft.com/office/drawing/2012/chart" uri="{CE6537A1-D6FC-4f65-9D91-7224C49458BB}">
                  <c15:showDataLabelsRange val="1"/>
                </c:ext>
              </c:extLst>
            </c:dLbl>
            <c:dLbl>
              <c:idx val="5"/>
              <c:layout>
                <c:manualLayout>
                  <c:x val="-0.084485981308411215"/>
                  <c:y val="0"/>
                </c:manualLayout>
              </c:layout>
              <c:tx>
                <c:rich>
                  <a:bodyPr vertOverflow="clip"/>
                  <a:lstStyle/>
                  <a:p>
                    <a:fld id="{cc7c11e4-b036-4fe1-afec-eb12fcc44e57}" type="CELLRANGE">
                      <a:rPr lang="en-US"/>
                      <a:t>EE</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1-7968-4D6E-90D2-E36E6AC0F49E}"/>
                </c:ext>
                <c:ext xmlns:c15="http://schemas.microsoft.com/office/drawing/2012/chart" uri="{CE6537A1-D6FC-4f65-9D91-7224C49458BB}">
                  <c15:showDataLabelsRange val="1"/>
                </c:ext>
              </c:extLst>
            </c:dLbl>
            <c:dLbl>
              <c:idx val="6"/>
              <c:tx>
                <c:rich>
                  <a:bodyPr vertOverflow="clip"/>
                  <a:lstStyle/>
                  <a:p>
                    <a:fld id="{4d8104cd-324c-431e-9ba0-8f3ef073b21c}" type="CELLRANGE">
                      <a:rPr lang="lv-LV"/>
                      <a:t>IE</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7"/>
              <c:tx>
                <c:rich>
                  <a:bodyPr vertOverflow="clip"/>
                  <a:lstStyle/>
                  <a:p>
                    <a:fld id="{ec412a00-633e-4de0-86d4-ecdb61da00b8}" type="CELLRANGE">
                      <a:rPr lang="lv-LV"/>
                      <a:t>EL</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8"/>
              <c:tx>
                <c:rich>
                  <a:bodyPr vertOverflow="clip"/>
                  <a:lstStyle/>
                  <a:p>
                    <a:fld id="{fa720478-f9d0-4974-971f-b71d4561ae2c}" type="CELLRANGE">
                      <a:rPr lang="en-US"/>
                      <a:t>ES</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E-245D-4C61-81B2-6BC073AAF58D}"/>
                </c:ext>
                <c:ext xmlns:c15="http://schemas.microsoft.com/office/drawing/2012/chart" uri="{CE6537A1-D6FC-4f65-9D91-7224C49458BB}">
                  <c15:showDataLabelsRange val="1"/>
                </c:ext>
              </c:extLst>
            </c:dLbl>
            <c:dLbl>
              <c:idx val="9"/>
              <c:tx>
                <c:rich>
                  <a:bodyPr vertOverflow="clip"/>
                  <a:lstStyle/>
                  <a:p>
                    <a:fld id="{1285ff39-bd54-4d6b-8d31-49a15dce29ed}" type="CELLRANGE">
                      <a:rPr lang="en-US"/>
                      <a:t>FR</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F-245D-4C61-81B2-6BC073AAF58D}"/>
                </c:ext>
                <c:ext xmlns:c15="http://schemas.microsoft.com/office/drawing/2012/chart" uri="{CE6537A1-D6FC-4f65-9D91-7224C49458BB}">
                  <c15:showDataLabelsRange val="1"/>
                </c:ext>
              </c:extLst>
            </c:dLbl>
            <c:dLbl>
              <c:idx val="10"/>
              <c:layout>
                <c:manualLayout>
                  <c:x val="-0.0918380062305296"/>
                  <c:y val="0.019047619047619049"/>
                </c:manualLayout>
              </c:layout>
              <c:tx>
                <c:rich>
                  <a:bodyPr vertOverflow="clip"/>
                  <a:lstStyle/>
                  <a:p>
                    <a:fld id="{921fcaec-1e9b-44f9-88c4-d246e0eb36f1}" type="CELLRANGE">
                      <a:rPr lang="en-US"/>
                      <a:t>HR</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7-245D-4C61-81B2-6BC073AAF58D}"/>
                </c:ext>
                <c:ext xmlns:c15="http://schemas.microsoft.com/office/drawing/2012/chart" uri="{CE6537A1-D6FC-4f65-9D91-7224C49458BB}">
                  <c15:showDataLabelsRange val="1"/>
                </c:ext>
              </c:extLst>
            </c:dLbl>
            <c:dLbl>
              <c:idx val="11"/>
              <c:layout>
                <c:manualLayout>
                  <c:x val="-0.04569055036344756"/>
                  <c:y val="0.057142857142857141"/>
                </c:manualLayout>
              </c:layout>
              <c:tx>
                <c:rich>
                  <a:bodyPr vertOverflow="clip"/>
                  <a:lstStyle/>
                  <a:p>
                    <a:fld id="{c27191ec-62e3-4e7c-8f4e-3b28ad6e8adf}" type="CELLRANGE">
                      <a:rPr lang="en-US"/>
                      <a:t>IT</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2-7968-4D6E-90D2-E36E6AC0F49E}"/>
                </c:ext>
                <c:ext xmlns:c15="http://schemas.microsoft.com/office/drawing/2012/chart" uri="{CE6537A1-D6FC-4f65-9D91-7224C49458BB}">
                  <c15:showDataLabelsRange val="1"/>
                </c:ext>
              </c:extLst>
            </c:dLbl>
            <c:dLbl>
              <c:idx val="12"/>
              <c:tx>
                <c:rich>
                  <a:bodyPr vertOverflow="clip"/>
                  <a:lstStyle/>
                  <a:p>
                    <a:fld id="{6d067826-c5f7-44f6-a334-e72397c3cd2c}" type="CELLRANGE">
                      <a:rPr lang="en-US"/>
                      <a:t>CY</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3-7968-4D6E-90D2-E36E6AC0F49E}"/>
                </c:ext>
                <c:ext xmlns:c15="http://schemas.microsoft.com/office/drawing/2012/chart" uri="{CE6537A1-D6FC-4f65-9D91-7224C49458BB}">
                  <c15:showDataLabelsRange val="1"/>
                </c:ext>
              </c:extLst>
            </c:dLbl>
            <c:dLbl>
              <c:idx val="13"/>
              <c:tx>
                <c:rich>
                  <a:bodyPr vertOverflow="clip"/>
                  <a:lstStyle/>
                  <a:p>
                    <a:fld id="{fba93bd8-d8c2-4a86-bbe6-1adabb2c557a}" type="CELLRANGE">
                      <a:rPr lang="lv-LV"/>
                      <a:t>LV</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4"/>
              <c:tx>
                <c:rich>
                  <a:bodyPr vertOverflow="clip"/>
                  <a:lstStyle/>
                  <a:p>
                    <a:fld id="{e1fe2cc6-66d5-49b7-8653-48a3703d6453}" type="CELLRANGE">
                      <a:rPr lang="en-US"/>
                      <a:t>LT</a:t>
                    </a:fld>
                    <a:endParaRPr lang="lv-LV"/>
                  </a:p>
                </c:rich>
              </c:tx>
              <c:dLblPos val="l"/>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5-7968-4D6E-90D2-E36E6AC0F49E}"/>
                </c:ext>
                <c:ext xmlns:c15="http://schemas.microsoft.com/office/drawing/2012/chart" uri="{CE6537A1-D6FC-4f65-9D91-7224C49458BB}">
                  <c15:showDataLabelsRange val="1"/>
                </c:ext>
              </c:extLst>
            </c:dLbl>
            <c:dLbl>
              <c:idx val="15"/>
              <c:tx>
                <c:rich>
                  <a:bodyPr vertOverflow="clip"/>
                  <a:lstStyle/>
                  <a:p>
                    <a:fld id="{1d8ab580-b4ac-4ec1-b193-d6f8e9093214}" type="CELLRANGE">
                      <a:rPr lang="en-US"/>
                      <a:t>HU</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9-245D-4C61-81B2-6BC073AAF58D}"/>
                </c:ext>
                <c:ext xmlns:c15="http://schemas.microsoft.com/office/drawing/2012/chart" uri="{CE6537A1-D6FC-4f65-9D91-7224C49458BB}">
                  <c15:showDataLabelsRange val="1"/>
                </c:ext>
              </c:extLst>
            </c:dLbl>
            <c:dLbl>
              <c:idx val="16"/>
              <c:tx>
                <c:rich>
                  <a:bodyPr vertOverflow="clip"/>
                  <a:lstStyle/>
                  <a:p>
                    <a:fld id="{bb1bff7c-22b7-44fc-824a-5a19a3299610}" type="CELLRANGE">
                      <a:rPr lang="en-US"/>
                      <a:t>NL</a:t>
                    </a:fld>
                    <a:endParaRPr lang="lv-LV"/>
                  </a:p>
                </c:rich>
              </c:tx>
              <c:dLblPos val="l"/>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1-245D-4C61-81B2-6BC073AAF58D}"/>
                </c:ext>
                <c:ext xmlns:c15="http://schemas.microsoft.com/office/drawing/2012/chart" uri="{CE6537A1-D6FC-4f65-9D91-7224C49458BB}">
                  <c15:showDataLabelsRange val="1"/>
                </c:ext>
              </c:extLst>
            </c:dLbl>
            <c:dLbl>
              <c:idx val="17"/>
              <c:tx>
                <c:rich>
                  <a:bodyPr vertOverflow="clip"/>
                  <a:lstStyle/>
                  <a:p>
                    <a:fld id="{e6d2ec49-9381-4b95-b5a1-3fb9858ca0e0}" type="CELLRANGE">
                      <a:rPr lang="en-US"/>
                      <a:t>AT</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0-245D-4C61-81B2-6BC073AAF58D}"/>
                </c:ext>
                <c:ext xmlns:c15="http://schemas.microsoft.com/office/drawing/2012/chart" uri="{CE6537A1-D6FC-4f65-9D91-7224C49458BB}">
                  <c15:showDataLabelsRange val="1"/>
                </c:ext>
              </c:extLst>
            </c:dLbl>
            <c:dLbl>
              <c:idx val="18"/>
              <c:tx>
                <c:rich>
                  <a:bodyPr vertOverflow="clip"/>
                  <a:lstStyle/>
                  <a:p>
                    <a:fld id="{056986b6-0e98-4002-9f2e-8a1358854473}" type="CELLRANGE">
                      <a:rPr lang="lv-LV"/>
                      <a:t>PL</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9"/>
              <c:tx>
                <c:rich>
                  <a:bodyPr vertOverflow="clip"/>
                  <a:lstStyle/>
                  <a:p>
                    <a:fld id="{51fdb85e-4308-4423-94a0-83c3a0b2f50c}" type="CELLRANGE">
                      <a:rPr lang="lv-LV"/>
                      <a:t>PT</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20"/>
              <c:tx>
                <c:rich>
                  <a:bodyPr vertOverflow="clip"/>
                  <a:lstStyle/>
                  <a:p>
                    <a:fld id="{661e085d-a5c1-443b-a802-e9f8d5bc966d}" type="CELLRANGE">
                      <a:rPr lang="en-US"/>
                      <a:t>RO</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8-245D-4C61-81B2-6BC073AAF58D}"/>
                </c:ext>
                <c:ext xmlns:c15="http://schemas.microsoft.com/office/drawing/2012/chart" uri="{CE6537A1-D6FC-4f65-9D91-7224C49458BB}">
                  <c15:showDataLabelsRange val="1"/>
                </c:ext>
              </c:extLst>
            </c:dLbl>
            <c:dLbl>
              <c:idx val="21"/>
              <c:tx>
                <c:rich>
                  <a:bodyPr vertOverflow="clip"/>
                  <a:lstStyle/>
                  <a:p>
                    <a:fld id="{d512fdee-53d6-4a52-bcd3-74a7575bea3a}" type="CELLRANGE">
                      <a:rPr lang="en-US"/>
                      <a:t>SI</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A-245D-4C61-81B2-6BC073AAF58D}"/>
                </c:ext>
                <c:ext xmlns:c15="http://schemas.microsoft.com/office/drawing/2012/chart" uri="{CE6537A1-D6FC-4f65-9D91-7224C49458BB}">
                  <c15:showDataLabelsRange val="1"/>
                </c:ext>
              </c:extLst>
            </c:dLbl>
            <c:dLbl>
              <c:idx val="22"/>
              <c:tx>
                <c:rich>
                  <a:bodyPr vertOverflow="clip"/>
                  <a:lstStyle/>
                  <a:p>
                    <a:fld id="{854ce84d-211c-4778-b99f-69b0da4b1036}" type="CELLRANGE">
                      <a:rPr lang="en-US"/>
                      <a:t>SK</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B-245D-4C61-81B2-6BC073AAF58D}"/>
                </c:ext>
                <c:ext xmlns:c15="http://schemas.microsoft.com/office/drawing/2012/chart" uri="{CE6537A1-D6FC-4f65-9D91-7224C49458BB}">
                  <c15:showDataLabelsRange val="1"/>
                </c:ext>
              </c:extLst>
            </c:dLbl>
            <c:dLbl>
              <c:idx val="23"/>
              <c:tx>
                <c:rich>
                  <a:bodyPr vertOverflow="clip"/>
                  <a:lstStyle/>
                  <a:p>
                    <a:fld id="{7f1b96d4-8762-42e1-a047-39f02d4a6db4}" type="CELLRANGE">
                      <a:rPr lang="lv-LV"/>
                      <a:t>FI</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24"/>
              <c:tx>
                <c:rich>
                  <a:bodyPr vertOverflow="clip"/>
                  <a:lstStyle/>
                  <a:p>
                    <a:fld id="{7527a205-db2f-4ddb-9727-7d5d8e40df4f}" type="CELLRANGE">
                      <a:rPr lang="en-US"/>
                      <a:t>SE</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3-245D-4C61-81B2-6BC073AAF58D}"/>
                </c:ext>
                <c:ext xmlns:c15="http://schemas.microsoft.com/office/drawing/2012/chart" uri="{CE6537A1-D6FC-4f65-9D91-7224C49458BB}">
                  <c15:showDataLabelsRange val="1"/>
                </c:ext>
              </c:extLst>
            </c:dLbl>
            <c:dLbl>
              <c:idx val="25"/>
              <c:tx>
                <c:rich>
                  <a:bodyPr vertOverflow="clip"/>
                  <a:lstStyle/>
                  <a:p>
                    <a:fld id="{846bd1c3-6688-428d-904e-0bb1c897f07d}" type="CELLRANGE">
                      <a:rPr lang="lv-LV"/>
                      <a:t>UK</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Sheet1!$B$3:$B$28</c:f>
              <c:numCache>
                <c:formatCode>#,##0.0</c:formatCode>
                <c:ptCount val="26"/>
                <c:pt idx="0">
                  <c:v>82.629427792915521</c:v>
                </c:pt>
                <c:pt idx="1">
                  <c:v>7.2003154574132493</c:v>
                </c:pt>
                <c:pt idx="2">
                  <c:v>36.808189864799147</c:v>
                </c:pt>
                <c:pt idx="3">
                  <c:v>78.033333333333331</c:v>
                </c:pt>
                <c:pt idx="4">
                  <c:v>128.77371031746031</c:v>
                </c:pt>
                <c:pt idx="5">
                  <c:v>39.657142857142858</c:v>
                </c:pt>
                <c:pt idx="6">
                  <c:v>34.09195402298851</c:v>
                </c:pt>
                <c:pt idx="7">
                  <c:v>41.188589540412046</c:v>
                </c:pt>
                <c:pt idx="8">
                  <c:v>91.737160120845928</c:v>
                </c:pt>
                <c:pt idx="9">
                  <c:v>109.45077720207254</c:v>
                </c:pt>
                <c:pt idx="10">
                  <c:v>15.61489810260014</c:v>
                </c:pt>
                <c:pt idx="11">
                  <c:v>71.348301444748131</c:v>
                </c:pt>
                <c:pt idx="12">
                  <c:v>19.09090909090909</c:v>
                </c:pt>
                <c:pt idx="13">
                  <c:v>18.747152619589979</c:v>
                </c:pt>
                <c:pt idx="14">
                  <c:v>28.112582781456954</c:v>
                </c:pt>
                <c:pt idx="15">
                  <c:v>57.750575434191255</c:v>
                </c:pt>
                <c:pt idx="16">
                  <c:v>111.68421052631579</c:v>
                </c:pt>
                <c:pt idx="17">
                  <c:v>115.91567852437417</c:v>
                </c:pt>
                <c:pt idx="18">
                  <c:v>19.194714459295263</c:v>
                </c:pt>
                <c:pt idx="19">
                  <c:v>41.886102403343784</c:v>
                </c:pt>
                <c:pt idx="20">
                  <c:v>26.230165649520487</c:v>
                </c:pt>
                <c:pt idx="21">
                  <c:v>40.812954395241242</c:v>
                </c:pt>
                <c:pt idx="22">
                  <c:v>46.266999722453512</c:v>
                </c:pt>
                <c:pt idx="23">
                  <c:v>55.673758865248232</c:v>
                </c:pt>
                <c:pt idx="24">
                  <c:v>128.53670886075949</c:v>
                </c:pt>
                <c:pt idx="25">
                  <c:v>84.540686085953055</c:v>
                </c:pt>
              </c:numCache>
            </c:numRef>
          </c:xVal>
          <c:yVal>
            <c:numRef>
              <c:f>Sheet1!$C$3:$C$28</c:f>
              <c:numCache>
                <c:formatCode>#,##0.0</c:formatCode>
                <c:ptCount val="26"/>
                <c:pt idx="0">
                  <c:v>0.777966987670203</c:v>
                </c:pt>
                <c:pt idx="1">
                  <c:v>0.88455119178010755</c:v>
                </c:pt>
                <c:pt idx="2">
                  <c:v>0.48062657545296134</c:v>
                </c:pt>
                <c:pt idx="3">
                  <c:v>0.75074754378470743</c:v>
                </c:pt>
                <c:pt idx="4">
                  <c:v>0.55798221161617467</c:v>
                </c:pt>
                <c:pt idx="5">
                  <c:v>0.55551916863156059</c:v>
                </c:pt>
                <c:pt idx="6">
                  <c:v>1.2354962669288074</c:v>
                </c:pt>
                <c:pt idx="7">
                  <c:v>0.44355854261110284</c:v>
                </c:pt>
                <c:pt idx="8">
                  <c:v>0.52315702738882341</c:v>
                </c:pt>
                <c:pt idx="9">
                  <c:v>0.66244580611310977</c:v>
                </c:pt>
                <c:pt idx="10">
                  <c:v>0.79287150856909128</c:v>
                </c:pt>
                <c:pt idx="11">
                  <c:v>0.65799232576272559</c:v>
                </c:pt>
                <c:pt idx="12">
                  <c:v>0.93121693121693128</c:v>
                </c:pt>
                <c:pt idx="13">
                  <c:v>0.7404891912789846</c:v>
                </c:pt>
                <c:pt idx="14">
                  <c:v>0.47585394581861012</c:v>
                </c:pt>
                <c:pt idx="15">
                  <c:v>0.30075942890047752</c:v>
                </c:pt>
                <c:pt idx="16">
                  <c:v>0.52730723183126571</c:v>
                </c:pt>
                <c:pt idx="17">
                  <c:v>0.51745771260610085</c:v>
                </c:pt>
                <c:pt idx="18">
                  <c:v>0.5907613154043917</c:v>
                </c:pt>
                <c:pt idx="19">
                  <c:v>0.54370134437165729</c:v>
                </c:pt>
                <c:pt idx="20">
                  <c:v>0.34496111148042274</c:v>
                </c:pt>
                <c:pt idx="21">
                  <c:v>0.61645531235382345</c:v>
                </c:pt>
                <c:pt idx="22">
                  <c:v>0.41068089008292546</c:v>
                </c:pt>
                <c:pt idx="23">
                  <c:v>0.8629465522016061</c:v>
                </c:pt>
                <c:pt idx="24">
                  <c:v>0.46539431182541563</c:v>
                </c:pt>
                <c:pt idx="25">
                  <c:v>0.97147267661962267</c:v>
                </c:pt>
              </c:numCache>
            </c:numRef>
          </c:yVal>
          <c:smooth val="0"/>
          <c:extLst>
            <c:ext xmlns:c="http://schemas.openxmlformats.org/drawingml/2006/chart" xmlns:c16="http://schemas.microsoft.com/office/drawing/2014/chart" uri="{C3380CC4-5D6E-409C-BE32-E72D297353CC}">
              <c16:uniqueId val="{0000001C-7968-4D6E-90D2-E36E6AC0F49E}"/>
            </c:ext>
            <c:ext xmlns:c15="http://schemas.microsoft.com/office/drawing/2012/chart" uri="{02D57815-91ED-43cb-92C2-25804820EDAC}">
              <c15:datalabelsRange>
                <c15:f>Sheet1!$A$3:$A$28</c15:f>
                <c15:dlblRangeCache>
                  <c:ptCount val="26"/>
                  <c:pt idx="0">
                    <c:v>BE</c:v>
                  </c:pt>
                  <c:pt idx="1">
                    <c:v>BG</c:v>
                  </c:pt>
                  <c:pt idx="2">
                    <c:v>CZ</c:v>
                  </c:pt>
                  <c:pt idx="3">
                    <c:v>DK</c:v>
                  </c:pt>
                  <c:pt idx="4">
                    <c:v>DE</c:v>
                  </c:pt>
                  <c:pt idx="5">
                    <c:v>EE</c:v>
                  </c:pt>
                  <c:pt idx="6">
                    <c:v>IE</c:v>
                  </c:pt>
                  <c:pt idx="7">
                    <c:v>EL</c:v>
                  </c:pt>
                  <c:pt idx="8">
                    <c:v>ES</c:v>
                  </c:pt>
                  <c:pt idx="9">
                    <c:v>FR</c:v>
                  </c:pt>
                  <c:pt idx="10">
                    <c:v>HR</c:v>
                  </c:pt>
                  <c:pt idx="11">
                    <c:v>IT</c:v>
                  </c:pt>
                  <c:pt idx="12">
                    <c:v>CY</c:v>
                  </c:pt>
                  <c:pt idx="13">
                    <c:v>LV</c:v>
                  </c:pt>
                  <c:pt idx="14">
                    <c:v>LT</c:v>
                  </c:pt>
                  <c:pt idx="15">
                    <c:v>HU</c:v>
                  </c:pt>
                  <c:pt idx="16">
                    <c:v>NL</c:v>
                  </c:pt>
                  <c:pt idx="17">
                    <c:v>AT</c:v>
                  </c:pt>
                  <c:pt idx="18">
                    <c:v>PL</c:v>
                  </c:pt>
                  <c:pt idx="19">
                    <c:v>PT</c:v>
                  </c:pt>
                  <c:pt idx="20">
                    <c:v>RO</c:v>
                  </c:pt>
                  <c:pt idx="21">
                    <c:v>SI</c:v>
                  </c:pt>
                  <c:pt idx="22">
                    <c:v>SK</c:v>
                  </c:pt>
                  <c:pt idx="23">
                    <c:v>FI</c:v>
                  </c:pt>
                  <c:pt idx="24">
                    <c:v>SE</c:v>
                  </c:pt>
                  <c:pt idx="25">
                    <c:v>UK</c:v>
                  </c:pt>
                </c15:dlblRangeCache>
              </c15:datalabelsRange>
            </c:ext>
          </c:extLst>
        </c:ser>
        <c:dLbls>
          <c:showLegendKey val="0"/>
          <c:showVal val="0"/>
          <c:showCatName val="0"/>
          <c:showSerName val="0"/>
          <c:showPercent val="0"/>
          <c:showBubbleSize val="0"/>
        </c:dLbls>
        <c:axId val="656339016"/>
        <c:axId val="656340976"/>
      </c:scatterChart>
      <c:valAx>
        <c:axId val="656339016"/>
        <c:scaling>
          <c:orientation val="minMax"/>
          <c:max val="130"/>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56340976"/>
        <c:crosses val="autoZero"/>
        <c:crossBetween val="midCat"/>
        <c:majorUnit val="10"/>
      </c:valAx>
      <c:valAx>
        <c:axId val="656340976"/>
        <c:scaling>
          <c:orientation val="minMax"/>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56339016"/>
        <c:crosses val="autoZero"/>
        <c:crossBetween val="midCat"/>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2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59412201441466"/>
          <c:y val="0.098301682877875565"/>
          <c:w val="0.77357359176256812"/>
          <c:h val="0.69260123734533185"/>
        </c:manualLayout>
      </c:layout>
      <c:barChart>
        <c:barDir val="col"/>
        <c:grouping val="clustered"/>
        <c:varyColors val="0"/>
        <c:ser>
          <c:idx val="4"/>
          <c:order val="0"/>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6EA8-4990-A26D-1BFA0B975F89}"/>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6EA8-4990-A26D-1BFA0B975F89}"/>
              </c:ext>
            </c:extLst>
          </c:dPt>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Sheet1!$A$3:$A$5</c:f>
              <c:strCache>
                <c:ptCount val="3"/>
                <c:pt idx="0">
                  <c:v>2005</c:v>
                </c:pt>
                <c:pt idx="1">
                  <c:v>2010</c:v>
                </c:pt>
                <c:pt idx="2">
                  <c:v>2015</c:v>
                </c:pt>
              </c:strCache>
            </c:strRef>
          </c:cat>
          <c:val>
            <c:numRef>
              <c:f>Sheet1!$B$3:$B$5</c:f>
              <c:numCache>
                <c:formatCode>0.0</c:formatCode>
                <c:ptCount val="3"/>
                <c:pt idx="0">
                  <c:v>1.3090915052503012</c:v>
                </c:pt>
                <c:pt idx="1">
                  <c:v>1.4986720627292272</c:v>
                </c:pt>
                <c:pt idx="2">
                  <c:v>1.1726649689161861</c:v>
                </c:pt>
              </c:numCache>
            </c:numRef>
          </c:val>
          <c:extLst>
            <c:ext xmlns:c="http://schemas.openxmlformats.org/drawingml/2006/chart" xmlns:c16="http://schemas.microsoft.com/office/drawing/2014/chart" uri="{C3380CC4-5D6E-409C-BE32-E72D297353CC}">
              <c16:uniqueId val="{00000004-6EA8-4990-A26D-1BFA0B975F89}"/>
            </c:ext>
          </c:extLst>
        </c:ser>
        <c:dLbls>
          <c:showLegendKey val="0"/>
          <c:showVal val="0"/>
          <c:showCatName val="0"/>
          <c:showSerName val="0"/>
          <c:showPercent val="0"/>
          <c:showBubbleSize val="0"/>
        </c:dLbls>
        <c:gapWidth val="20"/>
        <c:axId val="656345680"/>
        <c:axId val="656347248"/>
      </c:barChart>
      <c:catAx>
        <c:axId val="656345680"/>
        <c:scaling>
          <c:orientation val="minMax"/>
        </c:scaling>
        <c:delete val="0"/>
        <c:axPos val="b"/>
        <c:numFmt formatCode="General" sourceLinked="0"/>
        <c:majorTickMark val="out"/>
        <c:minorTickMark val="none"/>
        <c:tickLblPos val="nextTo"/>
        <c:crossAx val="656347248"/>
        <c:crosses val="autoZero"/>
        <c:auto val="1"/>
        <c:lblAlgn val="ctr"/>
        <c:lblOffset val="100"/>
        <c:noMultiLvlLbl val="0"/>
      </c:catAx>
      <c:valAx>
        <c:axId val="656347248"/>
        <c:scaling>
          <c:orientation val="minMax"/>
        </c:scaling>
        <c:delete val="0"/>
        <c:axPos val="l"/>
        <c:numFmt formatCode="0.0" sourceLinked="0"/>
        <c:majorTickMark val="out"/>
        <c:minorTickMark val="none"/>
        <c:tickLblPos val="nextTo"/>
        <c:crossAx val="656345680"/>
        <c:crosses val="autoZero"/>
        <c:crossBetween val="between"/>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mbria Math" panose="02040503050406030204" pitchFamily="18" charset="0"/>
          <a:ea typeface="Cambria Math" panose="02040503050406030204" pitchFamily="18" charset="0"/>
          <a:cs typeface="Arial"/>
        </a:defRPr>
      </a:pPr>
      <a:endParaRPr lang="lv-LV"/>
    </a:p>
  </c:txPr>
  <c:externalData r:id="rId1">
    <c:autoUpdate val="0"/>
  </c:externalData>
</c:chartSpace>
</file>

<file path=word/charts/chart23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73546128124922"/>
          <c:y val="0.048706240487062395"/>
          <c:w val="0.84631315184653555"/>
          <c:h val="0.73779794474843186"/>
        </c:manualLayout>
      </c:layout>
      <c:lineChart>
        <c:grouping val="standard"/>
        <c:varyColors val="0"/>
        <c:ser>
          <c:idx val="0"/>
          <c:order val="0"/>
          <c:tx>
            <c:strRef>
              <c:f>Sheet1!$A$2</c:f>
              <c:strCache>
                <c:ptCount val="1"/>
                <c:pt idx="0">
                  <c:v>Nodarbinātie</c:v>
                </c:pt>
              </c:strCache>
            </c:strRef>
          </c:tx>
          <c:spPr>
            <a:ln w="19050">
              <a:solidFill>
                <a:srgbClr val="0070C0"/>
              </a:solidFill>
              <a:prstDash val="dash"/>
            </a:ln>
          </c:spPr>
          <c:marker>
            <c:symbol val="none"/>
          </c:marker>
          <c:cat>
            <c:numRef>
              <c:f>Sheet1!$B$1:$K$1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Sheet1!$B$2:$K$2</c:f>
              <c:numCache>
                <c:formatCode>0.0</c:formatCode>
                <c:ptCount val="10"/>
                <c:pt idx="0">
                  <c:v>98.819330038440427</c:v>
                </c:pt>
                <c:pt idx="1">
                  <c:v>100.10433827567272</c:v>
                </c:pt>
                <c:pt idx="2">
                  <c:v>91.032399780340484</c:v>
                </c:pt>
                <c:pt idx="3">
                  <c:v>73.981328940142788</c:v>
                </c:pt>
                <c:pt idx="4">
                  <c:v>66.880834706205391</c:v>
                </c:pt>
                <c:pt idx="5">
                  <c:v>70.016474464579915</c:v>
                </c:pt>
                <c:pt idx="6">
                  <c:v>76.639209225700185</c:v>
                </c:pt>
                <c:pt idx="7">
                  <c:v>80.104338275672731</c:v>
                </c:pt>
                <c:pt idx="8">
                  <c:v>74.980779791323471</c:v>
                </c:pt>
                <c:pt idx="9">
                  <c:v>75.540911587040114</c:v>
                </c:pt>
              </c:numCache>
            </c:numRef>
          </c:val>
          <c:smooth val="0"/>
          <c:extLst>
            <c:ext xmlns:c="http://schemas.openxmlformats.org/drawingml/2006/chart" xmlns:c16="http://schemas.microsoft.com/office/drawing/2014/chart" uri="{C3380CC4-5D6E-409C-BE32-E72D297353CC}">
              <c16:uniqueId val="{00000000-16EF-41E6-95F0-1D2F757BEF2E}"/>
            </c:ext>
          </c:extLst>
        </c:ser>
        <c:ser>
          <c:idx val="1"/>
          <c:order val="1"/>
          <c:tx>
            <c:strRef>
              <c:f>Sheet1!$A$3</c:f>
              <c:strCache>
                <c:ptCount val="1"/>
                <c:pt idx="0">
                  <c:v>Ražošanas apjomi</c:v>
                </c:pt>
              </c:strCache>
            </c:strRef>
          </c:tx>
          <c:marker>
            <c:symbol val="none"/>
          </c:marker>
          <c:cat>
            <c:numRef>
              <c:f>Sheet1!$B$1:$K$1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Sheet1!$B$3:$K$3</c:f>
              <c:numCache>
                <c:formatCode>0.0</c:formatCode>
                <c:ptCount val="10"/>
                <c:pt idx="0">
                  <c:v>106.80512593901898</c:v>
                </c:pt>
                <c:pt idx="1">
                  <c:v>113.43349536014138</c:v>
                </c:pt>
                <c:pt idx="2">
                  <c:v>112.94741493592575</c:v>
                </c:pt>
                <c:pt idx="3">
                  <c:v>102.20945647370746</c:v>
                </c:pt>
                <c:pt idx="4">
                  <c:v>104.72823685373396</c:v>
                </c:pt>
                <c:pt idx="5">
                  <c:v>104.28634555899248</c:v>
                </c:pt>
                <c:pt idx="6">
                  <c:v>123.42023862129915</c:v>
                </c:pt>
                <c:pt idx="7">
                  <c:v>113.1683605832965</c:v>
                </c:pt>
                <c:pt idx="8">
                  <c:v>104.59566946531152</c:v>
                </c:pt>
                <c:pt idx="9" formatCode="General">
                  <c:v>104.02121078214759</c:v>
                </c:pt>
              </c:numCache>
            </c:numRef>
          </c:val>
          <c:smooth val="0"/>
          <c:extLst>
            <c:ext xmlns:c="http://schemas.openxmlformats.org/drawingml/2006/chart" xmlns:c16="http://schemas.microsoft.com/office/drawing/2014/chart" uri="{C3380CC4-5D6E-409C-BE32-E72D297353CC}">
              <c16:uniqueId val="{00000001-16EF-41E6-95F0-1D2F757BEF2E}"/>
            </c:ext>
          </c:extLst>
        </c:ser>
        <c:dLbls>
          <c:showLegendKey val="0"/>
          <c:showVal val="0"/>
          <c:showCatName val="0"/>
          <c:showSerName val="0"/>
          <c:showPercent val="0"/>
          <c:showBubbleSize val="0"/>
        </c:dLbls>
        <c:smooth val="0"/>
        <c:axId val="656347640"/>
        <c:axId val="656348032"/>
      </c:lineChart>
      <c:catAx>
        <c:axId val="656347640"/>
        <c:scaling>
          <c:orientation val="minMax"/>
        </c:scaling>
        <c:delete val="0"/>
        <c:axPos val="b"/>
        <c:numFmt formatCode="General" sourceLinked="1"/>
        <c:majorTickMark val="cross"/>
        <c:minorTickMark val="none"/>
        <c:tickLblPos val="nextTo"/>
        <c:spPr>
          <a:ln w="6350">
            <a:solidFill>
              <a:srgbClr val="000000"/>
            </a:solidFill>
          </a:ln>
        </c:spPr>
        <c:txPr>
          <a:bodyPr rot="-5400000" vert="horz"/>
          <a:lstStyle/>
          <a:p>
            <a:pPr>
              <a:defRPr sz="700" b="0" i="0" u="none" strike="noStrike" baseline="0">
                <a:solidFill>
                  <a:srgbClr val="000000"/>
                </a:solidFill>
                <a:latin typeface="Arial Narrow" pitchFamily="34" charset="0"/>
                <a:ea typeface="Times New Roman"/>
                <a:cs typeface="Times New Roman" pitchFamily="18" charset="0"/>
              </a:defRPr>
            </a:pPr>
            <a:endParaRPr lang="lv-LV"/>
          </a:p>
        </c:txPr>
        <c:crossAx val="656348032"/>
        <c:crosses val="autoZero"/>
        <c:auto val="1"/>
        <c:lblAlgn val="ctr"/>
        <c:lblOffset val="0"/>
        <c:noMultiLvlLbl val="0"/>
      </c:catAx>
      <c:valAx>
        <c:axId val="656348032"/>
        <c:scaling>
          <c:orientation val="minMax"/>
          <c:max val="150"/>
          <c:min val="50"/>
        </c:scaling>
        <c:delete val="0"/>
        <c:axPos val="l"/>
        <c:numFmt formatCode="0" sourceLinked="0"/>
        <c:majorTickMark val="cross"/>
        <c:minorTickMark val="none"/>
        <c:tickLblPos val="nextTo"/>
        <c:spPr>
          <a:ln w="6350">
            <a:solidFill>
              <a:sysClr val="windowText" lastClr="000000"/>
            </a:solidFill>
          </a:ln>
        </c:spPr>
        <c:txPr>
          <a:bodyPr rot="0" vert="horz"/>
          <a:lstStyle/>
          <a:p>
            <a:pPr>
              <a:defRPr sz="700" b="0" i="0" u="none" strike="noStrike" baseline="0">
                <a:solidFill>
                  <a:srgbClr val="000000"/>
                </a:solidFill>
                <a:latin typeface="Arial Narrow" pitchFamily="34" charset="0"/>
                <a:ea typeface="Times New Roman"/>
                <a:cs typeface="Times New Roman"/>
              </a:defRPr>
            </a:pPr>
            <a:endParaRPr lang="lv-LV"/>
          </a:p>
        </c:txPr>
        <c:crossAx val="656347640"/>
        <c:crosses val="autoZero"/>
        <c:crossBetween val="between"/>
        <c:majorUnit val="25"/>
      </c:valAx>
      <c:spPr>
        <a:solidFill>
          <a:sysClr val="window" lastClr="FFFFFF"/>
        </a:solidFill>
        <a:ln w="6350">
          <a:noFill/>
        </a:ln>
      </c:spPr>
    </c:plotArea>
    <c:legend>
      <c:legendPos val="t"/>
      <c:layout>
        <c:manualLayout>
          <c:xMode val="edge"/>
          <c:yMode val="edge"/>
          <c:x val="0.090518758684576192"/>
          <c:y val="0.065099870990702427"/>
          <c:w val="0.65805884790716951"/>
          <c:h val="0.19964223582144541"/>
        </c:manualLayout>
      </c:layout>
      <c:overlay val="0"/>
      <c:txPr>
        <a:bodyPr/>
        <a:lstStyle/>
        <a:p>
          <a:pPr>
            <a:defRPr sz="700" b="0">
              <a:latin typeface="Arial Narrow" pitchFamily="34" charset="0"/>
            </a:defRPr>
          </a:pPr>
          <a:endParaRPr lang="lv-LV"/>
        </a:p>
      </c:txPr>
    </c:legend>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2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7354822834645707"/>
          <c:y val="0.054187037037040774"/>
          <c:w val="0.8789631193571017"/>
          <c:h val="0.62721160879480231"/>
        </c:manualLayout>
      </c:layout>
      <c:lineChart>
        <c:grouping val="standard"/>
        <c:varyColors val="0"/>
        <c:ser>
          <c:idx val="9"/>
          <c:order val="0"/>
          <c:tx>
            <c:strRef>
              <c:f>Sheet1!$A$3</c:f>
              <c:strCache>
                <c:ptCount val="1"/>
                <c:pt idx="0">
                  <c:v>Eksports, kopā</c:v>
                </c:pt>
              </c:strCache>
            </c:strRef>
          </c:tx>
          <c:spPr>
            <a:ln w="25400">
              <a:solidFill>
                <a:schemeClr val="accent5">
                  <a:lumMod val="75000"/>
                </a:schemeClr>
              </a:solidFill>
            </a:ln>
            <a:effectLst/>
          </c:spPr>
          <c:marker>
            <c:symbol val="none"/>
          </c:marker>
          <c:cat>
            <c:numRef>
              <c:f>Sheet1!$B$2:$M$2</c:f>
              <c:numCache>
                <c:formatCode>0</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Sheet1!$B$3:$M$3</c:f>
              <c:numCache>
                <c:formatCode>0.0</c:formatCode>
                <c:ptCount val="12"/>
                <c:pt idx="0">
                  <c:v>189.338709</c:v>
                </c:pt>
                <c:pt idx="1">
                  <c:v>224.13178</c:v>
                </c:pt>
                <c:pt idx="2">
                  <c:v>240.89630400000001</c:v>
                </c:pt>
                <c:pt idx="3">
                  <c:v>233.64186300000003</c:v>
                </c:pt>
                <c:pt idx="4">
                  <c:v>181.038069</c:v>
                </c:pt>
                <c:pt idx="5">
                  <c:v>206.34510500000002</c:v>
                </c:pt>
                <c:pt idx="6">
                  <c:v>255.181358</c:v>
                </c:pt>
                <c:pt idx="7">
                  <c:v>312.384944</c:v>
                </c:pt>
                <c:pt idx="8">
                  <c:v>365.856782</c:v>
                </c:pt>
                <c:pt idx="9">
                  <c:v>406.60385</c:v>
                </c:pt>
                <c:pt idx="10">
                  <c:v>420.81566100000003</c:v>
                </c:pt>
                <c:pt idx="11" formatCode="0">
                  <c:v>454.55046600000003</c:v>
                </c:pt>
              </c:numCache>
            </c:numRef>
          </c:val>
          <c:smooth val="0"/>
          <c:extLst>
            <c:ext xmlns:c="http://schemas.openxmlformats.org/drawingml/2006/chart" xmlns:c16="http://schemas.microsoft.com/office/drawing/2014/chart" uri="{C3380CC4-5D6E-409C-BE32-E72D297353CC}">
              <c16:uniqueId val="{00000000-0E63-4857-9DA9-29F3D6958582}"/>
            </c:ext>
          </c:extLst>
        </c:ser>
        <c:dLbls>
          <c:showLegendKey val="0"/>
          <c:showVal val="0"/>
          <c:showCatName val="0"/>
          <c:showSerName val="0"/>
          <c:showPercent val="0"/>
          <c:showBubbleSize val="0"/>
        </c:dLbls>
        <c:smooth val="0"/>
        <c:axId val="656348816"/>
        <c:axId val="656349208"/>
      </c:lineChart>
      <c:catAx>
        <c:axId val="656348816"/>
        <c:scaling>
          <c:orientation val="minMax"/>
        </c:scaling>
        <c:delete val="0"/>
        <c:axPos val="b"/>
        <c:numFmt formatCode="0" sourceLinked="1"/>
        <c:majorTickMark val="out"/>
        <c:minorTickMark val="none"/>
        <c:tickLblPos val="low"/>
        <c:spPr>
          <a:noFill/>
          <a:ln w="3175">
            <a:solidFill>
              <a:sysClr val="window" lastClr="FFFFFF">
                <a:lumMod val="50000"/>
              </a:sysClr>
            </a:solidFill>
            <a:round/>
          </a:ln>
          <a:effectLst/>
        </c:spPr>
        <c:txPr>
          <a:bodyPr rot="-5400000" vert="horz"/>
          <a:lstStyle/>
          <a:p>
            <a:pPr>
              <a:defRPr sz="700"/>
            </a:pPr>
            <a:endParaRPr lang="lv-LV"/>
          </a:p>
        </c:txPr>
        <c:crossAx val="656349208"/>
        <c:crosses val="autoZero"/>
        <c:lblAlgn val="ctr"/>
        <c:lblOffset val="100"/>
        <c:noMultiLvlLbl val="0"/>
      </c:catAx>
      <c:valAx>
        <c:axId val="656349208"/>
        <c:scaling>
          <c:orientation val="minMax"/>
        </c:scaling>
        <c:delete val="0"/>
        <c:axPos val="l"/>
        <c:numFmt formatCode="0" sourceLinked="0"/>
        <c:majorTickMark val="out"/>
        <c:minorTickMark val="none"/>
        <c:tickLblPos val="nextTo"/>
        <c:spPr>
          <a:noFill/>
          <a:ln w="3175">
            <a:solidFill>
              <a:sysClr val="window" lastClr="FFFFFF">
                <a:lumMod val="50000"/>
              </a:sysClr>
            </a:solidFill>
            <a:round/>
          </a:ln>
          <a:effectLst/>
        </c:spPr>
        <c:txPr>
          <a:bodyPr rot="0"/>
          <a:lstStyle/>
          <a:p>
            <a:pPr>
              <a:defRPr/>
            </a:pPr>
            <a:endParaRPr lang="lv-LV"/>
          </a:p>
        </c:txPr>
        <c:crossAx val="656348816"/>
        <c:crosses val="autoZero"/>
        <c:crossBetween val="between"/>
      </c:valAx>
      <c:spPr>
        <a:noFill/>
        <a:ln w="24631">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Arial Narrow" panose="020B0606020202030204" pitchFamily="34" charset="0"/>
          <a:ea typeface="Arial"/>
          <a:cs typeface="Arial"/>
        </a:defRPr>
      </a:pPr>
      <a:endParaRPr lang="lv-LV"/>
    </a:p>
  </c:txPr>
  <c:externalData r:id="rId1">
    <c:autoUpdate val="0"/>
  </c:externalData>
</c:chartSpace>
</file>

<file path=word/charts/chart2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5939056398438"/>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4775-4730-837F-46AE9A609D93}"/>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4775-4730-837F-46AE9A609D93}"/>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Sheet1!$B$2:$L$2</c:f>
              <c:numCache>
                <c:formatCode>0</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Sheet1!$B$3:$L$3</c:f>
              <c:numCache>
                <c:formatCode>0</c:formatCode>
                <c:ptCount val="11"/>
                <c:pt idx="0">
                  <c:v>10.262260650406505</c:v>
                </c:pt>
                <c:pt idx="1">
                  <c:v>12.308170236133991</c:v>
                </c:pt>
                <c:pt idx="2">
                  <c:v>13.243337218251787</c:v>
                </c:pt>
                <c:pt idx="3">
                  <c:v>13.350963600000002</c:v>
                </c:pt>
                <c:pt idx="4">
                  <c:v>12.282094233378562</c:v>
                </c:pt>
                <c:pt idx="5">
                  <c:v>15.284822592592594</c:v>
                </c:pt>
                <c:pt idx="6">
                  <c:v>18.680919326500732</c:v>
                </c:pt>
                <c:pt idx="7">
                  <c:v>21.050198382749329</c:v>
                </c:pt>
                <c:pt idx="8">
                  <c:v>23.974887418086503</c:v>
                </c:pt>
                <c:pt idx="9">
                  <c:v>29.126350286532951</c:v>
                </c:pt>
                <c:pt idx="10">
                  <c:v>29.908717910447763</c:v>
                </c:pt>
              </c:numCache>
            </c:numRef>
          </c:val>
          <c:extLst>
            <c:ext xmlns:c="http://schemas.openxmlformats.org/drawingml/2006/chart" xmlns:c16="http://schemas.microsoft.com/office/drawing/2014/chart" uri="{C3380CC4-5D6E-409C-BE32-E72D297353CC}">
              <c16:uniqueId val="{00000004-4775-4730-837F-46AE9A609D93}"/>
            </c:ext>
          </c:extLst>
        </c:ser>
        <c:dLbls>
          <c:showLegendKey val="0"/>
          <c:showVal val="0"/>
          <c:showCatName val="0"/>
          <c:showSerName val="0"/>
          <c:showPercent val="0"/>
          <c:showBubbleSize val="0"/>
        </c:dLbls>
        <c:gapWidth val="20"/>
        <c:axId val="656342544"/>
        <c:axId val="656337448"/>
      </c:barChart>
      <c:catAx>
        <c:axId val="656342544"/>
        <c:scaling>
          <c:orientation val="minMax"/>
        </c:scaling>
        <c:delete val="0"/>
        <c:axPos val="b"/>
        <c:numFmt formatCode="0" sourceLinked="1"/>
        <c:majorTickMark val="out"/>
        <c:minorTickMark val="none"/>
        <c:tickLblPos val="low"/>
        <c:txPr>
          <a:bodyPr rot="-5400000" vert="horz"/>
          <a:lstStyle/>
          <a:p>
            <a:pPr>
              <a:defRPr/>
            </a:pPr>
            <a:endParaRPr lang="lv-LV"/>
          </a:p>
        </c:txPr>
        <c:crossAx val="656337448"/>
        <c:crosses val="autoZero"/>
        <c:auto val="1"/>
        <c:lblAlgn val="ctr"/>
        <c:lblOffset val="100"/>
        <c:noMultiLvlLbl val="0"/>
      </c:catAx>
      <c:valAx>
        <c:axId val="656337448"/>
        <c:scaling>
          <c:orientation val="minMax"/>
          <c:max val="32"/>
          <c:min val="0"/>
        </c:scaling>
        <c:delete val="0"/>
        <c:axPos val="l"/>
        <c:numFmt formatCode="0" sourceLinked="0"/>
        <c:majorTickMark val="out"/>
        <c:minorTickMark val="none"/>
        <c:tickLblPos val="nextTo"/>
        <c:crossAx val="656342544"/>
        <c:crosses val="autoZero"/>
        <c:crossBetween val="between"/>
        <c:majorUnit val="10"/>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2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572372897835"/>
          <c:y val="0.044057785459744363"/>
          <c:w val="0.9310540474739486"/>
          <c:h val="0.72247273968802694"/>
        </c:manualLayout>
      </c:layout>
      <c:barChart>
        <c:barDir val="col"/>
        <c:grouping val="clustered"/>
        <c:varyColors val="0"/>
        <c:ser>
          <c:idx val="1"/>
          <c:order val="0"/>
          <c:tx>
            <c:strRef>
              <c:f>Sheet1!$B$3</c:f>
              <c:strCache>
                <c:ptCount val="1"/>
              </c:strCache>
            </c:strRef>
          </c:tx>
          <c:spPr>
            <a:solidFill>
              <a:schemeClr val="accent3">
                <a:lumMod val="50000"/>
              </a:schemeClr>
            </a:solidFill>
            <a:ln w="19050"/>
          </c:spPr>
          <c:invertIfNegative val="0"/>
          <c:dPt>
            <c:idx val="8"/>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1-89DB-41A0-868C-E1D97F4C85A7}"/>
              </c:ext>
            </c:extLst>
          </c:dPt>
          <c:dPt>
            <c:idx val="9"/>
            <c:invertIfNegative val="0"/>
            <c:bubble3D val="0"/>
            <c:extLst>
              <c:ext xmlns:c="http://schemas.openxmlformats.org/drawingml/2006/chart" xmlns:c16="http://schemas.microsoft.com/office/drawing/2014/chart" uri="{C3380CC4-5D6E-409C-BE32-E72D297353CC}">
                <c16:uniqueId val="{00000002-89DB-41A0-868C-E1D97F4C85A7}"/>
              </c:ext>
            </c:extLst>
          </c:dPt>
          <c:dPt>
            <c:idx val="19"/>
            <c:invertIfNegative val="0"/>
            <c:bubble3D val="0"/>
            <c:spPr>
              <a:ln w="19050"/>
            </c:spPr>
            <c:extLst>
              <c:ext xmlns:c="http://schemas.openxmlformats.org/drawingml/2006/chart" xmlns:c16="http://schemas.microsoft.com/office/drawing/2014/chart" uri="{C3380CC4-5D6E-409C-BE32-E72D297353CC}">
                <c16:uniqueId val="{00000004-89DB-41A0-868C-E1D97F4C85A7}"/>
              </c:ext>
            </c:extLst>
          </c:dPt>
          <c:dPt>
            <c:idx val="25"/>
            <c:invertIfNegative val="0"/>
            <c:bubble3D val="0"/>
            <c:extLst>
              <c:ext xmlns:c="http://schemas.openxmlformats.org/drawingml/2006/chart" xmlns:c16="http://schemas.microsoft.com/office/drawing/2014/chart" uri="{C3380CC4-5D6E-409C-BE32-E72D297353CC}">
                <c16:uniqueId val="{00000005-89DB-41A0-868C-E1D97F4C85A7}"/>
              </c:ext>
            </c:extLst>
          </c:dPt>
          <c:dLbls>
            <c:dLbl>
              <c:idx val="0"/>
              <c:spPr>
                <a:noFill/>
                <a:ln>
                  <a:noFill/>
                </a:ln>
                <a:effectLst/>
              </c:spPr>
              <c:txPr>
                <a:bodyPr wrap="square" lIns="38100" tIns="19050" rIns="38100" bIns="19050" anchor="ctr">
                  <a:spAutoFit/>
                </a:bodyPr>
                <a:lstStyle/>
                <a:p>
                  <a:pPr>
                    <a:defRPr sz="600">
                      <a:solidFill>
                        <a:schemeClr val="bg1"/>
                      </a:solidFill>
                    </a:defRPr>
                  </a:pPr>
                  <a:endParaRPr lang="lv-LV"/>
                </a:p>
              </c:txPr>
              <c:dLblPos val="inBase"/>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89DB-41A0-868C-E1D97F4C85A7}"/>
                </c:ext>
                <c:ext xmlns:c15="http://schemas.microsoft.com/office/drawing/2012/chart" uri="{CE6537A1-D6FC-4f65-9D91-7224C49458BB}"/>
              </c:extLst>
            </c:dLbl>
            <c:dLbl>
              <c:idx val="1"/>
              <c:spPr>
                <a:noFill/>
                <a:ln>
                  <a:noFill/>
                </a:ln>
                <a:effectLst/>
              </c:spPr>
              <c:txPr>
                <a:bodyPr wrap="square" lIns="38100" tIns="19050" rIns="38100" bIns="19050" anchor="ctr">
                  <a:spAutoFit/>
                </a:bodyPr>
                <a:lstStyle/>
                <a:p>
                  <a:pPr>
                    <a:defRPr sz="600">
                      <a:solidFill>
                        <a:schemeClr val="bg1"/>
                      </a:solidFill>
                    </a:defRPr>
                  </a:pPr>
                  <a:endParaRPr lang="lv-LV"/>
                </a:p>
              </c:txPr>
              <c:dLblPos val="inBase"/>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89DB-41A0-868C-E1D97F4C85A7}"/>
                </c:ext>
                <c:ext xmlns:c15="http://schemas.microsoft.com/office/drawing/2012/chart" uri="{CE6537A1-D6FC-4f65-9D91-7224C49458BB}"/>
              </c:extLst>
            </c:dLbl>
            <c:dLbl>
              <c:idx val="2"/>
              <c:spPr>
                <a:noFill/>
                <a:ln>
                  <a:noFill/>
                </a:ln>
                <a:effectLst/>
              </c:spPr>
              <c:txPr>
                <a:bodyPr wrap="square" lIns="38100" tIns="19050" rIns="38100" bIns="19050" anchor="ctr">
                  <a:spAutoFit/>
                </a:bodyPr>
                <a:lstStyle/>
                <a:p>
                  <a:pPr>
                    <a:defRPr sz="600">
                      <a:solidFill>
                        <a:sysClr val="windowText" lastClr="000000"/>
                      </a:solidFill>
                    </a:defRPr>
                  </a:pPr>
                  <a:endParaRPr lang="lv-LV"/>
                </a:p>
              </c:txPr>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89DB-41A0-868C-E1D97F4C85A7}"/>
                </c:ext>
                <c:ext xmlns:c15="http://schemas.microsoft.com/office/drawing/2012/chart" uri="{CE6537A1-D6FC-4f65-9D91-7224C49458BB}"/>
              </c:extLst>
            </c:dLbl>
            <c:dLbl>
              <c:idx val="8"/>
              <c:spPr>
                <a:noFill/>
                <a:ln>
                  <a:noFill/>
                </a:ln>
                <a:effectLst/>
              </c:spPr>
              <c:txPr>
                <a:bodyPr wrap="square" lIns="38100" tIns="19050" rIns="38100" bIns="19050" anchor="ctr">
                  <a:spAutoFit/>
                </a:bodyPr>
                <a:lstStyle/>
                <a:p>
                  <a:pPr>
                    <a:defRPr sz="600" b="0"/>
                  </a:pPr>
                  <a:endParaRPr lang="lv-LV"/>
                </a:p>
              </c:txPr>
              <c:showLegendKey val="0"/>
              <c:showVal val="1"/>
              <c:showCatName val="0"/>
              <c:showSerName val="0"/>
              <c:showPercent val="0"/>
              <c:showBubbleSize val="0"/>
            </c:dLbl>
            <c:dLbl>
              <c:idx val="19"/>
              <c:spPr>
                <a:noFill/>
                <a:ln>
                  <a:noFill/>
                </a:ln>
                <a:effectLst/>
              </c:spPr>
              <c:txPr>
                <a:bodyPr wrap="square" lIns="38100" tIns="19050" rIns="38100" bIns="19050" anchor="ctr">
                  <a:spAutoFit/>
                </a:bodyPr>
                <a:lstStyle/>
                <a:p>
                  <a:pPr>
                    <a:defRPr sz="600" b="1"/>
                  </a:pPr>
                  <a:endParaRPr lang="lv-LV"/>
                </a:p>
              </c:txPr>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Sheet1!$A$4:$A$31</c:f>
              <c:strCache>
                <c:ptCount val="28"/>
                <c:pt idx="0">
                  <c:v>BE</c:v>
                </c:pt>
                <c:pt idx="1">
                  <c:v>UK</c:v>
                </c:pt>
                <c:pt idx="2">
                  <c:v>DK</c:v>
                </c:pt>
                <c:pt idx="3">
                  <c:v>SE</c:v>
                </c:pt>
                <c:pt idx="4">
                  <c:v>AT</c:v>
                </c:pt>
                <c:pt idx="5">
                  <c:v>EE</c:v>
                </c:pt>
                <c:pt idx="6">
                  <c:v>SI</c:v>
                </c:pt>
                <c:pt idx="7">
                  <c:v>CZ</c:v>
                </c:pt>
                <c:pt idx="8">
                  <c:v>EU-28</c:v>
                </c:pt>
                <c:pt idx="9">
                  <c:v>IT</c:v>
                </c:pt>
                <c:pt idx="10">
                  <c:v>NL</c:v>
                </c:pt>
                <c:pt idx="11">
                  <c:v>DE</c:v>
                </c:pt>
                <c:pt idx="12">
                  <c:v>SK</c:v>
                </c:pt>
                <c:pt idx="13">
                  <c:v>LT</c:v>
                </c:pt>
                <c:pt idx="14">
                  <c:v>HU</c:v>
                </c:pt>
                <c:pt idx="15">
                  <c:v>FI</c:v>
                </c:pt>
                <c:pt idx="16">
                  <c:v>FR</c:v>
                </c:pt>
                <c:pt idx="17">
                  <c:v>PL</c:v>
                </c:pt>
                <c:pt idx="18">
                  <c:v>ES</c:v>
                </c:pt>
                <c:pt idx="19">
                  <c:v>LV</c:v>
                </c:pt>
                <c:pt idx="20">
                  <c:v>PT</c:v>
                </c:pt>
                <c:pt idx="21">
                  <c:v>HR</c:v>
                </c:pt>
                <c:pt idx="22">
                  <c:v>BG</c:v>
                </c:pt>
                <c:pt idx="23">
                  <c:v>MT</c:v>
                </c:pt>
                <c:pt idx="24">
                  <c:v>IE</c:v>
                </c:pt>
                <c:pt idx="25">
                  <c:v>RO</c:v>
                </c:pt>
                <c:pt idx="26">
                  <c:v>EL</c:v>
                </c:pt>
                <c:pt idx="27">
                  <c:v>CY</c:v>
                </c:pt>
              </c:strCache>
            </c:strRef>
          </c:cat>
          <c:val>
            <c:numRef>
              <c:f>Sheet1!$B$4:$B$31</c:f>
              <c:numCache>
                <c:formatCode>0</c:formatCode>
                <c:ptCount val="28"/>
                <c:pt idx="0">
                  <c:v>494.14120833723655</c:v>
                </c:pt>
                <c:pt idx="1">
                  <c:v>186.6356849453322</c:v>
                </c:pt>
                <c:pt idx="2">
                  <c:v>125.68463940000001</c:v>
                </c:pt>
                <c:pt idx="3">
                  <c:v>101.64339556521739</c:v>
                </c:pt>
                <c:pt idx="4">
                  <c:v>77.847764703504041</c:v>
                </c:pt>
                <c:pt idx="5">
                  <c:v>70.711973975155274</c:v>
                </c:pt>
                <c:pt idx="6">
                  <c:v>70.466794114583337</c:v>
                </c:pt>
                <c:pt idx="7">
                  <c:v>63.764680027401432</c:v>
                </c:pt>
                <c:pt idx="8">
                  <c:v>62.771017259343338</c:v>
                </c:pt>
                <c:pt idx="9">
                  <c:v>59.449911003191971</c:v>
                </c:pt>
                <c:pt idx="10">
                  <c:v>58.744097210810807</c:v>
                </c:pt>
                <c:pt idx="11">
                  <c:v>51.885347604615383</c:v>
                </c:pt>
                <c:pt idx="12">
                  <c:v>51.620383958427475</c:v>
                </c:pt>
                <c:pt idx="13">
                  <c:v>46.1576816862647</c:v>
                </c:pt>
                <c:pt idx="14">
                  <c:v>37.648681598897312</c:v>
                </c:pt>
                <c:pt idx="15">
                  <c:v>35.283221561561561</c:v>
                </c:pt>
                <c:pt idx="16">
                  <c:v>33.365118890306121</c:v>
                </c:pt>
                <c:pt idx="17">
                  <c:v>33.081718910505842</c:v>
                </c:pt>
                <c:pt idx="18">
                  <c:v>30.617551547958215</c:v>
                </c:pt>
                <c:pt idx="19">
                  <c:v>30.49</c:v>
                </c:pt>
                <c:pt idx="20">
                  <c:v>29.811199194868998</c:v>
                </c:pt>
                <c:pt idx="21">
                  <c:v>26.067354456874774</c:v>
                </c:pt>
                <c:pt idx="22">
                  <c:v>22.212285629067246</c:v>
                </c:pt>
                <c:pt idx="23">
                  <c:v>21.575578515625</c:v>
                </c:pt>
                <c:pt idx="24">
                  <c:v>18.589852911051214</c:v>
                </c:pt>
                <c:pt idx="25">
                  <c:v>16.551186143831369</c:v>
                </c:pt>
                <c:pt idx="26">
                  <c:v>15.453321643557659</c:v>
                </c:pt>
                <c:pt idx="27">
                  <c:v>11.886092182410424</c:v>
                </c:pt>
              </c:numCache>
            </c:numRef>
          </c:val>
          <c:extLst>
            <c:ext xmlns:c="http://schemas.openxmlformats.org/drawingml/2006/chart" xmlns:c16="http://schemas.microsoft.com/office/drawing/2014/chart" uri="{C3380CC4-5D6E-409C-BE32-E72D297353CC}">
              <c16:uniqueId val="{00000009-89DB-41A0-868C-E1D97F4C85A7}"/>
            </c:ext>
          </c:extLst>
        </c:ser>
        <c:dLbls>
          <c:showLegendKey val="0"/>
          <c:showVal val="0"/>
          <c:showCatName val="0"/>
          <c:showSerName val="0"/>
          <c:showPercent val="0"/>
          <c:showBubbleSize val="0"/>
        </c:dLbls>
        <c:gapWidth val="20"/>
        <c:axId val="656339408"/>
        <c:axId val="656339800"/>
      </c:barChart>
      <c:catAx>
        <c:axId val="656339408"/>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56339800"/>
        <c:crosses val="autoZero"/>
        <c:auto val="1"/>
        <c:lblAlgn val="ctr"/>
        <c:lblOffset val="100"/>
        <c:tickLblSkip val="1"/>
        <c:noMultiLvlLbl val="0"/>
      </c:catAx>
      <c:valAx>
        <c:axId val="656339800"/>
        <c:scaling>
          <c:orientation val="minMax"/>
          <c:max val="160"/>
          <c:min val="0"/>
        </c:scaling>
        <c:delete val="0"/>
        <c:axPos val="l"/>
        <c:numFmt formatCode="0" sourceLinked="0"/>
        <c:majorTickMark val="out"/>
        <c:minorTickMark val="none"/>
        <c:tickLblPos val="nextTo"/>
        <c:txPr>
          <a:bodyPr/>
          <a:lstStyle/>
          <a:p>
            <a:pPr>
              <a:defRPr sz="600"/>
            </a:pPr>
            <a:endParaRPr lang="lv-LV"/>
          </a:p>
        </c:txPr>
        <c:crossAx val="656339408"/>
        <c:crosses val="autoZero"/>
        <c:crossBetween val="between"/>
        <c:majorUnit val="40"/>
      </c:valAx>
    </c:plotArea>
    <c:plotVisOnly val="1"/>
    <c:dispBlanksAs val="gap"/>
    <c:showDLblsOverMax val="0"/>
  </c:chart>
  <c:spPr>
    <a:ln w="9525">
      <a:noFill/>
    </a:ln>
  </c:spPr>
  <c:externalData r:id="rId1">
    <c:autoUpdate val="0"/>
  </c:externalData>
  <c:userShapes r:id="rId2"/>
</c:chartSpace>
</file>

<file path=word/charts/chart2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449061330451076"/>
          <c:y val="0.15218914041994749"/>
          <c:w val="0.52181675566416263"/>
          <c:h val="0.709344652230971"/>
        </c:manualLayout>
      </c:layout>
      <c:pieChart>
        <c:varyColors val="1"/>
        <c:ser>
          <c:idx val="0"/>
          <c:order val="0"/>
          <c:tx>
            <c:strRef>
              <c:f>Sheet1!$B$1</c:f>
              <c:strCache>
                <c:ptCount val="1"/>
                <c:pt idx="0">
                  <c:v>Column1</c:v>
                </c:pt>
              </c:strCache>
            </c:strRef>
          </c:tx>
          <c:dPt>
            <c:idx val="0"/>
            <c:bubble3D val="0"/>
            <c:spPr>
              <a:solidFill>
                <a:schemeClr val="accent1"/>
              </a:solidFill>
              <a:ln>
                <a:noFill/>
              </a:ln>
              <a:effectLst/>
            </c:spPr>
            <c:extLst>
              <c:ext xmlns:c="http://schemas.openxmlformats.org/drawingml/2006/chart" xmlns:c16="http://schemas.microsoft.com/office/drawing/2014/chart" uri="{C3380CC4-5D6E-409C-BE32-E72D297353CC}">
                <c16:uniqueId val="{00000001-1D86-4DF5-8B0A-8B1693DC3107}"/>
              </c:ext>
            </c:extLst>
          </c:dPt>
          <c:dPt>
            <c:idx val="1"/>
            <c:bubble3D val="0"/>
            <c:spPr>
              <a:solidFill>
                <a:schemeClr val="accent2"/>
              </a:solidFill>
              <a:ln>
                <a:noFill/>
              </a:ln>
              <a:effectLst/>
            </c:spPr>
            <c:extLst>
              <c:ext xmlns:c="http://schemas.openxmlformats.org/drawingml/2006/chart" xmlns:c16="http://schemas.microsoft.com/office/drawing/2014/chart" uri="{C3380CC4-5D6E-409C-BE32-E72D297353CC}">
                <c16:uniqueId val="{00000003-1D86-4DF5-8B0A-8B1693DC3107}"/>
              </c:ext>
            </c:extLst>
          </c:dPt>
          <c:dPt>
            <c:idx val="2"/>
            <c:bubble3D val="0"/>
            <c:spPr>
              <a:solidFill>
                <a:schemeClr val="accent3"/>
              </a:solidFill>
              <a:ln>
                <a:noFill/>
              </a:ln>
              <a:effectLst/>
            </c:spPr>
            <c:extLst>
              <c:ext xmlns:c="http://schemas.openxmlformats.org/drawingml/2006/chart" xmlns:c16="http://schemas.microsoft.com/office/drawing/2014/chart" uri="{C3380CC4-5D6E-409C-BE32-E72D297353CC}">
                <c16:uniqueId val="{00000005-1D86-4DF5-8B0A-8B1693DC3107}"/>
              </c:ext>
            </c:extLst>
          </c:dPt>
          <c:dPt>
            <c:idx val="3"/>
            <c:bubble3D val="0"/>
            <c:spPr>
              <a:solidFill>
                <a:schemeClr val="accent4"/>
              </a:solidFill>
              <a:ln>
                <a:noFill/>
              </a:ln>
              <a:effectLst/>
            </c:spPr>
            <c:extLst>
              <c:ext xmlns:c="http://schemas.openxmlformats.org/drawingml/2006/chart" xmlns:c16="http://schemas.microsoft.com/office/drawing/2014/chart" uri="{C3380CC4-5D6E-409C-BE32-E72D297353CC}">
                <c16:uniqueId val="{00000007-1D86-4DF5-8B0A-8B1693DC3107}"/>
              </c:ext>
            </c:extLst>
          </c:dPt>
          <c:dPt>
            <c:idx val="4"/>
            <c:bubble3D val="0"/>
            <c:spPr>
              <a:solidFill>
                <a:schemeClr val="accent5"/>
              </a:solidFill>
              <a:ln>
                <a:noFill/>
              </a:ln>
              <a:effectLst/>
            </c:spPr>
            <c:extLst>
              <c:ext xmlns:c="http://schemas.openxmlformats.org/drawingml/2006/chart" xmlns:c16="http://schemas.microsoft.com/office/drawing/2014/chart" uri="{C3380CC4-5D6E-409C-BE32-E72D297353CC}">
                <c16:uniqueId val="{00000009-1D86-4DF5-8B0A-8B1693DC3107}"/>
              </c:ext>
            </c:extLst>
          </c:dPt>
          <c:dPt>
            <c:idx val="5"/>
            <c:bubble3D val="0"/>
            <c:spPr>
              <a:solidFill>
                <a:schemeClr val="accent6"/>
              </a:solidFill>
              <a:ln>
                <a:noFill/>
              </a:ln>
              <a:effectLst/>
            </c:spPr>
            <c:extLst>
              <c:ext xmlns:c="http://schemas.openxmlformats.org/drawingml/2006/chart" xmlns:c16="http://schemas.microsoft.com/office/drawing/2014/chart" uri="{C3380CC4-5D6E-409C-BE32-E72D297353CC}">
                <c16:uniqueId val="{0000000B-1D86-4DF5-8B0A-8B1693DC3107}"/>
              </c:ext>
            </c:extLst>
          </c:dPt>
          <c:dPt>
            <c:idx val="6"/>
            <c:bubble3D val="0"/>
            <c:spPr>
              <a:solidFill>
                <a:schemeClr val="accent1">
                  <a:lumMod val="60000"/>
                </a:schemeClr>
              </a:solidFill>
              <a:ln>
                <a:noFill/>
              </a:ln>
              <a:effectLst/>
            </c:spPr>
            <c:extLst>
              <c:ext xmlns:c="http://schemas.openxmlformats.org/drawingml/2006/chart" xmlns:c16="http://schemas.microsoft.com/office/drawing/2014/chart" uri="{C3380CC4-5D6E-409C-BE32-E72D297353CC}">
                <c16:uniqueId val="{0000000D-1D86-4DF5-8B0A-8B1693DC3107}"/>
              </c:ext>
            </c:extLst>
          </c:dPt>
          <c:dLbls>
            <c:dLbl>
              <c:idx val="0"/>
              <c:layout>
                <c:manualLayout>
                  <c:x val="-0.10729839804507195"/>
                  <c:y val="-0.02321226211626053"/>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1-1D86-4DF5-8B0A-8B1693DC3107}"/>
                </c:ext>
                <c:ext xmlns:c15="http://schemas.microsoft.com/office/drawing/2012/chart" uri="{CE6537A1-D6FC-4f65-9D91-7224C49458BB}">
                  <c15:layout>
                    <c:manualLayout>
                      <c:w val="0.29934835731740428"/>
                      <c:h val="0.25343583444827056"/>
                    </c:manualLayout>
                  </c15:layout>
                </c:ext>
              </c:extLst>
            </c:dLbl>
            <c:dLbl>
              <c:idx val="1"/>
              <c:layout>
                <c:manualLayout>
                  <c:x val="-0.030873985579388783"/>
                  <c:y val="-0.038361883037600804"/>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3-1D86-4DF5-8B0A-8B1693DC3107}"/>
                </c:ext>
                <c:ext xmlns:c15="http://schemas.microsoft.com/office/drawing/2012/chart" uri="{CE6537A1-D6FC-4f65-9D91-7224C49458BB}">
                  <c15:layout>
                    <c:manualLayout>
                      <c:w val="0.26091893685703083"/>
                      <c:h val="0.23486573231270882"/>
                    </c:manualLayout>
                  </c15:layout>
                </c:ext>
              </c:extLst>
            </c:dLbl>
            <c:dLbl>
              <c:idx val="2"/>
              <c:layout>
                <c:manualLayout>
                  <c:x val="0.030651340996168442"/>
                  <c:y val="-0.13451699456787961"/>
                </c:manualLayout>
              </c:layout>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5-1D86-4DF5-8B0A-8B1693DC3107}"/>
                </c:ext>
                <c:ext xmlns:c15="http://schemas.microsoft.com/office/drawing/2012/chart" uri="{CE6537A1-D6FC-4f65-9D91-7224C49458BB}"/>
              </c:extLst>
            </c:dLbl>
            <c:dLbl>
              <c:idx val="3"/>
              <c:layout>
                <c:manualLayout>
                  <c:x val="-0.0057320421154252272"/>
                  <c:y val="-0.15590295293868212"/>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7-1D86-4DF5-8B0A-8B1693DC3107}"/>
                </c:ext>
                <c:ext xmlns:c15="http://schemas.microsoft.com/office/drawing/2012/chart" uri="{CE6537A1-D6FC-4f65-9D91-7224C49458BB}">
                  <c15:layout>
                    <c:manualLayout>
                      <c:w val="0.31975382387546386"/>
                      <c:h val="0.31568954298539975"/>
                    </c:manualLayout>
                  </c15:layout>
                </c:ext>
              </c:extLst>
            </c:dLbl>
            <c:dLbl>
              <c:idx val="4"/>
              <c:layout>
                <c:manualLayout>
                  <c:x val="-0.092679880532174921"/>
                  <c:y val="-0.0052091329809399716"/>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9-1D86-4DF5-8B0A-8B1693DC3107}"/>
                </c:ext>
                <c:ext xmlns:c15="http://schemas.microsoft.com/office/drawing/2012/chart" uri="{CE6537A1-D6FC-4f65-9D91-7224C49458BB}">
                  <c15:layout>
                    <c:manualLayout>
                      <c:w val="0.3286402992729357"/>
                      <c:h val="0.24265640193304527"/>
                    </c:manualLayout>
                  </c15:layout>
                </c:ext>
              </c:extLst>
            </c:dLbl>
            <c:dLbl>
              <c:idx val="5"/>
              <c:layout>
                <c:manualLayout>
                  <c:x val="-0.23413612091591998"/>
                  <c:y val="-0.0079591896416848461"/>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B-1D86-4DF5-8B0A-8B1693DC3107}"/>
                </c:ext>
                <c:ext xmlns:c15="http://schemas.microsoft.com/office/drawing/2012/chart" uri="{CE6537A1-D6FC-4f65-9D91-7224C49458BB}">
                  <c15:layout>
                    <c:manualLayout>
                      <c:w val="0.25226053639846741"/>
                      <c:h val="0.2528414449586559"/>
                    </c:manualLayout>
                  </c15:layout>
                </c:ext>
              </c:extLst>
            </c:dLbl>
            <c:dLbl>
              <c:idx val="6"/>
              <c:layout>
                <c:manualLayout>
                  <c:x val="0.030602467794973904"/>
                  <c:y val="-0.14827641670139421"/>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D-1D86-4DF5-8B0A-8B1693DC3107}"/>
                </c:ext>
                <c:ext xmlns:c15="http://schemas.microsoft.com/office/drawing/2012/chart" uri="{CE6537A1-D6FC-4f65-9D91-7224C49458BB}">
                  <c15:layout>
                    <c:manualLayout>
                      <c:w val="0.21118773946360153"/>
                      <c:h val="0.37562499999999993"/>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outEnd"/>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Sheet1!$A$2:$A$8</c:f>
              <c:strCache>
                <c:ptCount val="7"/>
                <c:pt idx="0">
                  <c:v>Igaunija</c:v>
                </c:pt>
                <c:pt idx="1">
                  <c:v>Lietuva</c:v>
                </c:pt>
                <c:pt idx="2">
                  <c:v>Vācija</c:v>
                </c:pt>
                <c:pt idx="3">
                  <c:v>Apvienotā Karaliste</c:v>
                </c:pt>
                <c:pt idx="4">
                  <c:v>Norvēģija</c:v>
                </c:pt>
                <c:pt idx="5">
                  <c:v>Polija</c:v>
                </c:pt>
                <c:pt idx="6">
                  <c:v>Citas valstis</c:v>
                </c:pt>
              </c:strCache>
            </c:strRef>
          </c:cat>
          <c:val>
            <c:numRef>
              <c:f>Sheet1!$B$2:$B$8</c:f>
              <c:numCache>
                <c:formatCode>0</c:formatCode>
                <c:ptCount val="7"/>
                <c:pt idx="0">
                  <c:v>0.11253312884664718</c:v>
                </c:pt>
                <c:pt idx="1">
                  <c:v>0.10182034551228358</c:v>
                </c:pt>
                <c:pt idx="2">
                  <c:v>0.0932173482013066</c:v>
                </c:pt>
                <c:pt idx="3">
                  <c:v>0.083325095165600313</c:v>
                </c:pt>
                <c:pt idx="4">
                  <c:v>0.074314969470682321</c:v>
                </c:pt>
                <c:pt idx="5">
                  <c:v>0.0714808354055055</c:v>
                </c:pt>
                <c:pt idx="6">
                  <c:v>0.46330827739797442</c:v>
                </c:pt>
              </c:numCache>
            </c:numRef>
          </c:val>
          <c:extLst>
            <c:ext xmlns:c="http://schemas.openxmlformats.org/drawingml/2006/chart" xmlns:c16="http://schemas.microsoft.com/office/drawing/2014/chart" uri="{C3380CC4-5D6E-409C-BE32-E72D297353CC}">
              <c16:uniqueId val="{0000000E-1D86-4DF5-8B0A-8B1693DC3107}"/>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noFill/>
    <a:ln w="9525">
      <a:noFill/>
      <a:round/>
    </a:ln>
    <a:effectLst/>
  </c:spPr>
  <c:txPr>
    <a:bodyPr/>
    <a:lstStyle/>
    <a:p>
      <a:pPr>
        <a:defRPr sz="800">
          <a:latin typeface="Candara" panose="020E0502030303020204" pitchFamily="34" charset="0"/>
        </a:defRPr>
      </a:pPr>
      <a:endParaRPr lang="lv-LV"/>
    </a:p>
  </c:txPr>
  <c:externalData r:id="rId1">
    <c:autoUpdate val="0"/>
  </c:externalData>
</c:chartSpace>
</file>

<file path=word/charts/chart2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98553601027233415"/>
          <c:y val="0.01722532963499513"/>
          <c:w val="0.34507319571774181"/>
          <c:h val="0.920462379795931"/>
        </c:manualLayout>
      </c:layout>
      <c:barChart>
        <c:barDir val="col"/>
        <c:grouping val="percentStacked"/>
        <c:varyColors val="0"/>
        <c:ser>
          <c:idx val="0"/>
          <c:order val="0"/>
          <c:tx>
            <c:strRef>
              <c:f>Sheet1!$A$2</c:f>
              <c:strCache>
                <c:ptCount val="1"/>
                <c:pt idx="0">
                  <c:v>mēbeles un to daļas</c:v>
                </c:pt>
              </c:strCache>
            </c:strRef>
          </c:tx>
          <c:invertIfNegative val="0"/>
          <c:cat>
            <c:strRef>
              <c:f>Sheet1!$B$1:$F$1</c:f>
              <c:strCache>
                <c:ptCount val="5"/>
                <c:pt idx="0">
                  <c:v>2005</c:v>
                </c:pt>
                <c:pt idx="1">
                  <c:v>2010</c:v>
                </c:pt>
                <c:pt idx="2">
                  <c:v>2014</c:v>
                </c:pt>
                <c:pt idx="3">
                  <c:v>2015</c:v>
                </c:pt>
                <c:pt idx="4">
                  <c:v>2016</c:v>
                </c:pt>
              </c:strCache>
            </c:strRef>
          </c:cat>
          <c:val>
            <c:numRef>
              <c:f>Sheet1!$B$2:$F$2</c:f>
              <c:numCache>
                <c:formatCode>0</c:formatCode>
                <c:ptCount val="5"/>
                <c:pt idx="0">
                  <c:v>67.979860305636791</c:v>
                </c:pt>
                <c:pt idx="1">
                  <c:v>51.341734329832015</c:v>
                </c:pt>
                <c:pt idx="2">
                  <c:v>37.324311365964675</c:v>
                </c:pt>
                <c:pt idx="3">
                  <c:v>38.597442788613314</c:v>
                </c:pt>
                <c:pt idx="4">
                  <c:v>36.000961245464254</c:v>
                </c:pt>
              </c:numCache>
            </c:numRef>
          </c:val>
          <c:extLst>
            <c:ext xmlns:c="http://schemas.openxmlformats.org/drawingml/2006/chart" xmlns:c16="http://schemas.microsoft.com/office/drawing/2014/chart" uri="{C3380CC4-5D6E-409C-BE32-E72D297353CC}">
              <c16:uniqueId val="{00000000-1ACB-41A4-8B94-E487BD697F9A}"/>
            </c:ext>
          </c:extLst>
        </c:ser>
        <c:ser>
          <c:idx val="1"/>
          <c:order val="1"/>
          <c:tx>
            <c:strRef>
              <c:f>Sheet1!$A$3</c:f>
              <c:strCache>
                <c:ptCount val="1"/>
                <c:pt idx="0">
                  <c:v>dārgakmeņi, dārgmetāli, bižutērija</c:v>
                </c:pt>
              </c:strCache>
            </c:strRef>
          </c:tx>
          <c:invertIfNegative val="0"/>
          <c:cat>
            <c:strRef>
              <c:f>Sheet1!$B$1:$F$1</c:f>
              <c:strCache>
                <c:ptCount val="5"/>
                <c:pt idx="0">
                  <c:v>2005</c:v>
                </c:pt>
                <c:pt idx="1">
                  <c:v>2010</c:v>
                </c:pt>
                <c:pt idx="2">
                  <c:v>2014</c:v>
                </c:pt>
                <c:pt idx="3">
                  <c:v>2015</c:v>
                </c:pt>
                <c:pt idx="4">
                  <c:v>2016</c:v>
                </c:pt>
              </c:strCache>
            </c:strRef>
          </c:cat>
          <c:val>
            <c:numRef>
              <c:f>Sheet1!$B$3:$F$3</c:f>
              <c:numCache>
                <c:formatCode>0</c:formatCode>
                <c:ptCount val="5"/>
                <c:pt idx="0">
                  <c:v>3.482325749601161</c:v>
                </c:pt>
                <c:pt idx="1">
                  <c:v>7.230221007765901</c:v>
                </c:pt>
                <c:pt idx="2">
                  <c:v>20.728277904894405</c:v>
                </c:pt>
                <c:pt idx="3">
                  <c:v>19.189311017585915</c:v>
                </c:pt>
                <c:pt idx="4">
                  <c:v>19.664530246460437</c:v>
                </c:pt>
              </c:numCache>
            </c:numRef>
          </c:val>
          <c:extLst>
            <c:ext xmlns:c="http://schemas.openxmlformats.org/drawingml/2006/chart" xmlns:c16="http://schemas.microsoft.com/office/drawing/2014/chart" uri="{C3380CC4-5D6E-409C-BE32-E72D297353CC}">
              <c16:uniqueId val="{00000001-1ACB-41A4-8B94-E487BD697F9A}"/>
            </c:ext>
          </c:extLst>
        </c:ser>
        <c:ser>
          <c:idx val="2"/>
          <c:order val="2"/>
          <c:tx>
            <c:strRef>
              <c:f>Sheet1!$A$4</c:f>
              <c:strCache>
                <c:ptCount val="1"/>
                <c:pt idx="0">
                  <c:v>saliekamās būvkonstrukcijas</c:v>
                </c:pt>
              </c:strCache>
            </c:strRef>
          </c:tx>
          <c:invertIfNegative val="0"/>
          <c:cat>
            <c:strRef>
              <c:f>Sheet1!$B$1:$F$1</c:f>
              <c:strCache>
                <c:ptCount val="5"/>
                <c:pt idx="0">
                  <c:v>2005</c:v>
                </c:pt>
                <c:pt idx="1">
                  <c:v>2010</c:v>
                </c:pt>
                <c:pt idx="2">
                  <c:v>2014</c:v>
                </c:pt>
                <c:pt idx="3">
                  <c:v>2015</c:v>
                </c:pt>
                <c:pt idx="4">
                  <c:v>2016</c:v>
                </c:pt>
              </c:strCache>
            </c:strRef>
          </c:cat>
          <c:val>
            <c:numRef>
              <c:f>Sheet1!$B$4:$F$4</c:f>
              <c:numCache>
                <c:formatCode>0</c:formatCode>
                <c:ptCount val="5"/>
                <c:pt idx="0">
                  <c:v>7.6400931850667941</c:v>
                </c:pt>
                <c:pt idx="1">
                  <c:v>12.439544838056705</c:v>
                </c:pt>
                <c:pt idx="2">
                  <c:v>13.486131525808226</c:v>
                </c:pt>
                <c:pt idx="3">
                  <c:v>13.158323734534202</c:v>
                </c:pt>
                <c:pt idx="4">
                  <c:v>16.575818936211586</c:v>
                </c:pt>
              </c:numCache>
            </c:numRef>
          </c:val>
          <c:extLst>
            <c:ext xmlns:c="http://schemas.openxmlformats.org/drawingml/2006/chart" xmlns:c16="http://schemas.microsoft.com/office/drawing/2014/chart" uri="{C3380CC4-5D6E-409C-BE32-E72D297353CC}">
              <c16:uniqueId val="{00000002-1ACB-41A4-8B94-E487BD697F9A}"/>
            </c:ext>
          </c:extLst>
        </c:ser>
        <c:ser>
          <c:idx val="3"/>
          <c:order val="3"/>
          <c:tx>
            <c:strRef>
              <c:f>Sheet1!$A$5</c:f>
              <c:strCache>
                <c:ptCount val="1"/>
                <c:pt idx="0">
                  <c:v>citas rūpniecības preces</c:v>
                </c:pt>
              </c:strCache>
            </c:strRef>
          </c:tx>
          <c:invertIfNegative val="0"/>
          <c:cat>
            <c:strRef>
              <c:f>Sheet1!$B$1:$F$1</c:f>
              <c:strCache>
                <c:ptCount val="5"/>
                <c:pt idx="0">
                  <c:v>2005</c:v>
                </c:pt>
                <c:pt idx="1">
                  <c:v>2010</c:v>
                </c:pt>
                <c:pt idx="2">
                  <c:v>2014</c:v>
                </c:pt>
                <c:pt idx="3">
                  <c:v>2015</c:v>
                </c:pt>
                <c:pt idx="4">
                  <c:v>2016</c:v>
                </c:pt>
              </c:strCache>
            </c:strRef>
          </c:cat>
          <c:val>
            <c:numRef>
              <c:f>Sheet1!$B$5:$F$5</c:f>
              <c:numCache>
                <c:formatCode>0</c:formatCode>
                <c:ptCount val="5"/>
                <c:pt idx="0">
                  <c:v>20.897720759695254</c:v>
                </c:pt>
                <c:pt idx="1">
                  <c:v>28.988499824345386</c:v>
                </c:pt>
                <c:pt idx="2">
                  <c:v>28.46127920333269</c:v>
                </c:pt>
                <c:pt idx="3">
                  <c:v>29.054922459266557</c:v>
                </c:pt>
                <c:pt idx="4">
                  <c:v>27.758689571863719</c:v>
                </c:pt>
              </c:numCache>
            </c:numRef>
          </c:val>
          <c:extLst>
            <c:ext xmlns:c="http://schemas.openxmlformats.org/drawingml/2006/chart" xmlns:c16="http://schemas.microsoft.com/office/drawing/2014/chart" uri="{C3380CC4-5D6E-409C-BE32-E72D297353CC}">
              <c16:uniqueId val="{00000003-1ACB-41A4-8B94-E487BD697F9A}"/>
            </c:ext>
          </c:extLst>
        </c:ser>
        <c:dLbls>
          <c:showLegendKey val="0"/>
          <c:showVal val="0"/>
          <c:showCatName val="0"/>
          <c:showSerName val="0"/>
          <c:showPercent val="0"/>
          <c:showBubbleSize val="0"/>
        </c:dLbls>
        <c:gapWidth val="20"/>
        <c:overlap val="100"/>
        <c:axId val="656353912"/>
        <c:axId val="656353128"/>
      </c:barChart>
      <c:catAx>
        <c:axId val="656353912"/>
        <c:scaling>
          <c:orientation val="minMax"/>
        </c:scaling>
        <c:delete val="0"/>
        <c:axPos val="b"/>
        <c:numFmt formatCode="General" sourceLinked="0"/>
        <c:majorTickMark val="out"/>
        <c:minorTickMark val="none"/>
        <c:tickLblPos val="nextTo"/>
        <c:txPr>
          <a:bodyPr/>
          <a:lstStyle/>
          <a:p>
            <a:pPr>
              <a:defRPr sz="700"/>
            </a:pPr>
            <a:endParaRPr lang="lv-LV"/>
          </a:p>
        </c:txPr>
        <c:crossAx val="656353128"/>
        <c:crosses val="autoZero"/>
        <c:auto val="1"/>
        <c:lblAlgn val="ctr"/>
        <c:lblOffset val="100"/>
        <c:noMultiLvlLbl val="0"/>
      </c:catAx>
      <c:valAx>
        <c:axId val="656353128"/>
        <c:scaling>
          <c:orientation val="minMax"/>
        </c:scaling>
        <c:delete val="0"/>
        <c:axPos val="l"/>
        <c:numFmt formatCode="0%" sourceLinked="1"/>
        <c:majorTickMark val="out"/>
        <c:minorTickMark val="none"/>
        <c:tickLblPos val="nextTo"/>
        <c:txPr>
          <a:bodyPr/>
          <a:lstStyle/>
          <a:p>
            <a:pPr>
              <a:defRPr sz="700"/>
            </a:pPr>
            <a:endParaRPr lang="lv-LV"/>
          </a:p>
        </c:txPr>
        <c:crossAx val="656353912"/>
        <c:crosses val="autoZero"/>
        <c:crossBetween val="between"/>
      </c:valAx>
    </c:plotArea>
    <c:legend>
      <c:legendPos val="r"/>
      <c:layout>
        <c:manualLayout>
          <c:xMode val="edge"/>
          <c:yMode val="edge"/>
          <c:x val="0.48187518226888304"/>
          <c:y val="0.018061189542134811"/>
          <c:w val="0.518124817731117"/>
          <c:h val="0.71279839381344579"/>
        </c:manualLayout>
      </c:layout>
      <c:overlay val="0"/>
      <c:txPr>
        <a:bodyPr/>
        <a:lstStyle/>
        <a:p>
          <a:pPr>
            <a:defRPr sz="600">
              <a:latin typeface="Arial Narrow" panose="020B0606020202030204" pitchFamily="34" charset="0"/>
            </a:defRPr>
          </a:pPr>
          <a:endParaRPr lang="lv-LV"/>
        </a:p>
      </c:txPr>
    </c:legend>
    <c:plotVisOnly val="1"/>
    <c:dispBlanksAs val="gap"/>
    <c:showDLblsOverMax val="0"/>
  </c:chart>
  <c:spPr>
    <a:ln w="9525">
      <a:noFill/>
    </a:ln>
  </c:spPr>
  <c:txPr>
    <a:bodyPr/>
    <a:lstStyle/>
    <a:p>
      <a:pPr>
        <a:defRPr sz="800"/>
      </a:pPr>
      <a:endParaRPr lang="lv-LV"/>
    </a:p>
  </c:txPr>
  <c:externalData r:id="rId1">
    <c:autoUpdate val="0"/>
  </c:externalData>
</c:chartSpace>
</file>

<file path=word/charts/chart2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98553601027233415"/>
          <c:y val="0.01722532963499513"/>
          <c:w val="0.88592589806420907"/>
          <c:h val="0.920462379795931"/>
        </c:manualLayout>
      </c:layout>
      <c:barChart>
        <c:barDir val="col"/>
        <c:grouping val="percentStacked"/>
        <c:varyColors val="0"/>
        <c:ser>
          <c:idx val="0"/>
          <c:order val="0"/>
          <c:tx>
            <c:strRef>
              <c:f>Sheet1!$A$2</c:f>
              <c:strCache>
                <c:ptCount val="1"/>
                <c:pt idx="0">
                  <c:v>mēbeles un to daļas</c:v>
                </c:pt>
              </c:strCache>
            </c:strRef>
          </c:tx>
          <c:invertIfNegative val="0"/>
          <c:cat>
            <c:strRef>
              <c:f>Sheet1!$B$1:$F$1</c:f>
              <c:strCache>
                <c:ptCount val="5"/>
                <c:pt idx="0">
                  <c:v>2005</c:v>
                </c:pt>
                <c:pt idx="1">
                  <c:v>2010</c:v>
                </c:pt>
                <c:pt idx="2">
                  <c:v>2014</c:v>
                </c:pt>
                <c:pt idx="3">
                  <c:v>2015</c:v>
                </c:pt>
                <c:pt idx="4">
                  <c:v>2016</c:v>
                </c:pt>
              </c:strCache>
            </c:strRef>
          </c:cat>
          <c:val>
            <c:numRef>
              <c:f>Sheet1!$B$2:$F$2</c:f>
              <c:numCache>
                <c:formatCode>0</c:formatCode>
                <c:ptCount val="5"/>
                <c:pt idx="0">
                  <c:v>31.802490896828576</c:v>
                </c:pt>
                <c:pt idx="1">
                  <c:v>26.334589811342333</c:v>
                </c:pt>
                <c:pt idx="2">
                  <c:v>24.529881558201645</c:v>
                </c:pt>
                <c:pt idx="3">
                  <c:v>24.270413550469218</c:v>
                </c:pt>
                <c:pt idx="4">
                  <c:v>28.03571918922076</c:v>
                </c:pt>
              </c:numCache>
            </c:numRef>
          </c:val>
          <c:extLst>
            <c:ext xmlns:c="http://schemas.openxmlformats.org/drawingml/2006/chart" xmlns:c16="http://schemas.microsoft.com/office/drawing/2014/chart" uri="{C3380CC4-5D6E-409C-BE32-E72D297353CC}">
              <c16:uniqueId val="{00000000-3D3B-408D-82C6-FE071A3C46D8}"/>
            </c:ext>
          </c:extLst>
        </c:ser>
        <c:ser>
          <c:idx val="1"/>
          <c:order val="1"/>
          <c:tx>
            <c:strRef>
              <c:f>Sheet1!$A$3</c:f>
              <c:strCache>
                <c:ptCount val="1"/>
                <c:pt idx="0">
                  <c:v>dārgakmeņi, dārgmetāli, bižutērija</c:v>
                </c:pt>
              </c:strCache>
            </c:strRef>
          </c:tx>
          <c:invertIfNegative val="0"/>
          <c:cat>
            <c:strRef>
              <c:f>Sheet1!$B$1:$F$1</c:f>
              <c:strCache>
                <c:ptCount val="5"/>
                <c:pt idx="0">
                  <c:v>2005</c:v>
                </c:pt>
                <c:pt idx="1">
                  <c:v>2010</c:v>
                </c:pt>
                <c:pt idx="2">
                  <c:v>2014</c:v>
                </c:pt>
                <c:pt idx="3">
                  <c:v>2015</c:v>
                </c:pt>
                <c:pt idx="4">
                  <c:v>2016</c:v>
                </c:pt>
              </c:strCache>
            </c:strRef>
          </c:cat>
          <c:val>
            <c:numRef>
              <c:f>Sheet1!$B$3:$F$3</c:f>
              <c:numCache>
                <c:formatCode>0</c:formatCode>
                <c:ptCount val="5"/>
                <c:pt idx="0">
                  <c:v>38.352806860583129</c:v>
                </c:pt>
                <c:pt idx="1">
                  <c:v>44.292005284514595</c:v>
                </c:pt>
                <c:pt idx="2">
                  <c:v>46.015499685835465</c:v>
                </c:pt>
                <c:pt idx="3">
                  <c:v>45.75650127872121</c:v>
                </c:pt>
                <c:pt idx="4">
                  <c:v>37.688951121334192</c:v>
                </c:pt>
              </c:numCache>
            </c:numRef>
          </c:val>
          <c:extLst>
            <c:ext xmlns:c="http://schemas.openxmlformats.org/drawingml/2006/chart" xmlns:c16="http://schemas.microsoft.com/office/drawing/2014/chart" uri="{C3380CC4-5D6E-409C-BE32-E72D297353CC}">
              <c16:uniqueId val="{00000001-3D3B-408D-82C6-FE071A3C46D8}"/>
            </c:ext>
          </c:extLst>
        </c:ser>
        <c:ser>
          <c:idx val="2"/>
          <c:order val="2"/>
          <c:tx>
            <c:strRef>
              <c:f>Sheet1!$A$4</c:f>
              <c:strCache>
                <c:ptCount val="1"/>
                <c:pt idx="0">
                  <c:v>saliekamās būvkonstrukcijas</c:v>
                </c:pt>
              </c:strCache>
            </c:strRef>
          </c:tx>
          <c:invertIfNegative val="0"/>
          <c:cat>
            <c:strRef>
              <c:f>Sheet1!$B$1:$F$1</c:f>
              <c:strCache>
                <c:ptCount val="5"/>
                <c:pt idx="0">
                  <c:v>2005</c:v>
                </c:pt>
                <c:pt idx="1">
                  <c:v>2010</c:v>
                </c:pt>
                <c:pt idx="2">
                  <c:v>2014</c:v>
                </c:pt>
                <c:pt idx="3">
                  <c:v>2015</c:v>
                </c:pt>
                <c:pt idx="4">
                  <c:v>2016</c:v>
                </c:pt>
              </c:strCache>
            </c:strRef>
          </c:cat>
          <c:val>
            <c:numRef>
              <c:f>Sheet1!$B$4:$F$4</c:f>
              <c:numCache>
                <c:formatCode>0</c:formatCode>
                <c:ptCount val="5"/>
                <c:pt idx="0">
                  <c:v>2.3493307232309459</c:v>
                </c:pt>
                <c:pt idx="1">
                  <c:v>1.7955252583282493</c:v>
                </c:pt>
                <c:pt idx="2">
                  <c:v>1.6245771293589069</c:v>
                </c:pt>
                <c:pt idx="3">
                  <c:v>1.6997576587793752</c:v>
                </c:pt>
                <c:pt idx="4">
                  <c:v>2.0800447424974884</c:v>
                </c:pt>
              </c:numCache>
            </c:numRef>
          </c:val>
          <c:extLst>
            <c:ext xmlns:c="http://schemas.openxmlformats.org/drawingml/2006/chart" xmlns:c16="http://schemas.microsoft.com/office/drawing/2014/chart" uri="{C3380CC4-5D6E-409C-BE32-E72D297353CC}">
              <c16:uniqueId val="{00000002-3D3B-408D-82C6-FE071A3C46D8}"/>
            </c:ext>
          </c:extLst>
        </c:ser>
        <c:ser>
          <c:idx val="3"/>
          <c:order val="3"/>
          <c:tx>
            <c:strRef>
              <c:f>Sheet1!$A$5</c:f>
              <c:strCache>
                <c:ptCount val="1"/>
                <c:pt idx="0">
                  <c:v>citas rūpniecības preces</c:v>
                </c:pt>
              </c:strCache>
            </c:strRef>
          </c:tx>
          <c:invertIfNegative val="0"/>
          <c:cat>
            <c:strRef>
              <c:f>Sheet1!$B$1:$F$1</c:f>
              <c:strCache>
                <c:ptCount val="5"/>
                <c:pt idx="0">
                  <c:v>2005</c:v>
                </c:pt>
                <c:pt idx="1">
                  <c:v>2010</c:v>
                </c:pt>
                <c:pt idx="2">
                  <c:v>2014</c:v>
                </c:pt>
                <c:pt idx="3">
                  <c:v>2015</c:v>
                </c:pt>
                <c:pt idx="4">
                  <c:v>2016</c:v>
                </c:pt>
              </c:strCache>
            </c:strRef>
          </c:cat>
          <c:val>
            <c:numRef>
              <c:f>Sheet1!$B$5:$F$5</c:f>
              <c:numCache>
                <c:formatCode>0</c:formatCode>
                <c:ptCount val="5"/>
                <c:pt idx="0">
                  <c:v>27.495371519357349</c:v>
                </c:pt>
                <c:pt idx="1">
                  <c:v>27.577879645814825</c:v>
                </c:pt>
                <c:pt idx="2">
                  <c:v>27.830041626603986</c:v>
                </c:pt>
                <c:pt idx="3">
                  <c:v>28.2733275120302</c:v>
                </c:pt>
                <c:pt idx="4">
                  <c:v>32.195284946947559</c:v>
                </c:pt>
              </c:numCache>
            </c:numRef>
          </c:val>
          <c:extLst>
            <c:ext xmlns:c="http://schemas.openxmlformats.org/drawingml/2006/chart" xmlns:c16="http://schemas.microsoft.com/office/drawing/2014/chart" uri="{C3380CC4-5D6E-409C-BE32-E72D297353CC}">
              <c16:uniqueId val="{00000003-3D3B-408D-82C6-FE071A3C46D8}"/>
            </c:ext>
          </c:extLst>
        </c:ser>
        <c:ser>
          <c:idx val="4"/>
          <c:order val="4"/>
          <c:tx>
            <c:strRef>
              <c:f>Sheet1!$A$6</c:f>
              <c:strCache>
                <c:ptCount val="1"/>
              </c:strCache>
            </c:strRef>
          </c:tx>
          <c:invertIfNegative val="0"/>
          <c:cat>
            <c:strRef>
              <c:f>Sheet1!$B$1:$F$1</c:f>
              <c:strCache>
                <c:ptCount val="5"/>
                <c:pt idx="0">
                  <c:v>2005</c:v>
                </c:pt>
                <c:pt idx="1">
                  <c:v>2010</c:v>
                </c:pt>
                <c:pt idx="2">
                  <c:v>2014</c:v>
                </c:pt>
                <c:pt idx="3">
                  <c:v>2015</c:v>
                </c:pt>
                <c:pt idx="4">
                  <c:v>2016</c:v>
                </c:pt>
              </c:strCache>
            </c:strRef>
          </c:cat>
          <c:val>
            <c:numRef>
              <c:f>Sheet1!$B$6:$F$6</c:f>
              <c:numCache>
                <c:formatCode>General</c:formatCode>
                <c:ptCount val="5"/>
              </c:numCache>
            </c:numRef>
          </c:val>
          <c:extLst>
            <c:ext xmlns:c="http://schemas.openxmlformats.org/drawingml/2006/chart" xmlns:c16="http://schemas.microsoft.com/office/drawing/2014/chart" uri="{C3380CC4-5D6E-409C-BE32-E72D297353CC}">
              <c16:uniqueId val="{00000004-3D3B-408D-82C6-FE071A3C46D8}"/>
            </c:ext>
          </c:extLst>
        </c:ser>
        <c:ser>
          <c:idx val="5"/>
          <c:order val="5"/>
          <c:tx>
            <c:strRef>
              <c:f>Sheet1!$A$7</c:f>
              <c:strCache>
                <c:ptCount val="1"/>
              </c:strCache>
            </c:strRef>
          </c:tx>
          <c:invertIfNegative val="0"/>
          <c:cat>
            <c:strRef>
              <c:f>Sheet1!$B$1:$F$1</c:f>
              <c:strCache>
                <c:ptCount val="5"/>
                <c:pt idx="0">
                  <c:v>2005</c:v>
                </c:pt>
                <c:pt idx="1">
                  <c:v>2010</c:v>
                </c:pt>
                <c:pt idx="2">
                  <c:v>2014</c:v>
                </c:pt>
                <c:pt idx="3">
                  <c:v>2015</c:v>
                </c:pt>
                <c:pt idx="4">
                  <c:v>2016</c:v>
                </c:pt>
              </c:strCache>
            </c:strRef>
          </c:cat>
          <c:val>
            <c:numRef>
              <c:f>Sheet1!$B$7:$F$7</c:f>
              <c:numCache>
                <c:formatCode>General</c:formatCode>
                <c:ptCount val="5"/>
              </c:numCache>
            </c:numRef>
          </c:val>
          <c:extLst>
            <c:ext xmlns:c="http://schemas.openxmlformats.org/drawingml/2006/chart" xmlns:c16="http://schemas.microsoft.com/office/drawing/2014/chart" uri="{C3380CC4-5D6E-409C-BE32-E72D297353CC}">
              <c16:uniqueId val="{00000005-3D3B-408D-82C6-FE071A3C46D8}"/>
            </c:ext>
          </c:extLst>
        </c:ser>
        <c:dLbls>
          <c:showLegendKey val="0"/>
          <c:showVal val="0"/>
          <c:showCatName val="0"/>
          <c:showSerName val="0"/>
          <c:showPercent val="0"/>
          <c:showBubbleSize val="0"/>
        </c:dLbls>
        <c:gapWidth val="20"/>
        <c:overlap val="100"/>
        <c:axId val="656354696"/>
        <c:axId val="656357048"/>
      </c:barChart>
      <c:catAx>
        <c:axId val="656354696"/>
        <c:scaling>
          <c:orientation val="minMax"/>
        </c:scaling>
        <c:delete val="0"/>
        <c:axPos val="b"/>
        <c:numFmt formatCode="General" sourceLinked="0"/>
        <c:majorTickMark val="out"/>
        <c:minorTickMark val="none"/>
        <c:tickLblPos val="nextTo"/>
        <c:txPr>
          <a:bodyPr/>
          <a:lstStyle/>
          <a:p>
            <a:pPr>
              <a:defRPr sz="700"/>
            </a:pPr>
            <a:endParaRPr lang="lv-LV"/>
          </a:p>
        </c:txPr>
        <c:crossAx val="656357048"/>
        <c:crosses val="autoZero"/>
        <c:auto val="1"/>
        <c:lblAlgn val="ctr"/>
        <c:lblOffset val="100"/>
        <c:noMultiLvlLbl val="0"/>
      </c:catAx>
      <c:valAx>
        <c:axId val="656357048"/>
        <c:scaling>
          <c:orientation val="minMax"/>
        </c:scaling>
        <c:delete val="0"/>
        <c:axPos val="l"/>
        <c:numFmt formatCode="0%" sourceLinked="1"/>
        <c:majorTickMark val="out"/>
        <c:minorTickMark val="none"/>
        <c:tickLblPos val="nextTo"/>
        <c:txPr>
          <a:bodyPr/>
          <a:lstStyle/>
          <a:p>
            <a:pPr>
              <a:defRPr sz="700"/>
            </a:pPr>
            <a:endParaRPr lang="lv-LV"/>
          </a:p>
        </c:txPr>
        <c:crossAx val="656354696"/>
        <c:crosses val="autoZero"/>
        <c:crossBetween val="between"/>
      </c:valAx>
    </c:plotArea>
    <c:plotVisOnly val="1"/>
    <c:dispBlanksAs val="gap"/>
    <c:showDLblsOverMax val="0"/>
  </c:chart>
  <c:spPr>
    <a:ln w="9525">
      <a:noFill/>
    </a:ln>
  </c:spPr>
  <c:txPr>
    <a:bodyPr/>
    <a:lstStyle/>
    <a:p>
      <a:pPr>
        <a:defRPr sz="800"/>
      </a:pPr>
      <a:endParaRPr lang="lv-LV"/>
    </a:p>
  </c:txPr>
  <c:externalData r:id="rId1">
    <c:autoUpdate val="0"/>
  </c:externalData>
</c:chartSpace>
</file>

<file path=word/charts/chart2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60AD-49B7-B900-DA3E71B6AA33}"/>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60AD-49B7-B900-DA3E71B6AA33}"/>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Sheet1!$B$2:$M$2</c:f>
              <c:numCache>
                <c:formatCode>0</c:formatCode>
                <c:ptCount val="12"/>
                <c:pt idx="0">
                  <c:v>2004</c:v>
                </c:pt>
                <c:pt idx="1">
                  <c:v>2005</c:v>
                </c:pt>
                <c:pt idx="2">
                  <c:v>2006</c:v>
                </c:pt>
                <c:pt idx="3">
                  <c:v>2007</c:v>
                </c:pt>
                <c:pt idx="4">
                  <c:v>2008</c:v>
                </c:pt>
                <c:pt idx="5">
                  <c:v>2009</c:v>
                </c:pt>
                <c:pt idx="6">
                  <c:v>2010</c:v>
                </c:pt>
                <c:pt idx="7">
                  <c:v>2011</c:v>
                </c:pt>
                <c:pt idx="8">
                  <c:v>2012</c:v>
                </c:pt>
                <c:pt idx="9">
                  <c:v>2013</c:v>
                </c:pt>
                <c:pt idx="10" formatCode="General">
                  <c:v>2014</c:v>
                </c:pt>
                <c:pt idx="11">
                  <c:v>2015</c:v>
                </c:pt>
              </c:numCache>
            </c:numRef>
          </c:cat>
          <c:val>
            <c:numRef>
              <c:f>Sheet1!$B$3:$M$3</c:f>
              <c:numCache>
                <c:formatCode>0.0</c:formatCode>
                <c:ptCount val="12"/>
                <c:pt idx="0">
                  <c:v>3.8186528497409324</c:v>
                </c:pt>
                <c:pt idx="1">
                  <c:v>4.92622020431328</c:v>
                </c:pt>
                <c:pt idx="2">
                  <c:v>5.9195402298850581</c:v>
                </c:pt>
                <c:pt idx="3">
                  <c:v>8.2515868436237749</c:v>
                </c:pt>
                <c:pt idx="4">
                  <c:v>9.4427619624470012</c:v>
                </c:pt>
                <c:pt idx="5">
                  <c:v>8.95039539899353</c:v>
                </c:pt>
                <c:pt idx="6">
                  <c:v>8.8346456692913389</c:v>
                </c:pt>
                <c:pt idx="7">
                  <c:v>8.7431693989071029</c:v>
                </c:pt>
                <c:pt idx="8">
                  <c:v>9.3583273251622217</c:v>
                </c:pt>
                <c:pt idx="9">
                  <c:v>10.062456627342124</c:v>
                </c:pt>
                <c:pt idx="10">
                  <c:v>10.481651376146788</c:v>
                </c:pt>
                <c:pt idx="11" formatCode="General">
                  <c:v>11.226053639846743</c:v>
                </c:pt>
              </c:numCache>
            </c:numRef>
          </c:val>
          <c:extLst>
            <c:ext xmlns:c="http://schemas.openxmlformats.org/drawingml/2006/chart" xmlns:c16="http://schemas.microsoft.com/office/drawing/2014/chart" uri="{C3380CC4-5D6E-409C-BE32-E72D297353CC}">
              <c16:uniqueId val="{00000004-60AD-49B7-B900-DA3E71B6AA33}"/>
            </c:ext>
          </c:extLst>
        </c:ser>
        <c:dLbls>
          <c:showLegendKey val="0"/>
          <c:showVal val="0"/>
          <c:showCatName val="0"/>
          <c:showSerName val="0"/>
          <c:showPercent val="0"/>
          <c:showBubbleSize val="0"/>
        </c:dLbls>
        <c:gapWidth val="20"/>
        <c:axId val="656362144"/>
        <c:axId val="656359792"/>
      </c:barChart>
      <c:catAx>
        <c:axId val="656362144"/>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56359792"/>
        <c:crosses val="autoZero"/>
        <c:auto val="1"/>
        <c:lblAlgn val="ctr"/>
        <c:lblOffset val="100"/>
        <c:noMultiLvlLbl val="0"/>
      </c:catAx>
      <c:valAx>
        <c:axId val="656359792"/>
        <c:scaling>
          <c:orientation val="minMax"/>
          <c:max val="20"/>
          <c:min val="0"/>
        </c:scaling>
        <c:delete val="0"/>
        <c:axPos val="l"/>
        <c:numFmt formatCode="0" sourceLinked="0"/>
        <c:majorTickMark val="out"/>
        <c:minorTickMark val="none"/>
        <c:tickLblPos val="nextTo"/>
        <c:crossAx val="656362144"/>
        <c:crosses val="autoZero"/>
        <c:crossBetween val="between"/>
        <c:majorUnit val="5"/>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46717244654"/>
          <c:y val="0.044057617797775277"/>
          <c:w val="0.9310540474739486"/>
          <c:h val="0.70082154364850735"/>
        </c:manualLayout>
      </c:layout>
      <c:barChart>
        <c:barDir val="col"/>
        <c:grouping val="clustered"/>
        <c:varyColors val="0"/>
        <c:ser>
          <c:idx val="1"/>
          <c:order val="0"/>
          <c:tx>
            <c:strRef>
              <c:f>Sheet1!$B$3</c:f>
              <c:strCache>
                <c:ptCount val="1"/>
                <c:pt idx="0">
                  <c:v>Resource productivity</c:v>
                </c:pt>
              </c:strCache>
            </c:strRef>
          </c:tx>
          <c:spPr>
            <a:solidFill>
              <a:schemeClr val="accent3">
                <a:lumMod val="50000"/>
              </a:schemeClr>
            </a:solidFill>
            <a:ln w="19050"/>
          </c:spPr>
          <c:invertIfNegative val="0"/>
          <c:dPt>
            <c:idx val="16"/>
            <c:invertIfNegative val="0"/>
            <c:bubble3D val="0"/>
            <c:extLst>
              <c:ext xmlns:c="http://schemas.openxmlformats.org/drawingml/2006/chart" xmlns:c16="http://schemas.microsoft.com/office/drawing/2014/chart" uri="{C3380CC4-5D6E-409C-BE32-E72D297353CC}">
                <c16:uniqueId val="{00000000-9C0B-44C2-86BA-187E2ACDFF41}"/>
              </c:ext>
            </c:extLst>
          </c:dPt>
          <c:dPt>
            <c:idx val="17"/>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1-9C0B-44C2-86BA-187E2ACDFF41}"/>
              </c:ext>
            </c:extLst>
          </c:dPt>
          <c:dPt>
            <c:idx val="20"/>
            <c:invertIfNegative val="0"/>
            <c:bubble3D val="0"/>
            <c:spPr>
              <a:ln w="19050"/>
            </c:spPr>
            <c:extLst>
              <c:ext xmlns:c="http://schemas.openxmlformats.org/drawingml/2006/chart" xmlns:c16="http://schemas.microsoft.com/office/drawing/2014/chart" uri="{C3380CC4-5D6E-409C-BE32-E72D297353CC}">
                <c16:uniqueId val="{00000003-9C0B-44C2-86BA-187E2ACDFF41}"/>
              </c:ext>
            </c:extLst>
          </c:dPt>
          <c:dPt>
            <c:idx val="23"/>
            <c:invertIfNegative val="0"/>
            <c:bubble3D val="0"/>
            <c:extLst>
              <c:ext xmlns:c="http://schemas.openxmlformats.org/drawingml/2006/chart" xmlns:c16="http://schemas.microsoft.com/office/drawing/2014/chart" uri="{C3380CC4-5D6E-409C-BE32-E72D297353CC}">
                <c16:uniqueId val="{00000004-9C0B-44C2-86BA-187E2ACDFF41}"/>
              </c:ext>
            </c:extLst>
          </c:dPt>
          <c:dPt>
            <c:idx val="25"/>
            <c:invertIfNegative val="0"/>
            <c:bubble3D val="0"/>
            <c:extLst>
              <c:ext xmlns:c="http://schemas.openxmlformats.org/drawingml/2006/chart" xmlns:c16="http://schemas.microsoft.com/office/drawing/2014/chart" uri="{C3380CC4-5D6E-409C-BE32-E72D297353CC}">
                <c16:uniqueId val="{00000005-9C0B-44C2-86BA-187E2ACDFF41}"/>
              </c:ext>
            </c:extLst>
          </c:dPt>
          <c:dPt>
            <c:idx val="26"/>
            <c:invertIfNegative val="0"/>
            <c:bubble3D val="0"/>
            <c:extLst>
              <c:ext xmlns:c="http://schemas.openxmlformats.org/drawingml/2006/chart" xmlns:c16="http://schemas.microsoft.com/office/drawing/2014/chart" uri="{C3380CC4-5D6E-409C-BE32-E72D297353CC}">
                <c16:uniqueId val="{00000006-9C0B-44C2-86BA-187E2ACDFF41}"/>
              </c:ext>
            </c:extLst>
          </c:dPt>
          <c:dLbls>
            <c:dLbl>
              <c:idx val="20"/>
              <c:layout>
                <c:manualLayout>
                  <c:x val="0"/>
                  <c:y val="-4.9683256226419487E-17"/>
                </c:manualLayout>
              </c:layout>
              <c:numFmt formatCode="#,##0" sourceLinked="0"/>
              <c:spPr>
                <a:noFill/>
                <a:ln>
                  <a:noFill/>
                </a:ln>
                <a:effectLst/>
              </c:spPr>
              <c:txPr>
                <a:bodyPr/>
                <a:lstStyle/>
                <a:p>
                  <a:pPr>
                    <a:defRPr sz="600" b="1"/>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9C0B-44C2-86BA-187E2ACDFF41}"/>
                </c:ext>
                <c:ext xmlns:c15="http://schemas.microsoft.com/office/drawing/2012/chart" uri="{CE6537A1-D6FC-4f65-9D91-7224C49458BB}"/>
              </c:extLst>
            </c:dLbl>
            <c:dLbl>
              <c:idx val="23"/>
              <c:layout>
                <c:manualLayout>
                  <c:x val="0.0040281973816717019"/>
                  <c:y val="-0.010840108401084011"/>
                </c:manualLayout>
              </c:layout>
              <c:numFmt formatCode="#,##0" sourceLinked="0"/>
              <c:spPr>
                <a:noFill/>
                <a:ln>
                  <a:noFill/>
                </a:ln>
                <a:effectLst/>
              </c:spPr>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9C0B-44C2-86BA-187E2ACDFF41}"/>
                </c:ext>
                <c:ext xmlns:c15="http://schemas.microsoft.com/office/drawing/2012/chart" uri="{CE6537A1-D6FC-4f65-9D91-7224C49458BB}"/>
              </c:extLst>
            </c:dLbl>
            <c:dLbl>
              <c:idx val="25"/>
              <c:layout>
                <c:manualLayout>
                  <c:x val="0"/>
                  <c:y val="0.0045439455203234733"/>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9C0B-44C2-86BA-187E2ACDFF41}"/>
                </c:ext>
                <c:ext xmlns:c15="http://schemas.microsoft.com/office/drawing/2012/chart" uri="{CE6537A1-D6FC-4f65-9D91-7224C49458BB}"/>
              </c:extLst>
            </c:dLbl>
            <c:dLbl>
              <c:idx val="26"/>
              <c:layout>
                <c:manualLayout>
                  <c:x val="0"/>
                  <c:y val="8.791583978831914E-05"/>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9C0B-44C2-86BA-187E2ACDFF41}"/>
                </c:ext>
                <c:ext xmlns:c15="http://schemas.microsoft.com/office/drawing/2012/chart" uri="{CE6537A1-D6FC-4f65-9D91-7224C49458BB}"/>
              </c:extLst>
            </c:dLbl>
            <c:numFmt formatCode="#,##0" sourceLinked="0"/>
            <c:spPr>
              <a:noFill/>
              <a:ln>
                <a:noFill/>
              </a:ln>
              <a:effectLst/>
            </c:spPr>
            <c:txPr>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Sheet1!$A$4:$A$29</c:f>
              <c:strCache>
                <c:ptCount val="26"/>
                <c:pt idx="0">
                  <c:v>NL</c:v>
                </c:pt>
                <c:pt idx="1">
                  <c:v>SE</c:v>
                </c:pt>
                <c:pt idx="2">
                  <c:v>FI</c:v>
                </c:pt>
                <c:pt idx="3">
                  <c:v>DK</c:v>
                </c:pt>
                <c:pt idx="4">
                  <c:v>FR</c:v>
                </c:pt>
                <c:pt idx="5">
                  <c:v>BE</c:v>
                </c:pt>
                <c:pt idx="6">
                  <c:v>SK</c:v>
                </c:pt>
                <c:pt idx="7">
                  <c:v>ES</c:v>
                </c:pt>
                <c:pt idx="8">
                  <c:v>UK</c:v>
                </c:pt>
                <c:pt idx="9">
                  <c:v>IT</c:v>
                </c:pt>
                <c:pt idx="10">
                  <c:v>LU</c:v>
                </c:pt>
                <c:pt idx="11">
                  <c:v>DE</c:v>
                </c:pt>
                <c:pt idx="12">
                  <c:v>AT</c:v>
                </c:pt>
                <c:pt idx="13">
                  <c:v>IE</c:v>
                </c:pt>
                <c:pt idx="14">
                  <c:v>CY</c:v>
                </c:pt>
                <c:pt idx="15">
                  <c:v>CZ</c:v>
                </c:pt>
                <c:pt idx="16">
                  <c:v>EE</c:v>
                </c:pt>
                <c:pt idx="17">
                  <c:v>EU-28</c:v>
                </c:pt>
                <c:pt idx="18">
                  <c:v>HU</c:v>
                </c:pt>
                <c:pt idx="19">
                  <c:v>EL</c:v>
                </c:pt>
                <c:pt idx="20">
                  <c:v>LV</c:v>
                </c:pt>
                <c:pt idx="21">
                  <c:v>HR</c:v>
                </c:pt>
                <c:pt idx="22">
                  <c:v>SI</c:v>
                </c:pt>
                <c:pt idx="23">
                  <c:v>LT</c:v>
                </c:pt>
                <c:pt idx="24">
                  <c:v>PT</c:v>
                </c:pt>
                <c:pt idx="25">
                  <c:v>PL</c:v>
                </c:pt>
              </c:strCache>
            </c:strRef>
          </c:cat>
          <c:val>
            <c:numRef>
              <c:f>Sheet1!$B$4:$B$29</c:f>
              <c:numCache>
                <c:formatCode>0.0</c:formatCode>
                <c:ptCount val="26"/>
                <c:pt idx="0">
                  <c:v>58.644615384615385</c:v>
                </c:pt>
                <c:pt idx="1">
                  <c:v>56.564356435643568</c:v>
                </c:pt>
                <c:pt idx="2">
                  <c:v>47.735124760076772</c:v>
                </c:pt>
                <c:pt idx="3">
                  <c:v>43.404411764705884</c:v>
                </c:pt>
                <c:pt idx="4">
                  <c:v>41.874831763122479</c:v>
                </c:pt>
                <c:pt idx="5">
                  <c:v>41.428093645484957</c:v>
                </c:pt>
                <c:pt idx="6">
                  <c:v>37.657843948166523</c:v>
                </c:pt>
                <c:pt idx="7">
                  <c:v>36.646517739816034</c:v>
                </c:pt>
                <c:pt idx="8">
                  <c:v>34.813097501888564</c:v>
                </c:pt>
                <c:pt idx="9">
                  <c:v>31.979246733282089</c:v>
                </c:pt>
                <c:pt idx="10">
                  <c:v>28.135135135135133</c:v>
                </c:pt>
                <c:pt idx="11">
                  <c:v>25.559935379644589</c:v>
                </c:pt>
                <c:pt idx="12">
                  <c:v>23.647875816993462</c:v>
                </c:pt>
                <c:pt idx="13">
                  <c:v>21.902447645135634</c:v>
                </c:pt>
                <c:pt idx="14">
                  <c:v>21.454668470906633</c:v>
                </c:pt>
                <c:pt idx="15">
                  <c:v>18.936248845087775</c:v>
                </c:pt>
                <c:pt idx="16">
                  <c:v>18.746938775510205</c:v>
                </c:pt>
                <c:pt idx="17">
                  <c:v>18.679861580256834</c:v>
                </c:pt>
                <c:pt idx="18">
                  <c:v>14.549819013145362</c:v>
                </c:pt>
                <c:pt idx="19">
                  <c:v>13.679788662249361</c:v>
                </c:pt>
                <c:pt idx="20">
                  <c:v>12.844009489916964</c:v>
                </c:pt>
                <c:pt idx="21">
                  <c:v>12.461691377453823</c:v>
                </c:pt>
                <c:pt idx="22">
                  <c:v>9.8167752442996719</c:v>
                </c:pt>
                <c:pt idx="23">
                  <c:v>9.2225398874850129</c:v>
                </c:pt>
                <c:pt idx="24">
                  <c:v>7.5817283184467748</c:v>
                </c:pt>
                <c:pt idx="25">
                  <c:v>5.2313093762907892</c:v>
                </c:pt>
              </c:numCache>
            </c:numRef>
          </c:val>
          <c:extLst>
            <c:ext xmlns:c="http://schemas.openxmlformats.org/drawingml/2006/chart" xmlns:c16="http://schemas.microsoft.com/office/drawing/2014/chart" uri="{C3380CC4-5D6E-409C-BE32-E72D297353CC}">
              <c16:uniqueId val="{00000007-9C0B-44C2-86BA-187E2ACDFF41}"/>
            </c:ext>
          </c:extLst>
        </c:ser>
        <c:dLbls>
          <c:showLegendKey val="0"/>
          <c:showVal val="0"/>
          <c:showCatName val="0"/>
          <c:showSerName val="0"/>
          <c:showPercent val="0"/>
          <c:showBubbleSize val="0"/>
        </c:dLbls>
        <c:gapWidth val="20"/>
        <c:axId val="629837320"/>
        <c:axId val="629836144"/>
      </c:barChart>
      <c:catAx>
        <c:axId val="629837320"/>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29836144"/>
        <c:crosses val="autoZero"/>
        <c:auto val="1"/>
        <c:lblAlgn val="ctr"/>
        <c:lblOffset val="100"/>
        <c:tickLblSkip val="1"/>
        <c:noMultiLvlLbl val="0"/>
      </c:catAx>
      <c:valAx>
        <c:axId val="629836144"/>
        <c:scaling>
          <c:orientation val="minMax"/>
        </c:scaling>
        <c:delete val="0"/>
        <c:axPos val="l"/>
        <c:numFmt formatCode="0" sourceLinked="0"/>
        <c:majorTickMark val="out"/>
        <c:minorTickMark val="none"/>
        <c:tickLblPos val="nextTo"/>
        <c:txPr>
          <a:bodyPr/>
          <a:lstStyle/>
          <a:p>
            <a:pPr>
              <a:defRPr sz="600"/>
            </a:pPr>
            <a:endParaRPr lang="lv-LV"/>
          </a:p>
        </c:txPr>
        <c:crossAx val="629837320"/>
        <c:crosses val="autoZero"/>
        <c:crossBetween val="between"/>
      </c:valAx>
    </c:plotArea>
    <c:plotVisOnly val="1"/>
    <c:dispBlanksAs val="gap"/>
    <c:showDLblsOverMax val="0"/>
  </c:chart>
  <c:spPr>
    <a:ln w="9525">
      <a:noFill/>
    </a:ln>
  </c:spPr>
  <c:externalData r:id="rId1">
    <c:autoUpdate val="0"/>
  </c:externalData>
</c:chartSpace>
</file>

<file path=word/charts/chart2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DC0A-4CC6-AFE5-E328270EF4BA}"/>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DC0A-4CC6-AFE5-E328270EF4BA}"/>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Sheet1!$B$2:$M$2</c:f>
              <c:numCache>
                <c:formatCode>0</c:formatCode>
                <c:ptCount val="12"/>
                <c:pt idx="0">
                  <c:v>2004</c:v>
                </c:pt>
                <c:pt idx="1">
                  <c:v>2005</c:v>
                </c:pt>
                <c:pt idx="2">
                  <c:v>2006</c:v>
                </c:pt>
                <c:pt idx="3">
                  <c:v>2007</c:v>
                </c:pt>
                <c:pt idx="4">
                  <c:v>2008</c:v>
                </c:pt>
                <c:pt idx="5">
                  <c:v>2009</c:v>
                </c:pt>
                <c:pt idx="6">
                  <c:v>2010</c:v>
                </c:pt>
                <c:pt idx="7">
                  <c:v>2011</c:v>
                </c:pt>
                <c:pt idx="8">
                  <c:v>2012</c:v>
                </c:pt>
                <c:pt idx="9">
                  <c:v>2013</c:v>
                </c:pt>
                <c:pt idx="10" formatCode="General">
                  <c:v>2014</c:v>
                </c:pt>
                <c:pt idx="11">
                  <c:v>2015</c:v>
                </c:pt>
              </c:numCache>
            </c:numRef>
          </c:cat>
          <c:val>
            <c:numRef>
              <c:f>Sheet1!$B$3:$M$3</c:f>
              <c:numCache>
                <c:formatCode>0.0</c:formatCode>
                <c:ptCount val="12"/>
                <c:pt idx="0">
                  <c:v>10.870213823968175</c:v>
                </c:pt>
                <c:pt idx="1">
                  <c:v>12.265582655826559</c:v>
                </c:pt>
                <c:pt idx="2">
                  <c:v>13.272926963207027</c:v>
                </c:pt>
                <c:pt idx="3">
                  <c:v>14.112149532710278</c:v>
                </c:pt>
                <c:pt idx="4">
                  <c:v>14.605714285714285</c:v>
                </c:pt>
                <c:pt idx="5">
                  <c:v>15.691994572591588</c:v>
                </c:pt>
                <c:pt idx="6">
                  <c:v>17.555555555555557</c:v>
                </c:pt>
                <c:pt idx="7">
                  <c:v>17.276720351390921</c:v>
                </c:pt>
                <c:pt idx="8">
                  <c:v>18.820754716981131</c:v>
                </c:pt>
                <c:pt idx="9">
                  <c:v>16.7824377457405</c:v>
                </c:pt>
                <c:pt idx="10">
                  <c:v>16.955587392550143</c:v>
                </c:pt>
                <c:pt idx="11" formatCode="General">
                  <c:v>16.730632551528075</c:v>
                </c:pt>
              </c:numCache>
            </c:numRef>
          </c:val>
          <c:extLst>
            <c:ext xmlns:c="http://schemas.openxmlformats.org/drawingml/2006/chart" xmlns:c16="http://schemas.microsoft.com/office/drawing/2014/chart" uri="{C3380CC4-5D6E-409C-BE32-E72D297353CC}">
              <c16:uniqueId val="{00000004-DC0A-4CC6-AFE5-E328270EF4BA}"/>
            </c:ext>
          </c:extLst>
        </c:ser>
        <c:dLbls>
          <c:showLegendKey val="0"/>
          <c:showVal val="0"/>
          <c:showCatName val="0"/>
          <c:showSerName val="0"/>
          <c:showPercent val="0"/>
          <c:showBubbleSize val="0"/>
        </c:dLbls>
        <c:gapWidth val="20"/>
        <c:axId val="656361360"/>
        <c:axId val="656351168"/>
      </c:barChart>
      <c:catAx>
        <c:axId val="656361360"/>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56351168"/>
        <c:crosses val="autoZero"/>
        <c:auto val="1"/>
        <c:lblAlgn val="ctr"/>
        <c:lblOffset val="100"/>
        <c:noMultiLvlLbl val="0"/>
      </c:catAx>
      <c:valAx>
        <c:axId val="656351168"/>
        <c:scaling>
          <c:orientation val="minMax"/>
        </c:scaling>
        <c:delete val="0"/>
        <c:axPos val="l"/>
        <c:numFmt formatCode="0" sourceLinked="0"/>
        <c:majorTickMark val="out"/>
        <c:minorTickMark val="none"/>
        <c:tickLblPos val="nextTo"/>
        <c:crossAx val="656361360"/>
        <c:crosses val="autoZero"/>
        <c:crossBetween val="between"/>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24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72841410287632"/>
          <c:y val="0.057971014492753624"/>
          <c:w val="0.69294856184214082"/>
          <c:h val="0.726718711443121"/>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extLst>
              <c:ext xmlns:c="http://schemas.openxmlformats.org/drawingml/2006/chart" xmlns:c16="http://schemas.microsoft.com/office/drawing/2014/chart" uri="{C3380CC4-5D6E-409C-BE32-E72D297353CC}">
                <c16:uniqueId val="{00000000-154D-4F96-895B-38212AF523C2}"/>
              </c:ext>
            </c:extLst>
          </c:dPt>
          <c:dLbls>
            <c:dLbl>
              <c:idx val="0"/>
              <c:layout>
                <c:manualLayout>
                  <c:x val="-0.20898936601996915"/>
                  <c:y val="0.045247549184557055"/>
                </c:manualLayout>
              </c:layout>
              <c:tx>
                <c:rich>
                  <a:bodyPr vertOverflow="clip"/>
                  <a:lstStyle/>
                  <a:p>
                    <a:r>
                      <a:rPr lang="en-US"/>
                      <a:t>2005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154D-4F96-895B-38212AF523C2}"/>
                </c:ext>
                <c:ext xmlns:c15="http://schemas.microsoft.com/office/drawing/2012/chart" uri="{CE6537A1-D6FC-4f65-9D91-7224C49458BB}"/>
              </c:extLst>
            </c:dLbl>
            <c:dLbl>
              <c:idx val="1"/>
              <c:layout>
                <c:manualLayout>
                  <c:x val="-0.19227047649971588"/>
                  <c:y val="-0.24525562509814477"/>
                </c:manualLayout>
              </c:layout>
              <c:tx>
                <c:rich>
                  <a:bodyPr vertOverflow="clip"/>
                  <a:lstStyle/>
                  <a:p>
                    <a:r>
                      <a:rPr lang="en-US"/>
                      <a:t>2007</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154D-4F96-895B-38212AF523C2}"/>
                </c:ext>
                <c:ext xmlns:c15="http://schemas.microsoft.com/office/drawing/2012/chart" uri="{CE6537A1-D6FC-4f65-9D91-7224C49458BB}"/>
              </c:extLst>
            </c:dLbl>
            <c:dLbl>
              <c:idx val="2"/>
              <c:delete val="1"/>
              <c:extLst>
                <c:ext xmlns:c="http://schemas.openxmlformats.org/drawingml/2006/chart" xmlns:c16="http://schemas.microsoft.com/office/drawing/2014/chart" uri="{C3380CC4-5D6E-409C-BE32-E72D297353CC}">
                  <c16:uniqueId val="{00000003-154D-4F96-895B-38212AF523C2}"/>
                </c:ext>
                <c:ext xmlns:c15="http://schemas.microsoft.com/office/drawing/2012/chart" uri="{CE6537A1-D6FC-4f65-9D91-7224C49458BB}"/>
              </c:extLst>
            </c:dLbl>
            <c:dLbl>
              <c:idx val="3"/>
              <c:layout>
                <c:manualLayout>
                  <c:x val="-0.11022431474416219"/>
                  <c:y val="-0.059228750252372259"/>
                </c:manualLayout>
              </c:layout>
              <c:tx>
                <c:rich>
                  <a:bodyPr vertOverflow="clip"/>
                  <a:lstStyle/>
                  <a:p>
                    <a:r>
                      <a:rPr lang="en-US"/>
                      <a:t>2008</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154D-4F96-895B-38212AF523C2}"/>
                </c:ext>
                <c:ext xmlns:c15="http://schemas.microsoft.com/office/drawing/2012/chart" uri="{CE6537A1-D6FC-4f65-9D91-7224C49458BB}"/>
              </c:extLst>
            </c:dLbl>
            <c:dLbl>
              <c:idx val="4"/>
              <c:delete val="1"/>
              <c:extLst>
                <c:ext xmlns:c="http://schemas.openxmlformats.org/drawingml/2006/chart" xmlns:c16="http://schemas.microsoft.com/office/drawing/2014/chart" uri="{C3380CC4-5D6E-409C-BE32-E72D297353CC}">
                  <c16:uniqueId val="{00000005-154D-4F96-895B-38212AF523C2}"/>
                </c:ext>
                <c:ext xmlns:c15="http://schemas.microsoft.com/office/drawing/2012/chart" uri="{CE6537A1-D6FC-4f65-9D91-7224C49458BB}"/>
              </c:extLst>
            </c:dLbl>
            <c:dLbl>
              <c:idx val="5"/>
              <c:delete val="1"/>
              <c:extLst>
                <c:ext xmlns:c="http://schemas.openxmlformats.org/drawingml/2006/chart" xmlns:c16="http://schemas.microsoft.com/office/drawing/2014/chart" uri="{C3380CC4-5D6E-409C-BE32-E72D297353CC}">
                  <c16:uniqueId val="{00000000-154D-4F96-895B-38212AF523C2}"/>
                </c:ext>
                <c:ext xmlns:c15="http://schemas.microsoft.com/office/drawing/2012/chart" uri="{CE6537A1-D6FC-4f65-9D91-7224C49458BB}"/>
              </c:extLst>
            </c:dLbl>
            <c:dLbl>
              <c:idx val="6"/>
              <c:layout>
                <c:manualLayout>
                  <c:x val="0.027491408934707903"/>
                  <c:y val="0.051281602620185295"/>
                </c:manualLayout>
              </c:layout>
              <c:tx>
                <c:rich>
                  <a:bodyPr vertOverflow="clip"/>
                  <a:lstStyle/>
                  <a:p>
                    <a:r>
                      <a:rPr lang="en-US"/>
                      <a:t>2012</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154D-4F96-895B-38212AF523C2}"/>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7-154D-4F96-895B-38212AF523C2}"/>
                </c:ext>
                <c:ext xmlns:c15="http://schemas.microsoft.com/office/drawing/2012/chart" uri="{CE6537A1-D6FC-4f65-9D91-7224C49458BB}"/>
              </c:extLst>
            </c:dLbl>
            <c:dLbl>
              <c:idx val="8"/>
              <c:delete val="1"/>
              <c:extLst>
                <c:ext xmlns:c="http://schemas.openxmlformats.org/drawingml/2006/chart" xmlns:c16="http://schemas.microsoft.com/office/drawing/2014/chart" uri="{C3380CC4-5D6E-409C-BE32-E72D297353CC}">
                  <c16:uniqueId val="{00000008-154D-4F96-895B-38212AF523C2}"/>
                </c:ext>
                <c:ext xmlns:c15="http://schemas.microsoft.com/office/drawing/2012/chart" uri="{CE6537A1-D6FC-4f65-9D91-7224C49458BB}"/>
              </c:extLst>
            </c:dLbl>
            <c:dLbl>
              <c:idx val="9"/>
              <c:layout>
                <c:manualLayout>
                  <c:x val="-0.055362718835403307"/>
                  <c:y val="-0.047821970971577268"/>
                </c:manualLayout>
              </c:layout>
              <c:tx>
                <c:rich>
                  <a:bodyPr vertOverflow="clip"/>
                  <a:lstStyle/>
                  <a:p>
                    <a:r>
                      <a:rPr lang="en-US"/>
                      <a:t>2014</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154D-4F96-895B-38212AF523C2}"/>
                </c:ext>
                <c:ext xmlns:c15="http://schemas.microsoft.com/office/drawing/2012/chart" uri="{CE6537A1-D6FC-4f65-9D91-7224C49458BB}"/>
              </c:extLst>
            </c:dLbl>
            <c:dLbl>
              <c:idx val="10"/>
              <c:layout>
                <c:manualLayout>
                  <c:x val="-0.048682691305879967"/>
                  <c:y val="-0.05288250515989211"/>
                </c:manualLayout>
              </c:layout>
              <c:tx>
                <c:rich>
                  <a:bodyPr vertOverflow="clip"/>
                  <a:lstStyle/>
                  <a:p>
                    <a:r>
                      <a:rPr lang="en-US"/>
                      <a:t>2015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154D-4F96-895B-38212AF523C2}"/>
                </c:ext>
                <c:ext xmlns:c15="http://schemas.microsoft.com/office/drawing/2012/chart" uri="{CE6537A1-D6FC-4f65-9D91-7224C49458BB}"/>
              </c:extLst>
            </c:dLbl>
            <c:dLbl>
              <c:idx val="11"/>
              <c:layout>
                <c:manualLayout>
                  <c:x val="-0.045473776802943768"/>
                  <c:y val="-0.029435967255112244"/>
                </c:manualLayout>
              </c:layout>
              <c:tx>
                <c:rich>
                  <a:bodyPr/>
                  <a:lstStyle/>
                  <a:p>
                    <a:r>
                      <a:rPr lang="lv-LV"/>
                      <a:t>SK</a:t>
                    </a:r>
                    <a:endParaRPr lang="en-US"/>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154D-4F96-895B-38212AF523C2}"/>
                </c:ext>
                <c:ext xmlns:c15="http://schemas.microsoft.com/office/drawing/2012/chart" uri="{CE6537A1-D6FC-4f65-9D91-7224C49458BB}"/>
              </c:extLst>
            </c:dLbl>
            <c:dLbl>
              <c:idx val="12"/>
              <c:tx>
                <c:rich>
                  <a:bodyPr/>
                  <a:lstStyle/>
                  <a:p>
                    <a:r>
                      <a:rPr lang="lv-LV"/>
                      <a:t>FI</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154D-4F96-895B-38212AF523C2}"/>
                </c:ext>
                <c:ext xmlns:c15="http://schemas.microsoft.com/office/drawing/2012/chart" uri="{CE6537A1-D6FC-4f65-9D91-7224C49458BB}"/>
              </c:extLst>
            </c:dLbl>
            <c:dLbl>
              <c:idx val="13"/>
              <c:tx>
                <c:rich>
                  <a:bodyPr/>
                  <a:lstStyle/>
                  <a:p>
                    <a:r>
                      <a:rPr lang="lv-LV" b="0"/>
                      <a:t>SE</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154D-4F96-895B-38212AF523C2}"/>
                </c:ext>
                <c:ext xmlns:c15="http://schemas.microsoft.com/office/drawing/2012/chart" uri="{CE6537A1-D6FC-4f65-9D91-7224C49458BB}"/>
              </c:extLst>
            </c:dLbl>
            <c:spPr>
              <a:noFill/>
              <a:ln>
                <a:noFill/>
              </a:ln>
              <a:effectLst/>
            </c:spPr>
            <c:txPr>
              <a:bodyPr/>
              <a:lstStyle/>
              <a:p>
                <a:pPr>
                  <a:defRPr b="0"/>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Sheet1!$B$3:$B$13</c:f>
              <c:numCache>
                <c:formatCode>0.0</c:formatCode>
                <c:ptCount val="11"/>
                <c:pt idx="0">
                  <c:v>12.265582655826559</c:v>
                </c:pt>
                <c:pt idx="1">
                  <c:v>13.272926963207027</c:v>
                </c:pt>
                <c:pt idx="2">
                  <c:v>14.112149532710278</c:v>
                </c:pt>
                <c:pt idx="3">
                  <c:v>14.605714285714285</c:v>
                </c:pt>
                <c:pt idx="4">
                  <c:v>15.691994572591588</c:v>
                </c:pt>
                <c:pt idx="5">
                  <c:v>17.555555555555557</c:v>
                </c:pt>
                <c:pt idx="6">
                  <c:v>17.276720351390921</c:v>
                </c:pt>
                <c:pt idx="7">
                  <c:v>18.820754716981131</c:v>
                </c:pt>
                <c:pt idx="8">
                  <c:v>16.7824377457405</c:v>
                </c:pt>
                <c:pt idx="9">
                  <c:v>16.955587392550143</c:v>
                </c:pt>
                <c:pt idx="10">
                  <c:v>16.730632551528075</c:v>
                </c:pt>
              </c:numCache>
            </c:numRef>
          </c:xVal>
          <c:yVal>
            <c:numRef>
              <c:f>Sheet1!$C$3:$C$13</c:f>
              <c:numCache>
                <c:formatCode>0.0</c:formatCode>
                <c:ptCount val="11"/>
                <c:pt idx="0">
                  <c:v>0.40162953057702167</c:v>
                </c:pt>
                <c:pt idx="1">
                  <c:v>0.44598604710884121</c:v>
                </c:pt>
                <c:pt idx="2">
                  <c:v>0.584715094217049</c:v>
                </c:pt>
                <c:pt idx="3">
                  <c:v>0.64651148021448568</c:v>
                </c:pt>
                <c:pt idx="4">
                  <c:v>0.57037971543953581</c:v>
                </c:pt>
                <c:pt idx="5">
                  <c:v>0.50323931027608892</c:v>
                </c:pt>
                <c:pt idx="6">
                  <c:v>0.5060664999536908</c:v>
                </c:pt>
                <c:pt idx="7">
                  <c:v>0.49723443431939623</c:v>
                </c:pt>
                <c:pt idx="8">
                  <c:v>0.5995825385913347</c:v>
                </c:pt>
                <c:pt idx="9">
                  <c:v>0.61818273430929094</c:v>
                </c:pt>
                <c:pt idx="10">
                  <c:v>0.67098799792966723</c:v>
                </c:pt>
              </c:numCache>
            </c:numRef>
          </c:yVal>
          <c:smooth val="1"/>
          <c:extLst>
            <c:ext xmlns:c="http://schemas.openxmlformats.org/drawingml/2006/chart" xmlns:c16="http://schemas.microsoft.com/office/drawing/2014/chart" uri="{C3380CC4-5D6E-409C-BE32-E72D297353CC}">
              <c16:uniqueId val="{0000000E-154D-4F96-895B-38212AF523C2}"/>
            </c:ext>
          </c:extLst>
        </c:ser>
        <c:dLbls>
          <c:showLegendKey val="0"/>
          <c:showVal val="0"/>
          <c:showCatName val="0"/>
          <c:showSerName val="0"/>
          <c:showPercent val="0"/>
          <c:showBubbleSize val="0"/>
        </c:dLbls>
        <c:axId val="656355480"/>
        <c:axId val="656352344"/>
      </c:scatterChart>
      <c:valAx>
        <c:axId val="656355480"/>
        <c:scaling>
          <c:orientation val="minMax"/>
          <c:max val="25"/>
          <c:min val="5"/>
        </c:scaling>
        <c:delete val="0"/>
        <c:axPos val="b"/>
        <c:title>
          <c:tx>
            <c:rich>
              <a:bodyPr vertOverflow="clip"/>
              <a:lstStyle/>
              <a:p>
                <a:pPr>
                  <a:defRPr sz="700" b="0">
                    <a:latin typeface="Arial Narrow" pitchFamily="34" charset="0"/>
                  </a:defRPr>
                </a:pPr>
                <a:r>
                  <a:rPr lang="lv-LV" sz="700" b="0">
                    <a:latin typeface="Arial Narrow" pitchFamily="34" charset="0"/>
                  </a:rPr>
                  <a:t>Produktivitāte (pievienotā vērtība </a:t>
                </a:r>
                <a:br>
                  <a:rPr lang="lv-LV" sz="700" b="0">
                    <a:latin typeface="Arial Narrow" pitchFamily="34" charset="0"/>
                  </a:rPr>
                </a:br>
                <a:r>
                  <a:rPr lang="lv-LV" sz="700" b="0">
                    <a:latin typeface="Arial Narrow" pitchFamily="34" charset="0"/>
                  </a:rPr>
                  <a:t>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56352344"/>
        <c:crosses val="autoZero"/>
        <c:crossBetween val="midCat"/>
        <c:majorUnit val="5"/>
      </c:valAx>
      <c:valAx>
        <c:axId val="656352344"/>
        <c:scaling>
          <c:orientation val="minMax"/>
          <c:min val="0.30000000000000004"/>
        </c:scaling>
        <c:delete val="0"/>
        <c:axPos val="l"/>
        <c:title>
          <c:tx>
            <c:rich>
              <a:bodyPr vertOverflow="clip"/>
              <a:lstStyle/>
              <a:p>
                <a:pPr>
                  <a:defRPr sz="700" b="0"/>
                </a:pPr>
                <a:r>
                  <a:rPr lang="lv-LV" sz="700" b="0">
                    <a:latin typeface="Arial Narrow" pitchFamily="34" charset="0"/>
                  </a:rPr>
                  <a:t>Darbaspēka izmaksas </a:t>
                </a:r>
                <a:br>
                  <a:rPr lang="lv-LV" sz="700" b="0">
                    <a:latin typeface="Arial Narrow" pitchFamily="34" charset="0"/>
                  </a:rPr>
                </a:br>
                <a:r>
                  <a:rPr lang="lv-LV" sz="700" b="0">
                    <a:latin typeface="Arial Narrow" pitchFamily="34" charset="0"/>
                  </a:rPr>
                  <a:t>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56355480"/>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2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8"/>
          <c:y val="0.046005165816941182"/>
          <c:w val="0.85762258292899962"/>
          <c:h val="0.831279863372076"/>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Sheet1!$B$1:$J$1</c:f>
              <c:strCache>
                <c:ptCount val="9"/>
                <c:pt idx="0">
                  <c:v>2007</c:v>
                </c:pt>
                <c:pt idx="1">
                  <c:v>2008</c:v>
                </c:pt>
                <c:pt idx="2">
                  <c:v>2009</c:v>
                </c:pt>
                <c:pt idx="3">
                  <c:v>2010</c:v>
                </c:pt>
                <c:pt idx="4">
                  <c:v>2011</c:v>
                </c:pt>
                <c:pt idx="5">
                  <c:v>2012</c:v>
                </c:pt>
                <c:pt idx="6">
                  <c:v>2013</c:v>
                </c:pt>
                <c:pt idx="7">
                  <c:v>2014</c:v>
                </c:pt>
                <c:pt idx="8">
                  <c:v>2015</c:v>
                </c:pt>
              </c:strCache>
            </c:strRef>
          </c:cat>
          <c:val>
            <c:numRef>
              <c:f>Sheet1!$B$2:$J$2</c:f>
              <c:numCache>
                <c:formatCode>0</c:formatCode>
                <c:ptCount val="9"/>
                <c:pt idx="0">
                  <c:v>33.733810364325855</c:v>
                </c:pt>
                <c:pt idx="1">
                  <c:v>39.366062694556014</c:v>
                </c:pt>
                <c:pt idx="2">
                  <c:v>35.265739314535836</c:v>
                </c:pt>
                <c:pt idx="3">
                  <c:v>31.598932010849889</c:v>
                </c:pt>
                <c:pt idx="4">
                  <c:v>31.869900214985641</c:v>
                </c:pt>
                <c:pt idx="5">
                  <c:v>33.801329812213076</c:v>
                </c:pt>
                <c:pt idx="6">
                  <c:v>35.118191713592282</c:v>
                </c:pt>
                <c:pt idx="7">
                  <c:v>37.375186420479331</c:v>
                </c:pt>
                <c:pt idx="8">
                  <c:v>39.02724647709001</c:v>
                </c:pt>
              </c:numCache>
            </c:numRef>
          </c:val>
          <c:extLst>
            <c:ext xmlns:c="http://schemas.openxmlformats.org/drawingml/2006/chart" xmlns:c16="http://schemas.microsoft.com/office/drawing/2014/chart" uri="{C3380CC4-5D6E-409C-BE32-E72D297353CC}">
              <c16:uniqueId val="{00000000-36FE-4701-86A6-85A60AF0A8F2}"/>
            </c:ext>
          </c:extLst>
        </c:ser>
        <c:ser>
          <c:idx val="1"/>
          <c:order val="1"/>
          <c:tx>
            <c:strRef>
              <c:f>Sheet1!$A$3</c:f>
              <c:strCache>
                <c:ptCount val="1"/>
                <c:pt idx="0">
                  <c:v>Pārējās nozares</c:v>
                </c:pt>
              </c:strCache>
            </c:strRef>
          </c:tx>
          <c:spPr>
            <a:ln>
              <a:solidFill>
                <a:sysClr val="windowText" lastClr="000000"/>
              </a:solidFill>
            </a:ln>
          </c:spPr>
          <c:invertIfNegative val="0"/>
          <c:dLbls>
            <c:numFmt formatCode="#,##0" sourceLinked="0"/>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2007</c:v>
                </c:pt>
                <c:pt idx="1">
                  <c:v>2008</c:v>
                </c:pt>
                <c:pt idx="2">
                  <c:v>2009</c:v>
                </c:pt>
                <c:pt idx="3">
                  <c:v>2010</c:v>
                </c:pt>
                <c:pt idx="4">
                  <c:v>2011</c:v>
                </c:pt>
                <c:pt idx="5">
                  <c:v>2012</c:v>
                </c:pt>
                <c:pt idx="6">
                  <c:v>2013</c:v>
                </c:pt>
                <c:pt idx="7">
                  <c:v>2014</c:v>
                </c:pt>
                <c:pt idx="8">
                  <c:v>2015</c:v>
                </c:pt>
              </c:strCache>
            </c:strRef>
          </c:cat>
          <c:val>
            <c:numRef>
              <c:f>Sheet1!$B$3:$J$3</c:f>
              <c:numCache>
                <c:formatCode>0</c:formatCode>
                <c:ptCount val="9"/>
                <c:pt idx="0">
                  <c:v>27.126799260488998</c:v>
                </c:pt>
                <c:pt idx="1">
                  <c:v>30.497396735033671</c:v>
                </c:pt>
                <c:pt idx="2">
                  <c:v>28.963818059265584</c:v>
                </c:pt>
                <c:pt idx="3">
                  <c:v>27.624139379573453</c:v>
                </c:pt>
                <c:pt idx="4">
                  <c:v>26.621838088577991</c:v>
                </c:pt>
                <c:pt idx="5">
                  <c:v>27.699791570435035</c:v>
                </c:pt>
                <c:pt idx="6">
                  <c:v>29.387384441181403</c:v>
                </c:pt>
                <c:pt idx="7">
                  <c:v>29.904363281373421</c:v>
                </c:pt>
                <c:pt idx="8">
                  <c:v>30.802910767680437</c:v>
                </c:pt>
              </c:numCache>
            </c:numRef>
          </c:val>
          <c:extLst>
            <c:ext xmlns:c="http://schemas.openxmlformats.org/drawingml/2006/chart" xmlns:c16="http://schemas.microsoft.com/office/drawing/2014/chart" uri="{C3380CC4-5D6E-409C-BE32-E72D297353CC}">
              <c16:uniqueId val="{00000001-36FE-4701-86A6-85A60AF0A8F2}"/>
            </c:ext>
          </c:extLst>
        </c:ser>
        <c:dLbls>
          <c:showLegendKey val="0"/>
          <c:showVal val="0"/>
          <c:showCatName val="0"/>
          <c:showSerName val="0"/>
          <c:showPercent val="0"/>
          <c:showBubbleSize val="0"/>
        </c:dLbls>
        <c:gapWidth val="50"/>
        <c:overlap val="52"/>
        <c:axId val="656355872"/>
        <c:axId val="656359400"/>
      </c:barChart>
      <c:catAx>
        <c:axId val="656355872"/>
        <c:scaling>
          <c:orientation val="minMax"/>
        </c:scaling>
        <c:delete val="0"/>
        <c:axPos val="b"/>
        <c:numFmt formatCode="General" sourceLinked="0"/>
        <c:majorTickMark val="out"/>
        <c:minorTickMark val="none"/>
        <c:tickLblPos val="nextTo"/>
        <c:txPr>
          <a:bodyPr/>
          <a:lstStyle/>
          <a:p>
            <a:pPr>
              <a:defRPr sz="700"/>
            </a:pPr>
            <a:endParaRPr lang="lv-LV"/>
          </a:p>
        </c:txPr>
        <c:crossAx val="656359400"/>
        <c:crosses val="autoZero"/>
        <c:auto val="1"/>
        <c:lblAlgn val="ctr"/>
        <c:lblOffset val="100"/>
        <c:noMultiLvlLbl val="0"/>
      </c:catAx>
      <c:valAx>
        <c:axId val="656359400"/>
        <c:scaling>
          <c:orientation val="minMax"/>
          <c:max val="80"/>
        </c:scaling>
        <c:delete val="0"/>
        <c:axPos val="l"/>
        <c:numFmt formatCode="0" sourceLinked="0"/>
        <c:majorTickMark val="out"/>
        <c:minorTickMark val="none"/>
        <c:tickLblPos val="nextTo"/>
        <c:txPr>
          <a:bodyPr/>
          <a:lstStyle/>
          <a:p>
            <a:pPr>
              <a:defRPr sz="800"/>
            </a:pPr>
            <a:endParaRPr lang="lv-LV"/>
          </a:p>
        </c:txPr>
        <c:crossAx val="656355872"/>
        <c:crosses val="autoZero"/>
        <c:crossBetween val="between"/>
        <c:majorUnit val="20"/>
      </c:valAx>
      <c:spPr>
        <a:ln>
          <a:noFill/>
        </a:ln>
      </c:spPr>
    </c:plotArea>
    <c:legend>
      <c:legendPos val="r"/>
      <c:layout>
        <c:manualLayout>
          <c:xMode val="edge"/>
          <c:yMode val="edge"/>
          <c:x val="0.1972511805244323"/>
          <c:y val="0.049528317790409886"/>
          <c:w val="0.53767545872909384"/>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2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738"/>
          <c:y val="0.046005165816941182"/>
          <c:w val="0.85762258292899962"/>
          <c:h val="0.83127986337207582"/>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Sheet1!$B$1:$I$1</c:f>
              <c:strCache>
                <c:ptCount val="8"/>
                <c:pt idx="0">
                  <c:v>2007</c:v>
                </c:pt>
                <c:pt idx="1">
                  <c:v>2008</c:v>
                </c:pt>
                <c:pt idx="2">
                  <c:v>2009</c:v>
                </c:pt>
                <c:pt idx="3">
                  <c:v>2010</c:v>
                </c:pt>
                <c:pt idx="4">
                  <c:v>2011</c:v>
                </c:pt>
                <c:pt idx="5">
                  <c:v>2012</c:v>
                </c:pt>
                <c:pt idx="6">
                  <c:v>2013</c:v>
                </c:pt>
                <c:pt idx="7">
                  <c:v>2014</c:v>
                </c:pt>
              </c:strCache>
            </c:strRef>
          </c:cat>
          <c:val>
            <c:numRef>
              <c:f>Sheet1!$B$2:$I$2</c:f>
              <c:numCache>
                <c:formatCode>0</c:formatCode>
                <c:ptCount val="8"/>
                <c:pt idx="0">
                  <c:v>37.543267740570116</c:v>
                </c:pt>
                <c:pt idx="1">
                  <c:v>40.842057643741676</c:v>
                </c:pt>
                <c:pt idx="2">
                  <c:v>38.288707041966028</c:v>
                </c:pt>
                <c:pt idx="3">
                  <c:v>37.097778599507883</c:v>
                </c:pt>
                <c:pt idx="4">
                  <c:v>40.389766440010831</c:v>
                </c:pt>
                <c:pt idx="5">
                  <c:v>42.46259667259212</c:v>
                </c:pt>
                <c:pt idx="6">
                  <c:v>42.568476309606638</c:v>
                </c:pt>
                <c:pt idx="7">
                  <c:v>43.635115226322327</c:v>
                </c:pt>
              </c:numCache>
            </c:numRef>
          </c:val>
          <c:extLst>
            <c:ext xmlns:c="http://schemas.openxmlformats.org/drawingml/2006/chart" xmlns:c16="http://schemas.microsoft.com/office/drawing/2014/chart" uri="{C3380CC4-5D6E-409C-BE32-E72D297353CC}">
              <c16:uniqueId val="{00000000-12D8-4BD2-84BE-606AE0531D5A}"/>
            </c:ext>
          </c:extLst>
        </c:ser>
        <c:ser>
          <c:idx val="1"/>
          <c:order val="1"/>
          <c:tx>
            <c:strRef>
              <c:f>Sheet1!$A$3</c:f>
              <c:strCache>
                <c:ptCount val="1"/>
                <c:pt idx="0">
                  <c:v>Pārējās nozares</c:v>
                </c:pt>
              </c:strCache>
            </c:strRef>
          </c:tx>
          <c:spPr>
            <a:ln>
              <a:solidFill>
                <a:sysClr val="windowText" lastClr="000000"/>
              </a:solidFill>
            </a:ln>
          </c:spPr>
          <c:invertIfNegative val="0"/>
          <c:dLbls>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2007</c:v>
                </c:pt>
                <c:pt idx="1">
                  <c:v>2008</c:v>
                </c:pt>
                <c:pt idx="2">
                  <c:v>2009</c:v>
                </c:pt>
                <c:pt idx="3">
                  <c:v>2010</c:v>
                </c:pt>
                <c:pt idx="4">
                  <c:v>2011</c:v>
                </c:pt>
                <c:pt idx="5">
                  <c:v>2012</c:v>
                </c:pt>
                <c:pt idx="6">
                  <c:v>2013</c:v>
                </c:pt>
                <c:pt idx="7">
                  <c:v>2014</c:v>
                </c:pt>
              </c:strCache>
            </c:strRef>
          </c:cat>
          <c:val>
            <c:numRef>
              <c:f>Sheet1!$B$3:$I$3</c:f>
              <c:numCache>
                <c:formatCode>0</c:formatCode>
                <c:ptCount val="8"/>
                <c:pt idx="0">
                  <c:v>32.474737700834069</c:v>
                </c:pt>
                <c:pt idx="1">
                  <c:v>36.630471316685089</c:v>
                </c:pt>
                <c:pt idx="2">
                  <c:v>41.038502317874809</c:v>
                </c:pt>
                <c:pt idx="3">
                  <c:v>41.609674626998292</c:v>
                </c:pt>
                <c:pt idx="4">
                  <c:v>39.4687146645233</c:v>
                </c:pt>
                <c:pt idx="5">
                  <c:v>42.394393551188607</c:v>
                </c:pt>
                <c:pt idx="6">
                  <c:v>37.40647360025568</c:v>
                </c:pt>
                <c:pt idx="7">
                  <c:v>36.623554808300057</c:v>
                </c:pt>
              </c:numCache>
            </c:numRef>
          </c:val>
          <c:extLst>
            <c:ext xmlns:c="http://schemas.openxmlformats.org/drawingml/2006/chart" xmlns:c16="http://schemas.microsoft.com/office/drawing/2014/chart" uri="{C3380CC4-5D6E-409C-BE32-E72D297353CC}">
              <c16:uniqueId val="{00000001-12D8-4BD2-84BE-606AE0531D5A}"/>
            </c:ext>
          </c:extLst>
        </c:ser>
        <c:dLbls>
          <c:showLegendKey val="0"/>
          <c:showVal val="0"/>
          <c:showCatName val="0"/>
          <c:showSerName val="0"/>
          <c:showPercent val="0"/>
          <c:showBubbleSize val="0"/>
        </c:dLbls>
        <c:gapWidth val="50"/>
        <c:overlap val="52"/>
        <c:axId val="656353520"/>
        <c:axId val="656356264"/>
      </c:barChart>
      <c:catAx>
        <c:axId val="656353520"/>
        <c:scaling>
          <c:orientation val="minMax"/>
        </c:scaling>
        <c:delete val="0"/>
        <c:axPos val="b"/>
        <c:numFmt formatCode="General" sourceLinked="0"/>
        <c:majorTickMark val="out"/>
        <c:minorTickMark val="none"/>
        <c:tickLblPos val="nextTo"/>
        <c:txPr>
          <a:bodyPr rot="-2700000"/>
          <a:lstStyle/>
          <a:p>
            <a:pPr>
              <a:defRPr sz="800"/>
            </a:pPr>
            <a:endParaRPr lang="lv-LV"/>
          </a:p>
        </c:txPr>
        <c:crossAx val="656356264"/>
        <c:crosses val="autoZero"/>
        <c:auto val="1"/>
        <c:lblAlgn val="ctr"/>
        <c:lblOffset val="100"/>
        <c:noMultiLvlLbl val="0"/>
      </c:catAx>
      <c:valAx>
        <c:axId val="656356264"/>
        <c:scaling>
          <c:orientation val="minMax"/>
          <c:max val="80"/>
        </c:scaling>
        <c:delete val="0"/>
        <c:axPos val="l"/>
        <c:numFmt formatCode="0" sourceLinked="1"/>
        <c:majorTickMark val="out"/>
        <c:minorTickMark val="none"/>
        <c:tickLblPos val="nextTo"/>
        <c:txPr>
          <a:bodyPr/>
          <a:lstStyle/>
          <a:p>
            <a:pPr>
              <a:defRPr sz="800"/>
            </a:pPr>
            <a:endParaRPr lang="lv-LV"/>
          </a:p>
        </c:txPr>
        <c:crossAx val="656353520"/>
        <c:crosses val="autoZero"/>
        <c:crossBetween val="between"/>
        <c:majorUnit val="20"/>
      </c:valAx>
      <c:spPr>
        <a:ln>
          <a:noFill/>
        </a:ln>
      </c:spPr>
    </c:plotArea>
    <c:legend>
      <c:legendPos val="r"/>
      <c:layout>
        <c:manualLayout>
          <c:xMode val="edge"/>
          <c:yMode val="edge"/>
          <c:x val="0.13842777005815449"/>
          <c:y val="0.04952826842590622"/>
          <c:w val="0.58747156605424322"/>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2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46717244654"/>
          <c:y val="0.044057617797775277"/>
          <c:w val="0.9310540474739486"/>
          <c:h val="0.51012719563900666"/>
        </c:manualLayout>
      </c:layout>
      <c:barChart>
        <c:barDir val="col"/>
        <c:grouping val="clustered"/>
        <c:varyColors val="0"/>
        <c:ser>
          <c:idx val="1"/>
          <c:order val="0"/>
          <c:tx>
            <c:strRef>
              <c:f>Sheet1!$B$3</c:f>
              <c:strCache>
                <c:ptCount val="1"/>
                <c:pt idx="0">
                  <c:v>Compensation per employees 1000 of euro</c:v>
                </c:pt>
              </c:strCache>
            </c:strRef>
          </c:tx>
          <c:spPr>
            <a:solidFill>
              <a:schemeClr val="accent3">
                <a:lumMod val="50000"/>
              </a:schemeClr>
            </a:solidFill>
            <a:ln w="19050"/>
          </c:spPr>
          <c:invertIfNegative val="0"/>
          <c:dPt>
            <c:idx val="9"/>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1-D59C-405C-91F7-D212D3BB3C45}"/>
              </c:ext>
            </c:extLst>
          </c:dPt>
          <c:dPt>
            <c:idx val="11"/>
            <c:invertIfNegative val="0"/>
            <c:bubble3D val="0"/>
            <c:extLst>
              <c:ext xmlns:c="http://schemas.openxmlformats.org/drawingml/2006/chart" xmlns:c16="http://schemas.microsoft.com/office/drawing/2014/chart" uri="{C3380CC4-5D6E-409C-BE32-E72D297353CC}">
                <c16:uniqueId val="{00000006-A44F-40AD-9B02-904F4A23AB30}"/>
              </c:ext>
            </c:extLst>
          </c:dPt>
          <c:dPt>
            <c:idx val="19"/>
            <c:invertIfNegative val="0"/>
            <c:bubble3D val="0"/>
            <c:extLst>
              <c:ext xmlns:c="http://schemas.openxmlformats.org/drawingml/2006/chart" xmlns:c16="http://schemas.microsoft.com/office/drawing/2014/chart" uri="{C3380CC4-5D6E-409C-BE32-E72D297353CC}">
                <c16:uniqueId val="{00000000-B24F-43D3-9937-FB7F2AC90096}"/>
              </c:ext>
            </c:extLst>
          </c:dPt>
          <c:dPt>
            <c:idx val="20"/>
            <c:invertIfNegative val="0"/>
            <c:bubble3D val="0"/>
            <c:extLst>
              <c:ext xmlns:c="http://schemas.openxmlformats.org/drawingml/2006/chart" xmlns:c16="http://schemas.microsoft.com/office/drawing/2014/chart" uri="{C3380CC4-5D6E-409C-BE32-E72D297353CC}">
                <c16:uniqueId val="{00000001-B24F-43D3-9937-FB7F2AC90096}"/>
              </c:ext>
            </c:extLst>
          </c:dPt>
          <c:dPt>
            <c:idx val="22"/>
            <c:invertIfNegative val="0"/>
            <c:bubble3D val="0"/>
            <c:extLst>
              <c:ext xmlns:c="http://schemas.openxmlformats.org/drawingml/2006/chart" xmlns:c16="http://schemas.microsoft.com/office/drawing/2014/chart" uri="{C3380CC4-5D6E-409C-BE32-E72D297353CC}">
                <c16:uniqueId val="{00000002-B24F-43D3-9937-FB7F2AC90096}"/>
              </c:ext>
            </c:extLst>
          </c:dPt>
          <c:dPt>
            <c:idx val="23"/>
            <c:invertIfNegative val="0"/>
            <c:bubble3D val="0"/>
            <c:spPr>
              <a:solidFill>
                <a:srgbClr val="C00000"/>
              </a:solidFill>
              <a:ln w="19050"/>
            </c:spPr>
            <c:extLst>
              <c:ext xmlns:c="http://schemas.openxmlformats.org/drawingml/2006/chart" xmlns:c16="http://schemas.microsoft.com/office/drawing/2014/chart" uri="{C3380CC4-5D6E-409C-BE32-E72D297353CC}">
                <c16:uniqueId val="{00000007-D59C-405C-91F7-D212D3BB3C45}"/>
              </c:ext>
            </c:extLst>
          </c:dPt>
          <c:dPt>
            <c:idx val="24"/>
            <c:invertIfNegative val="0"/>
            <c:bubble3D val="0"/>
            <c:extLst>
              <c:ext xmlns:c="http://schemas.openxmlformats.org/drawingml/2006/chart" xmlns:c16="http://schemas.microsoft.com/office/drawing/2014/chart" uri="{C3380CC4-5D6E-409C-BE32-E72D297353CC}">
                <c16:uniqueId val="{00000003-B24F-43D3-9937-FB7F2AC90096}"/>
              </c:ext>
            </c:extLst>
          </c:dPt>
          <c:dPt>
            <c:idx val="25"/>
            <c:invertIfNegative val="0"/>
            <c:bubble3D val="0"/>
            <c:extLst>
              <c:ext xmlns:c="http://schemas.openxmlformats.org/drawingml/2006/chart" xmlns:c16="http://schemas.microsoft.com/office/drawing/2014/chart" uri="{C3380CC4-5D6E-409C-BE32-E72D297353CC}">
                <c16:uniqueId val="{00000005-B24F-43D3-9937-FB7F2AC90096}"/>
              </c:ext>
            </c:extLst>
          </c:dPt>
          <c:dLbls>
            <c:dLbl>
              <c:idx val="19"/>
              <c:layout>
                <c:manualLayout>
                  <c:x val="0"/>
                  <c:y val="4.9683256226419487E-17"/>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B24F-43D3-9937-FB7F2AC90096}"/>
                </c:ext>
                <c:ext xmlns:c15="http://schemas.microsoft.com/office/drawing/2012/chart" uri="{CE6537A1-D6FC-4f65-9D91-7224C49458BB}"/>
              </c:extLst>
            </c:dLbl>
            <c:dLbl>
              <c:idx val="22"/>
              <c:layout>
                <c:manualLayout>
                  <c:x val="0"/>
                  <c:y val="0.010839254849241406"/>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B24F-43D3-9937-FB7F2AC90096}"/>
                </c:ext>
                <c:ext xmlns:c15="http://schemas.microsoft.com/office/drawing/2012/chart" uri="{CE6537A1-D6FC-4f65-9D91-7224C49458BB}"/>
              </c:extLst>
            </c:dLbl>
            <c:dLbl>
              <c:idx val="23"/>
              <c:numFmt formatCode="#,##0" sourceLinked="0"/>
              <c:spPr>
                <a:noFill/>
                <a:ln>
                  <a:noFill/>
                </a:ln>
                <a:effectLst/>
              </c:spPr>
              <c:txPr>
                <a:bodyPr/>
                <a:lstStyle/>
                <a:p>
                  <a:pPr>
                    <a:defRPr sz="600" b="1"/>
                  </a:pPr>
                  <a:endParaRPr lang="lv-LV"/>
                </a:p>
              </c:txPr>
              <c:showLegendKey val="0"/>
              <c:showVal val="1"/>
              <c:showCatName val="0"/>
              <c:showSerName val="0"/>
              <c:showPercent val="0"/>
              <c:showBubbleSize val="0"/>
            </c:dLbl>
            <c:dLbl>
              <c:idx val="24"/>
              <c:layout>
                <c:manualLayout>
                  <c:x val="-0.0040281973816717019"/>
                  <c:y val="-3.7556281074572089E-05"/>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B24F-43D3-9937-FB7F2AC90096}"/>
                </c:ext>
                <c:ext xmlns:c15="http://schemas.microsoft.com/office/drawing/2012/chart" uri="{CE6537A1-D6FC-4f65-9D91-7224C49458BB}"/>
              </c:extLst>
            </c:dLbl>
            <c:dLbl>
              <c:idx val="25"/>
              <c:layout>
                <c:manualLayout>
                  <c:x val="0"/>
                  <c:y val="0.00518127541749584"/>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B24F-43D3-9937-FB7F2AC90096}"/>
                </c:ext>
                <c:ext xmlns:c15="http://schemas.microsoft.com/office/drawing/2012/chart" uri="{CE6537A1-D6FC-4f65-9D91-7224C49458BB}"/>
              </c:extLst>
            </c:dLbl>
            <c:numFmt formatCode="#,##0" sourceLinked="0"/>
            <c:spPr>
              <a:noFill/>
              <a:ln>
                <a:noFill/>
              </a:ln>
              <a:effectLst/>
            </c:spPr>
            <c:txPr>
              <a:bodyPr/>
              <a:lstStyle/>
              <a:p>
                <a:pPr>
                  <a:defRPr sz="600" b="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Sheet1!$A$4:$A$30</c:f>
              <c:strCache>
                <c:ptCount val="27"/>
                <c:pt idx="0">
                  <c:v>Francija</c:v>
                </c:pt>
                <c:pt idx="1">
                  <c:v>Dānija</c:v>
                </c:pt>
                <c:pt idx="2">
                  <c:v>Beļģija</c:v>
                </c:pt>
                <c:pt idx="3">
                  <c:v>Apv. Karaliste</c:v>
                </c:pt>
                <c:pt idx="4">
                  <c:v>Somija</c:v>
                </c:pt>
                <c:pt idx="5">
                  <c:v>Vācija</c:v>
                </c:pt>
                <c:pt idx="6">
                  <c:v>Zviedrija</c:v>
                </c:pt>
                <c:pt idx="7">
                  <c:v>Austrija</c:v>
                </c:pt>
                <c:pt idx="8">
                  <c:v>Nīderlande</c:v>
                </c:pt>
                <c:pt idx="9">
                  <c:v>ES-28</c:v>
                </c:pt>
                <c:pt idx="10">
                  <c:v>Itālija</c:v>
                </c:pt>
                <c:pt idx="11">
                  <c:v>Spānija</c:v>
                </c:pt>
                <c:pt idx="12">
                  <c:v>Slovēnija</c:v>
                </c:pt>
                <c:pt idx="13">
                  <c:v>Malta</c:v>
                </c:pt>
                <c:pt idx="14">
                  <c:v>Kipra</c:v>
                </c:pt>
                <c:pt idx="15">
                  <c:v>Portugāle</c:v>
                </c:pt>
                <c:pt idx="16">
                  <c:v>Slovākija</c:v>
                </c:pt>
                <c:pt idx="17">
                  <c:v>Grieķija</c:v>
                </c:pt>
                <c:pt idx="18">
                  <c:v>Igaunija</c:v>
                </c:pt>
                <c:pt idx="19">
                  <c:v>Lietuva</c:v>
                </c:pt>
                <c:pt idx="20">
                  <c:v>Čehija</c:v>
                </c:pt>
                <c:pt idx="21">
                  <c:v>Horvātija</c:v>
                </c:pt>
                <c:pt idx="22">
                  <c:v>Polija</c:v>
                </c:pt>
                <c:pt idx="23">
                  <c:v>Latvija</c:v>
                </c:pt>
                <c:pt idx="24">
                  <c:v>Ungārija</c:v>
                </c:pt>
                <c:pt idx="25">
                  <c:v>Rumānija</c:v>
                </c:pt>
                <c:pt idx="26">
                  <c:v>Bulgārija</c:v>
                </c:pt>
              </c:strCache>
            </c:strRef>
          </c:cat>
          <c:val>
            <c:numRef>
              <c:f>Sheet1!$B$4:$B$30</c:f>
              <c:numCache>
                <c:formatCode>#,##0.0</c:formatCode>
                <c:ptCount val="27"/>
                <c:pt idx="0">
                  <c:v>62.054131054131055</c:v>
                </c:pt>
                <c:pt idx="1">
                  <c:v>60.788888888888884</c:v>
                </c:pt>
                <c:pt idx="2">
                  <c:v>57.494652406417117</c:v>
                </c:pt>
                <c:pt idx="3">
                  <c:v>54.7079705857493</c:v>
                </c:pt>
                <c:pt idx="4">
                  <c:v>49.72318339100346</c:v>
                </c:pt>
                <c:pt idx="5">
                  <c:v>48.429752066115704</c:v>
                </c:pt>
                <c:pt idx="6">
                  <c:v>47.6953488372093</c:v>
                </c:pt>
                <c:pt idx="7">
                  <c:v>46.988057092921643</c:v>
                </c:pt>
                <c:pt idx="8">
                  <c:v>38.788235294117648</c:v>
                </c:pt>
                <c:pt idx="9">
                  <c:v>36.44478187309992</c:v>
                </c:pt>
                <c:pt idx="10">
                  <c:v>35.037322640345465</c:v>
                </c:pt>
                <c:pt idx="11">
                  <c:v>33.682750970604545</c:v>
                </c:pt>
                <c:pt idx="12">
                  <c:v>25.593635250917991</c:v>
                </c:pt>
                <c:pt idx="13">
                  <c:v>21.460674157303369</c:v>
                </c:pt>
                <c:pt idx="14">
                  <c:v>21.245136186770431</c:v>
                </c:pt>
                <c:pt idx="15">
                  <c:v>16.745068285280727</c:v>
                </c:pt>
                <c:pt idx="16">
                  <c:v>16.40248850419259</c:v>
                </c:pt>
                <c:pt idx="17">
                  <c:v>16.068601583113455</c:v>
                </c:pt>
                <c:pt idx="18">
                  <c:v>15.85064935064935</c:v>
                </c:pt>
                <c:pt idx="19">
                  <c:v>15.803179824561404</c:v>
                </c:pt>
                <c:pt idx="20">
                  <c:v>14.267897943640518</c:v>
                </c:pt>
                <c:pt idx="21">
                  <c:v>13.477516059957171</c:v>
                </c:pt>
                <c:pt idx="22">
                  <c:v>11.590354445090064</c:v>
                </c:pt>
                <c:pt idx="23">
                  <c:v>11.226053639846743</c:v>
                </c:pt>
                <c:pt idx="24">
                  <c:v>9.8328267477203646</c:v>
                </c:pt>
                <c:pt idx="25">
                  <c:v>7.2810289389067524</c:v>
                </c:pt>
                <c:pt idx="26">
                  <c:v>6.29073756432247</c:v>
                </c:pt>
              </c:numCache>
            </c:numRef>
          </c:val>
          <c:extLst>
            <c:ext xmlns:c="http://schemas.openxmlformats.org/drawingml/2006/chart" xmlns:c16="http://schemas.microsoft.com/office/drawing/2014/chart" uri="{C3380CC4-5D6E-409C-BE32-E72D297353CC}">
              <c16:uniqueId val="{00000006-B24F-43D3-9937-FB7F2AC90096}"/>
            </c:ext>
          </c:extLst>
        </c:ser>
        <c:dLbls>
          <c:showLegendKey val="0"/>
          <c:showVal val="0"/>
          <c:showCatName val="0"/>
          <c:showSerName val="0"/>
          <c:showPercent val="0"/>
          <c:showBubbleSize val="0"/>
        </c:dLbls>
        <c:gapWidth val="20"/>
        <c:axId val="656360576"/>
        <c:axId val="656360968"/>
      </c:barChart>
      <c:catAx>
        <c:axId val="656360576"/>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56360968"/>
        <c:crosses val="autoZero"/>
        <c:auto val="1"/>
        <c:lblAlgn val="ctr"/>
        <c:lblOffset val="100"/>
        <c:tickLblSkip val="1"/>
        <c:noMultiLvlLbl val="0"/>
      </c:catAx>
      <c:valAx>
        <c:axId val="656360968"/>
        <c:scaling>
          <c:orientation val="minMax"/>
        </c:scaling>
        <c:delete val="0"/>
        <c:axPos val="l"/>
        <c:numFmt formatCode="0" sourceLinked="0"/>
        <c:majorTickMark val="out"/>
        <c:minorTickMark val="none"/>
        <c:tickLblPos val="nextTo"/>
        <c:txPr>
          <a:bodyPr/>
          <a:lstStyle/>
          <a:p>
            <a:pPr>
              <a:defRPr sz="600"/>
            </a:pPr>
            <a:endParaRPr lang="lv-LV"/>
          </a:p>
        </c:txPr>
        <c:crossAx val="656360576"/>
        <c:crosses val="autoZero"/>
        <c:crossBetween val="between"/>
      </c:valAx>
    </c:plotArea>
    <c:plotVisOnly val="1"/>
    <c:dispBlanksAs val="gap"/>
    <c:showDLblsOverMax val="0"/>
  </c:chart>
  <c:spPr>
    <a:ln w="9525">
      <a:noFill/>
    </a:ln>
  </c:spPr>
  <c:externalData r:id="rId1">
    <c:autoUpdate val="0"/>
  </c:externalData>
</c:chartSpace>
</file>

<file path=word/charts/chart2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5206365820586629"/>
          <c:y val="0.098667178797772245"/>
          <c:w val="0.92848141716424415"/>
          <c:h val="0.44729274694321747"/>
        </c:manualLayout>
      </c:layout>
      <c:barChart>
        <c:barDir val="col"/>
        <c:grouping val="clustered"/>
        <c:varyColors val="0"/>
        <c:ser>
          <c:idx val="1"/>
          <c:order val="0"/>
          <c:tx>
            <c:strRef>
              <c:f>Sheet1!$B$3</c:f>
              <c:strCache>
                <c:ptCount val="1"/>
                <c:pt idx="0">
                  <c:v>Productivity</c:v>
                </c:pt>
              </c:strCache>
            </c:strRef>
          </c:tx>
          <c:spPr>
            <a:solidFill>
              <a:schemeClr val="accent3">
                <a:lumMod val="50000"/>
              </a:schemeClr>
            </a:solidFill>
            <a:ln w="19050"/>
          </c:spPr>
          <c:invertIfNegative val="0"/>
          <c:dPt>
            <c:idx val="11"/>
            <c:invertIfNegative val="0"/>
            <c:bubble3D val="0"/>
            <c:extLst>
              <c:ext xmlns:c="http://schemas.openxmlformats.org/drawingml/2006/chart" xmlns:c16="http://schemas.microsoft.com/office/drawing/2014/chart" uri="{C3380CC4-5D6E-409C-BE32-E72D297353CC}">
                <c16:uniqueId val="{00000007-EEC1-4735-B244-25CDB9F827F1}"/>
              </c:ext>
            </c:extLst>
          </c:dPt>
          <c:dPt>
            <c:idx val="17"/>
            <c:invertIfNegative val="0"/>
            <c:bubble3D val="0"/>
            <c:extLst>
              <c:ext xmlns:c="http://schemas.openxmlformats.org/drawingml/2006/chart" xmlns:c16="http://schemas.microsoft.com/office/drawing/2014/chart" uri="{C3380CC4-5D6E-409C-BE32-E72D297353CC}">
                <c16:uniqueId val="{00000000-9FD6-465C-B5E8-7C79FCE85958}"/>
              </c:ext>
            </c:extLst>
          </c:dPt>
          <c:dPt>
            <c:idx val="20"/>
            <c:invertIfNegative val="0"/>
            <c:bubble3D val="0"/>
            <c:spPr>
              <a:solidFill>
                <a:srgbClr val="C00000"/>
              </a:solidFill>
              <a:ln w="19050"/>
            </c:spPr>
            <c:extLst>
              <c:ext xmlns:c="http://schemas.openxmlformats.org/drawingml/2006/chart" xmlns:c16="http://schemas.microsoft.com/office/drawing/2014/chart" uri="{C3380CC4-5D6E-409C-BE32-E72D297353CC}">
                <c16:uniqueId val="{00000001-9FD6-465C-B5E8-7C79FCE85958}"/>
              </c:ext>
            </c:extLst>
          </c:dPt>
          <c:dPt>
            <c:idx val="22"/>
            <c:invertIfNegative val="0"/>
            <c:bubble3D val="0"/>
            <c:extLst>
              <c:ext xmlns:c="http://schemas.openxmlformats.org/drawingml/2006/chart" xmlns:c16="http://schemas.microsoft.com/office/drawing/2014/chart" uri="{C3380CC4-5D6E-409C-BE32-E72D297353CC}">
                <c16:uniqueId val="{00000002-9FD6-465C-B5E8-7C79FCE85958}"/>
              </c:ext>
            </c:extLst>
          </c:dPt>
          <c:dPt>
            <c:idx val="23"/>
            <c:invertIfNegative val="0"/>
            <c:bubble3D val="0"/>
            <c:extLst>
              <c:ext xmlns:c="http://schemas.openxmlformats.org/drawingml/2006/chart" xmlns:c16="http://schemas.microsoft.com/office/drawing/2014/chart" uri="{C3380CC4-5D6E-409C-BE32-E72D297353CC}">
                <c16:uniqueId val="{00000004-9FD6-465C-B5E8-7C79FCE85958}"/>
              </c:ext>
            </c:extLst>
          </c:dPt>
          <c:dPt>
            <c:idx val="24"/>
            <c:invertIfNegative val="0"/>
            <c:bubble3D val="0"/>
            <c:extLst>
              <c:ext xmlns:c="http://schemas.openxmlformats.org/drawingml/2006/chart" xmlns:c16="http://schemas.microsoft.com/office/drawing/2014/chart" uri="{C3380CC4-5D6E-409C-BE32-E72D297353CC}">
                <c16:uniqueId val="{00000005-9FD6-465C-B5E8-7C79FCE85958}"/>
              </c:ext>
            </c:extLst>
          </c:dPt>
          <c:dPt>
            <c:idx val="25"/>
            <c:invertIfNegative val="0"/>
            <c:bubble3D val="0"/>
            <c:extLst>
              <c:ext xmlns:c="http://schemas.openxmlformats.org/drawingml/2006/chart" xmlns:c16="http://schemas.microsoft.com/office/drawing/2014/chart" uri="{C3380CC4-5D6E-409C-BE32-E72D297353CC}">
                <c16:uniqueId val="{00000006-9FD6-465C-B5E8-7C79FCE85958}"/>
              </c:ext>
            </c:extLst>
          </c:dPt>
          <c:dLbls>
            <c:dLbl>
              <c:idx val="17"/>
              <c:layout>
                <c:manualLayout>
                  <c:x val="-3.1718089619462218E-07"/>
                  <c:y val="0"/>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9FD6-465C-B5E8-7C79FCE85958}"/>
                </c:ext>
                <c:ext xmlns:c15="http://schemas.microsoft.com/office/drawing/2012/chart" uri="{CE6537A1-D6FC-4f65-9D91-7224C49458BB}"/>
              </c:extLst>
            </c:dLbl>
            <c:dLbl>
              <c:idx val="20"/>
              <c:numFmt formatCode="#,##0" sourceLinked="0"/>
              <c:spPr>
                <a:noFill/>
                <a:ln>
                  <a:noFill/>
                </a:ln>
                <a:effectLst/>
              </c:spPr>
              <c:txPr>
                <a:bodyPr/>
                <a:lstStyle/>
                <a:p>
                  <a:pPr>
                    <a:defRPr sz="600" b="1"/>
                  </a:pPr>
                  <a:endParaRPr lang="lv-LV"/>
                </a:p>
              </c:txPr>
              <c:showLegendKey val="0"/>
              <c:showVal val="1"/>
              <c:showCatName val="0"/>
              <c:showSerName val="0"/>
              <c:showPercent val="0"/>
              <c:showBubbleSize val="0"/>
            </c:dLbl>
            <c:dLbl>
              <c:idx val="22"/>
              <c:layout>
                <c:manualLayout>
                  <c:x val="0"/>
                  <c:y val="0.010840108401084011"/>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9FD6-465C-B5E8-7C79FCE85958}"/>
                </c:ext>
                <c:ext xmlns:c15="http://schemas.microsoft.com/office/drawing/2012/chart" uri="{CE6537A1-D6FC-4f65-9D91-7224C49458BB}"/>
              </c:extLst>
            </c:dLbl>
            <c:dLbl>
              <c:idx val="23"/>
              <c:layout>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9FD6-465C-B5E8-7C79FCE85958}"/>
                </c:ext>
                <c:ext xmlns:c15="http://schemas.microsoft.com/office/drawing/2012/chart" uri="{CE6537A1-D6FC-4f65-9D91-7224C49458BB}"/>
              </c:extLst>
            </c:dLbl>
            <c:dLbl>
              <c:idx val="24"/>
              <c:layout>
                <c:manualLayout>
                  <c:x val="0.0040281973816717019"/>
                  <c:y val="-3.6702729232016727E-05"/>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9FD6-465C-B5E8-7C79FCE85958}"/>
                </c:ext>
                <c:ext xmlns:c15="http://schemas.microsoft.com/office/drawing/2012/chart" uri="{CE6537A1-D6FC-4f65-9D91-7224C49458BB}"/>
              </c:extLst>
            </c:dLbl>
            <c:dLbl>
              <c:idx val="25"/>
              <c:layout>
                <c:manualLayout>
                  <c:x val="0"/>
                  <c:y val="0.0047346520709301582"/>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9FD6-465C-B5E8-7C79FCE85958}"/>
                </c:ext>
                <c:ext xmlns:c15="http://schemas.microsoft.com/office/drawing/2012/chart" uri="{CE6537A1-D6FC-4f65-9D91-7224C49458BB}"/>
              </c:extLst>
            </c:dLbl>
            <c:numFmt formatCode="#,##0" sourceLinked="0"/>
            <c:spPr>
              <a:noFill/>
              <a:ln>
                <a:noFill/>
              </a:ln>
              <a:effectLst/>
            </c:spPr>
            <c:txPr>
              <a:bodyPr/>
              <a:lstStyle/>
              <a:p>
                <a:pPr>
                  <a:defRPr sz="600" b="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Sheet1!$A$4:$A$28</c:f>
              <c:strCache>
                <c:ptCount val="25"/>
                <c:pt idx="0">
                  <c:v>Dānija</c:v>
                </c:pt>
                <c:pt idx="1">
                  <c:v>Beļģija</c:v>
                </c:pt>
                <c:pt idx="2">
                  <c:v>Francija</c:v>
                </c:pt>
                <c:pt idx="3">
                  <c:v>Zviedrija</c:v>
                </c:pt>
                <c:pt idx="4">
                  <c:v>Austrija</c:v>
                </c:pt>
                <c:pt idx="5">
                  <c:v>Vācija</c:v>
                </c:pt>
                <c:pt idx="6">
                  <c:v>Apv. Karaliste</c:v>
                </c:pt>
                <c:pt idx="7">
                  <c:v>Somija</c:v>
                </c:pt>
                <c:pt idx="8">
                  <c:v>Spānija</c:v>
                </c:pt>
                <c:pt idx="9">
                  <c:v>Nīderlande</c:v>
                </c:pt>
                <c:pt idx="10">
                  <c:v>Itālija</c:v>
                </c:pt>
                <c:pt idx="11">
                  <c:v>Grieķija</c:v>
                </c:pt>
                <c:pt idx="12">
                  <c:v>Slovēnija</c:v>
                </c:pt>
                <c:pt idx="13">
                  <c:v>Lietuva</c:v>
                </c:pt>
                <c:pt idx="14">
                  <c:v>Kipra</c:v>
                </c:pt>
                <c:pt idx="15">
                  <c:v>Portugāle</c:v>
                </c:pt>
                <c:pt idx="16">
                  <c:v>Čehija</c:v>
                </c:pt>
                <c:pt idx="17">
                  <c:v>Slovākija</c:v>
                </c:pt>
                <c:pt idx="18">
                  <c:v>Polija</c:v>
                </c:pt>
                <c:pt idx="19">
                  <c:v>Igaunija</c:v>
                </c:pt>
                <c:pt idx="20">
                  <c:v>Latvija</c:v>
                </c:pt>
                <c:pt idx="21">
                  <c:v>Horvātija</c:v>
                </c:pt>
                <c:pt idx="22">
                  <c:v>Ungārija</c:v>
                </c:pt>
                <c:pt idx="23">
                  <c:v>Rumānija</c:v>
                </c:pt>
                <c:pt idx="24">
                  <c:v>Bulgārija</c:v>
                </c:pt>
              </c:strCache>
            </c:strRef>
          </c:cat>
          <c:val>
            <c:numRef>
              <c:f>Sheet1!$B$4:$B$28</c:f>
              <c:numCache>
                <c:formatCode>#,##0.0</c:formatCode>
                <c:ptCount val="25"/>
                <c:pt idx="0">
                  <c:v>105.62666666666668</c:v>
                </c:pt>
                <c:pt idx="1">
                  <c:v>67.819672131147541</c:v>
                </c:pt>
                <c:pt idx="2">
                  <c:v>66.961734693877546</c:v>
                </c:pt>
                <c:pt idx="3">
                  <c:v>63.747826086956522</c:v>
                </c:pt>
                <c:pt idx="4">
                  <c:v>60.969002695417785</c:v>
                </c:pt>
                <c:pt idx="5">
                  <c:v>54.616461538461536</c:v>
                </c:pt>
                <c:pt idx="6">
                  <c:v>54.489486963835155</c:v>
                </c:pt>
                <c:pt idx="7">
                  <c:v>50.090090090090094</c:v>
                </c:pt>
                <c:pt idx="8">
                  <c:v>49.197530864197532</c:v>
                </c:pt>
                <c:pt idx="9">
                  <c:v>42.556756756756755</c:v>
                </c:pt>
                <c:pt idx="10">
                  <c:v>41.37619699042407</c:v>
                </c:pt>
                <c:pt idx="11">
                  <c:v>33.669259384511328</c:v>
                </c:pt>
                <c:pt idx="12">
                  <c:v>29.442708333333332</c:v>
                </c:pt>
                <c:pt idx="13">
                  <c:v>25.77933450087566</c:v>
                </c:pt>
                <c:pt idx="14">
                  <c:v>24.267100977198698</c:v>
                </c:pt>
                <c:pt idx="15">
                  <c:v>24.163482532751093</c:v>
                </c:pt>
                <c:pt idx="16">
                  <c:v>22.08250875323489</c:v>
                </c:pt>
                <c:pt idx="17">
                  <c:v>19.868956168097604</c:v>
                </c:pt>
                <c:pt idx="18">
                  <c:v>19.229085603112843</c:v>
                </c:pt>
                <c:pt idx="19">
                  <c:v>18.763975155279503</c:v>
                </c:pt>
                <c:pt idx="20">
                  <c:v>16.730632551528075</c:v>
                </c:pt>
                <c:pt idx="21">
                  <c:v>15.611692529772645</c:v>
                </c:pt>
                <c:pt idx="22">
                  <c:v>15.054445210199864</c:v>
                </c:pt>
                <c:pt idx="23">
                  <c:v>13.918164910105393</c:v>
                </c:pt>
                <c:pt idx="24">
                  <c:v>7.5958062183658708</c:v>
                </c:pt>
              </c:numCache>
            </c:numRef>
          </c:val>
          <c:extLst>
            <c:ext xmlns:c="http://schemas.openxmlformats.org/drawingml/2006/chart" xmlns:c16="http://schemas.microsoft.com/office/drawing/2014/chart" uri="{C3380CC4-5D6E-409C-BE32-E72D297353CC}">
              <c16:uniqueId val="{00000007-9FD6-465C-B5E8-7C79FCE85958}"/>
            </c:ext>
          </c:extLst>
        </c:ser>
        <c:dLbls>
          <c:showLegendKey val="0"/>
          <c:showVal val="0"/>
          <c:showCatName val="0"/>
          <c:showSerName val="0"/>
          <c:showPercent val="0"/>
          <c:showBubbleSize val="0"/>
        </c:dLbls>
        <c:gapWidth val="20"/>
        <c:axId val="656350776"/>
        <c:axId val="656356656"/>
      </c:barChart>
      <c:catAx>
        <c:axId val="656350776"/>
        <c:scaling>
          <c:orientation val="minMax"/>
        </c:scaling>
        <c:delete val="0"/>
        <c:axPos val="b"/>
        <c:numFmt formatCode="General" sourceLinked="0"/>
        <c:majorTickMark val="out"/>
        <c:minorTickMark val="none"/>
        <c:tickLblPos val="nextTo"/>
        <c:txPr>
          <a:bodyPr rot="-5400000" vert="horz" anchor="ctr" anchorCtr="1"/>
          <a:lstStyle/>
          <a:p>
            <a:pPr>
              <a:defRPr sz="600"/>
            </a:pPr>
            <a:endParaRPr lang="lv-LV"/>
          </a:p>
        </c:txPr>
        <c:crossAx val="656356656"/>
        <c:crosses val="autoZero"/>
        <c:auto val="1"/>
        <c:lblAlgn val="ctr"/>
        <c:lblOffset val="100"/>
        <c:tickLblSkip val="1"/>
        <c:noMultiLvlLbl val="0"/>
      </c:catAx>
      <c:valAx>
        <c:axId val="656356656"/>
        <c:scaling>
          <c:orientation val="minMax"/>
        </c:scaling>
        <c:delete val="0"/>
        <c:axPos val="l"/>
        <c:numFmt formatCode="0" sourceLinked="0"/>
        <c:majorTickMark val="out"/>
        <c:minorTickMark val="none"/>
        <c:tickLblPos val="nextTo"/>
        <c:txPr>
          <a:bodyPr/>
          <a:lstStyle/>
          <a:p>
            <a:pPr>
              <a:defRPr sz="600"/>
            </a:pPr>
            <a:endParaRPr lang="lv-LV"/>
          </a:p>
        </c:txPr>
        <c:crossAx val="656350776"/>
        <c:crosses val="autoZero"/>
        <c:crossBetween val="between"/>
      </c:valAx>
    </c:plotArea>
    <c:plotVisOnly val="1"/>
    <c:dispBlanksAs val="gap"/>
    <c:showDLblsOverMax val="0"/>
  </c:chart>
  <c:spPr>
    <a:ln w="9525">
      <a:noFill/>
    </a:ln>
  </c:spPr>
  <c:externalData r:id="rId1">
    <c:autoUpdate val="0"/>
  </c:externalData>
</c:chartSpace>
</file>

<file path=word/charts/chart24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3524559430071246"/>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4183-42DA-8957-6233A7962EF9}"/>
              </c:ext>
            </c:extLst>
          </c:dPt>
          <c:dPt>
            <c:idx val="5"/>
            <c:bubble3D val="0"/>
            <c:extLst>
              <c:ext xmlns:c="http://schemas.openxmlformats.org/drawingml/2006/chart" xmlns:c16="http://schemas.microsoft.com/office/drawing/2014/chart" uri="{C3380CC4-5D6E-409C-BE32-E72D297353CC}">
                <c16:uniqueId val="{00000001-4183-42DA-8957-6233A7962EF9}"/>
              </c:ext>
            </c:extLst>
          </c:dPt>
          <c:dPt>
            <c:idx val="11"/>
            <c:bubble3D val="0"/>
            <c:extLst>
              <c:ext xmlns:c="http://schemas.openxmlformats.org/drawingml/2006/chart" xmlns:c16="http://schemas.microsoft.com/office/drawing/2014/chart" uri="{C3380CC4-5D6E-409C-BE32-E72D297353CC}">
                <c16:uniqueId val="{00000002-4183-42DA-8957-6233A7962EF9}"/>
              </c:ext>
            </c:extLst>
          </c:dPt>
          <c:dPt>
            <c:idx val="12"/>
            <c:bubble3D val="0"/>
            <c:extLst>
              <c:ext xmlns:c="http://schemas.openxmlformats.org/drawingml/2006/chart" xmlns:c16="http://schemas.microsoft.com/office/drawing/2014/chart" uri="{C3380CC4-5D6E-409C-BE32-E72D297353CC}">
                <c16:uniqueId val="{00000003-4183-42DA-8957-6233A7962EF9}"/>
              </c:ext>
            </c:extLst>
          </c:dPt>
          <c:dPt>
            <c:idx val="13"/>
            <c:bubble3D val="0"/>
            <c:extLst>
              <c:ext xmlns:c="http://schemas.openxmlformats.org/drawingml/2006/chart" xmlns:c16="http://schemas.microsoft.com/office/drawing/2014/chart" uri="{C3380CC4-5D6E-409C-BE32-E72D297353CC}">
                <c16:uniqueId val="{00000004-4183-42DA-8957-6233A7962EF9}"/>
              </c:ext>
            </c:extLst>
          </c:dPt>
          <c:dPt>
            <c:idx val="14"/>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5-4183-42DA-8957-6233A7962EF9}"/>
              </c:ext>
            </c:extLst>
          </c:dPt>
          <c:dLbls>
            <c:dLbl>
              <c:idx val="0"/>
              <c:layout>
                <c:manualLayout>
                  <c:x val="-0.12461091896223253"/>
                  <c:y val="-0.019047619047619004"/>
                </c:manualLayout>
              </c:layout>
              <c:tx>
                <c:rich>
                  <a:bodyPr vertOverflow="clip"/>
                  <a:lstStyle/>
                  <a:p>
                    <a:r>
                      <a:rPr lang="en-US"/>
                      <a:t>EU-28</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4183-42DA-8957-6233A7962EF9}"/>
                </c:ext>
                <c:ext xmlns:c15="http://schemas.microsoft.com/office/drawing/2012/chart" uri="{CE6537A1-D6FC-4f65-9D91-7224C49458BB}"/>
              </c:extLst>
            </c:dLbl>
            <c:dLbl>
              <c:idx val="1"/>
              <c:layout>
                <c:manualLayout>
                  <c:x val="-0.024922118380062305"/>
                  <c:y val="0.066666666666666666"/>
                </c:manualLayout>
              </c:layout>
              <c:tx>
                <c:rich>
                  <a:bodyPr vertOverflow="clip"/>
                  <a:lstStyle/>
                  <a:p>
                    <a:r>
                      <a:rPr lang="en-US"/>
                      <a:t>BE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4183-42DA-8957-6233A7962EF9}"/>
                </c:ext>
                <c:ext xmlns:c15="http://schemas.microsoft.com/office/drawing/2012/chart" uri="{CE6537A1-D6FC-4f65-9D91-7224C49458BB}"/>
              </c:extLst>
            </c:dLbl>
            <c:dLbl>
              <c:idx val="2"/>
              <c:layout>
                <c:manualLayout>
                  <c:x val="-0.0623052959501558"/>
                  <c:y val="0.085714285714285715"/>
                </c:manualLayout>
              </c:layout>
              <c:tx>
                <c:rich>
                  <a:bodyPr vertOverflow="clip"/>
                  <a:lstStyle/>
                  <a:p>
                    <a:r>
                      <a:rPr lang="en-US"/>
                      <a:t>BG</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4183-42DA-8957-6233A7962EF9}"/>
                </c:ext>
                <c:ext xmlns:c15="http://schemas.microsoft.com/office/drawing/2012/chart" uri="{CE6537A1-D6FC-4f65-9D91-7224C49458BB}"/>
              </c:extLst>
            </c:dLbl>
            <c:dLbl>
              <c:idx val="3"/>
              <c:layout>
                <c:manualLayout>
                  <c:x val="-0.12461059190031153"/>
                  <c:y val="0.14285714285714285"/>
                </c:manualLayout>
              </c:layout>
              <c:tx>
                <c:rich>
                  <a:bodyPr vertOverflow="clip"/>
                  <a:lstStyle/>
                  <a:p>
                    <a:r>
                      <a:rPr lang="en-US"/>
                      <a:t>PL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4183-42DA-8957-6233A7962EF9}"/>
                </c:ext>
                <c:ext xmlns:c15="http://schemas.microsoft.com/office/drawing/2012/chart" uri="{CE6537A1-D6FC-4f65-9D91-7224C49458BB}"/>
              </c:extLst>
            </c:dLbl>
            <c:dLbl>
              <c:idx val="4"/>
              <c:layout>
                <c:manualLayout>
                  <c:x val="-0.033229491173416406"/>
                  <c:y val="-0.085715035620547428"/>
                </c:manualLayout>
              </c:layout>
              <c:tx>
                <c:rich>
                  <a:bodyPr/>
                  <a:lstStyle/>
                  <a:p>
                    <a:r>
                      <a:rPr lang="en-US"/>
                      <a:t>DK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4183-42DA-8957-6233A7962EF9}"/>
                </c:ext>
                <c:ext xmlns:c15="http://schemas.microsoft.com/office/drawing/2012/chart" uri="{CE6537A1-D6FC-4f65-9D91-7224C49458BB}"/>
              </c:extLst>
            </c:dLbl>
            <c:dLbl>
              <c:idx val="5"/>
              <c:layout>
                <c:manualLayout>
                  <c:x val="-0.058151609553478714"/>
                  <c:y val="-0.085714285714285715"/>
                </c:manualLayout>
              </c:layout>
              <c:tx>
                <c:rich>
                  <a:bodyPr vertOverflow="clip"/>
                  <a:lstStyle/>
                  <a:p>
                    <a:r>
                      <a:rPr lang="en-US"/>
                      <a:t>DE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4183-42DA-8957-6233A7962EF9}"/>
                </c:ext>
                <c:ext xmlns:c15="http://schemas.microsoft.com/office/drawing/2012/chart" uri="{CE6537A1-D6FC-4f65-9D91-7224C49458BB}"/>
              </c:extLst>
            </c:dLbl>
            <c:dLbl>
              <c:idx val="6"/>
              <c:layout>
                <c:manualLayout>
                  <c:x val="-0.087227414330218064"/>
                  <c:y val="0.01904686914135733"/>
                </c:manualLayout>
              </c:layout>
              <c:tx>
                <c:rich>
                  <a:bodyPr vertOverflow="clip"/>
                  <a:lstStyle/>
                  <a:p>
                    <a:r>
                      <a:rPr lang="en-US"/>
                      <a:t>EE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4183-42DA-8957-6233A7962EF9}"/>
                </c:ext>
                <c:ext xmlns:c15="http://schemas.microsoft.com/office/drawing/2012/chart" uri="{CE6537A1-D6FC-4f65-9D91-7224C49458BB}"/>
              </c:extLst>
            </c:dLbl>
            <c:dLbl>
              <c:idx val="7"/>
              <c:layout>
                <c:manualLayout>
                  <c:x val="-0.083073727933541022"/>
                  <c:y val="0.057142857142857141"/>
                </c:manualLayout>
              </c:layout>
              <c:tx>
                <c:rich>
                  <a:bodyPr/>
                  <a:lstStyle/>
                  <a:p>
                    <a:r>
                      <a:rPr lang="en-US"/>
                      <a:t>EE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4183-42DA-8957-6233A7962EF9}"/>
                </c:ext>
                <c:ext xmlns:c15="http://schemas.microsoft.com/office/drawing/2012/chart" uri="{CE6537A1-D6FC-4f65-9D91-7224C49458BB}"/>
              </c:extLst>
            </c:dLbl>
            <c:dLbl>
              <c:idx val="8"/>
              <c:layout>
                <c:manualLayout>
                  <c:x val="-0.04569055036344756"/>
                  <c:y val="-0.066666666666666666"/>
                </c:manualLayout>
              </c:layout>
              <c:tx>
                <c:rich>
                  <a:bodyPr vertOverflow="clip"/>
                  <a:lstStyle/>
                  <a:p>
                    <a:r>
                      <a:rPr lang="en-US"/>
                      <a:t>EL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4183-42DA-8957-6233A7962EF9}"/>
                </c:ext>
                <c:ext xmlns:c15="http://schemas.microsoft.com/office/drawing/2012/chart" uri="{CE6537A1-D6FC-4f65-9D91-7224C49458BB}"/>
              </c:extLst>
            </c:dLbl>
            <c:dLbl>
              <c:idx val="9"/>
              <c:layout>
                <c:manualLayout>
                  <c:x val="-0.083074054995462013"/>
                  <c:y val="0.066666666666666666"/>
                </c:manualLayout>
              </c:layout>
              <c:tx>
                <c:rich>
                  <a:bodyPr vertOverflow="clip"/>
                  <a:lstStyle/>
                  <a:p>
                    <a:r>
                      <a:rPr lang="en-US"/>
                      <a:t>ES</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4183-42DA-8957-6233A7962EF9}"/>
                </c:ext>
                <c:ext xmlns:c15="http://schemas.microsoft.com/office/drawing/2012/chart" uri="{CE6537A1-D6FC-4f65-9D91-7224C49458BB}"/>
              </c:extLst>
            </c:dLbl>
            <c:dLbl>
              <c:idx val="10"/>
              <c:layout>
                <c:manualLayout>
                  <c:x val="-0.024922118380062305"/>
                  <c:y val="-0.066666666666666666"/>
                </c:manualLayout>
              </c:layout>
              <c:tx>
                <c:rich>
                  <a:bodyPr vertOverflow="clip"/>
                  <a:lstStyle/>
                  <a:p>
                    <a:r>
                      <a:rPr lang="en-US"/>
                      <a:t>FR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E-4183-42DA-8957-6233A7962EF9}"/>
                </c:ext>
                <c:ext xmlns:c15="http://schemas.microsoft.com/office/drawing/2012/chart" uri="{CE6537A1-D6FC-4f65-9D91-7224C49458BB}"/>
              </c:extLst>
            </c:dLbl>
            <c:dLbl>
              <c:idx val="11"/>
              <c:layout>
                <c:manualLayout>
                  <c:x val="-0.09138110072689512"/>
                  <c:y val="-0.028571428571428571"/>
                </c:manualLayout>
              </c:layout>
              <c:tx>
                <c:rich>
                  <a:bodyPr vertOverflow="clip"/>
                  <a:lstStyle/>
                  <a:p>
                    <a:r>
                      <a:rPr lang="en-US"/>
                      <a:t>HR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4183-42DA-8957-6233A7962EF9}"/>
                </c:ext>
                <c:ext xmlns:c15="http://schemas.microsoft.com/office/drawing/2012/chart" uri="{CE6537A1-D6FC-4f65-9D91-7224C49458BB}"/>
              </c:extLst>
            </c:dLbl>
            <c:dLbl>
              <c:idx val="12"/>
              <c:layout>
                <c:manualLayout>
                  <c:x val="-0.020768431983385256"/>
                  <c:y val="-0.0380952380952381"/>
                </c:manualLayout>
              </c:layout>
              <c:tx>
                <c:rich>
                  <a:bodyPr vertOverflow="clip"/>
                  <a:lstStyle/>
                  <a:p>
                    <a:r>
                      <a:rPr lang="en-US"/>
                      <a:t>IT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4183-42DA-8957-6233A7962EF9}"/>
                </c:ext>
                <c:ext xmlns:c15="http://schemas.microsoft.com/office/drawing/2012/chart" uri="{CE6537A1-D6FC-4f65-9D91-7224C49458BB}"/>
              </c:extLst>
            </c:dLbl>
            <c:dLbl>
              <c:idx val="13"/>
              <c:layout>
                <c:manualLayout>
                  <c:x val="-0.016614745586708203"/>
                  <c:y val="-0.057142857142857141"/>
                </c:manualLayout>
              </c:layout>
              <c:tx>
                <c:rich>
                  <a:bodyPr vertOverflow="clip"/>
                  <a:lstStyle/>
                  <a:p>
                    <a:r>
                      <a:rPr lang="en-US"/>
                      <a:t>CY</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4183-42DA-8957-6233A7962EF9}"/>
                </c:ext>
                <c:ext xmlns:c15="http://schemas.microsoft.com/office/drawing/2012/chart" uri="{CE6537A1-D6FC-4f65-9D91-7224C49458BB}"/>
              </c:extLst>
            </c:dLbl>
            <c:dLbl>
              <c:idx val="14"/>
              <c:layout>
                <c:manualLayout>
                  <c:x val="-0.016614745586708203"/>
                  <c:y val="0.028571428571428657"/>
                </c:manualLayout>
              </c:layout>
              <c:tx>
                <c:rich>
                  <a:bodyPr vertOverflow="clip"/>
                  <a:lstStyle/>
                  <a:p>
                    <a:r>
                      <a:rPr lang="en-US"/>
                      <a:t>LV</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4183-42DA-8957-6233A7962EF9}"/>
                </c:ext>
                <c:ext xmlns:c15="http://schemas.microsoft.com/office/drawing/2012/chart" uri="{CE6537A1-D6FC-4f65-9D91-7224C49458BB}"/>
              </c:extLst>
            </c:dLbl>
            <c:dLbl>
              <c:idx val="15"/>
              <c:layout>
                <c:manualLayout>
                  <c:x val="-0.024922118380062305"/>
                  <c:y val="-0.047619047619047616"/>
                </c:manualLayout>
              </c:layout>
              <c:tx>
                <c:rich>
                  <a:bodyPr vertOverflow="clip"/>
                  <a:lstStyle/>
                  <a:p>
                    <a:r>
                      <a:rPr lang="en-US"/>
                      <a:t>LT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F-4183-42DA-8957-6233A7962EF9}"/>
                </c:ext>
                <c:ext xmlns:c15="http://schemas.microsoft.com/office/drawing/2012/chart" uri="{CE6537A1-D6FC-4f65-9D91-7224C49458BB}"/>
              </c:extLst>
            </c:dLbl>
            <c:dLbl>
              <c:idx val="16"/>
              <c:layout>
                <c:manualLayout>
                  <c:x val="-0.51921079958463134"/>
                  <c:y val="0.2857142857142857"/>
                </c:manualLayout>
              </c:layout>
              <c:tx>
                <c:rich>
                  <a:bodyPr vertOverflow="clip"/>
                  <a:lstStyle/>
                  <a:p>
                    <a:r>
                      <a:rPr lang="en-US"/>
                      <a:t>HU</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0-4183-42DA-8957-6233A7962EF9}"/>
                </c:ext>
                <c:ext xmlns:c15="http://schemas.microsoft.com/office/drawing/2012/chart" uri="{CE6537A1-D6FC-4f65-9D91-7224C49458BB}"/>
              </c:extLst>
            </c:dLbl>
            <c:dLbl>
              <c:idx val="17"/>
              <c:layout>
                <c:manualLayout>
                  <c:x val="0.21183800623052959"/>
                  <c:y val="-0.25714285714285717"/>
                </c:manualLayout>
              </c:layout>
              <c:tx>
                <c:rich>
                  <a:bodyPr vertOverflow="clip"/>
                  <a:lstStyle/>
                  <a:p>
                    <a:r>
                      <a:rPr lang="en-US"/>
                      <a:t>NL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1-4183-42DA-8957-6233A7962EF9}"/>
                </c:ext>
                <c:ext xmlns:c15="http://schemas.microsoft.com/office/drawing/2012/chart" uri="{CE6537A1-D6FC-4f65-9D91-7224C49458BB}"/>
              </c:extLst>
            </c:dLbl>
            <c:dLbl>
              <c:idx val="18"/>
              <c:layout>
                <c:manualLayout>
                  <c:x val="0.099688473520249218"/>
                  <c:y val="0.25714285714285712"/>
                </c:manualLayout>
              </c:layout>
              <c:tx>
                <c:rich>
                  <a:bodyPr vertOverflow="clip"/>
                  <a:lstStyle/>
                  <a:p>
                    <a:r>
                      <a:rPr lang="en-US"/>
                      <a:t>AT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2-4183-42DA-8957-6233A7962EF9}"/>
                </c:ext>
                <c:ext xmlns:c15="http://schemas.microsoft.com/office/drawing/2012/chart" uri="{CE6537A1-D6FC-4f65-9D91-7224C49458BB}"/>
              </c:extLst>
            </c:dLbl>
            <c:dLbl>
              <c:idx val="19"/>
              <c:layout>
                <c:manualLayout>
                  <c:x val="-0.41121495327102797"/>
                  <c:y val="-0.085714285714285715"/>
                </c:manualLayout>
              </c:layout>
              <c:tx>
                <c:rich>
                  <a:bodyPr vertOverflow="clip"/>
                  <a:lstStyle/>
                  <a:p>
                    <a:r>
                      <a:rPr lang="en-US"/>
                      <a:t>CZ</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3-4183-42DA-8957-6233A7962EF9}"/>
                </c:ext>
                <c:ext xmlns:c15="http://schemas.microsoft.com/office/drawing/2012/chart" uri="{CE6537A1-D6FC-4f65-9D91-7224C49458BB}"/>
              </c:extLst>
            </c:dLbl>
            <c:dLbl>
              <c:idx val="20"/>
              <c:layout>
                <c:manualLayout>
                  <c:x val="0.049844236760124609"/>
                  <c:y val="-0.16190476190476191"/>
                </c:manualLayout>
              </c:layout>
              <c:tx>
                <c:rich>
                  <a:bodyPr vertOverflow="clip"/>
                  <a:lstStyle/>
                  <a:p>
                    <a:r>
                      <a:rPr lang="en-US"/>
                      <a:t>PT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4-4183-42DA-8957-6233A7962EF9}"/>
                </c:ext>
                <c:ext xmlns:c15="http://schemas.microsoft.com/office/drawing/2012/chart" uri="{CE6537A1-D6FC-4f65-9D91-7224C49458BB}"/>
              </c:extLst>
            </c:dLbl>
            <c:dLbl>
              <c:idx val="21"/>
              <c:layout>
                <c:manualLayout>
                  <c:x val="-0.19522326064382137"/>
                  <c:y val="0.30476190476190479"/>
                </c:manualLayout>
              </c:layout>
              <c:tx>
                <c:rich>
                  <a:bodyPr vertOverflow="clip"/>
                  <a:lstStyle/>
                  <a:p>
                    <a:r>
                      <a:rPr lang="en-US"/>
                      <a:t>RO</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5-4183-42DA-8957-6233A7962EF9}"/>
                </c:ext>
                <c:ext xmlns:c15="http://schemas.microsoft.com/office/drawing/2012/chart" uri="{CE6537A1-D6FC-4f65-9D91-7224C49458BB}"/>
              </c:extLst>
            </c:dLbl>
            <c:dLbl>
              <c:idx val="22"/>
              <c:layout>
                <c:manualLayout>
                  <c:x val="0.078920041536863966"/>
                  <c:y val="-0.55238095238095231"/>
                </c:manualLayout>
              </c:layout>
              <c:tx>
                <c:rich>
                  <a:bodyPr vertOverflow="clip"/>
                  <a:lstStyle/>
                  <a:p>
                    <a:r>
                      <a:rPr lang="en-US"/>
                      <a:t>SI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6-4183-42DA-8957-6233A7962EF9}"/>
                </c:ext>
                <c:ext xmlns:c15="http://schemas.microsoft.com/office/drawing/2012/chart" uri="{CE6537A1-D6FC-4f65-9D91-7224C49458BB}"/>
              </c:extLst>
            </c:dLbl>
            <c:dLbl>
              <c:idx val="23"/>
              <c:layout>
                <c:manualLayout>
                  <c:x val="-0.0083073727933541015"/>
                  <c:y val="0.38095163104611923"/>
                </c:manualLayout>
              </c:layout>
              <c:tx>
                <c:rich>
                  <a:bodyPr vertOverflow="clip"/>
                  <a:lstStyle/>
                  <a:p>
                    <a:r>
                      <a:rPr lang="en-US"/>
                      <a:t>SK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7-4183-42DA-8957-6233A7962EF9}"/>
                </c:ext>
                <c:ext xmlns:c15="http://schemas.microsoft.com/office/drawing/2012/chart" uri="{CE6537A1-D6FC-4f65-9D91-7224C49458BB}"/>
              </c:extLst>
            </c:dLbl>
            <c:dLbl>
              <c:idx val="24"/>
              <c:layout>
                <c:manualLayout>
                  <c:x val="0.19937694704049852"/>
                  <c:y val="-0.19047619047619047"/>
                </c:manualLayout>
              </c:layout>
              <c:tx>
                <c:rich>
                  <a:bodyPr vertOverflow="clip"/>
                  <a:lstStyle/>
                  <a:p>
                    <a:r>
                      <a:rPr lang="en-US"/>
                      <a:t>FI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8-4183-42DA-8957-6233A7962EF9}"/>
                </c:ext>
                <c:ext xmlns:c15="http://schemas.microsoft.com/office/drawing/2012/chart" uri="{CE6537A1-D6FC-4f65-9D91-7224C49458BB}"/>
              </c:extLst>
            </c:dLbl>
            <c:dLbl>
              <c:idx val="25"/>
              <c:layout>
                <c:manualLayout>
                  <c:x val="0.012461059190031152"/>
                  <c:y val="-0.18095388076490437"/>
                </c:manualLayout>
              </c:layout>
              <c:tx>
                <c:rich>
                  <a:bodyPr vertOverflow="clip"/>
                  <a:lstStyle/>
                  <a:p>
                    <a:r>
                      <a:rPr lang="en-US"/>
                      <a:t>LU</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9-4183-42DA-8957-6233A7962EF9}"/>
                </c:ext>
                <c:ext xmlns:c15="http://schemas.microsoft.com/office/drawing/2012/chart" uri="{CE6537A1-D6FC-4f65-9D91-7224C49458BB}"/>
              </c:extLst>
            </c:dLbl>
            <c:dLbl>
              <c:idx val="26"/>
              <c:layout>
                <c:manualLayout>
                  <c:x val="-0.041536863966770511"/>
                  <c:y val="-0.066666666666666666"/>
                </c:manualLayout>
              </c:layout>
              <c:tx>
                <c:rich>
                  <a:bodyPr vertOverflow="clip"/>
                  <a:lstStyle/>
                  <a:p>
                    <a:r>
                      <a:rPr lang="en-US"/>
                      <a:t>SE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A-4183-42DA-8957-6233A7962EF9}"/>
                </c:ext>
                <c:ext xmlns:c15="http://schemas.microsoft.com/office/drawing/2012/chart" uri="{CE6537A1-D6FC-4f65-9D91-7224C49458BB}"/>
              </c:extLst>
            </c:dLbl>
            <c:dLbl>
              <c:idx val="27"/>
              <c:layout>
                <c:manualLayout>
                  <c:x val="-0.070612668743509868"/>
                  <c:y val="0.0761904761904762"/>
                </c:manualLayout>
              </c:layout>
              <c:tx>
                <c:rich>
                  <a:bodyPr vertOverflow="clip"/>
                  <a:lstStyle/>
                  <a:p>
                    <a:r>
                      <a:rPr lang="en-US"/>
                      <a:t>UK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B-4183-42DA-8957-6233A7962EF9}"/>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Sheet1!$B$3:$B$30</c:f>
              <c:numCache>
                <c:formatCode>0.0</c:formatCode>
                <c:ptCount val="28"/>
                <c:pt idx="0">
                  <c:v>42.191042619123721</c:v>
                </c:pt>
                <c:pt idx="1">
                  <c:v>60.345794392523374</c:v>
                </c:pt>
                <c:pt idx="2">
                  <c:v>5.6576385200920516</c:v>
                </c:pt>
                <c:pt idx="3">
                  <c:v>19.605469625644474</c:v>
                </c:pt>
                <c:pt idx="4">
                  <c:v>94.340740740740728</c:v>
                </c:pt>
                <c:pt idx="5">
                  <c:v>54.421553090332807</c:v>
                </c:pt>
                <c:pt idx="6">
                  <c:v>12.811428571428571</c:v>
                </c:pt>
                <c:pt idx="7">
                  <c:v>159.2898832684825</c:v>
                </c:pt>
                <c:pt idx="8">
                  <c:v>31.105283605283606</c:v>
                </c:pt>
                <c:pt idx="9">
                  <c:v>43.316445830085733</c:v>
                </c:pt>
                <c:pt idx="10">
                  <c:v>64.011904761904759</c:v>
                </c:pt>
                <c:pt idx="11">
                  <c:v>11.181599518941672</c:v>
                </c:pt>
                <c:pt idx="12">
                  <c:v>43.367456896551722</c:v>
                </c:pt>
                <c:pt idx="13">
                  <c:v>19.6583850931677</c:v>
                </c:pt>
                <c:pt idx="14">
                  <c:v>17.555555555555557</c:v>
                </c:pt>
                <c:pt idx="15">
                  <c:v>18.655848132271892</c:v>
                </c:pt>
                <c:pt idx="16">
                  <c:v>59.754098360655746</c:v>
                </c:pt>
                <c:pt idx="17">
                  <c:v>14.748091603053435</c:v>
                </c:pt>
                <c:pt idx="18">
                  <c:v>42.541237113402062</c:v>
                </c:pt>
                <c:pt idx="19">
                  <c:v>56.825149389451795</c:v>
                </c:pt>
                <c:pt idx="20">
                  <c:v>14.698443579766536</c:v>
                </c:pt>
                <c:pt idx="21">
                  <c:v>22.162836506894287</c:v>
                </c:pt>
                <c:pt idx="22">
                  <c:v>11.726158763985083</c:v>
                </c:pt>
                <c:pt idx="23">
                  <c:v>22.996828752642706</c:v>
                </c:pt>
                <c:pt idx="24">
                  <c:v>24.662494412159141</c:v>
                </c:pt>
                <c:pt idx="25">
                  <c:v>53.397260273972606</c:v>
                </c:pt>
                <c:pt idx="26">
                  <c:v>68.0326530612245</c:v>
                </c:pt>
                <c:pt idx="27">
                  <c:v>52.630431725495711</c:v>
                </c:pt>
              </c:numCache>
            </c:numRef>
          </c:xVal>
          <c:yVal>
            <c:numRef>
              <c:f>Sheet1!$C$3:$C$30</c:f>
              <c:numCache>
                <c:formatCode>0.0</c:formatCode>
                <c:ptCount val="28"/>
                <c:pt idx="0">
                  <c:v>0.75440946357789707</c:v>
                </c:pt>
                <c:pt idx="1">
                  <c:v>0.81467655136233474</c:v>
                </c:pt>
                <c:pt idx="2">
                  <c:v>0.64828280984862263</c:v>
                </c:pt>
                <c:pt idx="3">
                  <c:v>0.70568801702097306</c:v>
                </c:pt>
                <c:pt idx="4">
                  <c:v>0.57323237280150763</c:v>
                </c:pt>
                <c:pt idx="5">
                  <c:v>0.81975001506235812</c:v>
                </c:pt>
                <c:pt idx="6">
                  <c:v>0.76320745366240461</c:v>
                </c:pt>
                <c:pt idx="7">
                  <c:v>0.563366123902755</c:v>
                </c:pt>
                <c:pt idx="8">
                  <c:v>0.63486913815040613</c:v>
                </c:pt>
                <c:pt idx="9">
                  <c:v>0.70538034846632425</c:v>
                </c:pt>
                <c:pt idx="10">
                  <c:v>0.84232199262241192</c:v>
                </c:pt>
                <c:pt idx="11">
                  <c:v>0.87683678367724516</c:v>
                </c:pt>
                <c:pt idx="12">
                  <c:v>0.73432438401450184</c:v>
                </c:pt>
                <c:pt idx="13">
                  <c:v>1.050384091265391</c:v>
                </c:pt>
                <c:pt idx="14">
                  <c:v>0.50323931027608892</c:v>
                </c:pt>
                <c:pt idx="15">
                  <c:v>0.58011282426250932</c:v>
                </c:pt>
                <c:pt idx="16" formatCode="0.00">
                  <c:v>0.90952466153754385</c:v>
                </c:pt>
                <c:pt idx="17">
                  <c:v>0.69703243616287092</c:v>
                </c:pt>
                <c:pt idx="18">
                  <c:v>0.85837850505244184</c:v>
                </c:pt>
                <c:pt idx="19">
                  <c:v>0.68364844816512982</c:v>
                </c:pt>
                <c:pt idx="20">
                  <c:v>0.63192422762845712</c:v>
                </c:pt>
                <c:pt idx="21" formatCode="0.00">
                  <c:v>0.72093413850807</c:v>
                </c:pt>
                <c:pt idx="22">
                  <c:v>0.43680745602105459</c:v>
                </c:pt>
                <c:pt idx="23">
                  <c:v>0.879120647383083</c:v>
                </c:pt>
                <c:pt idx="24">
                  <c:v>0.57853523604951873</c:v>
                </c:pt>
                <c:pt idx="25">
                  <c:v>0.81327751750638155</c:v>
                </c:pt>
                <c:pt idx="26">
                  <c:v>0.627831512609426</c:v>
                </c:pt>
                <c:pt idx="27">
                  <c:v>0.71927826665911321</c:v>
                </c:pt>
              </c:numCache>
            </c:numRef>
          </c:yVal>
          <c:smooth val="0"/>
          <c:extLst>
            <c:ext xmlns:c="http://schemas.openxmlformats.org/drawingml/2006/chart" xmlns:c16="http://schemas.microsoft.com/office/drawing/2014/chart" uri="{C3380CC4-5D6E-409C-BE32-E72D297353CC}">
              <c16:uniqueId val="{0000001C-4183-42DA-8957-6233A7962EF9}"/>
            </c:ext>
          </c:extLst>
        </c:ser>
        <c:dLbls>
          <c:showLegendKey val="0"/>
          <c:showVal val="0"/>
          <c:showCatName val="0"/>
          <c:showSerName val="0"/>
          <c:showPercent val="0"/>
          <c:showBubbleSize val="0"/>
        </c:dLbls>
        <c:axId val="656351952"/>
        <c:axId val="656358224"/>
      </c:scatterChart>
      <c:valAx>
        <c:axId val="656351952"/>
        <c:scaling>
          <c:orientation val="minMax"/>
          <c:max val="80"/>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56358224"/>
        <c:crosses val="autoZero"/>
        <c:crossBetween val="midCat"/>
        <c:majorUnit val="10"/>
      </c:valAx>
      <c:valAx>
        <c:axId val="656358224"/>
        <c:scaling>
          <c:orientation val="minMax"/>
          <c:max val="1.1"/>
          <c:min val="0.4"/>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56351952"/>
        <c:crosses val="autoZero"/>
        <c:crossBetween val="midCat"/>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24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3524559430071246"/>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033B-4B84-B898-9FDB396AD2F2}"/>
              </c:ext>
            </c:extLst>
          </c:dPt>
          <c:dPt>
            <c:idx val="5"/>
            <c:bubble3D val="0"/>
            <c:extLst>
              <c:ext xmlns:c="http://schemas.openxmlformats.org/drawingml/2006/chart" xmlns:c16="http://schemas.microsoft.com/office/drawing/2014/chart" uri="{C3380CC4-5D6E-409C-BE32-E72D297353CC}">
                <c16:uniqueId val="{00000001-033B-4B84-B898-9FDB396AD2F2}"/>
              </c:ext>
            </c:extLst>
          </c:dPt>
          <c:dPt>
            <c:idx val="11"/>
            <c:bubble3D val="0"/>
            <c:extLst>
              <c:ext xmlns:c="http://schemas.openxmlformats.org/drawingml/2006/chart" xmlns:c16="http://schemas.microsoft.com/office/drawing/2014/chart" uri="{C3380CC4-5D6E-409C-BE32-E72D297353CC}">
                <c16:uniqueId val="{00000002-033B-4B84-B898-9FDB396AD2F2}"/>
              </c:ext>
            </c:extLst>
          </c:dPt>
          <c:dPt>
            <c:idx val="12"/>
            <c:bubble3D val="0"/>
            <c:extLst>
              <c:ext xmlns:c="http://schemas.openxmlformats.org/drawingml/2006/chart" xmlns:c16="http://schemas.microsoft.com/office/drawing/2014/chart" uri="{C3380CC4-5D6E-409C-BE32-E72D297353CC}">
                <c16:uniqueId val="{00000003-033B-4B84-B898-9FDB396AD2F2}"/>
              </c:ext>
            </c:extLst>
          </c:dPt>
          <c:dPt>
            <c:idx val="13"/>
            <c:bubble3D val="0"/>
            <c:extLst>
              <c:ext xmlns:c="http://schemas.openxmlformats.org/drawingml/2006/chart" xmlns:c16="http://schemas.microsoft.com/office/drawing/2014/chart" uri="{C3380CC4-5D6E-409C-BE32-E72D297353CC}">
                <c16:uniqueId val="{00000004-033B-4B84-B898-9FDB396AD2F2}"/>
              </c:ext>
            </c:extLst>
          </c:dPt>
          <c:dPt>
            <c:idx val="14"/>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5-033B-4B84-B898-9FDB396AD2F2}"/>
              </c:ext>
            </c:extLst>
          </c:dPt>
          <c:dLbls>
            <c:dLbl>
              <c:idx val="0"/>
              <c:layout>
                <c:manualLayout>
                  <c:x val="-0.020768431983385332"/>
                  <c:y val="0"/>
                </c:manualLayout>
              </c:layout>
              <c:tx>
                <c:rich>
                  <a:bodyPr vertOverflow="clip"/>
                  <a:lstStyle/>
                  <a:p>
                    <a:fld id="{9bb389a3-0d24-4b34-8479-a9d190f40a8a}" type="CELLRANGE">
                      <a:rPr lang="en-US"/>
                      <a:t>EU-28</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0-033B-4B84-B898-9FDB396AD2F2}"/>
                </c:ext>
                <c:ext xmlns:c15="http://schemas.microsoft.com/office/drawing/2012/chart" uri="{CE6537A1-D6FC-4f65-9D91-7224C49458BB}">
                  <c15:showDataLabelsRange val="1"/>
                </c:ext>
              </c:extLst>
            </c:dLbl>
            <c:dLbl>
              <c:idx val="1"/>
              <c:tx>
                <c:rich>
                  <a:bodyPr vertOverflow="clip"/>
                  <a:lstStyle/>
                  <a:p>
                    <a:fld id="{8b17fb1a-b053-42ef-88f9-08a808ada520}" type="CELLRANGE">
                      <a:rPr lang="lv-LV"/>
                      <a:t>BE</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2"/>
              <c:layout>
                <c:manualLayout>
                  <c:x val="-0.096012297528229526"/>
                  <c:y val="0"/>
                </c:manualLayout>
              </c:layout>
              <c:tx>
                <c:rich>
                  <a:bodyPr vertOverflow="clip"/>
                  <a:lstStyle/>
                  <a:p>
                    <a:fld id="{6441826f-2fca-4d61-8f79-d811036f7686}" type="CELLRANGE">
                      <a:rPr lang="en-US"/>
                      <a:t>BG</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6-A1D5-485D-8ED0-91A9AA7AEBEE}"/>
                </c:ext>
                <c:ext xmlns:c15="http://schemas.microsoft.com/office/drawing/2012/chart" uri="{CE6537A1-D6FC-4f65-9D91-7224C49458BB}">
                  <c15:showDataLabelsRange val="1"/>
                </c:ext>
              </c:extLst>
            </c:dLbl>
            <c:dLbl>
              <c:idx val="3"/>
              <c:layout>
                <c:manualLayout>
                  <c:x val="-0.049844236760124609"/>
                  <c:y val="0.057142857142857058"/>
                </c:manualLayout>
              </c:layout>
              <c:tx>
                <c:rich>
                  <a:bodyPr vertOverflow="clip"/>
                  <a:lstStyle/>
                  <a:p>
                    <a:fld id="{80e54853-79d6-4eb3-8c55-e9eb32d93d71}" type="CELLRANGE">
                      <a:rPr lang="en-US"/>
                      <a:t>CZ</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D-A1D5-485D-8ED0-91A9AA7AEBEE}"/>
                </c:ext>
                <c:ext xmlns:c15="http://schemas.microsoft.com/office/drawing/2012/chart" uri="{CE6537A1-D6FC-4f65-9D91-7224C49458BB}">
                  <c15:showDataLabelsRange val="1"/>
                </c:ext>
              </c:extLst>
            </c:dLbl>
            <c:dLbl>
              <c:idx val="4"/>
              <c:tx>
                <c:rich>
                  <a:bodyPr/>
                  <a:lstStyle/>
                  <a:p>
                    <a:fld id="{948853f3-09ea-488a-86d7-0708d9897f32}" type="CELLRANGE">
                      <a:rPr lang="lv-LV"/>
                      <a:t>DK</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5"/>
              <c:layout>
                <c:manualLayout>
                  <c:x val="-0.07476635514018691"/>
                  <c:y val="-0.05714285714285719"/>
                </c:manualLayout>
              </c:layout>
              <c:tx>
                <c:rich>
                  <a:bodyPr vertOverflow="clip"/>
                  <a:lstStyle/>
                  <a:p>
                    <a:fld id="{3250b844-09ca-472a-a9ba-4053c4a2ce1b}" type="CELLRANGE">
                      <a:rPr lang="en-US"/>
                      <a:t>DE</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1-033B-4B84-B898-9FDB396AD2F2}"/>
                </c:ext>
                <c:ext xmlns:c15="http://schemas.microsoft.com/office/drawing/2012/chart" uri="{CE6537A1-D6FC-4f65-9D91-7224C49458BB}">
                  <c15:showDataLabelsRange val="1"/>
                </c:ext>
              </c:extLst>
            </c:dLbl>
            <c:dLbl>
              <c:idx val="6"/>
              <c:tx>
                <c:rich>
                  <a:bodyPr vertOverflow="clip"/>
                  <a:lstStyle/>
                  <a:p>
                    <a:fld id="{9397b2a7-6c95-4a7a-8e63-dc2a7b11d27c}" type="CELLRANGE">
                      <a:rPr lang="en-US"/>
                      <a:t>EE</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7-A1D5-485D-8ED0-91A9AA7AEBEE}"/>
                </c:ext>
                <c:ext xmlns:c15="http://schemas.microsoft.com/office/drawing/2012/chart" uri="{CE6537A1-D6FC-4f65-9D91-7224C49458BB}">
                  <c15:showDataLabelsRange val="1"/>
                </c:ext>
              </c:extLst>
            </c:dLbl>
            <c:dLbl>
              <c:idx val="7"/>
              <c:tx>
                <c:rich>
                  <a:bodyPr vertOverflow="clip"/>
                  <a:lstStyle/>
                  <a:p>
                    <a:fld id="{277f6e41-d859-4768-a283-ecd39971f3a6}" type="CELLRANGE">
                      <a:rPr lang="lv-LV"/>
                      <a:t>IE</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8"/>
              <c:layout>
                <c:manualLayout>
                  <c:x val="-0.053094578131004655"/>
                  <c:y val="0.0764289463817022"/>
                </c:manualLayout>
              </c:layout>
              <c:tx>
                <c:rich>
                  <a:bodyPr vertOverflow="clip"/>
                  <a:lstStyle/>
                  <a:p>
                    <a:fld id="{2e4e472e-3fec-4be7-81a8-653d5e0974c4}" type="CELLRANGE">
                      <a:rPr lang="en-US"/>
                      <a:t>EL</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B-A1D5-485D-8ED0-91A9AA7AEBEE}"/>
                </c:ext>
                <c:ext xmlns:c15="http://schemas.microsoft.com/office/drawing/2012/chart" uri="{CE6537A1-D6FC-4f65-9D91-7224C49458BB}">
                  <c15:showDataLabelsRange val="1"/>
                </c:ext>
              </c:extLst>
            </c:dLbl>
            <c:dLbl>
              <c:idx val="9"/>
              <c:tx>
                <c:rich>
                  <a:bodyPr vertOverflow="clip"/>
                  <a:lstStyle/>
                  <a:p>
                    <a:fld id="{f9e044ff-bf04-47fe-bd48-c938e2f5b02e}" type="CELLRANGE">
                      <a:rPr lang="en-US"/>
                      <a:t>ES</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F-A1D5-485D-8ED0-91A9AA7AEBEE}"/>
                </c:ext>
                <c:ext xmlns:c15="http://schemas.microsoft.com/office/drawing/2012/chart" uri="{CE6537A1-D6FC-4f65-9D91-7224C49458BB}">
                  <c15:showDataLabelsRange val="1"/>
                </c:ext>
              </c:extLst>
            </c:dLbl>
            <c:dLbl>
              <c:idx val="10"/>
              <c:tx>
                <c:rich>
                  <a:bodyPr vertOverflow="clip"/>
                  <a:lstStyle/>
                  <a:p>
                    <a:fld id="{9fee2135-7e73-40d5-8641-7b48acf6d172}" type="CELLRANGE">
                      <a:rPr lang="en-US"/>
                      <a:t>FR</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8-A1D5-485D-8ED0-91A9AA7AEBEE}"/>
                </c:ext>
                <c:ext xmlns:c15="http://schemas.microsoft.com/office/drawing/2012/chart" uri="{CE6537A1-D6FC-4f65-9D91-7224C49458BB}">
                  <c15:showDataLabelsRange val="1"/>
                </c:ext>
              </c:extLst>
            </c:dLbl>
            <c:dLbl>
              <c:idx val="11"/>
              <c:tx>
                <c:rich>
                  <a:bodyPr vertOverflow="clip"/>
                  <a:lstStyle/>
                  <a:p>
                    <a:fld id="{c6c909e7-0de5-4b2e-89eb-3601715f28ba}" type="CELLRANGE">
                      <a:rPr lang="en-US"/>
                      <a:t>HR</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2-033B-4B84-B898-9FDB396AD2F2}"/>
                </c:ext>
                <c:ext xmlns:c15="http://schemas.microsoft.com/office/drawing/2012/chart" uri="{CE6537A1-D6FC-4f65-9D91-7224C49458BB}">
                  <c15:showDataLabelsRange val="1"/>
                </c:ext>
              </c:extLst>
            </c:dLbl>
            <c:dLbl>
              <c:idx val="12"/>
              <c:tx>
                <c:rich>
                  <a:bodyPr vertOverflow="clip"/>
                  <a:lstStyle/>
                  <a:p>
                    <a:fld id="{43c7633a-9c51-4cc2-ae3f-7300efe7f7cc}" type="CELLRANGE">
                      <a:rPr lang="en-US"/>
                      <a:t>IT</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3-033B-4B84-B898-9FDB396AD2F2}"/>
                </c:ext>
                <c:ext xmlns:c15="http://schemas.microsoft.com/office/drawing/2012/chart" uri="{CE6537A1-D6FC-4f65-9D91-7224C49458BB}">
                  <c15:showDataLabelsRange val="1"/>
                </c:ext>
              </c:extLst>
            </c:dLbl>
            <c:dLbl>
              <c:idx val="13"/>
              <c:layout>
                <c:manualLayout>
                  <c:x val="-0.033229491173416406"/>
                  <c:y val="-0.0380952380952381"/>
                </c:manualLayout>
              </c:layout>
              <c:tx>
                <c:rich>
                  <a:bodyPr vertOverflow="clip"/>
                  <a:lstStyle/>
                  <a:p>
                    <a:fld id="{a2436b07-a3b6-4f52-8ed8-6f594030bac7}" type="CELLRANGE">
                      <a:rPr lang="en-US"/>
                      <a:t>CY</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4-033B-4B84-B898-9FDB396AD2F2}"/>
                </c:ext>
                <c:ext xmlns:c15="http://schemas.microsoft.com/office/drawing/2012/chart" uri="{CE6537A1-D6FC-4f65-9D91-7224C49458BB}">
                  <c15:showDataLabelsRange val="1"/>
                </c:ext>
              </c:extLst>
            </c:dLbl>
            <c:dLbl>
              <c:idx val="14"/>
              <c:layout>
                <c:manualLayout>
                  <c:x val="-0.059325107726020267"/>
                  <c:y val="-0.10023772028496437"/>
                </c:manualLayout>
              </c:layout>
              <c:tx>
                <c:rich>
                  <a:bodyPr vertOverflow="clip"/>
                  <a:lstStyle/>
                  <a:p>
                    <a:fld id="{94e25390-e29a-43fd-b68f-c1925c05d336}" type="CELLRANGE">
                      <a:rPr lang="en-US"/>
                      <a:t>LV</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5-033B-4B84-B898-9FDB396AD2F2}"/>
                </c:ext>
                <c:ext xmlns:c15="http://schemas.microsoft.com/office/drawing/2012/chart" uri="{CE6537A1-D6FC-4f65-9D91-7224C49458BB}">
                  <c15:showDataLabelsRange val="1"/>
                </c:ext>
              </c:extLst>
            </c:dLbl>
            <c:dLbl>
              <c:idx val="15"/>
              <c:tx>
                <c:rich>
                  <a:bodyPr vertOverflow="clip"/>
                  <a:lstStyle/>
                  <a:p>
                    <a:fld id="{c679d1cf-e281-41e5-b73c-c815ad019d99}" type="CELLRANGE">
                      <a:rPr lang="en-US"/>
                      <a:t>LT</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C-A1D5-485D-8ED0-91A9AA7AEBEE}"/>
                </c:ext>
                <c:ext xmlns:c15="http://schemas.microsoft.com/office/drawing/2012/chart" uri="{CE6537A1-D6FC-4f65-9D91-7224C49458BB}">
                  <c15:showDataLabelsRange val="1"/>
                </c:ext>
              </c:extLst>
            </c:dLbl>
            <c:dLbl>
              <c:idx val="16"/>
              <c:layout>
                <c:manualLayout>
                  <c:x val="-0.028972126147782929"/>
                  <c:y val="-0.028332958380202476"/>
                </c:manualLayout>
              </c:layout>
              <c:tx>
                <c:rich>
                  <a:bodyPr vertOverflow="clip"/>
                  <a:lstStyle/>
                  <a:p>
                    <a:fld id="{47c4ea14-f62d-4b95-8fe7-5513fa40be80}" type="CELLRANGE">
                      <a:rPr lang="en-US"/>
                      <a:t>LU</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5-A1D5-485D-8ED0-91A9AA7AEBEE}"/>
                </c:ext>
                <c:ext xmlns:c15="http://schemas.microsoft.com/office/drawing/2012/chart" uri="{CE6537A1-D6FC-4f65-9D91-7224C49458BB}">
                  <c15:showDataLabelsRange val="1"/>
                </c:ext>
              </c:extLst>
            </c:dLbl>
            <c:dLbl>
              <c:idx val="17"/>
              <c:layout>
                <c:manualLayout>
                  <c:x val="-0.095991692627206679"/>
                  <c:y val="0"/>
                </c:manualLayout>
              </c:layout>
              <c:tx>
                <c:rich>
                  <a:bodyPr vertOverflow="clip"/>
                  <a:lstStyle/>
                  <a:p>
                    <a:fld id="{cbddf630-be31-4a2a-8706-bce4589c4846}" type="CELLRANGE">
                      <a:rPr lang="en-US"/>
                      <a:t>HU</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A-A1D5-485D-8ED0-91A9AA7AEBEE}"/>
                </c:ext>
                <c:ext xmlns:c15="http://schemas.microsoft.com/office/drawing/2012/chart" uri="{CE6537A1-D6FC-4f65-9D91-7224C49458BB}">
                  <c15:showDataLabelsRange val="1"/>
                </c:ext>
              </c:extLst>
            </c:dLbl>
            <c:dLbl>
              <c:idx val="18"/>
              <c:tx>
                <c:rich>
                  <a:bodyPr vertOverflow="clip"/>
                  <a:lstStyle/>
                  <a:p>
                    <a:fld id="{6ab569e0-709e-4de1-ad29-ff53122e9e55}" type="CELLRANGE">
                      <a:rPr lang="en-US"/>
                      <a:t>NL</a:t>
                    </a:fld>
                    <a:endParaRPr lang="lv-LV"/>
                  </a:p>
                </c:rich>
              </c:tx>
              <c:dLblPos val="l"/>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0-A1D5-485D-8ED0-91A9AA7AEBEE}"/>
                </c:ext>
                <c:ext xmlns:c15="http://schemas.microsoft.com/office/drawing/2012/chart" uri="{CE6537A1-D6FC-4f65-9D91-7224C49458BB}">
                  <c15:showDataLabelsRange val="1"/>
                </c:ext>
              </c:extLst>
            </c:dLbl>
            <c:dLbl>
              <c:idx val="19"/>
              <c:layout>
                <c:manualLayout>
                  <c:x val="-0.016500600976279988"/>
                  <c:y val="0.038333708286464194"/>
                </c:manualLayout>
              </c:layout>
              <c:tx>
                <c:rich>
                  <a:bodyPr vertOverflow="clip"/>
                  <a:lstStyle/>
                  <a:p>
                    <a:fld id="{89ff7124-3738-40d2-b163-34b8429a4a58}" type="CELLRANGE">
                      <a:rPr lang="en-US"/>
                      <a:t>AT</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4-A1D5-485D-8ED0-91A9AA7AEBEE}"/>
                </c:ext>
                <c:ext xmlns:c15="http://schemas.microsoft.com/office/drawing/2012/chart" uri="{CE6537A1-D6FC-4f65-9D91-7224C49458BB}">
                  <c15:showDataLabelsRange val="1"/>
                </c:ext>
              </c:extLst>
            </c:dLbl>
            <c:dLbl>
              <c:idx val="20"/>
              <c:layout>
                <c:manualLayout>
                  <c:x val="-0.053094578131004655"/>
                  <c:y val="0.08595275590551181"/>
                </c:manualLayout>
              </c:layout>
              <c:tx>
                <c:rich>
                  <a:bodyPr vertOverflow="clip"/>
                  <a:lstStyle/>
                  <a:p>
                    <a:fld id="{f0767fbf-c63d-4e9e-9fcf-a4330da084ed}" type="CELLRANGE">
                      <a:rPr lang="en-US"/>
                      <a:t>PL</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9-A1D5-485D-8ED0-91A9AA7AEBEE}"/>
                </c:ext>
                <c:ext xmlns:c15="http://schemas.microsoft.com/office/drawing/2012/chart" uri="{CE6537A1-D6FC-4f65-9D91-7224C49458BB}">
                  <c15:showDataLabelsRange val="1"/>
                </c:ext>
              </c:extLst>
            </c:dLbl>
            <c:dLbl>
              <c:idx val="21"/>
              <c:layout>
                <c:manualLayout>
                  <c:x val="-0.020768431983385256"/>
                  <c:y val="-8.7300578797851381E-17"/>
                </c:manualLayout>
              </c:layout>
              <c:tx>
                <c:rich>
                  <a:bodyPr vertOverflow="clip"/>
                  <a:lstStyle/>
                  <a:p>
                    <a:fld id="{255166b0-6bbb-494b-8b1e-57a459537554}" type="CELLRANGE">
                      <a:rPr lang="en-US"/>
                      <a:t>PT</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9-A1D5-485D-8ED0-91A9AA7AEBEE}"/>
                </c:ext>
                <c:ext xmlns:c15="http://schemas.microsoft.com/office/drawing/2012/chart" uri="{CE6537A1-D6FC-4f65-9D91-7224C49458BB}">
                  <c15:showDataLabelsRange val="1"/>
                </c:ext>
              </c:extLst>
            </c:dLbl>
            <c:dLbl>
              <c:idx val="22"/>
              <c:tx>
                <c:rich>
                  <a:bodyPr vertOverflow="clip"/>
                  <a:lstStyle/>
                  <a:p>
                    <a:fld id="{7541c067-6dd4-4e1f-be2e-f5fff7fcdb36}" type="CELLRANGE">
                      <a:rPr lang="en-US"/>
                      <a:t>RO</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8-A1D5-485D-8ED0-91A9AA7AEBEE}"/>
                </c:ext>
                <c:ext xmlns:c15="http://schemas.microsoft.com/office/drawing/2012/chart" uri="{CE6537A1-D6FC-4f65-9D91-7224C49458BB}">
                  <c15:showDataLabelsRange val="1"/>
                </c:ext>
              </c:extLst>
            </c:dLbl>
            <c:dLbl>
              <c:idx val="23"/>
              <c:layout>
                <c:manualLayout>
                  <c:x val="-0.020768431983385256"/>
                  <c:y val="-4.365028939892569E-17"/>
                </c:manualLayout>
              </c:layout>
              <c:tx>
                <c:rich>
                  <a:bodyPr vertOverflow="clip"/>
                  <a:lstStyle/>
                  <a:p>
                    <a:fld id="{c56f6bc9-d212-4d88-b4ea-ad48e2f405a4}" type="CELLRANGE">
                      <a:rPr lang="en-US"/>
                      <a:t>SI</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A-A1D5-485D-8ED0-91A9AA7AEBEE}"/>
                </c:ext>
                <c:ext xmlns:c15="http://schemas.microsoft.com/office/drawing/2012/chart" uri="{CE6537A1-D6FC-4f65-9D91-7224C49458BB}">
                  <c15:showDataLabelsRange val="1"/>
                </c:ext>
              </c:extLst>
            </c:dLbl>
            <c:dLbl>
              <c:idx val="24"/>
              <c:layout>
                <c:manualLayout>
                  <c:x val="-0.025628245067497481"/>
                  <c:y val="-0.00023772028496442309"/>
                </c:manualLayout>
              </c:layout>
              <c:tx>
                <c:rich>
                  <a:bodyPr vertOverflow="clip"/>
                  <a:lstStyle/>
                  <a:p>
                    <a:fld id="{57cd5fa2-ae74-4330-a8aa-94de4706588d}" type="CELLRANGE">
                      <a:rPr lang="en-US"/>
                      <a:t>SK</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E-A1D5-485D-8ED0-91A9AA7AEBEE}"/>
                </c:ext>
                <c:ext xmlns:c15="http://schemas.microsoft.com/office/drawing/2012/chart" uri="{CE6537A1-D6FC-4f65-9D91-7224C49458BB}">
                  <c15:showDataLabelsRange val="1"/>
                </c:ext>
              </c:extLst>
            </c:dLbl>
            <c:dLbl>
              <c:idx val="25"/>
              <c:tx>
                <c:rich>
                  <a:bodyPr vertOverflow="clip"/>
                  <a:lstStyle/>
                  <a:p>
                    <a:fld id="{946dd432-61a1-43d2-852f-9edd48ff27c3}" type="CELLRANGE">
                      <a:rPr lang="en-US"/>
                      <a:t>FI</a:t>
                    </a:fld>
                    <a:endParaRPr lang="lv-LV"/>
                  </a:p>
                </c:rich>
              </c:tx>
              <c:dLblPos val="l"/>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B-A1D5-485D-8ED0-91A9AA7AEBEE}"/>
                </c:ext>
                <c:ext xmlns:c15="http://schemas.microsoft.com/office/drawing/2012/chart" uri="{CE6537A1-D6FC-4f65-9D91-7224C49458BB}">
                  <c15:showDataLabelsRange val="1"/>
                </c:ext>
              </c:extLst>
            </c:dLbl>
            <c:dLbl>
              <c:idx val="26"/>
              <c:layout>
                <c:manualLayout>
                  <c:x val="-0.016614745586708356"/>
                  <c:y val="0"/>
                </c:manualLayout>
              </c:layout>
              <c:tx>
                <c:rich>
                  <a:bodyPr vertOverflow="clip"/>
                  <a:lstStyle/>
                  <a:p>
                    <a:fld id="{b71a4ae0-faa6-48e3-91bb-f2fe745245c6}" type="CELLRANGE">
                      <a:rPr lang="en-US"/>
                      <a:t>SE</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3-A1D5-485D-8ED0-91A9AA7AEBEE}"/>
                </c:ext>
                <c:ext xmlns:c15="http://schemas.microsoft.com/office/drawing/2012/chart" uri="{CE6537A1-D6FC-4f65-9D91-7224C49458BB}">
                  <c15:showDataLabelsRange val="1"/>
                </c:ext>
              </c:extLst>
            </c:dLbl>
            <c:dLbl>
              <c:idx val="27"/>
              <c:tx>
                <c:rich>
                  <a:bodyPr vertOverflow="clip"/>
                  <a:lstStyle/>
                  <a:p>
                    <a:fld id="{2c7bc982-1718-48d8-b6e1-02b24da0559c}" type="CELLRANGE">
                      <a:rPr lang="en-US"/>
                      <a:t>UK</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1-A1D5-485D-8ED0-91A9AA7AEBEE}"/>
                </c:ext>
                <c:ext xmlns:c15="http://schemas.microsoft.com/office/drawing/2012/chart" uri="{CE6537A1-D6FC-4f65-9D91-7224C49458BB}">
                  <c15:showDataLabelsRange val="1"/>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Sheet1!$B$3:$B$30</c:f>
              <c:numCache>
                <c:formatCode>0.0</c:formatCode>
                <c:ptCount val="28"/>
                <c:pt idx="0">
                  <c:v>42.747082547856387</c:v>
                </c:pt>
                <c:pt idx="1">
                  <c:v>64.419580419580413</c:v>
                </c:pt>
                <c:pt idx="2">
                  <c:v>7.3968253968253981</c:v>
                </c:pt>
                <c:pt idx="3">
                  <c:v>21.898705599036727</c:v>
                </c:pt>
                <c:pt idx="4">
                  <c:v>112.54137931034482</c:v>
                </c:pt>
                <c:pt idx="5">
                  <c:v>53.962826420890941</c:v>
                </c:pt>
                <c:pt idx="6">
                  <c:v>18.571428571428569</c:v>
                </c:pt>
                <c:pt idx="7">
                  <c:v>51.554886394744045</c:v>
                </c:pt>
                <c:pt idx="8">
                  <c:v>36.161376446158407</c:v>
                </c:pt>
                <c:pt idx="9">
                  <c:v>48.653894003483458</c:v>
                </c:pt>
                <c:pt idx="10">
                  <c:v>66.148514851485146</c:v>
                </c:pt>
                <c:pt idx="11">
                  <c:v>13.360242179616549</c:v>
                </c:pt>
                <c:pt idx="12">
                  <c:v>40.625570776255707</c:v>
                </c:pt>
                <c:pt idx="13">
                  <c:v>23.079710144927539</c:v>
                </c:pt>
                <c:pt idx="14">
                  <c:v>16.955587392550143</c:v>
                </c:pt>
                <c:pt idx="15">
                  <c:v>28.589129822585189</c:v>
                </c:pt>
                <c:pt idx="16">
                  <c:v>58.527131782945737</c:v>
                </c:pt>
                <c:pt idx="17">
                  <c:v>15.503153669724769</c:v>
                </c:pt>
                <c:pt idx="18">
                  <c:v>42.698924731182792</c:v>
                </c:pt>
                <c:pt idx="19">
                  <c:v>62.621048419367746</c:v>
                </c:pt>
                <c:pt idx="20">
                  <c:v>17.9732805541811</c:v>
                </c:pt>
                <c:pt idx="21">
                  <c:v>24.122431506849317</c:v>
                </c:pt>
                <c:pt idx="22">
                  <c:v>12.921023359288096</c:v>
                </c:pt>
                <c:pt idx="23">
                  <c:v>29.589041095890412</c:v>
                </c:pt>
                <c:pt idx="24">
                  <c:v>20.740912248205603</c:v>
                </c:pt>
                <c:pt idx="25">
                  <c:v>48.528528528528533</c:v>
                </c:pt>
                <c:pt idx="26">
                  <c:v>63.2</c:v>
                </c:pt>
                <c:pt idx="27">
                  <c:v>56.688891203944856</c:v>
                </c:pt>
              </c:numCache>
            </c:numRef>
          </c:xVal>
          <c:yVal>
            <c:numRef>
              <c:f>Sheet1!$C$3:$C$30</c:f>
              <c:numCache>
                <c:formatCode>0.0</c:formatCode>
                <c:ptCount val="28"/>
                <c:pt idx="0">
                  <c:v>0.81200713492230581</c:v>
                </c:pt>
                <c:pt idx="1">
                  <c:v>0.8634694337039106</c:v>
                </c:pt>
                <c:pt idx="2">
                  <c:v>0.726984668834154</c:v>
                </c:pt>
                <c:pt idx="3">
                  <c:v>0.6288644177435857</c:v>
                </c:pt>
                <c:pt idx="4">
                  <c:v>0.53467513275400025</c:v>
                </c:pt>
                <c:pt idx="5">
                  <c:v>0.87522051882385377</c:v>
                </c:pt>
                <c:pt idx="6">
                  <c:v>0.88547008547008543</c:v>
                </c:pt>
                <c:pt idx="7">
                  <c:v>1.1645243986619234</c:v>
                </c:pt>
                <c:pt idx="8">
                  <c:v>0.4280217458232225</c:v>
                </c:pt>
                <c:pt idx="9">
                  <c:v>0.6779801646179423</c:v>
                </c:pt>
                <c:pt idx="10">
                  <c:v>0.90353219801802864</c:v>
                </c:pt>
                <c:pt idx="11">
                  <c:v>0.92449929498518324</c:v>
                </c:pt>
                <c:pt idx="12">
                  <c:v>0.82873162179652993</c:v>
                </c:pt>
                <c:pt idx="13">
                  <c:v>0.8338252223966508</c:v>
                </c:pt>
                <c:pt idx="14">
                  <c:v>0.61818273430929094</c:v>
                </c:pt>
                <c:pt idx="15">
                  <c:v>0.569680320870575</c:v>
                </c:pt>
                <c:pt idx="16" formatCode="0.00">
                  <c:v>0.8818628498184149</c:v>
                </c:pt>
                <c:pt idx="17">
                  <c:v>0.62471012365564127</c:v>
                </c:pt>
                <c:pt idx="18">
                  <c:v>0.89885441379828313</c:v>
                </c:pt>
                <c:pt idx="19">
                  <c:v>0.71697590554464352</c:v>
                </c:pt>
                <c:pt idx="20">
                  <c:v>0.59377016018702033</c:v>
                </c:pt>
                <c:pt idx="21" formatCode="0.00">
                  <c:v>0.68832132693714931</c:v>
                </c:pt>
                <c:pt idx="22">
                  <c:v>0.47845160071547932</c:v>
                </c:pt>
                <c:pt idx="23">
                  <c:v>0.84344345892922623</c:v>
                </c:pt>
                <c:pt idx="24">
                  <c:v>0.76671311788564922</c:v>
                </c:pt>
                <c:pt idx="25">
                  <c:v>1.00878195397937</c:v>
                </c:pt>
                <c:pt idx="26">
                  <c:v>0.75284090909090906</c:v>
                </c:pt>
                <c:pt idx="27">
                  <c:v>0.82907688139664648</c:v>
                </c:pt>
              </c:numCache>
            </c:numRef>
          </c:yVal>
          <c:smooth val="0"/>
          <c:extLst>
            <c:ext xmlns:c="http://schemas.openxmlformats.org/drawingml/2006/chart" xmlns:c16="http://schemas.microsoft.com/office/drawing/2014/chart" uri="{C3380CC4-5D6E-409C-BE32-E72D297353CC}">
              <c16:uniqueId val="{0000001C-033B-4B84-B898-9FDB396AD2F2}"/>
            </c:ext>
            <c:ext xmlns:c15="http://schemas.microsoft.com/office/drawing/2012/chart" uri="{02D57815-91ED-43cb-92C2-25804820EDAC}">
              <c15:datalabelsRange>
                <c15:f>Sheet1!$A$3:$A$30</c15:f>
                <c15:dlblRangeCache>
                  <c:ptCount val="28"/>
                  <c:pt idx="0">
                    <c:v>EU-28</c:v>
                  </c:pt>
                  <c:pt idx="1">
                    <c:v>BE</c:v>
                  </c:pt>
                  <c:pt idx="2">
                    <c:v>BG</c:v>
                  </c:pt>
                  <c:pt idx="3">
                    <c:v>CZ</c:v>
                  </c:pt>
                  <c:pt idx="4">
                    <c:v>DK</c:v>
                  </c:pt>
                  <c:pt idx="5">
                    <c:v>DE</c:v>
                  </c:pt>
                  <c:pt idx="6">
                    <c:v>EE</c:v>
                  </c:pt>
                  <c:pt idx="7">
                    <c:v>IE</c:v>
                  </c:pt>
                  <c:pt idx="8">
                    <c:v>EL</c:v>
                  </c:pt>
                  <c:pt idx="9">
                    <c:v>ES</c:v>
                  </c:pt>
                  <c:pt idx="10">
                    <c:v>FR</c:v>
                  </c:pt>
                  <c:pt idx="11">
                    <c:v>HR</c:v>
                  </c:pt>
                  <c:pt idx="12">
                    <c:v>IT</c:v>
                  </c:pt>
                  <c:pt idx="13">
                    <c:v>CY</c:v>
                  </c:pt>
                  <c:pt idx="14">
                    <c:v>LV</c:v>
                  </c:pt>
                  <c:pt idx="15">
                    <c:v>LT</c:v>
                  </c:pt>
                  <c:pt idx="16">
                    <c:v>LU</c:v>
                  </c:pt>
                  <c:pt idx="17">
                    <c:v>HU</c:v>
                  </c:pt>
                  <c:pt idx="18">
                    <c:v>NL</c:v>
                  </c:pt>
                  <c:pt idx="19">
                    <c:v>AT</c:v>
                  </c:pt>
                  <c:pt idx="20">
                    <c:v>PL</c:v>
                  </c:pt>
                  <c:pt idx="21">
                    <c:v>PT</c:v>
                  </c:pt>
                  <c:pt idx="22">
                    <c:v>RO</c:v>
                  </c:pt>
                  <c:pt idx="23">
                    <c:v>SI</c:v>
                  </c:pt>
                  <c:pt idx="24">
                    <c:v>SK</c:v>
                  </c:pt>
                  <c:pt idx="25">
                    <c:v>FI</c:v>
                  </c:pt>
                  <c:pt idx="26">
                    <c:v>SE</c:v>
                  </c:pt>
                  <c:pt idx="27">
                    <c:v>UK</c:v>
                  </c:pt>
                </c15:dlblRangeCache>
              </c15:datalabelsRange>
            </c:ext>
          </c:extLst>
        </c:ser>
        <c:dLbls>
          <c:showLegendKey val="0"/>
          <c:showVal val="0"/>
          <c:showCatName val="0"/>
          <c:showSerName val="0"/>
          <c:showPercent val="0"/>
          <c:showBubbleSize val="0"/>
        </c:dLbls>
        <c:axId val="656357832"/>
        <c:axId val="656359008"/>
      </c:scatterChart>
      <c:valAx>
        <c:axId val="656357832"/>
        <c:scaling>
          <c:orientation val="minMax"/>
          <c:max val="80"/>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56359008"/>
        <c:crosses val="autoZero"/>
        <c:crossBetween val="midCat"/>
        <c:majorUnit val="10"/>
      </c:valAx>
      <c:valAx>
        <c:axId val="656359008"/>
        <c:scaling>
          <c:orientation val="minMax"/>
          <c:min val="0.2"/>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56357832"/>
        <c:crosses val="autoZero"/>
        <c:crossBetween val="midCat"/>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2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59412201441466"/>
          <c:y val="0.098301682877875565"/>
          <c:w val="0.77357359176256812"/>
          <c:h val="0.71576139346218082"/>
        </c:manualLayout>
      </c:layout>
      <c:barChart>
        <c:barDir val="col"/>
        <c:grouping val="clustered"/>
        <c:varyColors val="0"/>
        <c:ser>
          <c:idx val="4"/>
          <c:order val="0"/>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7366-495B-BB93-7D66FAF4DBC1}"/>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7366-495B-BB93-7D66FAF4DBC1}"/>
              </c:ext>
            </c:extLst>
          </c:dPt>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Sheet1!$A$3:$A$5</c:f>
              <c:strCache>
                <c:ptCount val="3"/>
                <c:pt idx="0">
                  <c:v>2005</c:v>
                </c:pt>
                <c:pt idx="1">
                  <c:v>2010</c:v>
                </c:pt>
                <c:pt idx="2">
                  <c:v>2016</c:v>
                </c:pt>
              </c:strCache>
            </c:strRef>
          </c:cat>
          <c:val>
            <c:numRef>
              <c:f>Sheet1!$B$3:$B$5</c:f>
              <c:numCache>
                <c:formatCode>General</c:formatCode>
                <c:ptCount val="3"/>
                <c:pt idx="0" formatCode="0.0">
                  <c:v>2.2</c:v>
                </c:pt>
                <c:pt idx="1">
                  <c:v>3.3</c:v>
                </c:pt>
                <c:pt idx="2">
                  <c:v>2.4</c:v>
                </c:pt>
              </c:numCache>
            </c:numRef>
          </c:val>
          <c:extLst>
            <c:ext xmlns:c="http://schemas.openxmlformats.org/drawingml/2006/chart" xmlns:c16="http://schemas.microsoft.com/office/drawing/2014/chart" uri="{C3380CC4-5D6E-409C-BE32-E72D297353CC}">
              <c16:uniqueId val="{00000004-7366-495B-BB93-7D66FAF4DBC1}"/>
            </c:ext>
          </c:extLst>
        </c:ser>
        <c:dLbls>
          <c:showLegendKey val="0"/>
          <c:showVal val="0"/>
          <c:showCatName val="0"/>
          <c:showSerName val="0"/>
          <c:showPercent val="0"/>
          <c:showBubbleSize val="0"/>
        </c:dLbls>
        <c:gapWidth val="20"/>
        <c:axId val="656368808"/>
        <c:axId val="656372728"/>
      </c:barChart>
      <c:catAx>
        <c:axId val="656368808"/>
        <c:scaling>
          <c:orientation val="minMax"/>
        </c:scaling>
        <c:delete val="0"/>
        <c:axPos val="b"/>
        <c:numFmt formatCode="General" sourceLinked="0"/>
        <c:majorTickMark val="out"/>
        <c:minorTickMark val="none"/>
        <c:tickLblPos val="nextTo"/>
        <c:crossAx val="656372728"/>
        <c:crosses val="autoZero"/>
        <c:auto val="1"/>
        <c:lblAlgn val="ctr"/>
        <c:lblOffset val="100"/>
        <c:noMultiLvlLbl val="0"/>
      </c:catAx>
      <c:valAx>
        <c:axId val="656372728"/>
        <c:scaling>
          <c:orientation val="minMax"/>
          <c:min val="0"/>
        </c:scaling>
        <c:delete val="0"/>
        <c:axPos val="l"/>
        <c:numFmt formatCode="0.0" sourceLinked="0"/>
        <c:majorTickMark val="out"/>
        <c:minorTickMark val="none"/>
        <c:tickLblPos val="nextTo"/>
        <c:crossAx val="656368808"/>
        <c:crosses val="autoZero"/>
        <c:crossBetween val="between"/>
        <c:minorUnit val="0.2"/>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mbria Math" panose="02040503050406030204" pitchFamily="18" charset="0"/>
          <a:ea typeface="Cambria Math" panose="02040503050406030204" pitchFamily="18" charset="0"/>
          <a:cs typeface="Arial"/>
        </a:defRPr>
      </a:pPr>
      <a:endParaRPr lang="lv-LV"/>
    </a:p>
  </c:txPr>
  <c:externalData r:id="rId1">
    <c:autoUpdate val="0"/>
  </c:externalData>
</c:chartSpace>
</file>

<file path=word/charts/chart249.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73546128124922"/>
          <c:y val="0.048706240487062395"/>
          <c:w val="0.84631315184653555"/>
          <c:h val="0.73779794474843186"/>
        </c:manualLayout>
      </c:layout>
      <c:lineChart>
        <c:grouping val="standard"/>
        <c:varyColors val="0"/>
        <c:ser>
          <c:idx val="0"/>
          <c:order val="0"/>
          <c:tx>
            <c:strRef>
              <c:f>Sheet1!$A$2</c:f>
              <c:strCache>
                <c:ptCount val="1"/>
                <c:pt idx="0">
                  <c:v>Nodarbinātie</c:v>
                </c:pt>
              </c:strCache>
            </c:strRef>
          </c:tx>
          <c:spPr>
            <a:ln w="19050">
              <a:solidFill>
                <a:srgbClr val="0070C0"/>
              </a:solidFill>
              <a:prstDash val="dash"/>
            </a:ln>
          </c:spPr>
          <c:marker>
            <c:symbol val="none"/>
          </c:marker>
          <c:cat>
            <c:numRef>
              <c:f>Sheet1!$B$1:$L$1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Sheet1!$B$2:$L$2</c:f>
              <c:numCache>
                <c:formatCode>0.0</c:formatCode>
                <c:ptCount val="11"/>
                <c:pt idx="0">
                  <c:v>92.983951143303514</c:v>
                </c:pt>
                <c:pt idx="1">
                  <c:v>87.707711972731161</c:v>
                </c:pt>
                <c:pt idx="2">
                  <c:v>108.30847890924585</c:v>
                </c:pt>
                <c:pt idx="3">
                  <c:v>97.905127112626047</c:v>
                </c:pt>
                <c:pt idx="4">
                  <c:v>93.026558727453491</c:v>
                </c:pt>
                <c:pt idx="5">
                  <c:v>93.971026842778016</c:v>
                </c:pt>
                <c:pt idx="6">
                  <c:v>94.766368413577624</c:v>
                </c:pt>
                <c:pt idx="7">
                  <c:v>95.895469393552062</c:v>
                </c:pt>
                <c:pt idx="8">
                  <c:v>95.6256213606022</c:v>
                </c:pt>
                <c:pt idx="9">
                  <c:v>93.892912938503059</c:v>
                </c:pt>
                <c:pt idx="10">
                  <c:v>93.96392557875302</c:v>
                </c:pt>
              </c:numCache>
            </c:numRef>
          </c:val>
          <c:smooth val="0"/>
          <c:extLst>
            <c:ext xmlns:c="http://schemas.openxmlformats.org/drawingml/2006/chart" xmlns:c16="http://schemas.microsoft.com/office/drawing/2014/chart" uri="{C3380CC4-5D6E-409C-BE32-E72D297353CC}">
              <c16:uniqueId val="{00000000-E1DA-41EF-92E2-17E1B14E1FEE}"/>
            </c:ext>
          </c:extLst>
        </c:ser>
        <c:ser>
          <c:idx val="1"/>
          <c:order val="1"/>
          <c:tx>
            <c:strRef>
              <c:f>Sheet1!$A$3</c:f>
              <c:strCache>
                <c:ptCount val="1"/>
                <c:pt idx="0">
                  <c:v>Ražošanas apjomi</c:v>
                </c:pt>
              </c:strCache>
            </c:strRef>
          </c:tx>
          <c:marker>
            <c:symbol val="none"/>
          </c:marker>
          <c:cat>
            <c:numRef>
              <c:f>Sheet1!$B$1:$L$1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Sheet1!$B$3:$L$3</c:f>
              <c:numCache>
                <c:formatCode>0.0</c:formatCode>
                <c:ptCount val="11"/>
                <c:pt idx="0">
                  <c:v>104.43754565376186</c:v>
                </c:pt>
                <c:pt idx="1">
                  <c:v>100.36523009495983</c:v>
                </c:pt>
                <c:pt idx="2">
                  <c:v>97.041636230825418</c:v>
                </c:pt>
                <c:pt idx="3">
                  <c:v>92.001460920379841</c:v>
                </c:pt>
                <c:pt idx="4">
                  <c:v>95.05113221329438</c:v>
                </c:pt>
                <c:pt idx="5">
                  <c:v>86.431701972242521</c:v>
                </c:pt>
                <c:pt idx="6">
                  <c:v>78.834915997078156</c:v>
                </c:pt>
                <c:pt idx="7">
                  <c:v>72.991234477720965</c:v>
                </c:pt>
                <c:pt idx="8">
                  <c:v>62.618699780861945</c:v>
                </c:pt>
                <c:pt idx="9">
                  <c:v>76.826150474799135</c:v>
                </c:pt>
                <c:pt idx="10">
                  <c:v>82.377647918188487</c:v>
                </c:pt>
              </c:numCache>
            </c:numRef>
          </c:val>
          <c:smooth val="0"/>
          <c:extLst>
            <c:ext xmlns:c="http://schemas.openxmlformats.org/drawingml/2006/chart" xmlns:c16="http://schemas.microsoft.com/office/drawing/2014/chart" uri="{C3380CC4-5D6E-409C-BE32-E72D297353CC}">
              <c16:uniqueId val="{00000001-E1DA-41EF-92E2-17E1B14E1FEE}"/>
            </c:ext>
          </c:extLst>
        </c:ser>
        <c:dLbls>
          <c:showLegendKey val="0"/>
          <c:showVal val="0"/>
          <c:showCatName val="0"/>
          <c:showSerName val="0"/>
          <c:showPercent val="0"/>
          <c:showBubbleSize val="0"/>
        </c:dLbls>
        <c:smooth val="0"/>
        <c:axId val="656371944"/>
        <c:axId val="656364888"/>
      </c:lineChart>
      <c:catAx>
        <c:axId val="656371944"/>
        <c:scaling>
          <c:orientation val="minMax"/>
        </c:scaling>
        <c:delete val="0"/>
        <c:axPos val="b"/>
        <c:numFmt formatCode="General" sourceLinked="1"/>
        <c:majorTickMark val="cross"/>
        <c:minorTickMark val="none"/>
        <c:tickLblPos val="nextTo"/>
        <c:spPr>
          <a:ln w="6350">
            <a:solidFill>
              <a:srgbClr val="000000"/>
            </a:solidFill>
          </a:ln>
        </c:spPr>
        <c:txPr>
          <a:bodyPr rot="-5400000" vert="horz"/>
          <a:lstStyle/>
          <a:p>
            <a:pPr>
              <a:defRPr sz="700" b="0" i="0" u="none" strike="noStrike" baseline="0">
                <a:solidFill>
                  <a:srgbClr val="000000"/>
                </a:solidFill>
                <a:latin typeface="Arial Narrow" pitchFamily="34" charset="0"/>
                <a:ea typeface="Times New Roman"/>
                <a:cs typeface="Times New Roman" pitchFamily="18" charset="0"/>
              </a:defRPr>
            </a:pPr>
            <a:endParaRPr lang="lv-LV"/>
          </a:p>
        </c:txPr>
        <c:crossAx val="656364888"/>
        <c:crosses val="autoZero"/>
        <c:auto val="1"/>
        <c:lblAlgn val="ctr"/>
        <c:lblOffset val="0"/>
        <c:noMultiLvlLbl val="0"/>
      </c:catAx>
      <c:valAx>
        <c:axId val="656364888"/>
        <c:scaling>
          <c:orientation val="minMax"/>
          <c:max val="120"/>
          <c:min val="60"/>
        </c:scaling>
        <c:delete val="0"/>
        <c:axPos val="l"/>
        <c:numFmt formatCode="0" sourceLinked="0"/>
        <c:majorTickMark val="cross"/>
        <c:minorTickMark val="none"/>
        <c:tickLblPos val="nextTo"/>
        <c:spPr>
          <a:ln w="6350">
            <a:solidFill>
              <a:sysClr val="windowText" lastClr="000000"/>
            </a:solidFill>
          </a:ln>
        </c:spPr>
        <c:txPr>
          <a:bodyPr rot="0" vert="horz"/>
          <a:lstStyle/>
          <a:p>
            <a:pPr>
              <a:defRPr sz="700" b="0" i="0" u="none" strike="noStrike" baseline="0">
                <a:solidFill>
                  <a:srgbClr val="000000"/>
                </a:solidFill>
                <a:latin typeface="Arial Narrow" pitchFamily="34" charset="0"/>
                <a:ea typeface="Times New Roman"/>
                <a:cs typeface="Times New Roman"/>
              </a:defRPr>
            </a:pPr>
            <a:endParaRPr lang="lv-LV"/>
          </a:p>
        </c:txPr>
        <c:crossAx val="656371944"/>
        <c:crosses val="autoZero"/>
        <c:crossBetween val="between"/>
        <c:majorUnit val="10"/>
      </c:valAx>
      <c:spPr>
        <a:solidFill>
          <a:sysClr val="window" lastClr="FFFFFF"/>
        </a:solidFill>
        <a:ln w="6350">
          <a:noFill/>
        </a:ln>
      </c:spPr>
    </c:plotArea>
    <c:legend>
      <c:legendPos val="t"/>
      <c:layout>
        <c:manualLayout>
          <c:xMode val="edge"/>
          <c:yMode val="edge"/>
          <c:x val="0.3323488240440533"/>
          <c:y val="0.042897269420269835"/>
          <c:w val="0.65805884790716951"/>
          <c:h val="0.19964223582144541"/>
        </c:manualLayout>
      </c:layout>
      <c:overlay val="0"/>
      <c:txPr>
        <a:bodyPr/>
        <a:lstStyle/>
        <a:p>
          <a:pPr>
            <a:defRPr sz="700" b="0">
              <a:latin typeface="Arial Narrow" pitchFamily="34" charset="0"/>
            </a:defRPr>
          </a:pPr>
          <a:endParaRPr lang="lv-LV"/>
        </a:p>
      </c:txPr>
    </c:legend>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3181648293963242"/>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C241-4571-94EA-F886FAADFA08}"/>
              </c:ext>
            </c:extLst>
          </c:dPt>
          <c:dPt>
            <c:idx val="5"/>
            <c:bubble3D val="0"/>
            <c:extLst>
              <c:ext xmlns:c="http://schemas.openxmlformats.org/drawingml/2006/chart" xmlns:c16="http://schemas.microsoft.com/office/drawing/2014/chart" uri="{C3380CC4-5D6E-409C-BE32-E72D297353CC}">
                <c16:uniqueId val="{00000001-C241-4571-94EA-F886FAADFA08}"/>
              </c:ext>
            </c:extLst>
          </c:dPt>
          <c:dPt>
            <c:idx val="11"/>
            <c:bubble3D val="0"/>
            <c:extLst>
              <c:ext xmlns:c="http://schemas.openxmlformats.org/drawingml/2006/chart" xmlns:c16="http://schemas.microsoft.com/office/drawing/2014/chart" uri="{C3380CC4-5D6E-409C-BE32-E72D297353CC}">
                <c16:uniqueId val="{00000002-C241-4571-94EA-F886FAADFA08}"/>
              </c:ext>
            </c:extLst>
          </c:dPt>
          <c:dPt>
            <c:idx val="12"/>
            <c:bubble3D val="0"/>
            <c:extLst>
              <c:ext xmlns:c="http://schemas.openxmlformats.org/drawingml/2006/chart" xmlns:c16="http://schemas.microsoft.com/office/drawing/2014/chart" uri="{C3380CC4-5D6E-409C-BE32-E72D297353CC}">
                <c16:uniqueId val="{00000003-C241-4571-94EA-F886FAADFA08}"/>
              </c:ext>
            </c:extLst>
          </c:dPt>
          <c:dPt>
            <c:idx val="13"/>
            <c:bubble3D val="0"/>
            <c:extLst>
              <c:ext xmlns:c="http://schemas.openxmlformats.org/drawingml/2006/chart" xmlns:c16="http://schemas.microsoft.com/office/drawing/2014/chart" uri="{C3380CC4-5D6E-409C-BE32-E72D297353CC}">
                <c16:uniqueId val="{00000004-C241-4571-94EA-F886FAADFA08}"/>
              </c:ext>
            </c:extLst>
          </c:dPt>
          <c:dPt>
            <c:idx val="14"/>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5-C241-4571-94EA-F886FAADFA08}"/>
              </c:ext>
            </c:extLst>
          </c:dPt>
          <c:dLbls>
            <c:dLbl>
              <c:idx val="0"/>
              <c:layout>
                <c:manualLayout>
                  <c:x val="-0.07476635514018691"/>
                  <c:y val="-0.07619122609673791"/>
                </c:manualLayout>
              </c:layout>
              <c:tx>
                <c:rich>
                  <a:bodyPr vertOverflow="clip"/>
                  <a:lstStyle/>
                  <a:p>
                    <a:r>
                      <a:rPr lang="en-US"/>
                      <a:t>EU-28</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C241-4571-94EA-F886FAADFA08}"/>
                </c:ext>
                <c:ext xmlns:c15="http://schemas.microsoft.com/office/drawing/2012/chart" uri="{CE6537A1-D6FC-4f65-9D91-7224C49458BB}"/>
              </c:extLst>
            </c:dLbl>
            <c:dLbl>
              <c:idx val="1"/>
              <c:layout>
                <c:manualLayout>
                  <c:x val="-0.0083073727933541015"/>
                  <c:y val="0.038095238095238182"/>
                </c:manualLayout>
              </c:layout>
              <c:tx>
                <c:rich>
                  <a:bodyPr vertOverflow="clip"/>
                  <a:lstStyle/>
                  <a:p>
                    <a:r>
                      <a:rPr lang="en-US"/>
                      <a:t>BE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C241-4571-94EA-F886FAADFA08}"/>
                </c:ext>
                <c:ext xmlns:c15="http://schemas.microsoft.com/office/drawing/2012/chart" uri="{CE6537A1-D6FC-4f65-9D91-7224C49458BB}"/>
              </c:extLst>
            </c:dLbl>
            <c:dLbl>
              <c:idx val="2"/>
              <c:layout>
                <c:manualLayout>
                  <c:x val="-0.049844236760124609"/>
                  <c:y val="-0.066666666666666624"/>
                </c:manualLayout>
              </c:layout>
              <c:tx>
                <c:rich>
                  <a:bodyPr vertOverflow="clip"/>
                  <a:lstStyle/>
                  <a:p>
                    <a:r>
                      <a:rPr lang="en-US"/>
                      <a:t>BG</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C241-4571-94EA-F886FAADFA08}"/>
                </c:ext>
                <c:ext xmlns:c15="http://schemas.microsoft.com/office/drawing/2012/chart" uri="{CE6537A1-D6FC-4f65-9D91-7224C49458BB}"/>
              </c:extLst>
            </c:dLbl>
            <c:dLbl>
              <c:idx val="3"/>
              <c:layout>
                <c:manualLayout>
                  <c:x val="-0.016614745586708203"/>
                  <c:y val="0"/>
                </c:manualLayout>
              </c:layout>
              <c:tx>
                <c:rich>
                  <a:bodyPr vertOverflow="clip"/>
                  <a:lstStyle/>
                  <a:p>
                    <a:r>
                      <a:rPr lang="en-US"/>
                      <a:t>CZ</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C241-4571-94EA-F886FAADFA08}"/>
                </c:ext>
                <c:ext xmlns:c15="http://schemas.microsoft.com/office/drawing/2012/chart" uri="{CE6537A1-D6FC-4f65-9D91-7224C49458BB}"/>
              </c:extLst>
            </c:dLbl>
            <c:dLbl>
              <c:idx val="4"/>
              <c:layout>
                <c:manualLayout>
                  <c:x val="-0.029075804776739357"/>
                  <c:y val="-0.0761904761904762"/>
                </c:manualLayout>
              </c:layout>
              <c:tx>
                <c:rich>
                  <a:bodyPr vertOverflow="clip"/>
                  <a:lstStyle/>
                  <a:p>
                    <a:r>
                      <a:rPr lang="en-US"/>
                      <a:t>DK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C241-4571-94EA-F886FAADFA08}"/>
                </c:ext>
                <c:ext xmlns:c15="http://schemas.microsoft.com/office/drawing/2012/chart" uri="{CE6537A1-D6FC-4f65-9D91-7224C49458BB}"/>
              </c:extLst>
            </c:dLbl>
            <c:dLbl>
              <c:idx val="5"/>
              <c:layout>
                <c:manualLayout>
                  <c:x val="-0.0083073727933541015"/>
                  <c:y val="-0.028571428571428571"/>
                </c:manualLayout>
              </c:layout>
              <c:tx>
                <c:rich>
                  <a:bodyPr vertOverflow="clip"/>
                  <a:lstStyle/>
                  <a:p>
                    <a:r>
                      <a:rPr lang="en-US"/>
                      <a:t>DE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C241-4571-94EA-F886FAADFA08}"/>
                </c:ext>
                <c:ext xmlns:c15="http://schemas.microsoft.com/office/drawing/2012/chart" uri="{CE6537A1-D6FC-4f65-9D91-7224C49458BB}"/>
              </c:extLst>
            </c:dLbl>
            <c:dLbl>
              <c:idx val="6"/>
              <c:layout>
                <c:manualLayout>
                  <c:x val="-0.033229491173416406"/>
                  <c:y val="0.0761904761904762"/>
                </c:manualLayout>
              </c:layout>
              <c:tx>
                <c:rich>
                  <a:bodyPr vertOverflow="clip"/>
                  <a:lstStyle/>
                  <a:p>
                    <a:r>
                      <a:rPr lang="en-US"/>
                      <a:t>EE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C241-4571-94EA-F886FAADFA08}"/>
                </c:ext>
                <c:ext xmlns:c15="http://schemas.microsoft.com/office/drawing/2012/chart" uri="{CE6537A1-D6FC-4f65-9D91-7224C49458BB}"/>
              </c:extLst>
            </c:dLbl>
            <c:dLbl>
              <c:idx val="7"/>
              <c:layout>
                <c:manualLayout>
                  <c:x val="-0.0083073727933541015"/>
                  <c:y val="-0.0380952380952381"/>
                </c:manualLayout>
              </c:layout>
              <c:tx>
                <c:rich>
                  <a:bodyPr vertOverflow="clip"/>
                  <a:lstStyle/>
                  <a:p>
                    <a:r>
                      <a:rPr lang="en-US"/>
                      <a:t>IE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C241-4571-94EA-F886FAADFA08}"/>
                </c:ext>
                <c:ext xmlns:c15="http://schemas.microsoft.com/office/drawing/2012/chart" uri="{CE6537A1-D6FC-4f65-9D91-7224C49458BB}"/>
              </c:extLst>
            </c:dLbl>
            <c:dLbl>
              <c:idx val="8"/>
              <c:layout>
                <c:manualLayout>
                  <c:x val="-0.041536863966770511"/>
                  <c:y val="0.0761904761904762"/>
                </c:manualLayout>
              </c:layout>
              <c:tx>
                <c:rich>
                  <a:bodyPr vertOverflow="clip"/>
                  <a:lstStyle/>
                  <a:p>
                    <a:r>
                      <a:rPr lang="en-US"/>
                      <a:t>EL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C241-4571-94EA-F886FAADFA08}"/>
                </c:ext>
                <c:ext xmlns:c15="http://schemas.microsoft.com/office/drawing/2012/chart" uri="{CE6537A1-D6FC-4f65-9D91-7224C49458BB}"/>
              </c:extLst>
            </c:dLbl>
            <c:dLbl>
              <c:idx val="9"/>
              <c:layout>
                <c:manualLayout>
                  <c:x val="-0.0041536863966770508"/>
                  <c:y val="0.0095238095238095247"/>
                </c:manualLayout>
              </c:layout>
              <c:tx>
                <c:rich>
                  <a:bodyPr vertOverflow="clip"/>
                  <a:lstStyle/>
                  <a:p>
                    <a:r>
                      <a:rPr lang="en-US"/>
                      <a:t>ES</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C241-4571-94EA-F886FAADFA08}"/>
                </c:ext>
                <c:ext xmlns:c15="http://schemas.microsoft.com/office/drawing/2012/chart" uri="{CE6537A1-D6FC-4f65-9D91-7224C49458BB}"/>
              </c:extLst>
            </c:dLbl>
            <c:dLbl>
              <c:idx val="10"/>
              <c:layout>
                <c:manualLayout>
                  <c:x val="-0.012461059190031152"/>
                  <c:y val="-0.028571428571428571"/>
                </c:manualLayout>
              </c:layout>
              <c:tx>
                <c:rich>
                  <a:bodyPr vertOverflow="clip"/>
                  <a:lstStyle/>
                  <a:p>
                    <a:r>
                      <a:rPr lang="en-US"/>
                      <a:t>FR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E-C241-4571-94EA-F886FAADFA08}"/>
                </c:ext>
                <c:ext xmlns:c15="http://schemas.microsoft.com/office/drawing/2012/chart" uri="{CE6537A1-D6FC-4f65-9D91-7224C49458BB}"/>
              </c:extLst>
            </c:dLbl>
            <c:dLbl>
              <c:idx val="11"/>
              <c:layout>
                <c:manualLayout>
                  <c:x val="-0.012461059190031152"/>
                  <c:y val="0"/>
                </c:manualLayout>
              </c:layout>
              <c:tx>
                <c:rich>
                  <a:bodyPr vertOverflow="clip"/>
                  <a:lstStyle/>
                  <a:p>
                    <a:r>
                      <a:rPr lang="en-US"/>
                      <a:t>HR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C241-4571-94EA-F886FAADFA08}"/>
                </c:ext>
                <c:ext xmlns:c15="http://schemas.microsoft.com/office/drawing/2012/chart" uri="{CE6537A1-D6FC-4f65-9D91-7224C49458BB}"/>
              </c:extLst>
            </c:dLbl>
            <c:dLbl>
              <c:idx val="12"/>
              <c:layout>
                <c:manualLayout>
                  <c:x val="-0.0083073727933540252"/>
                  <c:y val="-0.028571428571428571"/>
                </c:manualLayout>
              </c:layout>
              <c:tx>
                <c:rich>
                  <a:bodyPr vertOverflow="clip"/>
                  <a:lstStyle/>
                  <a:p>
                    <a:r>
                      <a:rPr lang="en-US"/>
                      <a:t>IT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C241-4571-94EA-F886FAADFA08}"/>
                </c:ext>
                <c:ext xmlns:c15="http://schemas.microsoft.com/office/drawing/2012/chart" uri="{CE6537A1-D6FC-4f65-9D91-7224C49458BB}"/>
              </c:extLst>
            </c:dLbl>
            <c:dLbl>
              <c:idx val="13"/>
              <c:layout>
                <c:manualLayout>
                  <c:x val="-0.037383177570093455"/>
                  <c:y val="-0.057142857142857141"/>
                </c:manualLayout>
              </c:layout>
              <c:tx>
                <c:rich>
                  <a:bodyPr vertOverflow="clip"/>
                  <a:lstStyle/>
                  <a:p>
                    <a:r>
                      <a:rPr lang="en-US"/>
                      <a:t>CY</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C241-4571-94EA-F886FAADFA08}"/>
                </c:ext>
                <c:ext xmlns:c15="http://schemas.microsoft.com/office/drawing/2012/chart" uri="{CE6537A1-D6FC-4f65-9D91-7224C49458BB}"/>
              </c:extLst>
            </c:dLbl>
            <c:dLbl>
              <c:idx val="14"/>
              <c:layout>
                <c:manualLayout>
                  <c:x val="-0.058151936615399712"/>
                  <c:y val="-0.085714285714285715"/>
                </c:manualLayout>
              </c:layout>
              <c:tx>
                <c:rich>
                  <a:bodyPr vertOverflow="clip"/>
                  <a:lstStyle/>
                  <a:p>
                    <a:r>
                      <a:rPr lang="en-US"/>
                      <a:t>LV</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C241-4571-94EA-F886FAADFA08}"/>
                </c:ext>
                <c:ext xmlns:c15="http://schemas.microsoft.com/office/drawing/2012/chart" uri="{CE6537A1-D6FC-4f65-9D91-7224C49458BB}"/>
              </c:extLst>
            </c:dLbl>
            <c:dLbl>
              <c:idx val="15"/>
              <c:layout>
                <c:manualLayout>
                  <c:x val="-0.099688473520249218"/>
                  <c:y val="0.028571428571428571"/>
                </c:manualLayout>
              </c:layout>
              <c:tx>
                <c:rich>
                  <a:bodyPr vertOverflow="clip"/>
                  <a:lstStyle/>
                  <a:p>
                    <a:r>
                      <a:rPr lang="en-US"/>
                      <a:t>LT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F-C241-4571-94EA-F886FAADFA08}"/>
                </c:ext>
                <c:ext xmlns:c15="http://schemas.microsoft.com/office/drawing/2012/chart" uri="{CE6537A1-D6FC-4f65-9D91-7224C49458BB}"/>
              </c:extLst>
            </c:dLbl>
            <c:dLbl>
              <c:idx val="16"/>
              <c:layout>
                <c:manualLayout>
                  <c:x val="-0.012461059190031152"/>
                  <c:y val="-0.028571428571428571"/>
                </c:manualLayout>
              </c:layout>
              <c:tx>
                <c:rich>
                  <a:bodyPr vertOverflow="clip"/>
                  <a:lstStyle/>
                  <a:p>
                    <a:r>
                      <a:rPr lang="en-US"/>
                      <a:t>LU</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0-C241-4571-94EA-F886FAADFA08}"/>
                </c:ext>
                <c:ext xmlns:c15="http://schemas.microsoft.com/office/drawing/2012/chart" uri="{CE6537A1-D6FC-4f65-9D91-7224C49458BB}"/>
              </c:extLst>
            </c:dLbl>
            <c:dLbl>
              <c:idx val="17"/>
              <c:layout>
                <c:manualLayout>
                  <c:x val="-0.09138110072689512"/>
                  <c:y val="0.0761904761904762"/>
                </c:manualLayout>
              </c:layout>
              <c:tx>
                <c:rich>
                  <a:bodyPr vertOverflow="clip"/>
                  <a:lstStyle/>
                  <a:p>
                    <a:r>
                      <a:rPr lang="en-US"/>
                      <a:t>HU</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1-C241-4571-94EA-F886FAADFA08}"/>
                </c:ext>
                <c:ext xmlns:c15="http://schemas.microsoft.com/office/drawing/2012/chart" uri="{CE6537A1-D6FC-4f65-9D91-7224C49458BB}"/>
              </c:extLst>
            </c:dLbl>
            <c:dLbl>
              <c:idx val="18"/>
              <c:layout>
                <c:manualLayout>
                  <c:x val="-0.0083073727933541015"/>
                  <c:y val="0.057142857142857141"/>
                </c:manualLayout>
              </c:layout>
              <c:tx>
                <c:rich>
                  <a:bodyPr vertOverflow="clip"/>
                  <a:lstStyle/>
                  <a:p>
                    <a:r>
                      <a:rPr lang="en-US"/>
                      <a:t>NL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2-C241-4571-94EA-F886FAADFA08}"/>
                </c:ext>
                <c:ext xmlns:c15="http://schemas.microsoft.com/office/drawing/2012/chart" uri="{CE6537A1-D6FC-4f65-9D91-7224C49458BB}"/>
              </c:extLst>
            </c:dLbl>
            <c:dLbl>
              <c:idx val="19"/>
              <c:layout>
                <c:manualLayout>
                  <c:x val="-0.037383177570093455"/>
                  <c:y val="-0.085714285714285715"/>
                </c:manualLayout>
              </c:layout>
              <c:tx>
                <c:rich>
                  <a:bodyPr vertOverflow="clip"/>
                  <a:lstStyle/>
                  <a:p>
                    <a:r>
                      <a:rPr lang="en-US"/>
                      <a:t>AT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3-C241-4571-94EA-F886FAADFA08}"/>
                </c:ext>
                <c:ext xmlns:c15="http://schemas.microsoft.com/office/drawing/2012/chart" uri="{CE6537A1-D6FC-4f65-9D91-7224C49458BB}"/>
              </c:extLst>
            </c:dLbl>
            <c:dLbl>
              <c:idx val="20"/>
              <c:tx>
                <c:rich>
                  <a:bodyPr vertOverflow="clip"/>
                  <a:lstStyle/>
                  <a:p>
                    <a:r>
                      <a:rPr lang="en-US"/>
                      <a:t>PL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4-C241-4571-94EA-F886FAADFA08}"/>
                </c:ext>
                <c:ext xmlns:c15="http://schemas.microsoft.com/office/drawing/2012/chart" uri="{CE6537A1-D6FC-4f65-9D91-7224C49458BB}"/>
              </c:extLst>
            </c:dLbl>
            <c:dLbl>
              <c:idx val="21"/>
              <c:layout>
                <c:manualLayout>
                  <c:x val="-0.049844236760124609"/>
                  <c:y val="-0.0761904761904762"/>
                </c:manualLayout>
              </c:layout>
              <c:tx>
                <c:rich>
                  <a:bodyPr vertOverflow="clip"/>
                  <a:lstStyle/>
                  <a:p>
                    <a:r>
                      <a:rPr lang="en-US"/>
                      <a:t>PT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5-C241-4571-94EA-F886FAADFA08}"/>
                </c:ext>
                <c:ext xmlns:c15="http://schemas.microsoft.com/office/drawing/2012/chart" uri="{CE6537A1-D6FC-4f65-9D91-7224C49458BB}"/>
              </c:extLst>
            </c:dLbl>
            <c:dLbl>
              <c:idx val="23"/>
              <c:tx>
                <c:rich>
                  <a:bodyPr vertOverflow="clip"/>
                  <a:lstStyle/>
                  <a:p>
                    <a:r>
                      <a:rPr lang="en-US"/>
                      <a:t>SI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6-C241-4571-94EA-F886FAADFA08}"/>
                </c:ext>
                <c:ext xmlns:c15="http://schemas.microsoft.com/office/drawing/2012/chart" uri="{CE6537A1-D6FC-4f65-9D91-7224C49458BB}"/>
              </c:extLst>
            </c:dLbl>
            <c:dLbl>
              <c:idx val="24"/>
              <c:layout>
                <c:manualLayout>
                  <c:x val="-0.0083073727933541015"/>
                  <c:y val="0.0380952380952381"/>
                </c:manualLayout>
              </c:layout>
              <c:tx>
                <c:rich>
                  <a:bodyPr vertOverflow="clip"/>
                  <a:lstStyle/>
                  <a:p>
                    <a:r>
                      <a:rPr lang="en-US"/>
                      <a:t>SK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7-C241-4571-94EA-F886FAADFA08}"/>
                </c:ext>
                <c:ext xmlns:c15="http://schemas.microsoft.com/office/drawing/2012/chart" uri="{CE6537A1-D6FC-4f65-9D91-7224C49458BB}"/>
              </c:extLst>
            </c:dLbl>
            <c:dLbl>
              <c:idx val="25"/>
              <c:layout>
                <c:manualLayout>
                  <c:x val="-0.049844236760124609"/>
                  <c:y val="-0.0761904761904762"/>
                </c:manualLayout>
              </c:layout>
              <c:tx>
                <c:rich>
                  <a:bodyPr vertOverflow="clip"/>
                  <a:lstStyle/>
                  <a:p>
                    <a:r>
                      <a:rPr lang="en-US"/>
                      <a:t>FI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8-C241-4571-94EA-F886FAADFA08}"/>
                </c:ext>
                <c:ext xmlns:c15="http://schemas.microsoft.com/office/drawing/2012/chart" uri="{CE6537A1-D6FC-4f65-9D91-7224C49458BB}"/>
              </c:extLst>
            </c:dLbl>
            <c:dLbl>
              <c:idx val="26"/>
              <c:layout>
                <c:manualLayout>
                  <c:x val="-0.016614745586708203"/>
                  <c:y val="-0.057142857142857141"/>
                </c:manualLayout>
              </c:layout>
              <c:tx>
                <c:rich>
                  <a:bodyPr vertOverflow="clip"/>
                  <a:lstStyle/>
                  <a:p>
                    <a:r>
                      <a:rPr lang="en-US"/>
                      <a:t>SE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9-C241-4571-94EA-F886FAADFA08}"/>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Sheet1!$B$3:$B$29</c:f>
              <c:numCache>
                <c:formatCode>#,##0</c:formatCode>
                <c:ptCount val="27"/>
                <c:pt idx="0">
                  <c:v>15.268419173911793</c:v>
                </c:pt>
                <c:pt idx="1">
                  <c:v>43.35825545171339</c:v>
                </c:pt>
                <c:pt idx="2">
                  <c:v>2.2377829073302555</c:v>
                </c:pt>
                <c:pt idx="3">
                  <c:v>14.967316153362667</c:v>
                </c:pt>
                <c:pt idx="4">
                  <c:v>41.164788732394364</c:v>
                </c:pt>
                <c:pt idx="5">
                  <c:v>25.264750378214828</c:v>
                </c:pt>
                <c:pt idx="6">
                  <c:v>18.030701754385966</c:v>
                </c:pt>
                <c:pt idx="7">
                  <c:v>18.772381509654767</c:v>
                </c:pt>
                <c:pt idx="8">
                  <c:v>12.184445150557934</c:v>
                </c:pt>
                <c:pt idx="9">
                  <c:v>31.808792039299661</c:v>
                </c:pt>
                <c:pt idx="10">
                  <c:v>42.170827858081473</c:v>
                </c:pt>
                <c:pt idx="11">
                  <c:v>7.7910113292111056</c:v>
                </c:pt>
                <c:pt idx="12">
                  <c:v>29.616154247003649</c:v>
                </c:pt>
                <c:pt idx="13">
                  <c:v>21.601063829787236</c:v>
                </c:pt>
                <c:pt idx="14">
                  <c:v>10.592413480429197</c:v>
                </c:pt>
                <c:pt idx="15">
                  <c:v>7.6193073356967549</c:v>
                </c:pt>
                <c:pt idx="16">
                  <c:v>24.949748743718594</c:v>
                </c:pt>
                <c:pt idx="17">
                  <c:v>10.283324621014115</c:v>
                </c:pt>
                <c:pt idx="18">
                  <c:v>53.339901477832512</c:v>
                </c:pt>
                <c:pt idx="19">
                  <c:v>18.848957024377984</c:v>
                </c:pt>
                <c:pt idx="20">
                  <c:v>4.6327661060931185</c:v>
                </c:pt>
                <c:pt idx="21">
                  <c:v>6.3761552339924155</c:v>
                </c:pt>
                <c:pt idx="22">
                  <c:v>2.367308887507769</c:v>
                </c:pt>
                <c:pt idx="23">
                  <c:v>7.8240219972503429</c:v>
                </c:pt>
                <c:pt idx="24">
                  <c:v>23.6247947454844</c:v>
                </c:pt>
                <c:pt idx="25">
                  <c:v>37.326649958228906</c:v>
                </c:pt>
                <c:pt idx="26">
                  <c:v>54.228395061728392</c:v>
                </c:pt>
              </c:numCache>
            </c:numRef>
          </c:xVal>
          <c:yVal>
            <c:numRef>
              <c:f>Sheet1!$C$3:$C$29</c:f>
              <c:numCache>
                <c:formatCode>#,##0</c:formatCode>
                <c:ptCount val="27"/>
                <c:pt idx="0">
                  <c:v>1.102583767945343</c:v>
                </c:pt>
                <c:pt idx="1">
                  <c:v>0.4783961906752538</c:v>
                </c:pt>
                <c:pt idx="2">
                  <c:v>1.401652314722351</c:v>
                </c:pt>
                <c:pt idx="3">
                  <c:v>0.77752883373145154</c:v>
                </c:pt>
                <c:pt idx="4">
                  <c:v>0.75332650235092657</c:v>
                </c:pt>
                <c:pt idx="5">
                  <c:v>0.78072883359494594</c:v>
                </c:pt>
                <c:pt idx="6">
                  <c:v>0.540999532900657</c:v>
                </c:pt>
                <c:pt idx="7">
                  <c:v>1.9699635287201842</c:v>
                </c:pt>
                <c:pt idx="8">
                  <c:v>0.75502668507959569</c:v>
                </c:pt>
                <c:pt idx="9">
                  <c:v>0.34470892508136258</c:v>
                </c:pt>
                <c:pt idx="10">
                  <c:v>0.62341009084862331</c:v>
                </c:pt>
                <c:pt idx="11">
                  <c:v>1.567697269859734</c:v>
                </c:pt>
                <c:pt idx="12">
                  <c:v>0.64020421230646374</c:v>
                </c:pt>
                <c:pt idx="13">
                  <c:v>0.70711037213468053</c:v>
                </c:pt>
                <c:pt idx="14">
                  <c:v>0.74016579039332075</c:v>
                </c:pt>
                <c:pt idx="15">
                  <c:v>0.903224419390758</c:v>
                </c:pt>
                <c:pt idx="16">
                  <c:v>1.1813218847723539</c:v>
                </c:pt>
                <c:pt idx="17">
                  <c:v>0.75870054491034289</c:v>
                </c:pt>
                <c:pt idx="18">
                  <c:v>0.49796163385930658</c:v>
                </c:pt>
                <c:pt idx="19">
                  <c:v>1.189548</c:v>
                </c:pt>
                <c:pt idx="20">
                  <c:v>2.2464663017389297</c:v>
                </c:pt>
                <c:pt idx="21">
                  <c:v>1.5537370230374468</c:v>
                </c:pt>
                <c:pt idx="22">
                  <c:v>6.8367899264396588</c:v>
                </c:pt>
                <c:pt idx="23">
                  <c:v>2.4685162563427929</c:v>
                </c:pt>
                <c:pt idx="24">
                  <c:v>0.40596357776542985</c:v>
                </c:pt>
                <c:pt idx="25">
                  <c:v>0.724502982749122</c:v>
                </c:pt>
                <c:pt idx="26">
                  <c:v>0.60031846930096644</c:v>
                </c:pt>
              </c:numCache>
            </c:numRef>
          </c:yVal>
          <c:smooth val="0"/>
          <c:extLst>
            <c:ext xmlns:c="http://schemas.openxmlformats.org/drawingml/2006/chart" xmlns:c16="http://schemas.microsoft.com/office/drawing/2014/chart" uri="{C3380CC4-5D6E-409C-BE32-E72D297353CC}">
              <c16:uniqueId val="{0000001A-C241-4571-94EA-F886FAADFA08}"/>
            </c:ext>
          </c:extLst>
        </c:ser>
        <c:dLbls>
          <c:showLegendKey val="0"/>
          <c:showVal val="0"/>
          <c:showCatName val="0"/>
          <c:showSerName val="0"/>
          <c:showPercent val="0"/>
          <c:showBubbleSize val="0"/>
        </c:dLbls>
        <c:axId val="629835752"/>
        <c:axId val="629836536"/>
      </c:scatterChart>
      <c:valAx>
        <c:axId val="629835752"/>
        <c:scaling>
          <c:orientation val="minMax"/>
          <c:max val="60"/>
          <c:min val="0"/>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29836536"/>
        <c:crosses val="autoZero"/>
        <c:crossBetween val="midCat"/>
      </c:valAx>
      <c:valAx>
        <c:axId val="629836536"/>
        <c:scaling>
          <c:orientation val="minMax"/>
          <c:max val="2.5"/>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29835752"/>
        <c:crosses val="autoZero"/>
        <c:crossBetween val="midCat"/>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2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7354822834645707"/>
          <c:y val="0.054187037037040774"/>
          <c:w val="0.8789631193571017"/>
          <c:h val="0.65819691475895215"/>
        </c:manualLayout>
      </c:layout>
      <c:barChart>
        <c:barDir val="col"/>
        <c:grouping val="clustered"/>
        <c:varyColors val="0"/>
        <c:ser>
          <c:idx val="0"/>
          <c:order val="1"/>
          <c:tx>
            <c:strRef>
              <c:f>Sheet1!$A$4</c:f>
              <c:strCache>
                <c:ptCount val="1"/>
                <c:pt idx="0">
                  <c:v>tūkst. GWh (labā ass)</c:v>
                </c:pt>
              </c:strCache>
            </c:strRef>
          </c:tx>
          <c:spPr>
            <a:solidFill>
              <a:schemeClr val="accent6"/>
            </a:solidFill>
          </c:spPr>
          <c:invertIfNegative val="0"/>
          <c:cat>
            <c:numRef>
              <c:f>Sheet1!$B$2:$M$2</c:f>
              <c:numCache>
                <c:formatCode>0</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Sheet1!$B$4:$M$4</c:f>
              <c:numCache>
                <c:formatCode>0</c:formatCode>
                <c:ptCount val="12"/>
                <c:pt idx="0">
                  <c:v>0.707</c:v>
                </c:pt>
                <c:pt idx="1">
                  <c:v>0.302</c:v>
                </c:pt>
                <c:pt idx="2">
                  <c:v>1.964</c:v>
                </c:pt>
                <c:pt idx="3">
                  <c:v>2.123</c:v>
                </c:pt>
                <c:pt idx="4">
                  <c:v>2.605</c:v>
                </c:pt>
                <c:pt idx="5">
                  <c:v>3.1</c:v>
                </c:pt>
                <c:pt idx="6">
                  <c:v>2.764</c:v>
                </c:pt>
                <c:pt idx="7">
                  <c:v>3.244</c:v>
                </c:pt>
                <c:pt idx="8">
                  <c:v>3.65</c:v>
                </c:pt>
                <c:pt idx="9">
                  <c:v>3.023</c:v>
                </c:pt>
                <c:pt idx="10">
                  <c:v>3.425</c:v>
                </c:pt>
                <c:pt idx="11">
                  <c:v>3.795</c:v>
                </c:pt>
              </c:numCache>
            </c:numRef>
          </c:val>
          <c:extLst>
            <c:ext xmlns:c="http://schemas.openxmlformats.org/drawingml/2006/chart" xmlns:c16="http://schemas.microsoft.com/office/drawing/2014/chart" uri="{C3380CC4-5D6E-409C-BE32-E72D297353CC}">
              <c16:uniqueId val="{00000000-3DF8-46E4-A941-701E7CCDA795}"/>
            </c:ext>
          </c:extLst>
        </c:ser>
        <c:dLbls>
          <c:showLegendKey val="0"/>
          <c:showVal val="0"/>
          <c:showCatName val="0"/>
          <c:showSerName val="0"/>
          <c:showPercent val="0"/>
          <c:showBubbleSize val="0"/>
        </c:dLbls>
        <c:gapWidth val="40"/>
        <c:axId val="656367632"/>
        <c:axId val="656362536"/>
      </c:barChart>
      <c:lineChart>
        <c:grouping val="standard"/>
        <c:varyColors val="0"/>
        <c:ser>
          <c:idx val="9"/>
          <c:order val="0"/>
          <c:tx>
            <c:strRef>
              <c:f>Sheet1!$A$3</c:f>
              <c:strCache>
                <c:ptCount val="1"/>
                <c:pt idx="0">
                  <c:v>milj. eiro (kreisā ass)</c:v>
                </c:pt>
              </c:strCache>
            </c:strRef>
          </c:tx>
          <c:spPr>
            <a:ln w="25400">
              <a:solidFill>
                <a:schemeClr val="accent5">
                  <a:lumMod val="75000"/>
                </a:schemeClr>
              </a:solidFill>
            </a:ln>
            <a:effectLst/>
          </c:spPr>
          <c:marker>
            <c:symbol val="none"/>
          </c:marker>
          <c:cat>
            <c:numRef>
              <c:f>Sheet1!$B$2:$M$2</c:f>
              <c:numCache>
                <c:formatCode>0</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Sheet1!$B$3:$M$3</c:f>
              <c:numCache>
                <c:formatCode>0.0</c:formatCode>
                <c:ptCount val="12"/>
                <c:pt idx="0">
                  <c:v>9.594118</c:v>
                </c:pt>
                <c:pt idx="1">
                  <c:v>5.493728</c:v>
                </c:pt>
                <c:pt idx="2">
                  <c:v>11.402259</c:v>
                </c:pt>
                <c:pt idx="3">
                  <c:v>15.757137</c:v>
                </c:pt>
                <c:pt idx="4">
                  <c:v>35.901799</c:v>
                </c:pt>
                <c:pt idx="5">
                  <c:v>59.40414</c:v>
                </c:pt>
                <c:pt idx="6">
                  <c:v>110.296999</c:v>
                </c:pt>
                <c:pt idx="7">
                  <c:v>70.761774</c:v>
                </c:pt>
                <c:pt idx="8">
                  <c:v>64.024361</c:v>
                </c:pt>
                <c:pt idx="9">
                  <c:v>9.768577</c:v>
                </c:pt>
                <c:pt idx="10">
                  <c:v>3.92046</c:v>
                </c:pt>
                <c:pt idx="11" formatCode="0">
                  <c:v>2.802328</c:v>
                </c:pt>
              </c:numCache>
            </c:numRef>
          </c:val>
          <c:smooth val="0"/>
          <c:extLst>
            <c:ext xmlns:c="http://schemas.openxmlformats.org/drawingml/2006/chart" xmlns:c16="http://schemas.microsoft.com/office/drawing/2014/chart" uri="{C3380CC4-5D6E-409C-BE32-E72D297353CC}">
              <c16:uniqueId val="{00000001-3DF8-46E4-A941-701E7CCDA795}"/>
            </c:ext>
          </c:extLst>
        </c:ser>
        <c:dLbls>
          <c:showLegendKey val="0"/>
          <c:showVal val="0"/>
          <c:showCatName val="0"/>
          <c:showSerName val="0"/>
          <c:showPercent val="0"/>
          <c:showBubbleSize val="0"/>
        </c:dLbls>
        <c:marker val="1"/>
        <c:smooth val="0"/>
        <c:axId val="656365280"/>
        <c:axId val="656368416"/>
      </c:lineChart>
      <c:catAx>
        <c:axId val="656365280"/>
        <c:scaling>
          <c:orientation val="minMax"/>
        </c:scaling>
        <c:delete val="0"/>
        <c:axPos val="b"/>
        <c:numFmt formatCode="0" sourceLinked="1"/>
        <c:majorTickMark val="out"/>
        <c:minorTickMark val="none"/>
        <c:tickLblPos val="low"/>
        <c:spPr>
          <a:noFill/>
          <a:ln w="3175">
            <a:solidFill>
              <a:sysClr val="window" lastClr="FFFFFF">
                <a:lumMod val="50000"/>
              </a:sysClr>
            </a:solidFill>
            <a:round/>
          </a:ln>
          <a:effectLst/>
        </c:spPr>
        <c:txPr>
          <a:bodyPr rot="-5400000" vert="horz"/>
          <a:lstStyle/>
          <a:p>
            <a:pPr>
              <a:defRPr sz="700"/>
            </a:pPr>
            <a:endParaRPr lang="lv-LV"/>
          </a:p>
        </c:txPr>
        <c:crossAx val="656368416"/>
        <c:crosses val="autoZero"/>
        <c:lblAlgn val="ctr"/>
        <c:lblOffset val="100"/>
        <c:noMultiLvlLbl val="0"/>
      </c:catAx>
      <c:valAx>
        <c:axId val="656368416"/>
        <c:scaling>
          <c:orientation val="minMax"/>
          <c:max val="120"/>
          <c:min val="0"/>
        </c:scaling>
        <c:delete val="0"/>
        <c:axPos val="l"/>
        <c:numFmt formatCode="0" sourceLinked="0"/>
        <c:majorTickMark val="out"/>
        <c:minorTickMark val="none"/>
        <c:tickLblPos val="nextTo"/>
        <c:spPr>
          <a:noFill/>
          <a:ln w="3175">
            <a:solidFill>
              <a:sysClr val="window" lastClr="FFFFFF">
                <a:lumMod val="50000"/>
              </a:sysClr>
            </a:solidFill>
            <a:round/>
          </a:ln>
          <a:effectLst/>
        </c:spPr>
        <c:txPr>
          <a:bodyPr rot="0"/>
          <a:lstStyle/>
          <a:p>
            <a:pPr>
              <a:defRPr/>
            </a:pPr>
            <a:endParaRPr lang="lv-LV"/>
          </a:p>
        </c:txPr>
        <c:crossAx val="656365280"/>
        <c:crosses val="autoZero"/>
        <c:crossBetween val="between"/>
        <c:majorUnit val="30"/>
      </c:valAx>
      <c:valAx>
        <c:axId val="656362536"/>
        <c:scaling>
          <c:orientation val="minMax"/>
          <c:max val="8"/>
        </c:scaling>
        <c:delete val="0"/>
        <c:axPos val="r"/>
        <c:numFmt formatCode="0" sourceLinked="1"/>
        <c:majorTickMark val="out"/>
        <c:minorTickMark val="none"/>
        <c:tickLblPos val="nextTo"/>
        <c:crossAx val="656367632"/>
        <c:crosses val="max"/>
        <c:crossBetween val="between"/>
        <c:majorUnit val="4"/>
      </c:valAx>
      <c:catAx>
        <c:axId val="656367632"/>
        <c:scaling>
          <c:orientation val="minMax"/>
        </c:scaling>
        <c:delete val="1"/>
        <c:axPos val="b"/>
        <c:numFmt formatCode="0" sourceLinked="1"/>
        <c:majorTickMark val="out"/>
        <c:minorTickMark val="none"/>
        <c:tickLblPos val="low"/>
        <c:spPr>
          <a:noFill/>
          <a:ln w="3175">
            <a:solidFill>
              <a:sysClr val="window" lastClr="FFFFFF">
                <a:lumMod val="50000"/>
              </a:sysClr>
            </a:solidFill>
            <a:round/>
          </a:ln>
          <a:effectLst/>
        </c:spPr>
        <c:txPr>
          <a:bodyPr rot="-5400000" vert="horz"/>
          <a:lstStyle/>
          <a:p>
            <a:pPr>
              <a:defRPr sz="700"/>
            </a:pPr>
            <a:endParaRPr lang="lv-LV"/>
          </a:p>
        </c:txPr>
        <c:crossAx val="656362536"/>
        <c:crosses val="autoZero"/>
        <c:lblAlgn val="ctr"/>
        <c:lblOffset val="100"/>
        <c:noMultiLvlLbl val="0"/>
      </c:catAx>
      <c:spPr>
        <a:noFill/>
        <a:ln w="24631">
          <a:noFill/>
        </a:ln>
        <a:effectLst/>
      </c:spPr>
    </c:plotArea>
    <c:legend>
      <c:legendPos val="l"/>
      <c:layout>
        <c:manualLayout>
          <c:xMode val="edge"/>
          <c:yMode val="edge"/>
          <c:x val="0.12820512820512819"/>
          <c:y val="0.063882793339357175"/>
          <c:w val="0.57692307692307687"/>
          <c:h val="0.30017856374510565"/>
        </c:manualLayout>
      </c:layout>
      <c:overlay val="0"/>
    </c:legend>
    <c:plotVisOnly val="1"/>
    <c:dispBlanksAs val="gap"/>
    <c:showDLblsOverMax val="0"/>
  </c:chart>
  <c:spPr>
    <a:noFill/>
    <a:ln w="9525">
      <a:noFill/>
      <a:round/>
    </a:ln>
    <a:effectLst/>
  </c:spPr>
  <c:txPr>
    <a:bodyPr/>
    <a:lstStyle/>
    <a:p>
      <a:pPr>
        <a:defRPr sz="800" b="0" i="0" u="none" strike="noStrike" baseline="0">
          <a:solidFill>
            <a:srgbClr val="000000"/>
          </a:solidFill>
          <a:latin typeface="Arial Narrow" panose="020B0606020202030204" pitchFamily="34" charset="0"/>
          <a:ea typeface="Arial"/>
          <a:cs typeface="Arial"/>
        </a:defRPr>
      </a:pPr>
      <a:endParaRPr lang="lv-LV"/>
    </a:p>
  </c:txPr>
  <c:externalData r:id="rId1">
    <c:autoUpdate val="0"/>
  </c:externalData>
</c:chartSpace>
</file>

<file path=word/charts/chart2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5939056398438"/>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11A7-44BA-AC3C-613913E3DDD8}"/>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11A7-44BA-AC3C-613913E3DDD8}"/>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Sheet1!$B$2:$L$2</c:f>
              <c:numCache>
                <c:formatCode>0</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Sheet1!$B$3:$L$3</c:f>
              <c:numCache>
                <c:formatCode>0.0</c:formatCode>
                <c:ptCount val="11"/>
                <c:pt idx="0">
                  <c:v>0.72082028549962429</c:v>
                </c:pt>
                <c:pt idx="1">
                  <c:v>0.44020256410256409</c:v>
                </c:pt>
                <c:pt idx="2">
                  <c:v>0.98380146678170843</c:v>
                </c:pt>
                <c:pt idx="3">
                  <c:v>1.0704576766304348</c:v>
                </c:pt>
                <c:pt idx="4">
                  <c:v>2.5680829041487838</c:v>
                </c:pt>
                <c:pt idx="5">
                  <c:v>4.7906564516129029</c:v>
                </c:pt>
                <c:pt idx="6">
                  <c:v>8.9745320585842148</c:v>
                </c:pt>
                <c:pt idx="7">
                  <c:v>5.7859177432542923</c:v>
                </c:pt>
                <c:pt idx="8">
                  <c:v>5.1925678021086776</c:v>
                </c:pt>
                <c:pt idx="9">
                  <c:v>0.80598820132013216</c:v>
                </c:pt>
                <c:pt idx="10">
                  <c:v>0.33056155143338956</c:v>
                </c:pt>
              </c:numCache>
            </c:numRef>
          </c:val>
          <c:extLst>
            <c:ext xmlns:c="http://schemas.openxmlformats.org/drawingml/2006/chart" xmlns:c16="http://schemas.microsoft.com/office/drawing/2014/chart" uri="{C3380CC4-5D6E-409C-BE32-E72D297353CC}">
              <c16:uniqueId val="{00000004-11A7-44BA-AC3C-613913E3DDD8}"/>
            </c:ext>
          </c:extLst>
        </c:ser>
        <c:dLbls>
          <c:showLegendKey val="0"/>
          <c:showVal val="0"/>
          <c:showCatName val="0"/>
          <c:showSerName val="0"/>
          <c:showPercent val="0"/>
          <c:showBubbleSize val="0"/>
        </c:dLbls>
        <c:gapWidth val="20"/>
        <c:axId val="656366456"/>
        <c:axId val="656370376"/>
      </c:barChart>
      <c:catAx>
        <c:axId val="656366456"/>
        <c:scaling>
          <c:orientation val="minMax"/>
        </c:scaling>
        <c:delete val="0"/>
        <c:axPos val="b"/>
        <c:numFmt formatCode="0" sourceLinked="1"/>
        <c:majorTickMark val="out"/>
        <c:minorTickMark val="none"/>
        <c:tickLblPos val="low"/>
        <c:txPr>
          <a:bodyPr rot="-5400000" vert="horz"/>
          <a:lstStyle/>
          <a:p>
            <a:pPr>
              <a:defRPr/>
            </a:pPr>
            <a:endParaRPr lang="lv-LV"/>
          </a:p>
        </c:txPr>
        <c:crossAx val="656370376"/>
        <c:crosses val="autoZero"/>
        <c:auto val="1"/>
        <c:lblAlgn val="ctr"/>
        <c:lblOffset val="100"/>
        <c:noMultiLvlLbl val="0"/>
      </c:catAx>
      <c:valAx>
        <c:axId val="656370376"/>
        <c:scaling>
          <c:orientation val="minMax"/>
          <c:max val="10"/>
        </c:scaling>
        <c:delete val="0"/>
        <c:axPos val="l"/>
        <c:numFmt formatCode="0" sourceLinked="0"/>
        <c:majorTickMark val="out"/>
        <c:minorTickMark val="none"/>
        <c:tickLblPos val="nextTo"/>
        <c:crossAx val="656366456"/>
        <c:crosses val="autoZero"/>
        <c:crossBetween val="between"/>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2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572372897835"/>
          <c:y val="0.044057785459744363"/>
          <c:w val="0.9310540474739486"/>
          <c:h val="0.49485948402791113"/>
        </c:manualLayout>
      </c:layout>
      <c:barChart>
        <c:barDir val="col"/>
        <c:grouping val="clustered"/>
        <c:varyColors val="0"/>
        <c:ser>
          <c:idx val="1"/>
          <c:order val="0"/>
          <c:spPr>
            <a:solidFill>
              <a:schemeClr val="accent3">
                <a:lumMod val="50000"/>
              </a:schemeClr>
            </a:solidFill>
            <a:ln w="19050"/>
          </c:spPr>
          <c:invertIfNegative val="0"/>
          <c:dPt>
            <c:idx val="8"/>
            <c:invertIfNegative val="0"/>
            <c:bubble3D val="0"/>
            <c:extLst>
              <c:ext xmlns:c="http://schemas.openxmlformats.org/drawingml/2006/chart" xmlns:c16="http://schemas.microsoft.com/office/drawing/2014/chart" uri="{C3380CC4-5D6E-409C-BE32-E72D297353CC}">
                <c16:uniqueId val="{00000000-2F12-4E2A-B0FB-E15801D8BF5A}"/>
              </c:ext>
            </c:extLst>
          </c:dPt>
          <c:dPt>
            <c:idx val="9"/>
            <c:invertIfNegative val="0"/>
            <c:bubble3D val="0"/>
            <c:extLst>
              <c:ext xmlns:c="http://schemas.openxmlformats.org/drawingml/2006/chart" xmlns:c16="http://schemas.microsoft.com/office/drawing/2014/chart" uri="{C3380CC4-5D6E-409C-BE32-E72D297353CC}">
                <c16:uniqueId val="{00000001-2F12-4E2A-B0FB-E15801D8BF5A}"/>
              </c:ext>
            </c:extLst>
          </c:dPt>
          <c:dPt>
            <c:idx val="12"/>
            <c:invertIfNegative val="0"/>
            <c:bubble3D val="0"/>
            <c:extLst>
              <c:ext xmlns:c="http://schemas.openxmlformats.org/drawingml/2006/chart" xmlns:c16="http://schemas.microsoft.com/office/drawing/2014/chart" uri="{C3380CC4-5D6E-409C-BE32-E72D297353CC}">
                <c16:uniqueId val="{00000002-2F12-4E2A-B0FB-E15801D8BF5A}"/>
              </c:ext>
            </c:extLst>
          </c:dPt>
          <c:dPt>
            <c:idx val="14"/>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4-2F12-4E2A-B0FB-E15801D8BF5A}"/>
              </c:ext>
            </c:extLst>
          </c:dPt>
          <c:dPt>
            <c:idx val="21"/>
            <c:invertIfNegative val="0"/>
            <c:bubble3D val="0"/>
            <c:extLst>
              <c:ext xmlns:c="http://schemas.openxmlformats.org/drawingml/2006/chart" xmlns:c16="http://schemas.microsoft.com/office/drawing/2014/chart" uri="{C3380CC4-5D6E-409C-BE32-E72D297353CC}">
                <c16:uniqueId val="{00000005-2F12-4E2A-B0FB-E15801D8BF5A}"/>
              </c:ext>
            </c:extLst>
          </c:dPt>
          <c:dPt>
            <c:idx val="24"/>
            <c:invertIfNegative val="0"/>
            <c:bubble3D val="0"/>
            <c:spPr>
              <a:solidFill>
                <a:srgbClr val="C00000"/>
              </a:solidFill>
              <a:ln w="19050"/>
            </c:spPr>
            <c:extLst>
              <c:ext xmlns:c="http://schemas.openxmlformats.org/drawingml/2006/chart" xmlns:c16="http://schemas.microsoft.com/office/drawing/2014/chart" uri="{C3380CC4-5D6E-409C-BE32-E72D297353CC}">
                <c16:uniqueId val="{00000007-2F12-4E2A-B0FB-E15801D8BF5A}"/>
              </c:ext>
            </c:extLst>
          </c:dPt>
          <c:dPt>
            <c:idx val="25"/>
            <c:invertIfNegative val="0"/>
            <c:bubble3D val="0"/>
            <c:extLst>
              <c:ext xmlns:c="http://schemas.openxmlformats.org/drawingml/2006/chart" xmlns:c16="http://schemas.microsoft.com/office/drawing/2014/chart" uri="{C3380CC4-5D6E-409C-BE32-E72D297353CC}">
                <c16:uniqueId val="{00000008-2F12-4E2A-B0FB-E15801D8BF5A}"/>
              </c:ext>
            </c:extLst>
          </c:dPt>
          <c:dLbls>
            <c:dLbl>
              <c:idx val="0"/>
              <c:spPr>
                <a:noFill/>
                <a:ln>
                  <a:noFill/>
                </a:ln>
                <a:effectLst/>
              </c:spPr>
              <c:txPr>
                <a:bodyPr wrap="square" lIns="38100" tIns="19050" rIns="38100" bIns="19050" anchor="ctr">
                  <a:spAutoFit/>
                </a:bodyPr>
                <a:lstStyle/>
                <a:p>
                  <a:pPr>
                    <a:defRPr sz="600">
                      <a:solidFill>
                        <a:schemeClr val="bg1"/>
                      </a:solidFill>
                    </a:defRPr>
                  </a:pPr>
                  <a:endParaRPr lang="lv-LV"/>
                </a:p>
              </c:txPr>
              <c:dLblPos val="in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2F12-4E2A-B0FB-E15801D8BF5A}"/>
                </c:ext>
                <c:ext xmlns:c15="http://schemas.microsoft.com/office/drawing/2012/chart" uri="{CE6537A1-D6FC-4f65-9D91-7224C49458BB}"/>
              </c:extLst>
            </c:dLbl>
            <c:dLbl>
              <c:idx val="1"/>
              <c:spPr>
                <a:noFill/>
                <a:ln>
                  <a:noFill/>
                </a:ln>
                <a:effectLst/>
              </c:spPr>
              <c:txPr>
                <a:bodyPr wrap="square" lIns="38100" tIns="19050" rIns="38100" bIns="19050" anchor="ctr">
                  <a:spAutoFit/>
                </a:bodyPr>
                <a:lstStyle/>
                <a:p>
                  <a:pPr>
                    <a:defRPr sz="600">
                      <a:solidFill>
                        <a:sysClr val="windowText" lastClr="000000"/>
                      </a:solidFill>
                    </a:defRPr>
                  </a:pPr>
                  <a:endParaRPr lang="lv-LV"/>
                </a:p>
              </c:txPr>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2F12-4E2A-B0FB-E15801D8BF5A}"/>
                </c:ext>
                <c:ext xmlns:c15="http://schemas.microsoft.com/office/drawing/2012/chart" uri="{CE6537A1-D6FC-4f65-9D91-7224C49458BB}"/>
              </c:extLst>
            </c:dLbl>
            <c:dLbl>
              <c:idx val="2"/>
              <c:spPr>
                <a:noFill/>
                <a:ln>
                  <a:noFill/>
                </a:ln>
                <a:effectLst/>
              </c:spPr>
              <c:txPr>
                <a:bodyPr wrap="square" lIns="38100" tIns="19050" rIns="38100" bIns="19050" anchor="ctr">
                  <a:spAutoFit/>
                </a:bodyPr>
                <a:lstStyle/>
                <a:p>
                  <a:pPr>
                    <a:defRPr sz="600">
                      <a:solidFill>
                        <a:sysClr val="windowText" lastClr="000000"/>
                      </a:solidFill>
                    </a:defRPr>
                  </a:pPr>
                  <a:endParaRPr lang="lv-LV"/>
                </a:p>
              </c:txPr>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2F12-4E2A-B0FB-E15801D8BF5A}"/>
                </c:ext>
                <c:ext xmlns:c15="http://schemas.microsoft.com/office/drawing/2012/chart" uri="{CE6537A1-D6FC-4f65-9D91-7224C49458BB}"/>
              </c:extLst>
            </c:dLbl>
            <c:dLbl>
              <c:idx val="24"/>
              <c:spPr>
                <a:noFill/>
                <a:ln>
                  <a:noFill/>
                </a:ln>
                <a:effectLst/>
              </c:spPr>
              <c:txPr>
                <a:bodyPr wrap="square" lIns="38100" tIns="19050" rIns="38100" bIns="19050" anchor="ctr">
                  <a:spAutoFit/>
                </a:bodyPr>
                <a:lstStyle/>
                <a:p>
                  <a:pPr>
                    <a:defRPr sz="600" b="1"/>
                  </a:pPr>
                  <a:endParaRPr lang="lv-LV"/>
                </a:p>
              </c:txPr>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Sheet1!$A$4:$A$29</c:f>
              <c:strCache>
                <c:ptCount val="26"/>
                <c:pt idx="0">
                  <c:v>Slovēnija</c:v>
                </c:pt>
                <c:pt idx="1">
                  <c:v>Nīderlande</c:v>
                </c:pt>
                <c:pt idx="2">
                  <c:v>Čehija</c:v>
                </c:pt>
                <c:pt idx="3">
                  <c:v>Austrija</c:v>
                </c:pt>
                <c:pt idx="4">
                  <c:v>Luksemburga</c:v>
                </c:pt>
                <c:pt idx="5">
                  <c:v>Igaunija</c:v>
                </c:pt>
                <c:pt idx="6">
                  <c:v>Horvātija</c:v>
                </c:pt>
                <c:pt idx="7">
                  <c:v>Zviedrija</c:v>
                </c:pt>
                <c:pt idx="8">
                  <c:v>Ungārija</c:v>
                </c:pt>
                <c:pt idx="9">
                  <c:v>Dānija</c:v>
                </c:pt>
                <c:pt idx="10">
                  <c:v>Vācija</c:v>
                </c:pt>
                <c:pt idx="11">
                  <c:v>Bulgārija</c:v>
                </c:pt>
                <c:pt idx="12">
                  <c:v>Portugāle</c:v>
                </c:pt>
                <c:pt idx="13">
                  <c:v>Spānija</c:v>
                </c:pt>
                <c:pt idx="14">
                  <c:v>EU-28</c:v>
                </c:pt>
                <c:pt idx="15">
                  <c:v>Somija</c:v>
                </c:pt>
                <c:pt idx="16">
                  <c:v>Beļģija</c:v>
                </c:pt>
                <c:pt idx="17">
                  <c:v>Grieķija</c:v>
                </c:pt>
                <c:pt idx="18">
                  <c:v>Polija</c:v>
                </c:pt>
                <c:pt idx="19">
                  <c:v>Itālija</c:v>
                </c:pt>
                <c:pt idx="20">
                  <c:v>Īrija</c:v>
                </c:pt>
                <c:pt idx="21">
                  <c:v>Lietuva</c:v>
                </c:pt>
                <c:pt idx="22">
                  <c:v>Apv. Karaliste</c:v>
                </c:pt>
                <c:pt idx="23">
                  <c:v>Slovākija</c:v>
                </c:pt>
                <c:pt idx="24">
                  <c:v>Latvija</c:v>
                </c:pt>
                <c:pt idx="25">
                  <c:v>Kipra</c:v>
                </c:pt>
              </c:strCache>
            </c:strRef>
          </c:cat>
          <c:val>
            <c:numRef>
              <c:f>Sheet1!$B$4:$B$29</c:f>
              <c:numCache>
                <c:formatCode>0</c:formatCode>
                <c:ptCount val="26"/>
                <c:pt idx="0">
                  <c:v>56.018635973597362</c:v>
                </c:pt>
                <c:pt idx="1">
                  <c:v>40.805008166666667</c:v>
                </c:pt>
                <c:pt idx="2">
                  <c:v>33.121524094626167</c:v>
                </c:pt>
                <c:pt idx="3">
                  <c:v>32.021447159940209</c:v>
                </c:pt>
                <c:pt idx="4">
                  <c:v>29.506726490066228</c:v>
                </c:pt>
                <c:pt idx="5">
                  <c:v>28.562538933333332</c:v>
                </c:pt>
                <c:pt idx="6">
                  <c:v>26.745095565092988</c:v>
                </c:pt>
                <c:pt idx="7">
                  <c:v>24.354993241379308</c:v>
                </c:pt>
                <c:pt idx="8">
                  <c:v>22.609021555252387</c:v>
                </c:pt>
                <c:pt idx="9">
                  <c:v>18.387375300000002</c:v>
                </c:pt>
                <c:pt idx="10">
                  <c:v>14.293697636</c:v>
                </c:pt>
                <c:pt idx="11">
                  <c:v>13.888598093422306</c:v>
                </c:pt>
                <c:pt idx="12">
                  <c:v>13.471379343863912</c:v>
                </c:pt>
                <c:pt idx="13">
                  <c:v>11.903628798267773</c:v>
                </c:pt>
                <c:pt idx="14">
                  <c:v>11.892627158857177</c:v>
                </c:pt>
                <c:pt idx="15">
                  <c:v>11.80734688</c:v>
                </c:pt>
                <c:pt idx="16" formatCode="0.0">
                  <c:v>5.8368514973262036</c:v>
                </c:pt>
                <c:pt idx="17" formatCode="0.0">
                  <c:v>5.2991504835589947</c:v>
                </c:pt>
                <c:pt idx="18" formatCode="0.0">
                  <c:v>3.0221550656018255</c:v>
                </c:pt>
                <c:pt idx="19" formatCode="0.0">
                  <c:v>2.6573964170506912</c:v>
                </c:pt>
                <c:pt idx="20" formatCode="0.0">
                  <c:v>2.5505658276863503</c:v>
                </c:pt>
                <c:pt idx="21" formatCode="0.0">
                  <c:v>0.88724</c:v>
                </c:pt>
                <c:pt idx="22" formatCode="0.0">
                  <c:v>0.78869493203309682</c:v>
                </c:pt>
                <c:pt idx="23" formatCode="0.0">
                  <c:v>0.66072092238470193</c:v>
                </c:pt>
                <c:pt idx="24" formatCode="0.0">
                  <c:v>0.33056155143338956</c:v>
                </c:pt>
                <c:pt idx="25" formatCode="0.0">
                  <c:v>0</c:v>
                </c:pt>
              </c:numCache>
            </c:numRef>
          </c:val>
          <c:extLst>
            <c:ext xmlns:c="http://schemas.openxmlformats.org/drawingml/2006/chart" xmlns:c16="http://schemas.microsoft.com/office/drawing/2014/chart" uri="{C3380CC4-5D6E-409C-BE32-E72D297353CC}">
              <c16:uniqueId val="{0000000C-2F12-4E2A-B0FB-E15801D8BF5A}"/>
            </c:ext>
          </c:extLst>
        </c:ser>
        <c:dLbls>
          <c:showLegendKey val="0"/>
          <c:showVal val="0"/>
          <c:showCatName val="0"/>
          <c:showSerName val="0"/>
          <c:showPercent val="0"/>
          <c:showBubbleSize val="0"/>
        </c:dLbls>
        <c:gapWidth val="20"/>
        <c:axId val="656366064"/>
        <c:axId val="656369200"/>
      </c:barChart>
      <c:catAx>
        <c:axId val="656366064"/>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56369200"/>
        <c:crosses val="autoZero"/>
        <c:auto val="1"/>
        <c:lblAlgn val="ctr"/>
        <c:lblOffset val="100"/>
        <c:tickLblSkip val="1"/>
        <c:noMultiLvlLbl val="0"/>
      </c:catAx>
      <c:valAx>
        <c:axId val="656369200"/>
        <c:scaling>
          <c:orientation val="minMax"/>
        </c:scaling>
        <c:delete val="0"/>
        <c:axPos val="l"/>
        <c:numFmt formatCode="0" sourceLinked="0"/>
        <c:majorTickMark val="out"/>
        <c:minorTickMark val="none"/>
        <c:tickLblPos val="nextTo"/>
        <c:txPr>
          <a:bodyPr/>
          <a:lstStyle/>
          <a:p>
            <a:pPr>
              <a:defRPr sz="600"/>
            </a:pPr>
            <a:endParaRPr lang="lv-LV"/>
          </a:p>
        </c:txPr>
        <c:crossAx val="656366064"/>
        <c:crosses val="autoZero"/>
        <c:crossBetween val="between"/>
      </c:valAx>
    </c:plotArea>
    <c:plotVisOnly val="1"/>
    <c:dispBlanksAs val="gap"/>
    <c:showDLblsOverMax val="0"/>
  </c:chart>
  <c:spPr>
    <a:ln w="9525">
      <a:noFill/>
    </a:ln>
  </c:spPr>
  <c:externalData r:id="rId1">
    <c:autoUpdate val="0"/>
  </c:externalData>
</c:chartSpace>
</file>

<file path=word/charts/chart2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449061330451076"/>
          <c:y val="0.15218914041994749"/>
          <c:w val="0.52181675566416263"/>
          <c:h val="0.709344652230971"/>
        </c:manualLayout>
      </c:layout>
      <c:pieChart>
        <c:varyColors val="1"/>
        <c:ser>
          <c:idx val="0"/>
          <c:order val="0"/>
          <c:tx>
            <c:strRef>
              <c:f>Sheet1!$B$1</c:f>
              <c:strCache>
                <c:ptCount val="1"/>
                <c:pt idx="0">
                  <c:v>Column1</c:v>
                </c:pt>
              </c:strCache>
            </c:strRef>
          </c:tx>
          <c:dPt>
            <c:idx val="0"/>
            <c:bubble3D val="0"/>
            <c:spPr>
              <a:solidFill>
                <a:schemeClr val="accent1"/>
              </a:solidFill>
              <a:ln>
                <a:noFill/>
              </a:ln>
              <a:effectLst/>
            </c:spPr>
            <c:extLst>
              <c:ext xmlns:c="http://schemas.openxmlformats.org/drawingml/2006/chart" xmlns:c16="http://schemas.microsoft.com/office/drawing/2014/chart" uri="{C3380CC4-5D6E-409C-BE32-E72D297353CC}">
                <c16:uniqueId val="{00000001-8B9B-490B-891E-DFF52FF14D1F}"/>
              </c:ext>
            </c:extLst>
          </c:dPt>
          <c:dPt>
            <c:idx val="1"/>
            <c:bubble3D val="0"/>
            <c:spPr>
              <a:solidFill>
                <a:schemeClr val="accent2"/>
              </a:solidFill>
              <a:ln>
                <a:noFill/>
              </a:ln>
              <a:effectLst/>
            </c:spPr>
            <c:extLst>
              <c:ext xmlns:c="http://schemas.openxmlformats.org/drawingml/2006/chart" xmlns:c16="http://schemas.microsoft.com/office/drawing/2014/chart" uri="{C3380CC4-5D6E-409C-BE32-E72D297353CC}">
                <c16:uniqueId val="{00000003-8B9B-490B-891E-DFF52FF14D1F}"/>
              </c:ext>
            </c:extLst>
          </c:dPt>
          <c:dPt>
            <c:idx val="2"/>
            <c:bubble3D val="0"/>
            <c:spPr>
              <a:solidFill>
                <a:schemeClr val="accent3"/>
              </a:solidFill>
              <a:ln>
                <a:noFill/>
              </a:ln>
              <a:effectLst/>
            </c:spPr>
            <c:extLst>
              <c:ext xmlns:c="http://schemas.openxmlformats.org/drawingml/2006/chart" xmlns:c16="http://schemas.microsoft.com/office/drawing/2014/chart" uri="{C3380CC4-5D6E-409C-BE32-E72D297353CC}">
                <c16:uniqueId val="{00000005-8B9B-490B-891E-DFF52FF14D1F}"/>
              </c:ext>
            </c:extLst>
          </c:dPt>
          <c:dPt>
            <c:idx val="3"/>
            <c:bubble3D val="0"/>
            <c:spPr>
              <a:solidFill>
                <a:schemeClr val="accent4"/>
              </a:solidFill>
              <a:ln>
                <a:noFill/>
              </a:ln>
              <a:effectLst/>
            </c:spPr>
            <c:extLst>
              <c:ext xmlns:c="http://schemas.openxmlformats.org/drawingml/2006/chart" xmlns:c16="http://schemas.microsoft.com/office/drawing/2014/chart" uri="{C3380CC4-5D6E-409C-BE32-E72D297353CC}">
                <c16:uniqueId val="{00000007-8B9B-490B-891E-DFF52FF14D1F}"/>
              </c:ext>
            </c:extLst>
          </c:dPt>
          <c:dPt>
            <c:idx val="4"/>
            <c:bubble3D val="0"/>
            <c:spPr>
              <a:solidFill>
                <a:schemeClr val="accent5"/>
              </a:solidFill>
              <a:ln>
                <a:noFill/>
              </a:ln>
              <a:effectLst/>
            </c:spPr>
            <c:extLst>
              <c:ext xmlns:c="http://schemas.openxmlformats.org/drawingml/2006/chart" xmlns:c16="http://schemas.microsoft.com/office/drawing/2014/chart" uri="{C3380CC4-5D6E-409C-BE32-E72D297353CC}">
                <c16:uniqueId val="{00000009-8B9B-490B-891E-DFF52FF14D1F}"/>
              </c:ext>
            </c:extLst>
          </c:dPt>
          <c:dPt>
            <c:idx val="5"/>
            <c:bubble3D val="0"/>
            <c:spPr>
              <a:solidFill>
                <a:schemeClr val="accent6"/>
              </a:solidFill>
              <a:ln>
                <a:noFill/>
              </a:ln>
              <a:effectLst/>
            </c:spPr>
            <c:extLst>
              <c:ext xmlns:c="http://schemas.openxmlformats.org/drawingml/2006/chart" xmlns:c16="http://schemas.microsoft.com/office/drawing/2014/chart" uri="{C3380CC4-5D6E-409C-BE32-E72D297353CC}">
                <c16:uniqueId val="{0000000B-8B9B-490B-891E-DFF52FF14D1F}"/>
              </c:ext>
            </c:extLst>
          </c:dPt>
          <c:dPt>
            <c:idx val="6"/>
            <c:bubble3D val="0"/>
            <c:spPr>
              <a:solidFill>
                <a:schemeClr val="accent1">
                  <a:lumMod val="60000"/>
                </a:schemeClr>
              </a:solidFill>
              <a:ln>
                <a:noFill/>
              </a:ln>
              <a:effectLst/>
            </c:spPr>
            <c:extLst>
              <c:ext xmlns:c="http://schemas.openxmlformats.org/drawingml/2006/chart" xmlns:c16="http://schemas.microsoft.com/office/drawing/2014/chart" uri="{C3380CC4-5D6E-409C-BE32-E72D297353CC}">
                <c16:uniqueId val="{0000000D-8B9B-490B-891E-DFF52FF14D1F}"/>
              </c:ext>
            </c:extLst>
          </c:dPt>
          <c:dLbls>
            <c:dLbl>
              <c:idx val="0"/>
              <c:spPr>
                <a:noFill/>
                <a:ln>
                  <a:noFill/>
                </a:ln>
                <a:effectLst/>
              </c:spPr>
              <c:txPr>
                <a:bodyPr wrap="square" lIns="38100" tIns="19050" rIns="38100" bIns="19050" anchor="ctr"/>
                <a:lstStyle/>
                <a:p>
                  <a:pPr>
                    <a:defRPr sz="700"/>
                  </a:pPr>
                  <a:endParaRPr lang="lv-LV"/>
                </a:p>
              </c:txPr>
              <c:dLblPos val="outEnd"/>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1-8B9B-490B-891E-DFF52FF14D1F}"/>
                </c:ext>
                <c:ext xmlns:c15="http://schemas.microsoft.com/office/drawing/2012/chart" uri="{CE6537A1-D6FC-4f65-9D91-7224C49458BB}"/>
              </c:extLst>
            </c:dLbl>
            <c:dLbl>
              <c:idx val="2"/>
              <c:layout>
                <c:manualLayout>
                  <c:x val="0.038314176245210725"/>
                  <c:y val="-0.046425255338904362"/>
                </c:manualLayout>
              </c:layout>
              <c:dLblPos val="bestFit"/>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5-8B9B-490B-891E-DFF52FF14D1F}"/>
                </c:ext>
                <c:ext xmlns:c15="http://schemas.microsoft.com/office/drawing/2012/chart" uri="{CE6537A1-D6FC-4f65-9D91-7224C49458BB}">
                  <c15:layout>
                    <c:manualLayout>
                      <c:w val="0.23107309862129302"/>
                      <c:h val="0.26587780287909696"/>
                    </c:manualLayout>
                  </c15:layout>
                </c:ext>
              </c:extLst>
            </c:dLbl>
            <c:dLbl>
              <c:idx val="3"/>
              <c:layout>
                <c:manualLayout>
                  <c:x val="0.099616858237547887"/>
                  <c:y val="0.009285051067780872"/>
                </c:manualLayout>
              </c:layout>
              <c:dLblPos val="bestFit"/>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7-8B9B-490B-891E-DFF52FF14D1F}"/>
                </c:ext>
                <c:ext xmlns:c15="http://schemas.microsoft.com/office/drawing/2012/chart" uri="{CE6537A1-D6FC-4f65-9D91-7224C49458BB}"/>
              </c:extLst>
            </c:dLbl>
            <c:dLbl>
              <c:idx val="4"/>
              <c:layout>
                <c:manualLayout>
                  <c:x val="0.053640148429722145"/>
                  <c:y val="0"/>
                </c:manualLayout>
              </c:layout>
              <c:spPr>
                <a:noFill/>
                <a:ln>
                  <a:noFill/>
                </a:ln>
                <a:effectLst/>
              </c:spPr>
              <c:txPr>
                <a:bodyPr wrap="square" lIns="38100" tIns="19050" rIns="38100" bIns="19050" anchor="ctr"/>
                <a:lstStyle/>
                <a:p>
                  <a:pPr>
                    <a:defRPr sz="700"/>
                  </a:pPr>
                  <a:endParaRPr lang="lv-LV"/>
                </a:p>
              </c:txPr>
              <c:dLblPos val="bestFit"/>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9-8B9B-490B-891E-DFF52FF14D1F}"/>
                </c:ext>
                <c:ext xmlns:c15="http://schemas.microsoft.com/office/drawing/2012/chart" uri="{CE6537A1-D6FC-4f65-9D91-7224C49458BB}">
                  <c15:layout>
                    <c:manualLayout>
                      <c:w val="0.28325640329441576"/>
                      <c:h val="0.20088244540463082"/>
                    </c:manualLayout>
                  </c15:layout>
                </c:ext>
              </c:extLst>
            </c:dLbl>
            <c:dLbl>
              <c:idx val="5"/>
              <c:spPr>
                <a:noFill/>
                <a:ln>
                  <a:noFill/>
                </a:ln>
                <a:effectLst/>
              </c:spPr>
              <c:txPr>
                <a:bodyPr wrap="square" lIns="38100" tIns="19050" rIns="38100" bIns="19050" anchor="ctr"/>
                <a:lstStyle/>
                <a:p>
                  <a:pPr>
                    <a:defRPr sz="700"/>
                  </a:pPr>
                  <a:endParaRPr lang="lv-LV"/>
                </a:p>
              </c:txPr>
              <c:dLblPos val="outEnd"/>
              <c:showLegendKey val="0"/>
              <c:showVal val="0"/>
              <c:showCatName val="1"/>
              <c:showSerName val="0"/>
              <c:showPercent val="1"/>
              <c:showBubbleSize val="0"/>
            </c:dLbl>
            <c:dLbl>
              <c:idx val="6"/>
              <c:layout>
                <c:manualLayout>
                  <c:x val="-0.099616858237547887"/>
                  <c:y val="-0.13927576601671318"/>
                </c:manualLayout>
              </c:layout>
              <c:dLblPos val="bestFit"/>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D-8B9B-490B-891E-DFF52FF14D1F}"/>
                </c:ext>
                <c:ext xmlns:c15="http://schemas.microsoft.com/office/drawing/2012/chart" uri="{CE6537A1-D6FC-4f65-9D91-7224C49458BB}"/>
              </c:extLst>
            </c:dLbl>
            <c:dLbl>
              <c:idx val="7"/>
              <c:layout>
                <c:manualLayout>
                  <c:x val="-0.053639846743295021"/>
                  <c:y val="-0.22284122562674094"/>
                </c:manualLayout>
              </c:layout>
              <c:dLblPos val="bestFit"/>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E-8B9B-490B-891E-DFF52FF14D1F}"/>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700"/>
                </a:pPr>
                <a:endParaRPr lang="lv-LV"/>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Sheet1!$A$2:$A$3</c:f>
              <c:strCache>
                <c:ptCount val="2"/>
                <c:pt idx="0">
                  <c:v>Igaunija</c:v>
                </c:pt>
                <c:pt idx="1">
                  <c:v>Lietuva</c:v>
                </c:pt>
              </c:strCache>
            </c:strRef>
          </c:cat>
          <c:val>
            <c:numRef>
              <c:f>Sheet1!$B$2:$B$3</c:f>
              <c:numCache>
                <c:formatCode>0.00</c:formatCode>
                <c:ptCount val="2"/>
                <c:pt idx="0">
                  <c:v>0.815988429929141</c:v>
                </c:pt>
                <c:pt idx="1">
                  <c:v>0.18401157007085903</c:v>
                </c:pt>
              </c:numCache>
            </c:numRef>
          </c:val>
          <c:extLst>
            <c:ext xmlns:c="http://schemas.openxmlformats.org/drawingml/2006/chart" xmlns:c16="http://schemas.microsoft.com/office/drawing/2014/chart" uri="{C3380CC4-5D6E-409C-BE32-E72D297353CC}">
              <c16:uniqueId val="{0000000F-8B9B-490B-891E-DFF52FF14D1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noFill/>
    <a:ln w="9525">
      <a:noFill/>
      <a:round/>
    </a:ln>
    <a:effectLst/>
  </c:spPr>
  <c:txPr>
    <a:bodyPr/>
    <a:lstStyle/>
    <a:p>
      <a:pPr>
        <a:defRPr sz="800">
          <a:latin typeface="Candara" panose="020E0502030303020204" pitchFamily="34" charset="0"/>
        </a:defRPr>
      </a:pPr>
      <a:endParaRPr lang="lv-LV"/>
    </a:p>
  </c:txPr>
  <c:externalData r:id="rId1">
    <c:autoUpdate val="0"/>
  </c:externalData>
</c:chartSpace>
</file>

<file path=word/charts/chart2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81B9-49A6-9EDA-175FBE3EE3CE}"/>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81B9-49A6-9EDA-175FBE3EE3CE}"/>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Sheet1!$B$2:$M$2</c:f>
              <c:numCache>
                <c:formatCode>0</c:formatCode>
                <c:ptCount val="12"/>
                <c:pt idx="0">
                  <c:v>2005</c:v>
                </c:pt>
                <c:pt idx="1">
                  <c:v>2006</c:v>
                </c:pt>
                <c:pt idx="2">
                  <c:v>2007</c:v>
                </c:pt>
                <c:pt idx="3">
                  <c:v>2008</c:v>
                </c:pt>
                <c:pt idx="4">
                  <c:v>2009</c:v>
                </c:pt>
                <c:pt idx="5">
                  <c:v>2010</c:v>
                </c:pt>
                <c:pt idx="6">
                  <c:v>2011</c:v>
                </c:pt>
                <c:pt idx="7">
                  <c:v>2012</c:v>
                </c:pt>
                <c:pt idx="8">
                  <c:v>2013</c:v>
                </c:pt>
                <c:pt idx="9" formatCode="General">
                  <c:v>2014</c:v>
                </c:pt>
                <c:pt idx="10" formatCode="General">
                  <c:v>2015</c:v>
                </c:pt>
                <c:pt idx="11" formatCode="General">
                  <c:v>2016</c:v>
                </c:pt>
              </c:numCache>
            </c:numRef>
          </c:cat>
          <c:val>
            <c:numRef>
              <c:f>Sheet1!$B$3:$M$3</c:f>
              <c:numCache>
                <c:formatCode>0.0</c:formatCode>
                <c:ptCount val="12"/>
                <c:pt idx="0">
                  <c:v>9.8207326578332026</c:v>
                </c:pt>
                <c:pt idx="1">
                  <c:v>11.246943765281173</c:v>
                </c:pt>
                <c:pt idx="2">
                  <c:v>12.915555555555557</c:v>
                </c:pt>
                <c:pt idx="3">
                  <c:v>13.252840909090908</c:v>
                </c:pt>
                <c:pt idx="4">
                  <c:v>13.8849487785658</c:v>
                </c:pt>
                <c:pt idx="5">
                  <c:v>13.851239669421487</c:v>
                </c:pt>
                <c:pt idx="6">
                  <c:v>14.334728033472805</c:v>
                </c:pt>
                <c:pt idx="7">
                  <c:v>15.504201680672269</c:v>
                </c:pt>
                <c:pt idx="8">
                  <c:v>15.487603305785125</c:v>
                </c:pt>
                <c:pt idx="9">
                  <c:v>16.142975893599335</c:v>
                </c:pt>
                <c:pt idx="10">
                  <c:v>17.233304423243712</c:v>
                </c:pt>
                <c:pt idx="11" formatCode="General">
                  <c:v>18.55769230769231</c:v>
                </c:pt>
              </c:numCache>
            </c:numRef>
          </c:val>
          <c:extLst>
            <c:ext xmlns:c="http://schemas.openxmlformats.org/drawingml/2006/chart" xmlns:c16="http://schemas.microsoft.com/office/drawing/2014/chart" uri="{C3380CC4-5D6E-409C-BE32-E72D297353CC}">
              <c16:uniqueId val="{00000004-81B9-49A6-9EDA-175FBE3EE3CE}"/>
            </c:ext>
          </c:extLst>
        </c:ser>
        <c:dLbls>
          <c:showLegendKey val="0"/>
          <c:showVal val="0"/>
          <c:showCatName val="0"/>
          <c:showSerName val="0"/>
          <c:showPercent val="0"/>
          <c:showBubbleSize val="0"/>
        </c:dLbls>
        <c:gapWidth val="20"/>
        <c:axId val="656368024"/>
        <c:axId val="656367240"/>
      </c:barChart>
      <c:catAx>
        <c:axId val="656368024"/>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56367240"/>
        <c:crosses val="autoZero"/>
        <c:auto val="1"/>
        <c:lblAlgn val="ctr"/>
        <c:lblOffset val="100"/>
        <c:noMultiLvlLbl val="0"/>
      </c:catAx>
      <c:valAx>
        <c:axId val="656367240"/>
        <c:scaling>
          <c:orientation val="minMax"/>
          <c:max val="25"/>
          <c:min val="0"/>
        </c:scaling>
        <c:delete val="0"/>
        <c:axPos val="l"/>
        <c:numFmt formatCode="0" sourceLinked="0"/>
        <c:majorTickMark val="out"/>
        <c:minorTickMark val="none"/>
        <c:tickLblPos val="nextTo"/>
        <c:crossAx val="656368024"/>
        <c:crosses val="autoZero"/>
        <c:crossBetween val="between"/>
        <c:majorUnit val="5"/>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2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F755-4D02-A428-973A35894E2A}"/>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F755-4D02-A428-973A35894E2A}"/>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Sheet1!$B$2:$M$2</c:f>
              <c:numCache>
                <c:formatCode>0</c:formatCode>
                <c:ptCount val="12"/>
                <c:pt idx="0">
                  <c:v>2005</c:v>
                </c:pt>
                <c:pt idx="1">
                  <c:v>2006</c:v>
                </c:pt>
                <c:pt idx="2">
                  <c:v>2007</c:v>
                </c:pt>
                <c:pt idx="3">
                  <c:v>2008</c:v>
                </c:pt>
                <c:pt idx="4">
                  <c:v>2009</c:v>
                </c:pt>
                <c:pt idx="5">
                  <c:v>2010</c:v>
                </c:pt>
                <c:pt idx="6">
                  <c:v>2011</c:v>
                </c:pt>
                <c:pt idx="7">
                  <c:v>2012</c:v>
                </c:pt>
                <c:pt idx="8">
                  <c:v>2013</c:v>
                </c:pt>
                <c:pt idx="9" formatCode="General">
                  <c:v>2014</c:v>
                </c:pt>
                <c:pt idx="10" formatCode="General">
                  <c:v>2015</c:v>
                </c:pt>
                <c:pt idx="11" formatCode="General">
                  <c:v>2016</c:v>
                </c:pt>
              </c:numCache>
            </c:numRef>
          </c:cat>
          <c:val>
            <c:numRef>
              <c:f>Sheet1!$B$3:$M$3</c:f>
              <c:numCache>
                <c:formatCode>General</c:formatCode>
                <c:ptCount val="12"/>
                <c:pt idx="0">
                  <c:v>41.1419984973704</c:v>
                </c:pt>
                <c:pt idx="1">
                  <c:v>45.825320512820511</c:v>
                </c:pt>
                <c:pt idx="2">
                  <c:v>47.42018981880932</c:v>
                </c:pt>
                <c:pt idx="3">
                  <c:v>36.100543478260867</c:v>
                </c:pt>
                <c:pt idx="4">
                  <c:v>36.037195994277539</c:v>
                </c:pt>
                <c:pt idx="5">
                  <c:v>41.975806451612904</c:v>
                </c:pt>
                <c:pt idx="6">
                  <c:v>38.510984540276652</c:v>
                </c:pt>
                <c:pt idx="7">
                  <c:v>35.298446443172523</c:v>
                </c:pt>
                <c:pt idx="8">
                  <c:v>32.416869424168695</c:v>
                </c:pt>
                <c:pt idx="9">
                  <c:v>28.292079207920793</c:v>
                </c:pt>
                <c:pt idx="10">
                  <c:v>35.352941176470587</c:v>
                </c:pt>
                <c:pt idx="11">
                  <c:v>37.939444911690494</c:v>
                </c:pt>
              </c:numCache>
            </c:numRef>
          </c:val>
          <c:extLst>
            <c:ext xmlns:c="http://schemas.openxmlformats.org/drawingml/2006/chart" xmlns:c16="http://schemas.microsoft.com/office/drawing/2014/chart" uri="{C3380CC4-5D6E-409C-BE32-E72D297353CC}">
              <c16:uniqueId val="{00000004-F755-4D02-A428-973A35894E2A}"/>
            </c:ext>
          </c:extLst>
        </c:ser>
        <c:dLbls>
          <c:showLegendKey val="0"/>
          <c:showVal val="0"/>
          <c:showCatName val="0"/>
          <c:showSerName val="0"/>
          <c:showPercent val="0"/>
          <c:showBubbleSize val="0"/>
        </c:dLbls>
        <c:gapWidth val="20"/>
        <c:axId val="656371160"/>
        <c:axId val="656372336"/>
      </c:barChart>
      <c:catAx>
        <c:axId val="656371160"/>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56372336"/>
        <c:crosses val="autoZero"/>
        <c:auto val="1"/>
        <c:lblAlgn val="ctr"/>
        <c:lblOffset val="100"/>
        <c:noMultiLvlLbl val="0"/>
      </c:catAx>
      <c:valAx>
        <c:axId val="656372336"/>
        <c:scaling>
          <c:orientation val="minMax"/>
        </c:scaling>
        <c:delete val="0"/>
        <c:axPos val="l"/>
        <c:numFmt formatCode="0" sourceLinked="0"/>
        <c:majorTickMark val="out"/>
        <c:minorTickMark val="none"/>
        <c:tickLblPos val="nextTo"/>
        <c:crossAx val="656371160"/>
        <c:crosses val="autoZero"/>
        <c:crossBetween val="between"/>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25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72841410287632"/>
          <c:y val="0.057971014492753624"/>
          <c:w val="0.69294856184214082"/>
          <c:h val="0.726718711443121"/>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extLst>
              <c:ext xmlns:c="http://schemas.openxmlformats.org/drawingml/2006/chart" xmlns:c16="http://schemas.microsoft.com/office/drawing/2014/chart" uri="{C3380CC4-5D6E-409C-BE32-E72D297353CC}">
                <c16:uniqueId val="{00000000-DB8E-4530-8D18-DDDA342848D2}"/>
              </c:ext>
            </c:extLst>
          </c:dPt>
          <c:dLbls>
            <c:dLbl>
              <c:idx val="0"/>
              <c:layout>
                <c:manualLayout>
                  <c:x val="-0.22962436454935367"/>
                  <c:y val="0.028082211106319"/>
                </c:manualLayout>
              </c:layout>
              <c:tx>
                <c:rich>
                  <a:bodyPr vertOverflow="clip"/>
                  <a:lstStyle/>
                  <a:p>
                    <a:r>
                      <a:rPr lang="en-US"/>
                      <a:t>2005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DB8E-4530-8D18-DDDA342848D2}"/>
                </c:ext>
                <c:ext xmlns:c15="http://schemas.microsoft.com/office/drawing/2012/chart" uri="{CE6537A1-D6FC-4f65-9D91-7224C49458BB}"/>
              </c:extLst>
            </c:dLbl>
            <c:dLbl>
              <c:idx val="1"/>
              <c:layout>
                <c:manualLayout>
                  <c:x val="0.15842827914474827"/>
                  <c:y val="-0.005790309644749878"/>
                </c:manualLayout>
              </c:layout>
              <c:tx>
                <c:rich>
                  <a:bodyPr vertOverflow="clip"/>
                  <a:lstStyle/>
                  <a:p>
                    <a:r>
                      <a:rPr lang="en-US"/>
                      <a:t>2007</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DB8E-4530-8D18-DDDA342848D2}"/>
                </c:ext>
                <c:ext xmlns:c15="http://schemas.microsoft.com/office/drawing/2012/chart" uri="{CE6537A1-D6FC-4f65-9D91-7224C49458BB}"/>
              </c:extLst>
            </c:dLbl>
            <c:dLbl>
              <c:idx val="2"/>
              <c:layout>
                <c:manualLayout>
                  <c:x val="-0.048973133490750269"/>
                  <c:y val="-0.095899335689236462"/>
                </c:manualLayout>
              </c:layout>
              <c:tx>
                <c:rich>
                  <a:bodyPr vertOverflow="clip"/>
                  <a:lstStyle/>
                  <a:p>
                    <a:r>
                      <a:rPr lang="en-US"/>
                      <a:t>2010</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DB8E-4530-8D18-DDDA342848D2}"/>
                </c:ext>
                <c:ext xmlns:c15="http://schemas.microsoft.com/office/drawing/2012/chart" uri="{CE6537A1-D6FC-4f65-9D91-7224C49458BB}"/>
              </c:extLst>
            </c:dLbl>
            <c:dLbl>
              <c:idx val="3"/>
              <c:layout>
                <c:manualLayout>
                  <c:x val="-0.20656178343742027"/>
                  <c:y val="0.01491407992846921"/>
                </c:manualLayout>
              </c:layout>
              <c:tx>
                <c:rich>
                  <a:bodyPr vertOverflow="clip"/>
                  <a:lstStyle/>
                  <a:p>
                    <a:r>
                      <a:rPr lang="en-US"/>
                      <a:t>2008</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DB8E-4530-8D18-DDDA342848D2}"/>
                </c:ext>
                <c:ext xmlns:c15="http://schemas.microsoft.com/office/drawing/2012/chart" uri="{CE6537A1-D6FC-4f65-9D91-7224C49458BB}"/>
              </c:extLst>
            </c:dLbl>
            <c:dLbl>
              <c:idx val="4"/>
              <c:delete val="1"/>
              <c:extLst>
                <c:ext xmlns:c="http://schemas.openxmlformats.org/drawingml/2006/chart" xmlns:c16="http://schemas.microsoft.com/office/drawing/2014/chart" uri="{C3380CC4-5D6E-409C-BE32-E72D297353CC}">
                  <c16:uniqueId val="{00000005-DB8E-4530-8D18-DDDA342848D2}"/>
                </c:ext>
                <c:ext xmlns:c15="http://schemas.microsoft.com/office/drawing/2012/chart" uri="{CE6537A1-D6FC-4f65-9D91-7224C49458BB}"/>
              </c:extLst>
            </c:dLbl>
            <c:dLbl>
              <c:idx val="5"/>
              <c:delete val="1"/>
              <c:extLst>
                <c:ext xmlns:c="http://schemas.openxmlformats.org/drawingml/2006/chart" xmlns:c16="http://schemas.microsoft.com/office/drawing/2014/chart" uri="{C3380CC4-5D6E-409C-BE32-E72D297353CC}">
                  <c16:uniqueId val="{00000000-DB8E-4530-8D18-DDDA342848D2}"/>
                </c:ext>
                <c:ext xmlns:c15="http://schemas.microsoft.com/office/drawing/2012/chart" uri="{CE6537A1-D6FC-4f65-9D91-7224C49458BB}"/>
              </c:extLst>
            </c:dLbl>
            <c:dLbl>
              <c:idx val="6"/>
              <c:delete val="1"/>
              <c:extLst>
                <c:ext xmlns:c="http://schemas.openxmlformats.org/drawingml/2006/chart" xmlns:c16="http://schemas.microsoft.com/office/drawing/2014/chart" uri="{C3380CC4-5D6E-409C-BE32-E72D297353CC}">
                  <c16:uniqueId val="{00000006-DB8E-4530-8D18-DDDA342848D2}"/>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7-DB8E-4530-8D18-DDDA342848D2}"/>
                </c:ext>
                <c:ext xmlns:c15="http://schemas.microsoft.com/office/drawing/2012/chart" uri="{CE6537A1-D6FC-4f65-9D91-7224C49458BB}"/>
              </c:extLst>
            </c:dLbl>
            <c:dLbl>
              <c:idx val="8"/>
              <c:delete val="1"/>
              <c:extLst>
                <c:ext xmlns:c="http://schemas.openxmlformats.org/drawingml/2006/chart" xmlns:c16="http://schemas.microsoft.com/office/drawing/2014/chart" uri="{C3380CC4-5D6E-409C-BE32-E72D297353CC}">
                  <c16:uniqueId val="{00000008-DB8E-4530-8D18-DDDA342848D2}"/>
                </c:ext>
                <c:ext xmlns:c15="http://schemas.microsoft.com/office/drawing/2012/chart" uri="{CE6537A1-D6FC-4f65-9D91-7224C49458BB}"/>
              </c:extLst>
            </c:dLbl>
            <c:dLbl>
              <c:idx val="9"/>
              <c:tx>
                <c:rich>
                  <a:bodyPr vertOverflow="clip"/>
                  <a:lstStyle/>
                  <a:p>
                    <a:r>
                      <a:rPr lang="en-US"/>
                      <a:t>2014</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DB8E-4530-8D18-DDDA342848D2}"/>
                </c:ext>
                <c:ext xmlns:c15="http://schemas.microsoft.com/office/drawing/2012/chart" uri="{CE6537A1-D6FC-4f65-9D91-7224C49458BB}"/>
              </c:extLst>
            </c:dLbl>
            <c:dLbl>
              <c:idx val="10"/>
              <c:delete val="1"/>
              <c:extLst>
                <c:ext xmlns:c="http://schemas.openxmlformats.org/drawingml/2006/chart" xmlns:c16="http://schemas.microsoft.com/office/drawing/2014/chart" uri="{C3380CC4-5D6E-409C-BE32-E72D297353CC}">
                  <c16:uniqueId val="{0000000A-DB8E-4530-8D18-DDDA342848D2}"/>
                </c:ext>
                <c:ext xmlns:c15="http://schemas.microsoft.com/office/drawing/2012/chart" uri="{CE6537A1-D6FC-4f65-9D91-7224C49458BB}"/>
              </c:extLst>
            </c:dLbl>
            <c:dLbl>
              <c:idx val="11"/>
              <c:layout>
                <c:manualLayout>
                  <c:x val="-0.045473776802943768"/>
                  <c:y val="-0.029435967255112244"/>
                </c:manualLayout>
              </c:layout>
              <c:tx>
                <c:rich>
                  <a:bodyPr vertOverflow="clip"/>
                  <a:lstStyle/>
                  <a:p>
                    <a:r>
                      <a:rPr lang="en-US"/>
                      <a:t>2016</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DB8E-4530-8D18-DDDA342848D2}"/>
                </c:ext>
                <c:ext xmlns:c15="http://schemas.microsoft.com/office/drawing/2012/chart" uri="{CE6537A1-D6FC-4f65-9D91-7224C49458BB}"/>
              </c:extLst>
            </c:dLbl>
            <c:dLbl>
              <c:idx val="12"/>
              <c:tx>
                <c:rich>
                  <a:bodyPr/>
                  <a:lstStyle/>
                  <a:p>
                    <a:r>
                      <a:rPr lang="lv-LV"/>
                      <a:t>FI</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DB8E-4530-8D18-DDDA342848D2}"/>
                </c:ext>
                <c:ext xmlns:c15="http://schemas.microsoft.com/office/drawing/2012/chart" uri="{CE6537A1-D6FC-4f65-9D91-7224C49458BB}"/>
              </c:extLst>
            </c:dLbl>
            <c:dLbl>
              <c:idx val="13"/>
              <c:tx>
                <c:rich>
                  <a:bodyPr/>
                  <a:lstStyle/>
                  <a:p>
                    <a:r>
                      <a:rPr lang="lv-LV" b="0"/>
                      <a:t>SE</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DB8E-4530-8D18-DDDA342848D2}"/>
                </c:ext>
                <c:ext xmlns:c15="http://schemas.microsoft.com/office/drawing/2012/chart" uri="{CE6537A1-D6FC-4f65-9D91-7224C49458BB}"/>
              </c:extLst>
            </c:dLbl>
            <c:spPr>
              <a:noFill/>
              <a:ln>
                <a:noFill/>
              </a:ln>
              <a:effectLst/>
            </c:spPr>
            <c:txPr>
              <a:bodyPr/>
              <a:lstStyle/>
              <a:p>
                <a:pPr>
                  <a:defRPr b="0"/>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Sheet1!$B$3:$B$14</c:f>
              <c:numCache>
                <c:formatCode>0.0</c:formatCode>
                <c:ptCount val="12"/>
                <c:pt idx="0">
                  <c:v>41.1419984973704</c:v>
                </c:pt>
                <c:pt idx="1">
                  <c:v>45.825320512820511</c:v>
                </c:pt>
                <c:pt idx="2">
                  <c:v>47.42018981880932</c:v>
                </c:pt>
                <c:pt idx="3">
                  <c:v>36.100543478260867</c:v>
                </c:pt>
                <c:pt idx="4">
                  <c:v>36.037195994277539</c:v>
                </c:pt>
                <c:pt idx="5">
                  <c:v>41.975806451612904</c:v>
                </c:pt>
                <c:pt idx="6">
                  <c:v>38.510984540276652</c:v>
                </c:pt>
                <c:pt idx="7">
                  <c:v>35.298446443172523</c:v>
                </c:pt>
                <c:pt idx="8">
                  <c:v>32.416869424168695</c:v>
                </c:pt>
                <c:pt idx="9">
                  <c:v>28.292079207920793</c:v>
                </c:pt>
                <c:pt idx="10">
                  <c:v>35.352941176470587</c:v>
                </c:pt>
                <c:pt idx="11">
                  <c:v>37.939444911690494</c:v>
                </c:pt>
              </c:numCache>
            </c:numRef>
          </c:xVal>
          <c:yVal>
            <c:numRef>
              <c:f>Sheet1!$C$3:$C$14</c:f>
              <c:numCache>
                <c:formatCode>0.0</c:formatCode>
                <c:ptCount val="12"/>
                <c:pt idx="0">
                  <c:v>0.23870334491555864</c:v>
                </c:pt>
                <c:pt idx="1">
                  <c:v>0.24543077144729683</c:v>
                </c:pt>
                <c:pt idx="2">
                  <c:v>0.27236406275270908</c:v>
                </c:pt>
                <c:pt idx="3">
                  <c:v>0.36710917986793035</c:v>
                </c:pt>
                <c:pt idx="4">
                  <c:v>0.38529492640799895</c:v>
                </c:pt>
                <c:pt idx="5">
                  <c:v>0.32998150221100181</c:v>
                </c:pt>
                <c:pt idx="6">
                  <c:v>0.37222439791122069</c:v>
                </c:pt>
                <c:pt idx="7">
                  <c:v>0.43923184284137567</c:v>
                </c:pt>
                <c:pt idx="8">
                  <c:v>0.47776369467183033</c:v>
                </c:pt>
                <c:pt idx="9">
                  <c:v>0.570582874979364</c:v>
                </c:pt>
                <c:pt idx="10">
                  <c:v>0.48746451779557926</c:v>
                </c:pt>
                <c:pt idx="11">
                  <c:v>0.48913979503095006</c:v>
                </c:pt>
              </c:numCache>
            </c:numRef>
          </c:yVal>
          <c:smooth val="1"/>
          <c:extLst>
            <c:ext xmlns:c="http://schemas.openxmlformats.org/drawingml/2006/chart" xmlns:c16="http://schemas.microsoft.com/office/drawing/2014/chart" uri="{C3380CC4-5D6E-409C-BE32-E72D297353CC}">
              <c16:uniqueId val="{0000000E-DB8E-4530-8D18-DDDA342848D2}"/>
            </c:ext>
          </c:extLst>
        </c:ser>
        <c:dLbls>
          <c:showLegendKey val="0"/>
          <c:showVal val="0"/>
          <c:showCatName val="0"/>
          <c:showSerName val="0"/>
          <c:showPercent val="0"/>
          <c:showBubbleSize val="0"/>
        </c:dLbls>
        <c:axId val="656373512"/>
        <c:axId val="656373904"/>
      </c:scatterChart>
      <c:valAx>
        <c:axId val="656373512"/>
        <c:scaling>
          <c:orientation val="minMax"/>
          <c:max val="55"/>
          <c:min val="25"/>
        </c:scaling>
        <c:delete val="0"/>
        <c:axPos val="b"/>
        <c:title>
          <c:tx>
            <c:rich>
              <a:bodyPr vertOverflow="clip"/>
              <a:lstStyle/>
              <a:p>
                <a:pPr>
                  <a:defRPr sz="700" b="0">
                    <a:latin typeface="Arial Narrow" pitchFamily="34" charset="0"/>
                  </a:defRPr>
                </a:pPr>
                <a:r>
                  <a:rPr lang="lv-LV" sz="700" b="0">
                    <a:latin typeface="Arial Narrow" pitchFamily="34" charset="0"/>
                  </a:rPr>
                  <a:t>Produktivitāte (pievienotā vērtība </a:t>
                </a:r>
                <a:br>
                  <a:rPr lang="lv-LV" sz="700" b="0">
                    <a:latin typeface="Arial Narrow" pitchFamily="34" charset="0"/>
                  </a:rPr>
                </a:br>
                <a:r>
                  <a:rPr lang="lv-LV" sz="700" b="0">
                    <a:latin typeface="Arial Narrow" pitchFamily="34" charset="0"/>
                  </a:rPr>
                  <a:t>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56373904"/>
        <c:crosses val="autoZero"/>
        <c:crossBetween val="midCat"/>
      </c:valAx>
      <c:valAx>
        <c:axId val="656373904"/>
        <c:scaling>
          <c:orientation val="minMax"/>
          <c:max val="0.60000000000000009"/>
          <c:min val="0.2"/>
        </c:scaling>
        <c:delete val="0"/>
        <c:axPos val="l"/>
        <c:title>
          <c:tx>
            <c:rich>
              <a:bodyPr vertOverflow="clip"/>
              <a:lstStyle/>
              <a:p>
                <a:pPr>
                  <a:defRPr sz="700" b="0"/>
                </a:pPr>
                <a:r>
                  <a:rPr lang="lv-LV" sz="700" b="0">
                    <a:latin typeface="Arial Narrow" pitchFamily="34" charset="0"/>
                  </a:rPr>
                  <a:t>Darbaspēka izmaksas </a:t>
                </a:r>
                <a:br>
                  <a:rPr lang="lv-LV" sz="700" b="0">
                    <a:latin typeface="Arial Narrow" pitchFamily="34" charset="0"/>
                  </a:rPr>
                </a:br>
                <a:r>
                  <a:rPr lang="lv-LV" sz="700" b="0">
                    <a:latin typeface="Arial Narrow" pitchFamily="34" charset="0"/>
                  </a:rPr>
                  <a:t>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56373512"/>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2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8"/>
          <c:y val="0.046005165816941182"/>
          <c:w val="0.85762258292899962"/>
          <c:h val="0.831279863372076"/>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Sheet1!$B$1:$K$1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Sheet1!$B$2:$K$2</c:f>
              <c:numCache>
                <c:formatCode>0</c:formatCode>
                <c:ptCount val="10"/>
                <c:pt idx="0">
                  <c:v>33.721439159401655</c:v>
                </c:pt>
                <c:pt idx="1">
                  <c:v>39.357747157592392</c:v>
                </c:pt>
                <c:pt idx="2">
                  <c:v>35.257643303741311</c:v>
                </c:pt>
                <c:pt idx="3">
                  <c:v>31.604252389710798</c:v>
                </c:pt>
                <c:pt idx="4">
                  <c:v>31.875002820972814</c:v>
                </c:pt>
                <c:pt idx="5">
                  <c:v>33.804118310790848</c:v>
                </c:pt>
                <c:pt idx="6">
                  <c:v>35.156533977007385</c:v>
                </c:pt>
                <c:pt idx="7">
                  <c:v>37.421947439091205</c:v>
                </c:pt>
                <c:pt idx="8">
                  <c:v>38.817831590130616</c:v>
                </c:pt>
                <c:pt idx="9">
                  <c:v>41.722712558717859</c:v>
                </c:pt>
              </c:numCache>
            </c:numRef>
          </c:val>
          <c:extLst>
            <c:ext xmlns:c="http://schemas.openxmlformats.org/drawingml/2006/chart" xmlns:c16="http://schemas.microsoft.com/office/drawing/2014/chart" uri="{C3380CC4-5D6E-409C-BE32-E72D297353CC}">
              <c16:uniqueId val="{00000000-BD10-48D5-AB8D-E4E9006E0F94}"/>
            </c:ext>
          </c:extLst>
        </c:ser>
        <c:ser>
          <c:idx val="1"/>
          <c:order val="1"/>
          <c:tx>
            <c:strRef>
              <c:f>Sheet1!$A$3</c:f>
              <c:strCache>
                <c:ptCount val="1"/>
                <c:pt idx="0">
                  <c:v>Elektroen., gāzes apg., silt. un g. kond.</c:v>
                </c:pt>
              </c:strCache>
            </c:strRef>
          </c:tx>
          <c:spPr>
            <a:ln>
              <a:solidFill>
                <a:sysClr val="windowText" lastClr="000000"/>
              </a:solidFill>
            </a:ln>
          </c:spPr>
          <c:invertIfNegative val="0"/>
          <c:dLbls>
            <c:numFmt formatCode="#,##0" sourceLinked="0"/>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Sheet1!$B$3:$K$3</c:f>
              <c:numCache>
                <c:formatCode>0</c:formatCode>
                <c:ptCount val="10"/>
                <c:pt idx="0">
                  <c:v>27.678544710523155</c:v>
                </c:pt>
                <c:pt idx="1">
                  <c:v>29.305652618234561</c:v>
                </c:pt>
                <c:pt idx="2">
                  <c:v>30.091352306701086</c:v>
                </c:pt>
                <c:pt idx="3">
                  <c:v>28.572316223965384</c:v>
                </c:pt>
                <c:pt idx="4">
                  <c:v>29.458513568800925</c:v>
                </c:pt>
                <c:pt idx="5">
                  <c:v>28.94141049360142</c:v>
                </c:pt>
                <c:pt idx="6">
                  <c:v>28.081990620892416</c:v>
                </c:pt>
                <c:pt idx="7">
                  <c:v>29.562328194279885</c:v>
                </c:pt>
                <c:pt idx="8">
                  <c:v>29.783864376119872</c:v>
                </c:pt>
                <c:pt idx="9">
                  <c:v>32.3687199219478</c:v>
                </c:pt>
              </c:numCache>
            </c:numRef>
          </c:val>
          <c:extLst>
            <c:ext xmlns:c="http://schemas.openxmlformats.org/drawingml/2006/chart" xmlns:c16="http://schemas.microsoft.com/office/drawing/2014/chart" uri="{C3380CC4-5D6E-409C-BE32-E72D297353CC}">
              <c16:uniqueId val="{00000001-BD10-48D5-AB8D-E4E9006E0F94}"/>
            </c:ext>
          </c:extLst>
        </c:ser>
        <c:dLbls>
          <c:showLegendKey val="0"/>
          <c:showVal val="0"/>
          <c:showCatName val="0"/>
          <c:showSerName val="0"/>
          <c:showPercent val="0"/>
          <c:showBubbleSize val="0"/>
        </c:dLbls>
        <c:gapWidth val="50"/>
        <c:overlap val="52"/>
        <c:axId val="656374688"/>
        <c:axId val="656363712"/>
      </c:barChart>
      <c:catAx>
        <c:axId val="656374688"/>
        <c:scaling>
          <c:orientation val="minMax"/>
        </c:scaling>
        <c:delete val="0"/>
        <c:axPos val="b"/>
        <c:numFmt formatCode="General" sourceLinked="0"/>
        <c:majorTickMark val="out"/>
        <c:minorTickMark val="none"/>
        <c:tickLblPos val="nextTo"/>
        <c:txPr>
          <a:bodyPr rot="-2700000"/>
          <a:lstStyle/>
          <a:p>
            <a:pPr>
              <a:defRPr sz="700"/>
            </a:pPr>
            <a:endParaRPr lang="lv-LV"/>
          </a:p>
        </c:txPr>
        <c:crossAx val="656363712"/>
        <c:crosses val="autoZero"/>
        <c:auto val="1"/>
        <c:lblAlgn val="ctr"/>
        <c:lblOffset val="100"/>
        <c:noMultiLvlLbl val="0"/>
      </c:catAx>
      <c:valAx>
        <c:axId val="656363712"/>
        <c:scaling>
          <c:orientation val="minMax"/>
          <c:max val="80"/>
        </c:scaling>
        <c:delete val="0"/>
        <c:axPos val="l"/>
        <c:numFmt formatCode="0" sourceLinked="0"/>
        <c:majorTickMark val="out"/>
        <c:minorTickMark val="none"/>
        <c:tickLblPos val="nextTo"/>
        <c:txPr>
          <a:bodyPr/>
          <a:lstStyle/>
          <a:p>
            <a:pPr>
              <a:defRPr sz="800"/>
            </a:pPr>
            <a:endParaRPr lang="lv-LV"/>
          </a:p>
        </c:txPr>
        <c:crossAx val="656374688"/>
        <c:crosses val="autoZero"/>
        <c:crossBetween val="between"/>
        <c:majorUnit val="20"/>
      </c:valAx>
      <c:spPr>
        <a:ln>
          <a:noFill/>
        </a:ln>
      </c:spPr>
    </c:plotArea>
    <c:legend>
      <c:legendPos val="r"/>
      <c:layout>
        <c:manualLayout>
          <c:xMode val="edge"/>
          <c:yMode val="edge"/>
          <c:x val="0.10756494003272012"/>
          <c:y val="0.073552292449930237"/>
          <c:w val="0.87250356037333887"/>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2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738"/>
          <c:y val="0.046005165816941182"/>
          <c:w val="0.85762258292899962"/>
          <c:h val="0.83127986337207582"/>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Sheet1!$B$1:$K$1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Sheet1!$B$2:$K$2</c:f>
              <c:numCache>
                <c:formatCode>0</c:formatCode>
                <c:ptCount val="10"/>
                <c:pt idx="0">
                  <c:v>37.571008081742491</c:v>
                </c:pt>
                <c:pt idx="1">
                  <c:v>40.886874357448278</c:v>
                </c:pt>
                <c:pt idx="2">
                  <c:v>38.340696631750923</c:v>
                </c:pt>
                <c:pt idx="3">
                  <c:v>37.13786218879887</c:v>
                </c:pt>
                <c:pt idx="4">
                  <c:v>40.358416265069444</c:v>
                </c:pt>
                <c:pt idx="5">
                  <c:v>42.444824679460964</c:v>
                </c:pt>
                <c:pt idx="6">
                  <c:v>42.534590211759</c:v>
                </c:pt>
                <c:pt idx="7">
                  <c:v>43.637999214462909</c:v>
                </c:pt>
                <c:pt idx="8">
                  <c:v>42.77599222315655</c:v>
                </c:pt>
                <c:pt idx="9">
                  <c:v>43.3164068323518</c:v>
                </c:pt>
              </c:numCache>
            </c:numRef>
          </c:val>
          <c:extLst>
            <c:ext xmlns:c="http://schemas.openxmlformats.org/drawingml/2006/chart" xmlns:c16="http://schemas.microsoft.com/office/drawing/2014/chart" uri="{C3380CC4-5D6E-409C-BE32-E72D297353CC}">
              <c16:uniqueId val="{00000000-F613-46AB-ADDC-78A8AECFB55D}"/>
            </c:ext>
          </c:extLst>
        </c:ser>
        <c:ser>
          <c:idx val="1"/>
          <c:order val="1"/>
          <c:tx>
            <c:strRef>
              <c:f>Sheet1!$A$3</c:f>
              <c:strCache>
                <c:ptCount val="1"/>
                <c:pt idx="0">
                  <c:v>Elektroen., gāzes apg., silt. un g. kond.</c:v>
                </c:pt>
              </c:strCache>
            </c:strRef>
          </c:tx>
          <c:spPr>
            <a:ln>
              <a:solidFill>
                <a:sysClr val="windowText" lastClr="000000"/>
              </a:solidFill>
            </a:ln>
          </c:spPr>
          <c:invertIfNegative val="0"/>
          <c:dLbls>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Sheet1!$B$3:$K$3</c:f>
              <c:numCache>
                <c:formatCode>0</c:formatCode>
                <c:ptCount val="10"/>
                <c:pt idx="0">
                  <c:v>20.951239752058012</c:v>
                </c:pt>
                <c:pt idx="1">
                  <c:v>20.183333935056606</c:v>
                </c:pt>
                <c:pt idx="2">
                  <c:v>21.005161682542692</c:v>
                </c:pt>
                <c:pt idx="3">
                  <c:v>24.2703085449187</c:v>
                </c:pt>
                <c:pt idx="4">
                  <c:v>25.336911040450481</c:v>
                </c:pt>
                <c:pt idx="5">
                  <c:v>22.850093093448478</c:v>
                </c:pt>
                <c:pt idx="6">
                  <c:v>20.630938873833493</c:v>
                </c:pt>
                <c:pt idx="7">
                  <c:v>18.468906665847719</c:v>
                </c:pt>
                <c:pt idx="8">
                  <c:v>21.114540895226337</c:v>
                </c:pt>
                <c:pt idx="9">
                  <c:v>21.408657439676158</c:v>
                </c:pt>
              </c:numCache>
            </c:numRef>
          </c:val>
          <c:extLst>
            <c:ext xmlns:c="http://schemas.openxmlformats.org/drawingml/2006/chart" xmlns:c16="http://schemas.microsoft.com/office/drawing/2014/chart" uri="{C3380CC4-5D6E-409C-BE32-E72D297353CC}">
              <c16:uniqueId val="{00000001-F613-46AB-ADDC-78A8AECFB55D}"/>
            </c:ext>
          </c:extLst>
        </c:ser>
        <c:dLbls>
          <c:showLegendKey val="0"/>
          <c:showVal val="0"/>
          <c:showCatName val="0"/>
          <c:showSerName val="0"/>
          <c:showPercent val="0"/>
          <c:showBubbleSize val="0"/>
        </c:dLbls>
        <c:gapWidth val="50"/>
        <c:overlap val="52"/>
        <c:axId val="656364496"/>
        <c:axId val="656379000"/>
      </c:barChart>
      <c:catAx>
        <c:axId val="656364496"/>
        <c:scaling>
          <c:orientation val="minMax"/>
        </c:scaling>
        <c:delete val="0"/>
        <c:axPos val="b"/>
        <c:numFmt formatCode="General" sourceLinked="0"/>
        <c:majorTickMark val="out"/>
        <c:minorTickMark val="none"/>
        <c:tickLblPos val="nextTo"/>
        <c:txPr>
          <a:bodyPr rot="-2700000"/>
          <a:lstStyle/>
          <a:p>
            <a:pPr>
              <a:defRPr sz="700"/>
            </a:pPr>
            <a:endParaRPr lang="lv-LV"/>
          </a:p>
        </c:txPr>
        <c:crossAx val="656379000"/>
        <c:crosses val="autoZero"/>
        <c:auto val="1"/>
        <c:lblAlgn val="ctr"/>
        <c:lblOffset val="100"/>
        <c:noMultiLvlLbl val="0"/>
      </c:catAx>
      <c:valAx>
        <c:axId val="656379000"/>
        <c:scaling>
          <c:orientation val="minMax"/>
          <c:max val="80"/>
        </c:scaling>
        <c:delete val="0"/>
        <c:axPos val="l"/>
        <c:numFmt formatCode="0" sourceLinked="1"/>
        <c:majorTickMark val="out"/>
        <c:minorTickMark val="none"/>
        <c:tickLblPos val="nextTo"/>
        <c:txPr>
          <a:bodyPr/>
          <a:lstStyle/>
          <a:p>
            <a:pPr>
              <a:defRPr sz="800"/>
            </a:pPr>
            <a:endParaRPr lang="lv-LV"/>
          </a:p>
        </c:txPr>
        <c:crossAx val="656364496"/>
        <c:crosses val="autoZero"/>
        <c:crossBetween val="between"/>
        <c:majorUnit val="20"/>
      </c:valAx>
      <c:spPr>
        <a:ln>
          <a:noFill/>
        </a:ln>
      </c:spPr>
    </c:plotArea>
    <c:legend>
      <c:legendPos val="r"/>
      <c:layout>
        <c:manualLayout>
          <c:xMode val="edge"/>
          <c:yMode val="edge"/>
          <c:x val="0.1079654105736783"/>
          <c:y val="0.0495283177904099"/>
          <c:w val="0.86723331458567676"/>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2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46717244654"/>
          <c:y val="0.044057617797775277"/>
          <c:w val="0.9310540474739486"/>
          <c:h val="0.73334186885175934"/>
        </c:manualLayout>
      </c:layout>
      <c:barChart>
        <c:barDir val="col"/>
        <c:grouping val="clustered"/>
        <c:varyColors val="0"/>
        <c:ser>
          <c:idx val="1"/>
          <c:order val="0"/>
          <c:tx>
            <c:strRef>
              <c:f>Sheet1!$B$3</c:f>
              <c:strCache>
                <c:ptCount val="1"/>
                <c:pt idx="0">
                  <c:v>Compensation per employees 1000 of euro</c:v>
                </c:pt>
              </c:strCache>
            </c:strRef>
          </c:tx>
          <c:spPr>
            <a:solidFill>
              <a:schemeClr val="accent3">
                <a:lumMod val="50000"/>
              </a:schemeClr>
            </a:solidFill>
            <a:ln w="19050"/>
          </c:spPr>
          <c:invertIfNegative val="0"/>
          <c:dPt>
            <c:idx val="11"/>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1-2836-4D6C-A2C4-8B6BAB7E73EF}"/>
              </c:ext>
            </c:extLst>
          </c:dPt>
          <c:dPt>
            <c:idx val="20"/>
            <c:invertIfNegative val="0"/>
            <c:bubble3D val="0"/>
            <c:spPr>
              <a:ln w="19050"/>
            </c:spPr>
            <c:extLst>
              <c:ext xmlns:c="http://schemas.openxmlformats.org/drawingml/2006/chart" xmlns:c16="http://schemas.microsoft.com/office/drawing/2014/chart" uri="{C3380CC4-5D6E-409C-BE32-E72D297353CC}">
                <c16:uniqueId val="{00000003-2836-4D6C-A2C4-8B6BAB7E73EF}"/>
              </c:ext>
            </c:extLst>
          </c:dPt>
          <c:dPt>
            <c:idx val="21"/>
            <c:invertIfNegative val="0"/>
            <c:bubble3D val="0"/>
            <c:extLst>
              <c:ext xmlns:c="http://schemas.openxmlformats.org/drawingml/2006/chart" xmlns:c16="http://schemas.microsoft.com/office/drawing/2014/chart" uri="{C3380CC4-5D6E-409C-BE32-E72D297353CC}">
                <c16:uniqueId val="{00000004-2836-4D6C-A2C4-8B6BAB7E73EF}"/>
              </c:ext>
            </c:extLst>
          </c:dPt>
          <c:dPt>
            <c:idx val="22"/>
            <c:invertIfNegative val="0"/>
            <c:bubble3D val="0"/>
            <c:extLst>
              <c:ext xmlns:c="http://schemas.openxmlformats.org/drawingml/2006/chart" xmlns:c16="http://schemas.microsoft.com/office/drawing/2014/chart" uri="{C3380CC4-5D6E-409C-BE32-E72D297353CC}">
                <c16:uniqueId val="{00000005-2836-4D6C-A2C4-8B6BAB7E73EF}"/>
              </c:ext>
            </c:extLst>
          </c:dPt>
          <c:dPt>
            <c:idx val="24"/>
            <c:invertIfNegative val="0"/>
            <c:bubble3D val="0"/>
            <c:extLst>
              <c:ext xmlns:c="http://schemas.openxmlformats.org/drawingml/2006/chart" xmlns:c16="http://schemas.microsoft.com/office/drawing/2014/chart" uri="{C3380CC4-5D6E-409C-BE32-E72D297353CC}">
                <c16:uniqueId val="{00000006-2836-4D6C-A2C4-8B6BAB7E73EF}"/>
              </c:ext>
            </c:extLst>
          </c:dPt>
          <c:dPt>
            <c:idx val="25"/>
            <c:invertIfNegative val="0"/>
            <c:bubble3D val="0"/>
            <c:extLst>
              <c:ext xmlns:c="http://schemas.openxmlformats.org/drawingml/2006/chart" xmlns:c16="http://schemas.microsoft.com/office/drawing/2014/chart" uri="{C3380CC4-5D6E-409C-BE32-E72D297353CC}">
                <c16:uniqueId val="{00000007-2836-4D6C-A2C4-8B6BAB7E73EF}"/>
              </c:ext>
            </c:extLst>
          </c:dPt>
          <c:dLbls>
            <c:dLbl>
              <c:idx val="20"/>
              <c:numFmt formatCode="#,##0" sourceLinked="0"/>
              <c:spPr>
                <a:noFill/>
                <a:ln>
                  <a:noFill/>
                </a:ln>
                <a:effectLst/>
              </c:spPr>
              <c:txPr>
                <a:bodyPr/>
                <a:lstStyle/>
                <a:p>
                  <a:pPr>
                    <a:defRPr sz="600" b="1"/>
                  </a:pPr>
                  <a:endParaRPr lang="lv-LV"/>
                </a:p>
              </c:txPr>
              <c:showLegendKey val="0"/>
              <c:showVal val="1"/>
              <c:showCatName val="0"/>
              <c:showSerName val="0"/>
              <c:showPercent val="0"/>
              <c:showBubbleSize val="0"/>
            </c:dLbl>
            <c:dLbl>
              <c:idx val="21"/>
              <c:layout>
                <c:manualLayout>
                  <c:x val="-1.4769886443141018E-16"/>
                  <c:y val="2.9874314491176406E-05"/>
                </c:manualLayout>
              </c:layout>
              <c:numFmt formatCode="#,##0" sourceLinked="0"/>
              <c:spPr>
                <a:noFill/>
                <a:ln>
                  <a:noFill/>
                </a:ln>
                <a:effectLst/>
              </c:spPr>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2836-4D6C-A2C4-8B6BAB7E73EF}"/>
                </c:ext>
                <c:ext xmlns:c15="http://schemas.microsoft.com/office/drawing/2012/chart" uri="{CE6537A1-D6FC-4f65-9D91-7224C49458BB}"/>
              </c:extLst>
            </c:dLbl>
            <c:dLbl>
              <c:idx val="22"/>
              <c:layout>
                <c:manualLayout>
                  <c:x val="0"/>
                  <c:y val="0.010957045003520901"/>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2836-4D6C-A2C4-8B6BAB7E73EF}"/>
                </c:ext>
                <c:ext xmlns:c15="http://schemas.microsoft.com/office/drawing/2012/chart" uri="{CE6537A1-D6FC-4f65-9D91-7224C49458BB}"/>
              </c:extLst>
            </c:dLbl>
            <c:dLbl>
              <c:idx val="23"/>
              <c:layout>
                <c:manualLayout>
                  <c:x val="0"/>
                  <c:y val="0.010840108401084011"/>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2836-4D6C-A2C4-8B6BAB7E73EF}"/>
                </c:ext>
                <c:ext xmlns:c15="http://schemas.microsoft.com/office/drawing/2012/chart" uri="{CE6537A1-D6FC-4f65-9D91-7224C49458BB}"/>
              </c:extLst>
            </c:dLbl>
            <c:dLbl>
              <c:idx val="24"/>
              <c:layout>
                <c:manualLayout>
                  <c:x val="0"/>
                  <c:y val="-0.021680216802168022"/>
                </c:manualLayout>
              </c:layout>
              <c:numFmt formatCode="#,##0" sourceLinked="0"/>
              <c:spPr>
                <a:noFill/>
                <a:ln>
                  <a:noFill/>
                </a:ln>
                <a:effectLst/>
              </c:spPr>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2836-4D6C-A2C4-8B6BAB7E73EF}"/>
                </c:ext>
                <c:ext xmlns:c15="http://schemas.microsoft.com/office/drawing/2012/chart" uri="{CE6537A1-D6FC-4f65-9D91-7224C49458BB}"/>
              </c:extLst>
            </c:dLbl>
            <c:dLbl>
              <c:idx val="25"/>
              <c:layout>
                <c:manualLayout>
                  <c:x val="0"/>
                  <c:y val="0.0047350290403144375"/>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2836-4D6C-A2C4-8B6BAB7E73EF}"/>
                </c:ext>
                <c:ext xmlns:c15="http://schemas.microsoft.com/office/drawing/2012/chart" uri="{CE6537A1-D6FC-4f65-9D91-7224C49458BB}"/>
              </c:extLst>
            </c:dLbl>
            <c:numFmt formatCode="#,##0" sourceLinked="0"/>
            <c:spPr>
              <a:noFill/>
              <a:ln>
                <a:noFill/>
              </a:ln>
              <a:effectLst/>
            </c:spPr>
            <c:txPr>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Sheet1!$A$4:$A$28</c:f>
              <c:strCache>
                <c:ptCount val="25"/>
                <c:pt idx="0">
                  <c:v>BE</c:v>
                </c:pt>
                <c:pt idx="1">
                  <c:v>LU</c:v>
                </c:pt>
                <c:pt idx="2">
                  <c:v>IE</c:v>
                </c:pt>
                <c:pt idx="3">
                  <c:v>AT</c:v>
                </c:pt>
                <c:pt idx="4">
                  <c:v>DK</c:v>
                </c:pt>
                <c:pt idx="5">
                  <c:v>ES</c:v>
                </c:pt>
                <c:pt idx="6">
                  <c:v>NL</c:v>
                </c:pt>
                <c:pt idx="7">
                  <c:v>DE</c:v>
                </c:pt>
                <c:pt idx="8">
                  <c:v>FI</c:v>
                </c:pt>
                <c:pt idx="9">
                  <c:v>SE</c:v>
                </c:pt>
                <c:pt idx="10">
                  <c:v>IT</c:v>
                </c:pt>
                <c:pt idx="11">
                  <c:v>EU-28</c:v>
                </c:pt>
                <c:pt idx="12">
                  <c:v>PT</c:v>
                </c:pt>
                <c:pt idx="13">
                  <c:v>CY</c:v>
                </c:pt>
                <c:pt idx="14">
                  <c:v>EL</c:v>
                </c:pt>
                <c:pt idx="15">
                  <c:v>SI</c:v>
                </c:pt>
                <c:pt idx="16">
                  <c:v>SK</c:v>
                </c:pt>
                <c:pt idx="17">
                  <c:v>CZ</c:v>
                </c:pt>
                <c:pt idx="18">
                  <c:v>HU</c:v>
                </c:pt>
                <c:pt idx="19">
                  <c:v>EE</c:v>
                </c:pt>
                <c:pt idx="20">
                  <c:v>LV</c:v>
                </c:pt>
                <c:pt idx="21">
                  <c:v>PL</c:v>
                </c:pt>
                <c:pt idx="22">
                  <c:v>BG</c:v>
                </c:pt>
                <c:pt idx="23">
                  <c:v>LT</c:v>
                </c:pt>
                <c:pt idx="24">
                  <c:v>RO</c:v>
                </c:pt>
              </c:strCache>
            </c:strRef>
          </c:cat>
          <c:val>
            <c:numRef>
              <c:f>Sheet1!$B$4:$B$28</c:f>
              <c:numCache>
                <c:formatCode>General</c:formatCode>
                <c:ptCount val="25"/>
                <c:pt idx="0">
                  <c:v>108.39037433155082</c:v>
                </c:pt>
                <c:pt idx="1">
                  <c:v>105.7051282051282</c:v>
                </c:pt>
                <c:pt idx="2">
                  <c:v>92.276923076923083</c:v>
                </c:pt>
                <c:pt idx="3">
                  <c:v>90.737217598097516</c:v>
                </c:pt>
                <c:pt idx="4">
                  <c:v>85.070000000000007</c:v>
                </c:pt>
                <c:pt idx="5">
                  <c:v>82.212230215827333</c:v>
                </c:pt>
                <c:pt idx="6">
                  <c:v>79.347826086956516</c:v>
                </c:pt>
                <c:pt idx="7">
                  <c:v>71.544</c:v>
                </c:pt>
                <c:pt idx="8">
                  <c:v>66.229508196721312</c:v>
                </c:pt>
                <c:pt idx="9">
                  <c:v>64.5206896551724</c:v>
                </c:pt>
                <c:pt idx="10">
                  <c:v>63.482558139534881</c:v>
                </c:pt>
                <c:pt idx="11">
                  <c:v>57.332178573762988</c:v>
                </c:pt>
                <c:pt idx="12">
                  <c:v>51.604477611940304</c:v>
                </c:pt>
                <c:pt idx="13">
                  <c:v>48.814814814814817</c:v>
                </c:pt>
                <c:pt idx="14">
                  <c:v>47.897914379802423</c:v>
                </c:pt>
                <c:pt idx="15">
                  <c:v>39.2964824120603</c:v>
                </c:pt>
                <c:pt idx="16">
                  <c:v>29.428238039673278</c:v>
                </c:pt>
                <c:pt idx="17">
                  <c:v>25.744878957169462</c:v>
                </c:pt>
                <c:pt idx="18">
                  <c:v>22.9751209398756</c:v>
                </c:pt>
                <c:pt idx="19">
                  <c:v>19.901639344262296</c:v>
                </c:pt>
                <c:pt idx="20">
                  <c:v>18.55769230769231</c:v>
                </c:pt>
                <c:pt idx="21">
                  <c:v>17.666076696165192</c:v>
                </c:pt>
                <c:pt idx="22">
                  <c:v>16.429038587311968</c:v>
                </c:pt>
                <c:pt idx="23">
                  <c:v>16.333907056798626</c:v>
                </c:pt>
                <c:pt idx="24">
                  <c:v>12.071342200725512</c:v>
                </c:pt>
              </c:numCache>
            </c:numRef>
          </c:val>
          <c:extLst>
            <c:ext xmlns:c="http://schemas.openxmlformats.org/drawingml/2006/chart" xmlns:c16="http://schemas.microsoft.com/office/drawing/2014/chart" uri="{C3380CC4-5D6E-409C-BE32-E72D297353CC}">
              <c16:uniqueId val="{00000009-2836-4D6C-A2C4-8B6BAB7E73EF}"/>
            </c:ext>
          </c:extLst>
        </c:ser>
        <c:dLbls>
          <c:showLegendKey val="0"/>
          <c:showVal val="0"/>
          <c:showCatName val="0"/>
          <c:showSerName val="0"/>
          <c:showPercent val="0"/>
          <c:showBubbleSize val="0"/>
        </c:dLbls>
        <c:gapWidth val="20"/>
        <c:axId val="656380960"/>
        <c:axId val="656376648"/>
      </c:barChart>
      <c:catAx>
        <c:axId val="656380960"/>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56376648"/>
        <c:crosses val="autoZero"/>
        <c:auto val="1"/>
        <c:lblAlgn val="ctr"/>
        <c:lblOffset val="100"/>
        <c:tickLblSkip val="1"/>
        <c:noMultiLvlLbl val="0"/>
      </c:catAx>
      <c:valAx>
        <c:axId val="656376648"/>
        <c:scaling>
          <c:orientation val="minMax"/>
        </c:scaling>
        <c:delete val="0"/>
        <c:axPos val="l"/>
        <c:numFmt formatCode="0" sourceLinked="0"/>
        <c:majorTickMark val="out"/>
        <c:minorTickMark val="none"/>
        <c:tickLblPos val="nextTo"/>
        <c:txPr>
          <a:bodyPr/>
          <a:lstStyle/>
          <a:p>
            <a:pPr>
              <a:defRPr sz="600"/>
            </a:pPr>
            <a:endParaRPr lang="lv-LV"/>
          </a:p>
        </c:txPr>
        <c:crossAx val="656380960"/>
        <c:crosses val="autoZero"/>
        <c:crossBetween val="between"/>
      </c:valAx>
    </c:plotArea>
    <c:plotVisOnly val="1"/>
    <c:dispBlanksAs val="gap"/>
    <c:showDLblsOverMax val="0"/>
  </c:chart>
  <c:spPr>
    <a:ln w="9525">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2182197697728734"/>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03E6-4FBE-9B52-E737E3C90910}"/>
              </c:ext>
            </c:extLst>
          </c:dPt>
          <c:dPt>
            <c:idx val="5"/>
            <c:bubble3D val="0"/>
            <c:extLst>
              <c:ext xmlns:c="http://schemas.openxmlformats.org/drawingml/2006/chart" xmlns:c16="http://schemas.microsoft.com/office/drawing/2014/chart" uri="{C3380CC4-5D6E-409C-BE32-E72D297353CC}">
                <c16:uniqueId val="{00000001-03E6-4FBE-9B52-E737E3C90910}"/>
              </c:ext>
            </c:extLst>
          </c:dPt>
          <c:dPt>
            <c:idx val="11"/>
            <c:bubble3D val="0"/>
            <c:extLst>
              <c:ext xmlns:c="http://schemas.openxmlformats.org/drawingml/2006/chart" xmlns:c16="http://schemas.microsoft.com/office/drawing/2014/chart" uri="{C3380CC4-5D6E-409C-BE32-E72D297353CC}">
                <c16:uniqueId val="{00000002-03E6-4FBE-9B52-E737E3C90910}"/>
              </c:ext>
            </c:extLst>
          </c:dPt>
          <c:dPt>
            <c:idx val="12"/>
            <c:bubble3D val="0"/>
            <c:extLst>
              <c:ext xmlns:c="http://schemas.openxmlformats.org/drawingml/2006/chart" xmlns:c16="http://schemas.microsoft.com/office/drawing/2014/chart" uri="{C3380CC4-5D6E-409C-BE32-E72D297353CC}">
                <c16:uniqueId val="{00000003-03E6-4FBE-9B52-E737E3C90910}"/>
              </c:ext>
            </c:extLst>
          </c:dPt>
          <c:dPt>
            <c:idx val="13"/>
            <c:bubble3D val="0"/>
            <c:extLst>
              <c:ext xmlns:c="http://schemas.openxmlformats.org/drawingml/2006/chart" xmlns:c16="http://schemas.microsoft.com/office/drawing/2014/chart" uri="{C3380CC4-5D6E-409C-BE32-E72D297353CC}">
                <c16:uniqueId val="{00000004-03E6-4FBE-9B52-E737E3C90910}"/>
              </c:ext>
            </c:extLst>
          </c:dPt>
          <c:dPt>
            <c:idx val="14"/>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5-03E6-4FBE-9B52-E737E3C90910}"/>
              </c:ext>
            </c:extLst>
          </c:dPt>
          <c:dLbls>
            <c:dLbl>
              <c:idx val="0"/>
              <c:layout>
                <c:manualLayout>
                  <c:x val="-0.088982428598294375"/>
                  <c:y val="-0.094750242833819054"/>
                </c:manualLayout>
              </c:layout>
              <c:tx>
                <c:rich>
                  <a:bodyPr vertOverflow="clip"/>
                  <a:lstStyle/>
                  <a:p>
                    <a:fld id="{2ea548d2-4155-48b5-9ee2-5a57cd29ffd4}" type="CELLRANGE">
                      <a:rPr lang="en-US"/>
                      <a:t>EU-28</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0-03E6-4FBE-9B52-E737E3C90910}"/>
                </c:ext>
                <c:ext xmlns:c15="http://schemas.microsoft.com/office/drawing/2012/chart" uri="{CE6537A1-D6FC-4f65-9D91-7224C49458BB}">
                  <c15:showDataLabelsRange val="1"/>
                </c:ext>
              </c:extLst>
            </c:dLbl>
            <c:dLbl>
              <c:idx val="1"/>
              <c:tx>
                <c:rich>
                  <a:bodyPr vertOverflow="clip"/>
                  <a:lstStyle/>
                  <a:p>
                    <a:fld id="{e9351bd8-93a7-4b9e-ab02-85b7ce2f0347}" type="CELLRANGE">
                      <a:rPr lang="en-US"/>
                      <a:t>BE</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6-03E6-4FBE-9B52-E737E3C90910}"/>
                </c:ext>
                <c:ext xmlns:c15="http://schemas.microsoft.com/office/drawing/2012/chart" uri="{CE6537A1-D6FC-4f65-9D91-7224C49458BB}">
                  <c15:showDataLabelsRange val="1"/>
                </c:ext>
              </c:extLst>
            </c:dLbl>
            <c:dLbl>
              <c:idx val="2"/>
              <c:layout>
                <c:manualLayout>
                  <c:x val="-0.016614745586708203"/>
                  <c:y val="-1.202960731466456E-17"/>
                </c:manualLayout>
              </c:layout>
              <c:tx>
                <c:rich>
                  <a:bodyPr vertOverflow="clip"/>
                  <a:lstStyle/>
                  <a:p>
                    <a:fld id="{6a935ab4-d957-4042-bd59-6e4b87282885}" type="CELLRANGE">
                      <a:rPr lang="en-US"/>
                      <a:t>BG</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7-03E6-4FBE-9B52-E737E3C90910}"/>
                </c:ext>
                <c:ext xmlns:c15="http://schemas.microsoft.com/office/drawing/2012/chart" uri="{CE6537A1-D6FC-4f65-9D91-7224C49458BB}">
                  <c15:showDataLabelsRange val="1"/>
                </c:ext>
              </c:extLst>
            </c:dLbl>
            <c:dLbl>
              <c:idx val="3"/>
              <c:layout>
                <c:manualLayout>
                  <c:x val="-0.058151609553478714"/>
                  <c:y val="0.062992125984251968"/>
                </c:manualLayout>
              </c:layout>
              <c:tx>
                <c:rich>
                  <a:bodyPr vertOverflow="clip"/>
                  <a:lstStyle/>
                  <a:p>
                    <a:fld id="{382bf2bc-1989-428d-b7c6-311ba1bf82bd}" type="CELLRANGE">
                      <a:rPr lang="en-US"/>
                      <a:t>CZ</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8-03E6-4FBE-9B52-E737E3C90910}"/>
                </c:ext>
                <c:ext xmlns:c15="http://schemas.microsoft.com/office/drawing/2012/chart" uri="{CE6537A1-D6FC-4f65-9D91-7224C49458BB}">
                  <c15:showDataLabelsRange val="1"/>
                </c:ext>
              </c:extLst>
            </c:dLbl>
            <c:dLbl>
              <c:idx val="4"/>
              <c:tx>
                <c:rich>
                  <a:bodyPr vertOverflow="clip"/>
                  <a:lstStyle/>
                  <a:p>
                    <a:fld id="{596eef94-a85c-4968-9b4b-c87880bf3a55}" type="CELLRANGE">
                      <a:rPr lang="lv-LV"/>
                      <a:t>DK</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5"/>
              <c:tx>
                <c:rich>
                  <a:bodyPr vertOverflow="clip"/>
                  <a:lstStyle/>
                  <a:p>
                    <a:fld id="{3740682c-3f1b-44b9-b5e6-a9feac581680}" type="CELLRANGE">
                      <a:rPr lang="lv-LV"/>
                      <a:t>DE</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6"/>
              <c:layout>
                <c:manualLayout>
                  <c:x val="-0.080332294911734159"/>
                  <c:y val="0"/>
                </c:manualLayout>
              </c:layout>
              <c:tx>
                <c:rich>
                  <a:bodyPr vertOverflow="clip"/>
                  <a:lstStyle/>
                  <a:p>
                    <a:fld id="{3665ff59-1d13-4e68-89a5-15058eba7029}" type="CELLRANGE">
                      <a:rPr lang="en-US"/>
                      <a:t>EE</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A-03E6-4FBE-9B52-E737E3C90910}"/>
                </c:ext>
                <c:ext xmlns:c15="http://schemas.microsoft.com/office/drawing/2012/chart" uri="{CE6537A1-D6FC-4f65-9D91-7224C49458BB}">
                  <c15:showDataLabelsRange val="1"/>
                </c:ext>
              </c:extLst>
            </c:dLbl>
            <c:dLbl>
              <c:idx val="7"/>
              <c:tx>
                <c:rich>
                  <a:bodyPr vertOverflow="clip"/>
                  <a:lstStyle/>
                  <a:p>
                    <a:fld id="{7e040557-d26f-4e8f-acd8-d4cb6d82aea2}" type="CELLRANGE">
                      <a:rPr lang="en-US"/>
                      <a:t>IE</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B-03E6-4FBE-9B52-E737E3C90910}"/>
                </c:ext>
                <c:ext xmlns:c15="http://schemas.microsoft.com/office/drawing/2012/chart" uri="{CE6537A1-D6FC-4f65-9D91-7224C49458BB}">
                  <c15:showDataLabelsRange val="1"/>
                </c:ext>
              </c:extLst>
            </c:dLbl>
            <c:dLbl>
              <c:idx val="8"/>
              <c:tx>
                <c:rich>
                  <a:bodyPr vertOverflow="clip"/>
                  <a:lstStyle/>
                  <a:p>
                    <a:fld id="{ac0c6192-c30b-406f-9641-d63b11001e53}" type="CELLRANGE">
                      <a:rPr lang="en-US"/>
                      <a:t>EL</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C-03E6-4FBE-9B52-E737E3C90910}"/>
                </c:ext>
                <c:ext xmlns:c15="http://schemas.microsoft.com/office/drawing/2012/chart" uri="{CE6537A1-D6FC-4f65-9D91-7224C49458BB}">
                  <c15:showDataLabelsRange val="1"/>
                </c:ext>
              </c:extLst>
            </c:dLbl>
            <c:dLbl>
              <c:idx val="9"/>
              <c:tx>
                <c:rich>
                  <a:bodyPr vertOverflow="clip"/>
                  <a:lstStyle/>
                  <a:p>
                    <a:fld id="{1c728552-a992-4a87-894e-4f54721f7c49}" type="CELLRANGE">
                      <a:rPr lang="lv-LV"/>
                      <a:t>ES</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0"/>
              <c:tx>
                <c:rich>
                  <a:bodyPr vertOverflow="clip"/>
                  <a:lstStyle/>
                  <a:p>
                    <a:fld id="{861200b3-3b8d-4974-b647-135e84885723}" type="CELLRANGE">
                      <a:rPr lang="en-US"/>
                      <a:t>FR</a:t>
                    </a:fld>
                    <a:endParaRPr lang="lv-LV"/>
                  </a:p>
                </c:rich>
              </c:tx>
              <c:dLblPos val="l"/>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E-03E6-4FBE-9B52-E737E3C90910}"/>
                </c:ext>
                <c:ext xmlns:c15="http://schemas.microsoft.com/office/drawing/2012/chart" uri="{CE6537A1-D6FC-4f65-9D91-7224C49458BB}">
                  <c15:showDataLabelsRange val="1"/>
                </c:ext>
              </c:extLst>
            </c:dLbl>
            <c:dLbl>
              <c:idx val="11"/>
              <c:layout>
                <c:manualLayout>
                  <c:x val="-0.0835306334371755"/>
                  <c:y val="-0.041994750656167978"/>
                </c:manualLayout>
              </c:layout>
              <c:tx>
                <c:rich>
                  <a:bodyPr vertOverflow="clip"/>
                  <a:lstStyle/>
                  <a:p>
                    <a:fld id="{16b0195a-a1de-4316-8a18-a67abce19759}" type="CELLRANGE">
                      <a:rPr lang="en-US"/>
                      <a:t>HR</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2-03E6-4FBE-9B52-E737E3C90910}"/>
                </c:ext>
                <c:ext xmlns:c15="http://schemas.microsoft.com/office/drawing/2012/chart" uri="{CE6537A1-D6FC-4f65-9D91-7224C49458BB}">
                  <c15:showDataLabelsRange val="1"/>
                </c:ext>
              </c:extLst>
            </c:dLbl>
            <c:dLbl>
              <c:idx val="12"/>
              <c:tx>
                <c:rich>
                  <a:bodyPr vertOverflow="clip"/>
                  <a:lstStyle/>
                  <a:p>
                    <a:fld id="{42bc05b0-3cd8-421e-8c69-7fbb1af5fa6b}" type="CELLRANGE">
                      <a:rPr lang="lv-LV"/>
                      <a:t>IT</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3"/>
              <c:tx>
                <c:rich>
                  <a:bodyPr vertOverflow="clip"/>
                  <a:lstStyle/>
                  <a:p>
                    <a:fld id="{224e4f93-f170-4147-bb71-c62d80b9c017}" type="CELLRANGE">
                      <a:rPr lang="en-US"/>
                      <a:t>CY</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4-03E6-4FBE-9B52-E737E3C90910}"/>
                </c:ext>
                <c:ext xmlns:c15="http://schemas.microsoft.com/office/drawing/2012/chart" uri="{CE6537A1-D6FC-4f65-9D91-7224C49458BB}">
                  <c15:showDataLabelsRange val="1"/>
                </c:ext>
              </c:extLst>
            </c:dLbl>
            <c:dLbl>
              <c:idx val="14"/>
              <c:tx>
                <c:rich>
                  <a:bodyPr vertOverflow="clip"/>
                  <a:lstStyle/>
                  <a:p>
                    <a:fld id="{d7882d06-aeed-4aa0-8bbc-d118c3ebf2e2}" type="CELLRANGE">
                      <a:rPr lang="en-US"/>
                      <a:t>LV</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5-03E6-4FBE-9B52-E737E3C90910}"/>
                </c:ext>
                <c:ext xmlns:c15="http://schemas.microsoft.com/office/drawing/2012/chart" uri="{CE6537A1-D6FC-4f65-9D91-7224C49458BB}">
                  <c15:showDataLabelsRange val="1"/>
                </c:ext>
              </c:extLst>
            </c:dLbl>
            <c:dLbl>
              <c:idx val="15"/>
              <c:tx>
                <c:rich>
                  <a:bodyPr vertOverflow="clip"/>
                  <a:lstStyle/>
                  <a:p>
                    <a:fld id="{1570824d-2526-4d86-9b89-4fe750cb1379}" type="CELLRANGE">
                      <a:rPr lang="en-US"/>
                      <a:t>LT</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F-03E6-4FBE-9B52-E737E3C90910}"/>
                </c:ext>
                <c:ext xmlns:c15="http://schemas.microsoft.com/office/drawing/2012/chart" uri="{CE6537A1-D6FC-4f65-9D91-7224C49458BB}">
                  <c15:showDataLabelsRange val="1"/>
                </c:ext>
              </c:extLst>
            </c:dLbl>
            <c:dLbl>
              <c:idx val="16"/>
              <c:tx>
                <c:rich>
                  <a:bodyPr vertOverflow="clip"/>
                  <a:lstStyle/>
                  <a:p>
                    <a:fld id="{691433d7-7b5a-4b0b-89e6-2fbe5316c1ed}" type="CELLRANGE">
                      <a:rPr lang="lv-LV"/>
                      <a:t>LU</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7"/>
              <c:layout>
                <c:manualLayout>
                  <c:x val="-0.039688637051209723"/>
                  <c:y val="0.094751069502139"/>
                </c:manualLayout>
              </c:layout>
              <c:tx>
                <c:rich>
                  <a:bodyPr vertOverflow="clip"/>
                  <a:lstStyle/>
                  <a:p>
                    <a:fld id="{a2baaa9f-9bc1-4f41-b17d-5e56d3d596fb}" type="CELLRANGE">
                      <a:rPr lang="en-US"/>
                      <a:t>HU</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1-03E6-4FBE-9B52-E737E3C90910}"/>
                </c:ext>
                <c:ext xmlns:c15="http://schemas.microsoft.com/office/drawing/2012/chart" uri="{CE6537A1-D6FC-4f65-9D91-7224C49458BB}">
                  <c15:showDataLabelsRange val="1"/>
                </c:ext>
              </c:extLst>
            </c:dLbl>
            <c:dLbl>
              <c:idx val="18"/>
              <c:layout>
                <c:manualLayout>
                  <c:x val="-0.037008691670550528"/>
                  <c:y val="0.08425238183809701"/>
                </c:manualLayout>
              </c:layout>
              <c:tx>
                <c:rich>
                  <a:bodyPr vertOverflow="clip"/>
                  <a:lstStyle/>
                  <a:p>
                    <a:fld id="{ed61c3eb-b567-4668-b8ff-e2cde063d586}" type="CELLRANGE">
                      <a:rPr lang="en-US"/>
                      <a:t>NL</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2-03E6-4FBE-9B52-E737E3C90910}"/>
                </c:ext>
                <c:ext xmlns:c15="http://schemas.microsoft.com/office/drawing/2012/chart" uri="{CE6537A1-D6FC-4f65-9D91-7224C49458BB}">
                  <c15:showDataLabelsRange val="1"/>
                </c:ext>
              </c:extLst>
            </c:dLbl>
            <c:dLbl>
              <c:idx val="19"/>
              <c:layout>
                <c:manualLayout>
                  <c:x val="-0.037383177570093455"/>
                  <c:y val="-0.052493438320210022"/>
                </c:manualLayout>
              </c:layout>
              <c:tx>
                <c:rich>
                  <a:bodyPr vertOverflow="clip"/>
                  <a:lstStyle/>
                  <a:p>
                    <a:fld id="{a11dbace-f989-4a3a-bb3b-ea4f093c2837}" type="CELLRANGE">
                      <a:rPr lang="en-US"/>
                      <a:t>AT</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3-03E6-4FBE-9B52-E737E3C90910}"/>
                </c:ext>
                <c:ext xmlns:c15="http://schemas.microsoft.com/office/drawing/2012/chart" uri="{CE6537A1-D6FC-4f65-9D91-7224C49458BB}">
                  <c15:showDataLabelsRange val="1"/>
                </c:ext>
              </c:extLst>
            </c:dLbl>
            <c:dLbl>
              <c:idx val="20"/>
              <c:tx>
                <c:rich>
                  <a:bodyPr/>
                  <a:lstStyle/>
                  <a:p>
                    <a:fld id="{9f98e351-b7ad-481e-82d1-5f7811412f25}" type="CELLRANGE">
                      <a:rPr lang="lv-LV"/>
                      <a:t>PL</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21"/>
              <c:layout>
                <c:manualLayout>
                  <c:x val="-0.049844236760124609"/>
                  <c:y val="-0.073490813648294018"/>
                </c:manualLayout>
              </c:layout>
              <c:tx>
                <c:rich>
                  <a:bodyPr vertOverflow="clip"/>
                  <a:lstStyle/>
                  <a:p>
                    <a:fld id="{3c1461ee-2c6c-4c92-9e4d-185f98f4fd93}" type="CELLRANGE">
                      <a:rPr lang="en-US"/>
                      <a:t>PT</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5-03E6-4FBE-9B52-E737E3C90910}"/>
                </c:ext>
                <c:ext xmlns:c15="http://schemas.microsoft.com/office/drawing/2012/chart" uri="{CE6537A1-D6FC-4f65-9D91-7224C49458BB}">
                  <c15:showDataLabelsRange val="1"/>
                </c:ext>
              </c:extLst>
            </c:dLbl>
            <c:dLbl>
              <c:idx val="22"/>
              <c:layout>
                <c:manualLayout>
                  <c:x val="-0.080996884735202487"/>
                  <c:y val="-0.031496062992126032"/>
                </c:manualLayout>
              </c:layout>
              <c:tx>
                <c:rich>
                  <a:bodyPr vertOverflow="clip"/>
                  <a:lstStyle/>
                  <a:p>
                    <a:fld id="{7ce3ed1a-e8b2-491d-97f1-d6fb4322c7ea}" type="CELLRANGE">
                      <a:rPr lang="en-US"/>
                      <a:t>RO</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6-03E6-4FBE-9B52-E737E3C90910}"/>
                </c:ext>
                <c:ext xmlns:c15="http://schemas.microsoft.com/office/drawing/2012/chart" uri="{CE6537A1-D6FC-4f65-9D91-7224C49458BB}">
                  <c15:showDataLabelsRange val="1"/>
                </c:ext>
              </c:extLst>
            </c:dLbl>
            <c:dLbl>
              <c:idx val="23"/>
              <c:layout>
                <c:manualLayout>
                  <c:x val="-0.012461059190031114"/>
                  <c:y val="-2.4059214629329119E-17"/>
                </c:manualLayout>
              </c:layout>
              <c:tx>
                <c:rich>
                  <a:bodyPr vertOverflow="clip"/>
                  <a:lstStyle/>
                  <a:p>
                    <a:fld id="{6c6f5203-7f7b-4a04-8773-3e480abd9895}" type="CELLRANGE">
                      <a:rPr lang="en-US"/>
                      <a:t>SI</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7-03E6-4FBE-9B52-E737E3C90910}"/>
                </c:ext>
                <c:ext xmlns:c15="http://schemas.microsoft.com/office/drawing/2012/chart" uri="{CE6537A1-D6FC-4f65-9D91-7224C49458BB}">
                  <c15:showDataLabelsRange val="1"/>
                </c:ext>
              </c:extLst>
            </c:dLbl>
            <c:dLbl>
              <c:idx val="24"/>
              <c:tx>
                <c:rich>
                  <a:bodyPr vertOverflow="clip"/>
                  <a:lstStyle/>
                  <a:p>
                    <a:fld id="{c24febe5-5a59-40f6-9f99-6f84a27b5bdd}" type="CELLRANGE">
                      <a:rPr lang="en-US"/>
                      <a:t>SK</a:t>
                    </a:fld>
                    <a:endParaRPr lang="lv-LV"/>
                  </a:p>
                </c:rich>
              </c:tx>
              <c:dLblPos val="l"/>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8-03E6-4FBE-9B52-E737E3C90910}"/>
                </c:ext>
                <c:ext xmlns:c15="http://schemas.microsoft.com/office/drawing/2012/chart" uri="{CE6537A1-D6FC-4f65-9D91-7224C49458BB}">
                  <c15:showDataLabelsRange val="1"/>
                </c:ext>
              </c:extLst>
            </c:dLbl>
            <c:dLbl>
              <c:idx val="25"/>
              <c:tx>
                <c:rich>
                  <a:bodyPr vertOverflow="clip"/>
                  <a:lstStyle/>
                  <a:p>
                    <a:fld id="{61490fa5-12da-4c8b-a648-728420229217}" type="CELLRANGE">
                      <a:rPr lang="lv-LV"/>
                      <a:t>FI</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26"/>
              <c:tx>
                <c:rich>
                  <a:bodyPr vertOverflow="clip"/>
                  <a:lstStyle/>
                  <a:p>
                    <a:fld id="{606c3778-1d23-4e8a-bcee-e2988b17b025}" type="CELLRANGE">
                      <a:rPr lang="en-US"/>
                      <a:t>SE</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A-03E6-4FBE-9B52-E737E3C90910}"/>
                </c:ext>
                <c:ext xmlns:c15="http://schemas.microsoft.com/office/drawing/2012/chart" uri="{CE6537A1-D6FC-4f65-9D91-7224C49458BB}">
                  <c15:showDataLabelsRange val="1"/>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Sheet1!$B$3:$B$29</c:f>
              <c:numCache>
                <c:formatCode>0</c:formatCode>
                <c:ptCount val="27"/>
                <c:pt idx="0">
                  <c:v>18.679861580256834</c:v>
                </c:pt>
                <c:pt idx="1">
                  <c:v>41.428093645484957</c:v>
                </c:pt>
                <c:pt idx="2">
                  <c:v>2.5184805913789239</c:v>
                </c:pt>
                <c:pt idx="3">
                  <c:v>18.936248845087775</c:v>
                </c:pt>
                <c:pt idx="4">
                  <c:v>43.404411764705884</c:v>
                </c:pt>
                <c:pt idx="5">
                  <c:v>25.559935379644589</c:v>
                </c:pt>
                <c:pt idx="6">
                  <c:v>18.746938775510205</c:v>
                </c:pt>
                <c:pt idx="7">
                  <c:v>21.902447645135634</c:v>
                </c:pt>
                <c:pt idx="8">
                  <c:v>13.679788662249361</c:v>
                </c:pt>
                <c:pt idx="9">
                  <c:v>36.646517739816034</c:v>
                </c:pt>
                <c:pt idx="10">
                  <c:v>41.874831763122479</c:v>
                </c:pt>
                <c:pt idx="11">
                  <c:v>12.461691377453823</c:v>
                </c:pt>
                <c:pt idx="12">
                  <c:v>31.979246733282089</c:v>
                </c:pt>
                <c:pt idx="13">
                  <c:v>21.454668470906633</c:v>
                </c:pt>
                <c:pt idx="14">
                  <c:v>12.844009489916964</c:v>
                </c:pt>
                <c:pt idx="15">
                  <c:v>9.2225398874850129</c:v>
                </c:pt>
                <c:pt idx="16">
                  <c:v>28.135135135135133</c:v>
                </c:pt>
                <c:pt idx="17">
                  <c:v>14.549819013145362</c:v>
                </c:pt>
                <c:pt idx="18">
                  <c:v>58.644615384615385</c:v>
                </c:pt>
                <c:pt idx="19">
                  <c:v>23.647875816993462</c:v>
                </c:pt>
                <c:pt idx="20">
                  <c:v>5.2313093762907892</c:v>
                </c:pt>
                <c:pt idx="21">
                  <c:v>7.5817283184467748</c:v>
                </c:pt>
                <c:pt idx="22">
                  <c:v>3.7236349300216833</c:v>
                </c:pt>
                <c:pt idx="23">
                  <c:v>9.8167752442996719</c:v>
                </c:pt>
                <c:pt idx="24">
                  <c:v>37.657843948166523</c:v>
                </c:pt>
                <c:pt idx="25">
                  <c:v>47.735124760076772</c:v>
                </c:pt>
                <c:pt idx="26">
                  <c:v>56.564356435643568</c:v>
                </c:pt>
              </c:numCache>
            </c:numRef>
          </c:xVal>
          <c:yVal>
            <c:numRef>
              <c:f>Sheet1!$C$3:$C$29</c:f>
              <c:numCache>
                <c:formatCode>0.0</c:formatCode>
                <c:ptCount val="27"/>
                <c:pt idx="0">
                  <c:v>0.94008409602884324</c:v>
                </c:pt>
                <c:pt idx="1">
                  <c:v>0.60824034292026341</c:v>
                </c:pt>
                <c:pt idx="2">
                  <c:v>2.166165410696089</c:v>
                </c:pt>
                <c:pt idx="3">
                  <c:v>0.67961338487596024</c:v>
                </c:pt>
                <c:pt idx="4">
                  <c:v>0.79609064491327741</c:v>
                </c:pt>
                <c:pt idx="5">
                  <c:v>0.88874764512567273</c:v>
                </c:pt>
                <c:pt idx="6">
                  <c:v>0.67647408111157281</c:v>
                </c:pt>
                <c:pt idx="7">
                  <c:v>1.2847841552413393</c:v>
                </c:pt>
                <c:pt idx="8">
                  <c:v>0.605914478657713</c:v>
                </c:pt>
                <c:pt idx="9">
                  <c:v>0.28471328745526525</c:v>
                </c:pt>
                <c:pt idx="10">
                  <c:v>0.69646185180818043</c:v>
                </c:pt>
                <c:pt idx="11">
                  <c:v>0.88699135038011567</c:v>
                </c:pt>
                <c:pt idx="12">
                  <c:v>0.62031084640815981</c:v>
                </c:pt>
                <c:pt idx="13">
                  <c:v>0.68649610828430363</c:v>
                </c:pt>
                <c:pt idx="14">
                  <c:v>0.84027761488367569</c:v>
                </c:pt>
                <c:pt idx="15">
                  <c:v>0.84277848894108431</c:v>
                </c:pt>
                <c:pt idx="16">
                  <c:v>1.1648681433489696</c:v>
                </c:pt>
                <c:pt idx="17">
                  <c:v>0.67764077016283975</c:v>
                </c:pt>
                <c:pt idx="18">
                  <c:v>0.52106906211987114</c:v>
                </c:pt>
                <c:pt idx="19">
                  <c:v>1.0307666219717071</c:v>
                </c:pt>
                <c:pt idx="20">
                  <c:v>2.5261938585269825</c:v>
                </c:pt>
                <c:pt idx="21">
                  <c:v>1.3409180573219897</c:v>
                </c:pt>
                <c:pt idx="22">
                  <c:v>1.076524750725717</c:v>
                </c:pt>
                <c:pt idx="23">
                  <c:v>2.1204044569187346</c:v>
                </c:pt>
                <c:pt idx="24">
                  <c:v>0.3081453511504576</c:v>
                </c:pt>
                <c:pt idx="25">
                  <c:v>0.62629715973841182</c:v>
                </c:pt>
                <c:pt idx="26">
                  <c:v>0.65173224160621324</c:v>
                </c:pt>
              </c:numCache>
            </c:numRef>
          </c:yVal>
          <c:smooth val="0"/>
          <c:extLst>
            <c:ext xmlns:c="http://schemas.openxmlformats.org/drawingml/2006/chart" xmlns:c16="http://schemas.microsoft.com/office/drawing/2014/chart" uri="{C3380CC4-5D6E-409C-BE32-E72D297353CC}">
              <c16:uniqueId val="{0000001B-03E6-4FBE-9B52-E737E3C90910}"/>
            </c:ext>
            <c:ext xmlns:c15="http://schemas.microsoft.com/office/drawing/2012/chart" uri="{02D57815-91ED-43cb-92C2-25804820EDAC}">
              <c15:datalabelsRange>
                <c15:f>Sheet1!$A$3:$A$30</c15:f>
                <c15:dlblRangeCache>
                  <c:ptCount val="28"/>
                  <c:pt idx="0">
                    <c:v>EU-28</c:v>
                  </c:pt>
                  <c:pt idx="1">
                    <c:v>BE</c:v>
                  </c:pt>
                  <c:pt idx="2">
                    <c:v>BG</c:v>
                  </c:pt>
                  <c:pt idx="3">
                    <c:v>CZ</c:v>
                  </c:pt>
                  <c:pt idx="4">
                    <c:v>DK</c:v>
                  </c:pt>
                  <c:pt idx="5">
                    <c:v>DE</c:v>
                  </c:pt>
                  <c:pt idx="6">
                    <c:v>EE</c:v>
                  </c:pt>
                  <c:pt idx="7">
                    <c:v>IE</c:v>
                  </c:pt>
                  <c:pt idx="8">
                    <c:v>EL</c:v>
                  </c:pt>
                  <c:pt idx="9">
                    <c:v>ES</c:v>
                  </c:pt>
                  <c:pt idx="10">
                    <c:v>FR</c:v>
                  </c:pt>
                  <c:pt idx="11">
                    <c:v>HR</c:v>
                  </c:pt>
                  <c:pt idx="12">
                    <c:v>IT</c:v>
                  </c:pt>
                  <c:pt idx="13">
                    <c:v>CY</c:v>
                  </c:pt>
                  <c:pt idx="14">
                    <c:v>LV</c:v>
                  </c:pt>
                  <c:pt idx="15">
                    <c:v>LT</c:v>
                  </c:pt>
                  <c:pt idx="16">
                    <c:v>LU</c:v>
                  </c:pt>
                  <c:pt idx="17">
                    <c:v>HU</c:v>
                  </c:pt>
                  <c:pt idx="18">
                    <c:v>NL</c:v>
                  </c:pt>
                  <c:pt idx="19">
                    <c:v>AT</c:v>
                  </c:pt>
                  <c:pt idx="20">
                    <c:v>PL</c:v>
                  </c:pt>
                  <c:pt idx="21">
                    <c:v>PT</c:v>
                  </c:pt>
                  <c:pt idx="22">
                    <c:v>RO</c:v>
                  </c:pt>
                  <c:pt idx="23">
                    <c:v>SI</c:v>
                  </c:pt>
                  <c:pt idx="24">
                    <c:v>SK</c:v>
                  </c:pt>
                  <c:pt idx="25">
                    <c:v>FI</c:v>
                  </c:pt>
                  <c:pt idx="26">
                    <c:v>SE</c:v>
                  </c:pt>
                  <c:pt idx="27">
                    <c:v>UK</c:v>
                  </c:pt>
                </c15:dlblRangeCache>
              </c15:datalabelsRange>
            </c:ext>
          </c:extLst>
        </c:ser>
        <c:dLbls>
          <c:showLegendKey val="0"/>
          <c:showVal val="0"/>
          <c:showCatName val="0"/>
          <c:showSerName val="0"/>
          <c:showPercent val="0"/>
          <c:showBubbleSize val="0"/>
        </c:dLbls>
        <c:axId val="629835360"/>
        <c:axId val="629833792"/>
      </c:scatterChart>
      <c:valAx>
        <c:axId val="629835360"/>
        <c:scaling>
          <c:orientation val="minMax"/>
          <c:max val="60"/>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29833792"/>
        <c:crosses val="autoZero"/>
        <c:crossBetween val="midCat"/>
      </c:valAx>
      <c:valAx>
        <c:axId val="629833792"/>
        <c:scaling>
          <c:orientation val="minMax"/>
          <c:max val="2.5"/>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29835360"/>
        <c:crosses val="autoZero"/>
        <c:crossBetween val="midCat"/>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2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46717244654"/>
          <c:y val="0.044057617797775277"/>
          <c:w val="0.9310540474739486"/>
          <c:h val="0.78754241085717935"/>
        </c:manualLayout>
      </c:layout>
      <c:barChart>
        <c:barDir val="col"/>
        <c:grouping val="clustered"/>
        <c:varyColors val="0"/>
        <c:ser>
          <c:idx val="1"/>
          <c:order val="0"/>
          <c:tx>
            <c:strRef>
              <c:f>Sheet1!$B$3</c:f>
              <c:strCache>
                <c:ptCount val="1"/>
                <c:pt idx="0">
                  <c:v>Resource productivity</c:v>
                </c:pt>
              </c:strCache>
            </c:strRef>
          </c:tx>
          <c:spPr>
            <a:solidFill>
              <a:schemeClr val="accent3">
                <a:lumMod val="50000"/>
              </a:schemeClr>
            </a:solidFill>
            <a:ln w="19050"/>
          </c:spPr>
          <c:invertIfNegative val="0"/>
          <c:dPt>
            <c:idx val="12"/>
            <c:invertIfNegative val="0"/>
            <c:bubble3D val="0"/>
            <c:extLst>
              <c:ext xmlns:c="http://schemas.openxmlformats.org/drawingml/2006/chart" xmlns:c16="http://schemas.microsoft.com/office/drawing/2014/chart" uri="{C3380CC4-5D6E-409C-BE32-E72D297353CC}">
                <c16:uniqueId val="{00000000-88E9-4C18-8885-C40FA7B60B91}"/>
              </c:ext>
            </c:extLst>
          </c:dPt>
          <c:dPt>
            <c:idx val="16"/>
            <c:invertIfNegative val="0"/>
            <c:bubble3D val="0"/>
            <c:extLst>
              <c:ext xmlns:c="http://schemas.openxmlformats.org/drawingml/2006/chart" xmlns:c16="http://schemas.microsoft.com/office/drawing/2014/chart" uri="{C3380CC4-5D6E-409C-BE32-E72D297353CC}">
                <c16:uniqueId val="{00000001-88E9-4C18-8885-C40FA7B60B91}"/>
              </c:ext>
            </c:extLst>
          </c:dPt>
          <c:dPt>
            <c:idx val="17"/>
            <c:invertIfNegative val="0"/>
            <c:bubble3D val="0"/>
            <c:extLst>
              <c:ext xmlns:c="http://schemas.openxmlformats.org/drawingml/2006/chart" xmlns:c16="http://schemas.microsoft.com/office/drawing/2014/chart" uri="{C3380CC4-5D6E-409C-BE32-E72D297353CC}">
                <c16:uniqueId val="{00000002-88E9-4C18-8885-C40FA7B60B91}"/>
              </c:ext>
            </c:extLst>
          </c:dPt>
          <c:dPt>
            <c:idx val="22"/>
            <c:invertIfNegative val="0"/>
            <c:bubble3D val="0"/>
            <c:spPr>
              <a:ln w="19050"/>
            </c:spPr>
            <c:extLst>
              <c:ext xmlns:c="http://schemas.openxmlformats.org/drawingml/2006/chart" xmlns:c16="http://schemas.microsoft.com/office/drawing/2014/chart" uri="{C3380CC4-5D6E-409C-BE32-E72D297353CC}">
                <c16:uniqueId val="{00000004-88E9-4C18-8885-C40FA7B60B91}"/>
              </c:ext>
            </c:extLst>
          </c:dPt>
          <c:dPt>
            <c:idx val="23"/>
            <c:invertIfNegative val="0"/>
            <c:bubble3D val="0"/>
            <c:extLst>
              <c:ext xmlns:c="http://schemas.openxmlformats.org/drawingml/2006/chart" xmlns:c16="http://schemas.microsoft.com/office/drawing/2014/chart" uri="{C3380CC4-5D6E-409C-BE32-E72D297353CC}">
                <c16:uniqueId val="{00000005-88E9-4C18-8885-C40FA7B60B91}"/>
              </c:ext>
            </c:extLst>
          </c:dPt>
          <c:dPt>
            <c:idx val="24"/>
            <c:invertIfNegative val="0"/>
            <c:bubble3D val="0"/>
            <c:spPr>
              <a:solidFill>
                <a:srgbClr val="C00000"/>
              </a:solidFill>
              <a:ln w="19050"/>
            </c:spPr>
            <c:extLst>
              <c:ext xmlns:c="http://schemas.openxmlformats.org/drawingml/2006/chart" xmlns:c16="http://schemas.microsoft.com/office/drawing/2014/chart" uri="{C3380CC4-5D6E-409C-BE32-E72D297353CC}">
                <c16:uniqueId val="{00000007-88E9-4C18-8885-C40FA7B60B91}"/>
              </c:ext>
            </c:extLst>
          </c:dPt>
          <c:dPt>
            <c:idx val="25"/>
            <c:invertIfNegative val="0"/>
            <c:bubble3D val="0"/>
            <c:extLst>
              <c:ext xmlns:c="http://schemas.openxmlformats.org/drawingml/2006/chart" xmlns:c16="http://schemas.microsoft.com/office/drawing/2014/chart" uri="{C3380CC4-5D6E-409C-BE32-E72D297353CC}">
                <c16:uniqueId val="{00000008-88E9-4C18-8885-C40FA7B60B91}"/>
              </c:ext>
            </c:extLst>
          </c:dPt>
          <c:dPt>
            <c:idx val="26"/>
            <c:invertIfNegative val="0"/>
            <c:bubble3D val="0"/>
            <c:spPr>
              <a:solidFill>
                <a:srgbClr val="C00000"/>
              </a:solidFill>
              <a:ln w="19050"/>
            </c:spPr>
            <c:extLst>
              <c:ext xmlns:c="http://schemas.openxmlformats.org/drawingml/2006/chart" xmlns:c16="http://schemas.microsoft.com/office/drawing/2014/chart" uri="{C3380CC4-5D6E-409C-BE32-E72D297353CC}">
                <c16:uniqueId val="{0000000A-88E9-4C18-8885-C40FA7B60B91}"/>
              </c:ext>
            </c:extLst>
          </c:dPt>
          <c:dLbls>
            <c:dLbl>
              <c:idx val="22"/>
              <c:layout>
                <c:manualLayout>
                  <c:x val="0"/>
                  <c:y val="0.010840108401084011"/>
                </c:manualLayout>
              </c:layout>
              <c:numFmt formatCode="#,##0" sourceLinked="0"/>
              <c:spPr>
                <a:noFill/>
                <a:ln>
                  <a:noFill/>
                </a:ln>
                <a:effectLst/>
              </c:spPr>
              <c:txPr>
                <a:bodyPr/>
                <a:lstStyle/>
                <a:p>
                  <a:pPr>
                    <a:defRPr sz="600" b="1"/>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88E9-4C18-8885-C40FA7B60B91}"/>
                </c:ext>
                <c:ext xmlns:c15="http://schemas.microsoft.com/office/drawing/2012/chart" uri="{CE6537A1-D6FC-4f65-9D91-7224C49458BB}"/>
              </c:extLst>
            </c:dLbl>
            <c:dLbl>
              <c:idx val="23"/>
              <c:layout>
                <c:manualLayout>
                  <c:x val="-5.399154746444577E-06"/>
                  <c:y val="0.010809824819807841"/>
                </c:manualLayout>
              </c:layout>
              <c:numFmt formatCode="#,##0" sourceLinked="0"/>
              <c:spPr>
                <a:noFill/>
                <a:ln>
                  <a:noFill/>
                </a:ln>
                <a:effectLst/>
              </c:spPr>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88E9-4C18-8885-C40FA7B60B91}"/>
                </c:ext>
                <c:ext xmlns:c15="http://schemas.microsoft.com/office/drawing/2012/chart" uri="{CE6537A1-D6FC-4f65-9D91-7224C49458BB}"/>
              </c:extLst>
            </c:dLbl>
            <c:dLbl>
              <c:idx val="24"/>
              <c:layout>
                <c:manualLayout>
                  <c:x val="0.0040334861929321253"/>
                  <c:y val="-0.010825167577003594"/>
                </c:manualLayout>
              </c:layout>
              <c:numFmt formatCode="#,##0" sourceLinked="0"/>
              <c:spPr>
                <a:noFill/>
                <a:ln>
                  <a:noFill/>
                </a:ln>
                <a:effectLst/>
              </c:spPr>
              <c:txPr>
                <a:bodyPr/>
                <a:lstStyle/>
                <a:p>
                  <a:pPr>
                    <a:defRPr sz="600" b="1"/>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88E9-4C18-8885-C40FA7B60B91}"/>
                </c:ext>
                <c:ext xmlns:c15="http://schemas.microsoft.com/office/drawing/2012/chart" uri="{CE6537A1-D6FC-4f65-9D91-7224C49458BB}"/>
              </c:extLst>
            </c:dLbl>
            <c:dLbl>
              <c:idx val="25"/>
              <c:layout>
                <c:manualLayout>
                  <c:x val="0"/>
                  <c:y val="0.0045439455203234733"/>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88E9-4C18-8885-C40FA7B60B91}"/>
                </c:ext>
                <c:ext xmlns:c15="http://schemas.microsoft.com/office/drawing/2012/chart" uri="{CE6537A1-D6FC-4f65-9D91-7224C49458BB}"/>
              </c:extLst>
            </c:dLbl>
            <c:dLbl>
              <c:idx val="26"/>
              <c:layout>
                <c:manualLayout>
                  <c:x val="0"/>
                  <c:y val="-0.032432432432432434"/>
                </c:manualLayout>
              </c:layout>
              <c:numFmt formatCode="#,##0" sourceLinked="0"/>
              <c:txPr>
                <a:bodyPr/>
                <a:lstStyle/>
                <a:p>
                  <a:pPr>
                    <a:defRPr sz="600" b="1"/>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88E9-4C18-8885-C40FA7B60B91}"/>
                </c:ext>
                <c:ext xmlns:c15="http://schemas.microsoft.com/office/drawing/2012/chart" uri="{CE6537A1-D6FC-4f65-9D91-7224C49458BB}"/>
              </c:extLst>
            </c:dLbl>
            <c:numFmt formatCode="#,##0" sourceLinked="0"/>
            <c:spPr>
              <a:noFill/>
              <a:ln>
                <a:noFill/>
              </a:ln>
              <a:effectLst/>
            </c:spPr>
            <c:txPr>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Sheet1!$A$4:$A$27</c:f>
              <c:strCache>
                <c:ptCount val="24"/>
                <c:pt idx="0">
                  <c:v>PT</c:v>
                </c:pt>
                <c:pt idx="1">
                  <c:v>ES</c:v>
                </c:pt>
                <c:pt idx="2">
                  <c:v>SE</c:v>
                </c:pt>
                <c:pt idx="3">
                  <c:v>LU</c:v>
                </c:pt>
                <c:pt idx="4">
                  <c:v>NL</c:v>
                </c:pt>
                <c:pt idx="5">
                  <c:v>DK</c:v>
                </c:pt>
                <c:pt idx="6">
                  <c:v>FI</c:v>
                </c:pt>
                <c:pt idx="7">
                  <c:v>BE</c:v>
                </c:pt>
                <c:pt idx="8">
                  <c:v>IE</c:v>
                </c:pt>
                <c:pt idx="9">
                  <c:v>IT</c:v>
                </c:pt>
                <c:pt idx="10">
                  <c:v>DE</c:v>
                </c:pt>
                <c:pt idx="11">
                  <c:v>AT</c:v>
                </c:pt>
                <c:pt idx="12">
                  <c:v>CY</c:v>
                </c:pt>
                <c:pt idx="13">
                  <c:v>SK</c:v>
                </c:pt>
                <c:pt idx="14">
                  <c:v>EL</c:v>
                </c:pt>
                <c:pt idx="15">
                  <c:v>CZ</c:v>
                </c:pt>
                <c:pt idx="16">
                  <c:v>SI</c:v>
                </c:pt>
                <c:pt idx="17">
                  <c:v>EE</c:v>
                </c:pt>
                <c:pt idx="18">
                  <c:v>HU</c:v>
                </c:pt>
                <c:pt idx="19">
                  <c:v>RO</c:v>
                </c:pt>
                <c:pt idx="20">
                  <c:v>PL</c:v>
                </c:pt>
                <c:pt idx="21">
                  <c:v>LT</c:v>
                </c:pt>
                <c:pt idx="22">
                  <c:v>LV</c:v>
                </c:pt>
                <c:pt idx="23">
                  <c:v>BG</c:v>
                </c:pt>
              </c:strCache>
            </c:strRef>
          </c:cat>
          <c:val>
            <c:numRef>
              <c:f>Sheet1!$B$4:$B$27</c:f>
              <c:numCache>
                <c:formatCode>0.0</c:formatCode>
                <c:ptCount val="24"/>
                <c:pt idx="0">
                  <c:v>393.28199052132703</c:v>
                </c:pt>
                <c:pt idx="1">
                  <c:v>390.93357271095152</c:v>
                </c:pt>
                <c:pt idx="2">
                  <c:v>352.03793103448277</c:v>
                </c:pt>
                <c:pt idx="3">
                  <c:v>337.11538461538458</c:v>
                </c:pt>
                <c:pt idx="4">
                  <c:v>322.66666666666669</c:v>
                </c:pt>
                <c:pt idx="5">
                  <c:v>314.4</c:v>
                </c:pt>
                <c:pt idx="6">
                  <c:v>312.90322580645159</c:v>
                </c:pt>
                <c:pt idx="7">
                  <c:v>306.81818181818181</c:v>
                </c:pt>
                <c:pt idx="8">
                  <c:v>268.48814229249012</c:v>
                </c:pt>
                <c:pt idx="9">
                  <c:v>253.71590909090909</c:v>
                </c:pt>
                <c:pt idx="10">
                  <c:v>205.7308</c:v>
                </c:pt>
                <c:pt idx="11">
                  <c:v>190.19764348156596</c:v>
                </c:pt>
                <c:pt idx="12">
                  <c:v>167.5735294117647</c:v>
                </c:pt>
                <c:pt idx="13">
                  <c:v>130.19230769230768</c:v>
                </c:pt>
                <c:pt idx="14">
                  <c:v>119.36585365853659</c:v>
                </c:pt>
                <c:pt idx="15">
                  <c:v>114.64525139664806</c:v>
                </c:pt>
                <c:pt idx="16">
                  <c:v>106.21229050279331</c:v>
                </c:pt>
                <c:pt idx="17">
                  <c:v>105.26229508196722</c:v>
                </c:pt>
                <c:pt idx="18">
                  <c:v>80.702721322769548</c:v>
                </c:pt>
                <c:pt idx="19">
                  <c:v>69.504232164449817</c:v>
                </c:pt>
                <c:pt idx="20">
                  <c:v>60.099826889786492</c:v>
                </c:pt>
                <c:pt idx="21">
                  <c:v>52.332185886402762</c:v>
                </c:pt>
                <c:pt idx="22">
                  <c:v>37.939444911690494</c:v>
                </c:pt>
                <c:pt idx="23">
                  <c:v>35.5219512195122</c:v>
                </c:pt>
              </c:numCache>
            </c:numRef>
          </c:val>
          <c:extLst>
            <c:ext xmlns:c="http://schemas.openxmlformats.org/drawingml/2006/chart" xmlns:c16="http://schemas.microsoft.com/office/drawing/2014/chart" uri="{C3380CC4-5D6E-409C-BE32-E72D297353CC}">
              <c16:uniqueId val="{0000000B-88E9-4C18-8885-C40FA7B60B91}"/>
            </c:ext>
          </c:extLst>
        </c:ser>
        <c:dLbls>
          <c:showLegendKey val="0"/>
          <c:showVal val="0"/>
          <c:showCatName val="0"/>
          <c:showSerName val="0"/>
          <c:showPercent val="0"/>
          <c:showBubbleSize val="0"/>
        </c:dLbls>
        <c:gapWidth val="20"/>
        <c:axId val="656381352"/>
        <c:axId val="656382528"/>
      </c:barChart>
      <c:catAx>
        <c:axId val="656381352"/>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56382528"/>
        <c:crosses val="autoZero"/>
        <c:auto val="1"/>
        <c:lblAlgn val="ctr"/>
        <c:lblOffset val="100"/>
        <c:tickLblSkip val="1"/>
        <c:noMultiLvlLbl val="0"/>
      </c:catAx>
      <c:valAx>
        <c:axId val="656382528"/>
        <c:scaling>
          <c:orientation val="minMax"/>
        </c:scaling>
        <c:delete val="0"/>
        <c:axPos val="l"/>
        <c:numFmt formatCode="0" sourceLinked="0"/>
        <c:majorTickMark val="out"/>
        <c:minorTickMark val="none"/>
        <c:tickLblPos val="nextTo"/>
        <c:txPr>
          <a:bodyPr/>
          <a:lstStyle/>
          <a:p>
            <a:pPr>
              <a:defRPr sz="600"/>
            </a:pPr>
            <a:endParaRPr lang="lv-LV"/>
          </a:p>
        </c:txPr>
        <c:crossAx val="656381352"/>
        <c:crosses val="autoZero"/>
        <c:crossBetween val="between"/>
      </c:valAx>
    </c:plotArea>
    <c:plotVisOnly val="1"/>
    <c:dispBlanksAs val="gap"/>
    <c:showDLblsOverMax val="0"/>
  </c:chart>
  <c:spPr>
    <a:ln w="9525">
      <a:noFill/>
    </a:ln>
  </c:spPr>
  <c:externalData r:id="rId1">
    <c:autoUpdate val="0"/>
  </c:externalData>
</c:chartSpace>
</file>

<file path=word/charts/chart26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2572178477690286"/>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09F0-4884-A64C-3F2BAB81B14B}"/>
              </c:ext>
            </c:extLst>
          </c:dPt>
          <c:dPt>
            <c:idx val="2"/>
            <c:bubble3D val="0"/>
            <c:marker>
              <c:spPr>
                <a:solidFill>
                  <a:srgbClr val="1F497D">
                    <a:lumMod val="75000"/>
                  </a:srgbClr>
                </a:solidFill>
                <a:ln w="6350">
                  <a:solidFill>
                    <a:sysClr val="windowText" lastClr="000000"/>
                  </a:solidFill>
                </a:ln>
              </c:spPr>
            </c:marker>
            <c:extLst>
              <c:ext xmlns:c="http://schemas.openxmlformats.org/drawingml/2006/chart" xmlns:c16="http://schemas.microsoft.com/office/drawing/2014/chart" uri="{C3380CC4-5D6E-409C-BE32-E72D297353CC}">
                <c16:uniqueId val="{00000001-09F0-4884-A64C-3F2BAB81B14B}"/>
              </c:ext>
            </c:extLst>
          </c:dPt>
          <c:dPt>
            <c:idx val="5"/>
            <c:bubble3D val="0"/>
            <c:extLst>
              <c:ext xmlns:c="http://schemas.openxmlformats.org/drawingml/2006/chart" xmlns:c16="http://schemas.microsoft.com/office/drawing/2014/chart" uri="{C3380CC4-5D6E-409C-BE32-E72D297353CC}">
                <c16:uniqueId val="{00000002-09F0-4884-A64C-3F2BAB81B14B}"/>
              </c:ext>
            </c:extLst>
          </c:dPt>
          <c:dPt>
            <c:idx val="11"/>
            <c:bubble3D val="0"/>
            <c:extLst>
              <c:ext xmlns:c="http://schemas.openxmlformats.org/drawingml/2006/chart" xmlns:c16="http://schemas.microsoft.com/office/drawing/2014/chart" uri="{C3380CC4-5D6E-409C-BE32-E72D297353CC}">
                <c16:uniqueId val="{00000003-09F0-4884-A64C-3F2BAB81B14B}"/>
              </c:ext>
            </c:extLst>
          </c:dPt>
          <c:dPt>
            <c:idx val="12"/>
            <c:bubble3D val="0"/>
            <c:extLst>
              <c:ext xmlns:c="http://schemas.openxmlformats.org/drawingml/2006/chart" xmlns:c16="http://schemas.microsoft.com/office/drawing/2014/chart" uri="{C3380CC4-5D6E-409C-BE32-E72D297353CC}">
                <c16:uniqueId val="{00000004-09F0-4884-A64C-3F2BAB81B14B}"/>
              </c:ext>
            </c:extLst>
          </c:dPt>
          <c:dPt>
            <c:idx val="13"/>
            <c:bubble3D val="0"/>
            <c:extLst>
              <c:ext xmlns:c="http://schemas.openxmlformats.org/drawingml/2006/chart" xmlns:c16="http://schemas.microsoft.com/office/drawing/2014/chart" uri="{C3380CC4-5D6E-409C-BE32-E72D297353CC}">
                <c16:uniqueId val="{00000005-09F0-4884-A64C-3F2BAB81B14B}"/>
              </c:ext>
            </c:extLst>
          </c:dPt>
          <c:dPt>
            <c:idx val="14"/>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6-09F0-4884-A64C-3F2BAB81B14B}"/>
              </c:ext>
            </c:extLst>
          </c:dPt>
          <c:dLbls>
            <c:dLbl>
              <c:idx val="0"/>
              <c:layout>
                <c:manualLayout>
                  <c:x val="-0.10381658491474911"/>
                  <c:y val="0.066692344223858446"/>
                </c:manualLayout>
              </c:layout>
              <c:tx>
                <c:rich>
                  <a:bodyPr vertOverflow="clip"/>
                  <a:lstStyle/>
                  <a:p>
                    <a:r>
                      <a:rPr lang="en-US"/>
                      <a:t>EU-28</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09F0-4884-A64C-3F2BAB81B14B}"/>
                </c:ext>
                <c:ext xmlns:c15="http://schemas.microsoft.com/office/drawing/2012/chart" uri="{CE6537A1-D6FC-4f65-9D91-7224C49458BB}"/>
              </c:extLst>
            </c:dLbl>
            <c:dLbl>
              <c:idx val="1"/>
              <c:layout>
                <c:manualLayout>
                  <c:x val="-0.045680214267633475"/>
                  <c:y val="-0.066743948634913744"/>
                </c:manualLayout>
              </c:layout>
              <c:tx>
                <c:rich>
                  <a:bodyPr vertOverflow="clip"/>
                  <a:lstStyle/>
                  <a:p>
                    <a:r>
                      <a:rPr lang="en-US"/>
                      <a:t>BE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09F0-4884-A64C-3F2BAB81B14B}"/>
                </c:ext>
                <c:ext xmlns:c15="http://schemas.microsoft.com/office/drawing/2012/chart" uri="{CE6537A1-D6FC-4f65-9D91-7224C49458BB}"/>
              </c:extLst>
            </c:dLbl>
            <c:dLbl>
              <c:idx val="2"/>
              <c:layout>
                <c:manualLayout>
                  <c:x val="-0.074858755674578573"/>
                  <c:y val="-0.056989219165429532"/>
                </c:manualLayout>
              </c:layout>
              <c:tx>
                <c:rich>
                  <a:bodyPr vertOverflow="clip"/>
                  <a:lstStyle/>
                  <a:p>
                    <a:r>
                      <a:rPr lang="en-US"/>
                      <a:t>BG</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09F0-4884-A64C-3F2BAB81B14B}"/>
                </c:ext>
                <c:ext xmlns:c15="http://schemas.microsoft.com/office/drawing/2012/chart" uri="{CE6537A1-D6FC-4f65-9D91-7224C49458BB}"/>
              </c:extLst>
            </c:dLbl>
            <c:dLbl>
              <c:idx val="3"/>
              <c:layout>
                <c:manualLayout>
                  <c:x val="-0.02493228819245577"/>
                  <c:y val="-0.056938362644389513"/>
                </c:manualLayout>
              </c:layout>
              <c:tx>
                <c:rich>
                  <a:bodyPr vertOverflow="clip"/>
                  <a:lstStyle/>
                  <a:p>
                    <a:r>
                      <a:rPr lang="en-US"/>
                      <a:t>CZ</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09F0-4884-A64C-3F2BAB81B14B}"/>
                </c:ext>
                <c:ext xmlns:c15="http://schemas.microsoft.com/office/drawing/2012/chart" uri="{CE6537A1-D6FC-4f65-9D91-7224C49458BB}"/>
              </c:extLst>
            </c:dLbl>
            <c:dLbl>
              <c:idx val="4"/>
              <c:layout>
                <c:manualLayout>
                  <c:x val="-0.03741922638748215"/>
                  <c:y val="-0.075960197293386031"/>
                </c:manualLayout>
              </c:layout>
              <c:tx>
                <c:rich>
                  <a:bodyPr vertOverflow="clip"/>
                  <a:lstStyle/>
                  <a:p>
                    <a:r>
                      <a:rPr lang="en-US"/>
                      <a:t>DK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09F0-4884-A64C-3F2BAB81B14B}"/>
                </c:ext>
                <c:ext xmlns:c15="http://schemas.microsoft.com/office/drawing/2012/chart" uri="{CE6537A1-D6FC-4f65-9D91-7224C49458BB}"/>
              </c:extLst>
            </c:dLbl>
            <c:dLbl>
              <c:idx val="5"/>
              <c:layout>
                <c:manualLayout>
                  <c:x val="-0.024909541973504867"/>
                  <c:y val="-0.0092879720201245186"/>
                </c:manualLayout>
              </c:layout>
              <c:tx>
                <c:rich>
                  <a:bodyPr vertOverflow="clip"/>
                  <a:lstStyle/>
                  <a:p>
                    <a:r>
                      <a:rPr lang="en-US"/>
                      <a:t>DE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09F0-4884-A64C-3F2BAB81B14B}"/>
                </c:ext>
                <c:ext xmlns:c15="http://schemas.microsoft.com/office/drawing/2012/chart" uri="{CE6537A1-D6FC-4f65-9D91-7224C49458BB}"/>
              </c:extLst>
            </c:dLbl>
            <c:dLbl>
              <c:idx val="6"/>
              <c:layout>
                <c:manualLayout>
                  <c:x val="-0.024911985292841492"/>
                  <c:y val="0.047336950628040643"/>
                </c:manualLayout>
              </c:layout>
              <c:tx>
                <c:rich>
                  <a:bodyPr vertOverflow="clip"/>
                  <a:lstStyle/>
                  <a:p>
                    <a:r>
                      <a:rPr lang="en-US"/>
                      <a:t>EE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09F0-4884-A64C-3F2BAB81B14B}"/>
                </c:ext>
                <c:ext xmlns:c15="http://schemas.microsoft.com/office/drawing/2012/chart" uri="{CE6537A1-D6FC-4f65-9D91-7224C49458BB}"/>
              </c:extLst>
            </c:dLbl>
            <c:dLbl>
              <c:idx val="7"/>
              <c:layout>
                <c:manualLayout>
                  <c:x val="-0.00418966931748732"/>
                  <c:y val="-0.066503076664110566"/>
                </c:manualLayout>
              </c:layout>
              <c:tx>
                <c:rich>
                  <a:bodyPr vertOverflow="clip"/>
                  <a:lstStyle/>
                  <a:p>
                    <a:r>
                      <a:rPr lang="en-US"/>
                      <a:t>IE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09F0-4884-A64C-3F2BAB81B14B}"/>
                </c:ext>
                <c:ext xmlns:c15="http://schemas.microsoft.com/office/drawing/2012/chart" uri="{CE6537A1-D6FC-4f65-9D91-7224C49458BB}"/>
              </c:extLst>
            </c:dLbl>
            <c:dLbl>
              <c:idx val="8"/>
              <c:layout>
                <c:manualLayout>
                  <c:x val="-0.066484791982057478"/>
                  <c:y val="-0.076191295308111986"/>
                </c:manualLayout>
              </c:layout>
              <c:tx>
                <c:rich>
                  <a:bodyPr vertOverflow="clip"/>
                  <a:lstStyle/>
                  <a:p>
                    <a:r>
                      <a:rPr lang="en-US"/>
                      <a:t>EL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09F0-4884-A64C-3F2BAB81B14B}"/>
                </c:ext>
                <c:ext xmlns:c15="http://schemas.microsoft.com/office/drawing/2012/chart" uri="{CE6537A1-D6FC-4f65-9D91-7224C49458BB}"/>
              </c:extLst>
            </c:dLbl>
            <c:dLbl>
              <c:idx val="9"/>
              <c:layout>
                <c:manualLayout>
                  <c:x val="-0.083155764828239109"/>
                  <c:y val="-0.037993560666968317"/>
                </c:manualLayout>
              </c:layout>
              <c:tx>
                <c:rich>
                  <a:bodyPr/>
                  <a:lstStyle/>
                  <a:p>
                    <a:r>
                      <a:rPr lang="en-US"/>
                      <a:t>SP</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09F0-4884-A64C-3F2BAB81B14B}"/>
                </c:ext>
                <c:ext xmlns:c15="http://schemas.microsoft.com/office/drawing/2012/chart" uri="{CE6537A1-D6FC-4f65-9D91-7224C49458BB}"/>
              </c:extLst>
            </c:dLbl>
            <c:dLbl>
              <c:idx val="10"/>
              <c:layout>
                <c:manualLayout>
                  <c:x val="-0.037383177570093455"/>
                  <c:y val="-0.085714285714285715"/>
                </c:manualLayout>
              </c:layout>
              <c:tx>
                <c:rich>
                  <a:bodyPr vertOverflow="clip"/>
                  <a:lstStyle/>
                  <a:p>
                    <a:r>
                      <a:rPr lang="en-US"/>
                      <a:t>FR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E-09F0-4884-A64C-3F2BAB81B14B}"/>
                </c:ext>
                <c:ext xmlns:c15="http://schemas.microsoft.com/office/drawing/2012/chart" uri="{CE6537A1-D6FC-4f65-9D91-7224C49458BB}"/>
              </c:extLst>
            </c:dLbl>
            <c:dLbl>
              <c:idx val="11"/>
              <c:layout>
                <c:manualLayout>
                  <c:x val="-0.033214561370589812"/>
                  <c:y val="-0.057168712769100176"/>
                </c:manualLayout>
              </c:layout>
              <c:tx>
                <c:rich>
                  <a:bodyPr vertOverflow="clip"/>
                  <a:lstStyle/>
                  <a:p>
                    <a:r>
                      <a:rPr lang="en-US"/>
                      <a:t>HR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09F0-4884-A64C-3F2BAB81B14B}"/>
                </c:ext>
                <c:ext xmlns:c15="http://schemas.microsoft.com/office/drawing/2012/chart" uri="{CE6537A1-D6FC-4f65-9D91-7224C49458BB}"/>
              </c:extLst>
            </c:dLbl>
            <c:dLbl>
              <c:idx val="12"/>
              <c:layout>
                <c:manualLayout>
                  <c:x val="-0.0789612512611539"/>
                  <c:y val="0.037787890912762453"/>
                </c:manualLayout>
              </c:layout>
              <c:tx>
                <c:rich>
                  <a:bodyPr vertOverflow="clip"/>
                  <a:lstStyle/>
                  <a:p>
                    <a:r>
                      <a:rPr lang="en-US"/>
                      <a:t>IT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09F0-4884-A64C-3F2BAB81B14B}"/>
                </c:ext>
                <c:ext xmlns:c15="http://schemas.microsoft.com/office/drawing/2012/chart" uri="{CE6537A1-D6FC-4f65-9D91-7224C49458BB}"/>
              </c:extLst>
            </c:dLbl>
            <c:dLbl>
              <c:idx val="13"/>
              <c:layout>
                <c:manualLayout>
                  <c:x val="-0.0415881975969881"/>
                  <c:y val="-0.075985625553906047"/>
                </c:manualLayout>
              </c:layout>
              <c:tx>
                <c:rich>
                  <a:bodyPr vertOverflow="clip"/>
                  <a:lstStyle/>
                  <a:p>
                    <a:r>
                      <a:rPr lang="en-US"/>
                      <a:t>CY</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09F0-4884-A64C-3F2BAB81B14B}"/>
                </c:ext>
                <c:ext xmlns:c15="http://schemas.microsoft.com/office/drawing/2012/chart" uri="{CE6537A1-D6FC-4f65-9D91-7224C49458BB}"/>
              </c:extLst>
            </c:dLbl>
            <c:dLbl>
              <c:idx val="14"/>
              <c:layout>
                <c:manualLayout>
                  <c:x val="-0.095545253105044109"/>
                  <c:y val="-0.00015373078365208716"/>
                </c:manualLayout>
              </c:layout>
              <c:tx>
                <c:rich>
                  <a:bodyPr vertOverflow="clip"/>
                  <a:lstStyle/>
                  <a:p>
                    <a:r>
                      <a:rPr lang="en-US"/>
                      <a:t>LV</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09F0-4884-A64C-3F2BAB81B14B}"/>
                </c:ext>
                <c:ext xmlns:c15="http://schemas.microsoft.com/office/drawing/2012/chart" uri="{CE6537A1-D6FC-4f65-9D91-7224C49458BB}"/>
              </c:extLst>
            </c:dLbl>
            <c:dLbl>
              <c:idx val="15"/>
              <c:layout>
                <c:manualLayout>
                  <c:x val="-0.016609736681215986"/>
                  <c:y val="0.00015331745313534192"/>
                </c:manualLayout>
              </c:layout>
              <c:tx>
                <c:rich>
                  <a:bodyPr vertOverflow="clip"/>
                  <a:lstStyle/>
                  <a:p>
                    <a:r>
                      <a:rPr lang="en-US"/>
                      <a:t>LT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F-09F0-4884-A64C-3F2BAB81B14B}"/>
                </c:ext>
                <c:ext xmlns:c15="http://schemas.microsoft.com/office/drawing/2012/chart" uri="{CE6537A1-D6FC-4f65-9D91-7224C49458BB}"/>
              </c:extLst>
            </c:dLbl>
            <c:dLbl>
              <c:idx val="16"/>
              <c:layout>
                <c:manualLayout>
                  <c:x val="-0.033270558077590405"/>
                  <c:y val="-0.066487422359667786"/>
                </c:manualLayout>
              </c:layout>
              <c:tx>
                <c:rich>
                  <a:bodyPr vertOverflow="clip"/>
                  <a:lstStyle/>
                  <a:p>
                    <a:r>
                      <a:rPr lang="en-US"/>
                      <a:t>LU</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0-09F0-4884-A64C-3F2BAB81B14B}"/>
                </c:ext>
                <c:ext xmlns:c15="http://schemas.microsoft.com/office/drawing/2012/chart" uri="{CE6537A1-D6FC-4f65-9D91-7224C49458BB}"/>
              </c:extLst>
            </c:dLbl>
            <c:dLbl>
              <c:idx val="17"/>
              <c:layout>
                <c:manualLayout>
                  <c:x val="-0.029014153413293973"/>
                  <c:y val="0.038172306380623668"/>
                </c:manualLayout>
              </c:layout>
              <c:tx>
                <c:rich>
                  <a:bodyPr vertOverflow="clip"/>
                  <a:lstStyle/>
                  <a:p>
                    <a:r>
                      <a:rPr lang="en-US"/>
                      <a:t>HU</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1-09F0-4884-A64C-3F2BAB81B14B}"/>
                </c:ext>
                <c:ext xmlns:c15="http://schemas.microsoft.com/office/drawing/2012/chart" uri="{CE6537A1-D6FC-4f65-9D91-7224C49458BB}"/>
              </c:extLst>
            </c:dLbl>
            <c:dLbl>
              <c:idx val="18"/>
              <c:layout>
                <c:manualLayout>
                  <c:x val="-0.049844236760124609"/>
                  <c:y val="-0.066666666666666666"/>
                </c:manualLayout>
              </c:layout>
              <c:tx>
                <c:rich>
                  <a:bodyPr vertOverflow="clip"/>
                  <a:lstStyle/>
                  <a:p>
                    <a:r>
                      <a:rPr lang="en-US"/>
                      <a:t>NL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2-09F0-4884-A64C-3F2BAB81B14B}"/>
                </c:ext>
                <c:ext xmlns:c15="http://schemas.microsoft.com/office/drawing/2012/chart" uri="{CE6537A1-D6FC-4f65-9D91-7224C49458BB}"/>
              </c:extLst>
            </c:dLbl>
            <c:dLbl>
              <c:idx val="19"/>
              <c:layout>
                <c:manualLayout>
                  <c:x val="-0.091309165432776687"/>
                  <c:y val="0.047612171993940147"/>
                </c:manualLayout>
              </c:layout>
              <c:tx>
                <c:rich>
                  <a:bodyPr vertOverflow="clip"/>
                  <a:lstStyle/>
                  <a:p>
                    <a:r>
                      <a:rPr lang="en-US"/>
                      <a:t>AT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3-09F0-4884-A64C-3F2BAB81B14B}"/>
                </c:ext>
                <c:ext xmlns:c15="http://schemas.microsoft.com/office/drawing/2012/chart" uri="{CE6537A1-D6FC-4f65-9D91-7224C49458BB}"/>
              </c:extLst>
            </c:dLbl>
            <c:dLbl>
              <c:idx val="20"/>
              <c:layout>
                <c:manualLayout>
                  <c:x val="-0.04569134811580905"/>
                  <c:y val="-0.066692344223858446"/>
                </c:manualLayout>
              </c:layout>
              <c:tx>
                <c:rich>
                  <a:bodyPr vertOverflow="clip"/>
                  <a:lstStyle/>
                  <a:p>
                    <a:r>
                      <a:rPr lang="en-US"/>
                      <a:t>PL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4-09F0-4884-A64C-3F2BAB81B14B}"/>
                </c:ext>
                <c:ext xmlns:c15="http://schemas.microsoft.com/office/drawing/2012/chart" uri="{CE6537A1-D6FC-4f65-9D91-7224C49458BB}"/>
              </c:extLst>
            </c:dLbl>
            <c:dLbl>
              <c:idx val="21"/>
              <c:layout>
                <c:manualLayout>
                  <c:x val="-0.029050174686803213"/>
                  <c:y val="-0.066640739812803135"/>
                </c:manualLayout>
              </c:layout>
              <c:tx>
                <c:rich>
                  <a:bodyPr vertOverflow="clip"/>
                  <a:lstStyle/>
                  <a:p>
                    <a:r>
                      <a:rPr lang="en-US"/>
                      <a:t>PT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5-09F0-4884-A64C-3F2BAB81B14B}"/>
                </c:ext>
                <c:ext xmlns:c15="http://schemas.microsoft.com/office/drawing/2012/chart" uri="{CE6537A1-D6FC-4f65-9D91-7224C49458BB}"/>
              </c:extLst>
            </c:dLbl>
            <c:dLbl>
              <c:idx val="22"/>
              <c:layout>
                <c:manualLayout>
                  <c:x val="-0.099770566062419769"/>
                  <c:y val="0.0477217847769028"/>
                </c:manualLayout>
              </c:layout>
              <c:tx>
                <c:rich>
                  <a:bodyPr vertOverflow="clip"/>
                  <a:lstStyle/>
                  <a:p>
                    <a:r>
                      <a:rPr lang="en-US"/>
                      <a:t>RO</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6-09F0-4884-A64C-3F2BAB81B14B}"/>
                </c:ext>
                <c:ext xmlns:c15="http://schemas.microsoft.com/office/drawing/2012/chart" uri="{CE6537A1-D6FC-4f65-9D91-7224C49458BB}"/>
              </c:extLst>
            </c:dLbl>
            <c:dLbl>
              <c:idx val="23"/>
              <c:layout>
                <c:manualLayout>
                  <c:x val="-0.049844236760124609"/>
                  <c:y val="-0.0666666666666667"/>
                </c:manualLayout>
              </c:layout>
              <c:tx>
                <c:rich>
                  <a:bodyPr vertOverflow="clip"/>
                  <a:lstStyle/>
                  <a:p>
                    <a:r>
                      <a:rPr lang="en-US"/>
                      <a:t>SI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7-09F0-4884-A64C-3F2BAB81B14B}"/>
                </c:ext>
                <c:ext xmlns:c15="http://schemas.microsoft.com/office/drawing/2012/chart" uri="{CE6537A1-D6FC-4f65-9D91-7224C49458BB}"/>
              </c:extLst>
            </c:dLbl>
            <c:dLbl>
              <c:idx val="24"/>
              <c:layout>
                <c:manualLayout>
                  <c:x val="-0.058208085728011186"/>
                  <c:y val="0.066615311552283119"/>
                </c:manualLayout>
              </c:layout>
              <c:tx>
                <c:rich>
                  <a:bodyPr vertOverflow="clip"/>
                  <a:lstStyle/>
                  <a:p>
                    <a:r>
                      <a:rPr lang="en-US"/>
                      <a:t>SK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8-09F0-4884-A64C-3F2BAB81B14B}"/>
                </c:ext>
                <c:ext xmlns:c15="http://schemas.microsoft.com/office/drawing/2012/chart" uri="{CE6537A1-D6FC-4f65-9D91-7224C49458BB}"/>
              </c:extLst>
            </c:dLbl>
            <c:dLbl>
              <c:idx val="25"/>
              <c:layout>
                <c:manualLayout>
                  <c:x val="-0.033260406627783339"/>
                  <c:y val="-0.075883164621810717"/>
                </c:manualLayout>
              </c:layout>
              <c:tx>
                <c:rich>
                  <a:bodyPr vertOverflow="clip"/>
                  <a:lstStyle/>
                  <a:p>
                    <a:r>
                      <a:rPr lang="en-US"/>
                      <a:t>FI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9-09F0-4884-A64C-3F2BAB81B14B}"/>
                </c:ext>
                <c:ext xmlns:c15="http://schemas.microsoft.com/office/drawing/2012/chart" uri="{CE6537A1-D6FC-4f65-9D91-7224C49458BB}"/>
              </c:extLst>
            </c:dLbl>
            <c:dLbl>
              <c:idx val="26"/>
              <c:layout>
                <c:manualLayout>
                  <c:x val="-0.049844236760124609"/>
                  <c:y val="0.0761904761904762"/>
                </c:manualLayout>
              </c:layout>
              <c:tx>
                <c:rich>
                  <a:bodyPr vertOverflow="clip"/>
                  <a:lstStyle/>
                  <a:p>
                    <a:r>
                      <a:rPr lang="en-US"/>
                      <a:t>SE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A-09F0-4884-A64C-3F2BAB81B14B}"/>
                </c:ext>
                <c:ext xmlns:c15="http://schemas.microsoft.com/office/drawing/2012/chart" uri="{CE6537A1-D6FC-4f65-9D91-7224C49458BB}"/>
              </c:extLst>
            </c:dLbl>
            <c:dLbl>
              <c:idx val="27"/>
              <c:layout>
                <c:manualLayout>
                  <c:x val="-0.033229624812239109"/>
                  <c:y val="-0.057194141029620185"/>
                </c:manualLayout>
              </c:layout>
              <c:tx>
                <c:rich>
                  <a:bodyPr vertOverflow="clip"/>
                  <a:lstStyle/>
                  <a:p>
                    <a:r>
                      <a:rPr lang="en-US"/>
                      <a:t>UK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B-09F0-4884-A64C-3F2BAB81B14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Sheet1!$B$3:$B$30</c:f>
              <c:numCache>
                <c:formatCode>0.0</c:formatCode>
                <c:ptCount val="28"/>
                <c:pt idx="0">
                  <c:v>172.95126831175403</c:v>
                </c:pt>
                <c:pt idx="1">
                  <c:v>330.36898395721926</c:v>
                </c:pt>
                <c:pt idx="2">
                  <c:v>36.838030349953549</c:v>
                </c:pt>
                <c:pt idx="3">
                  <c:v>178.04193647856923</c:v>
                </c:pt>
                <c:pt idx="4">
                  <c:v>352.14545454545453</c:v>
                </c:pt>
                <c:pt idx="5">
                  <c:v>225.03212851405621</c:v>
                </c:pt>
                <c:pt idx="6">
                  <c:v>58.313953488372093</c:v>
                </c:pt>
                <c:pt idx="7">
                  <c:v>208.71838111298484</c:v>
                </c:pt>
                <c:pt idx="8">
                  <c:v>142.32876712328766</c:v>
                </c:pt>
                <c:pt idx="9">
                  <c:v>429.12605042016804</c:v>
                </c:pt>
                <c:pt idx="10">
                  <c:v>194.84732824427482</c:v>
                </c:pt>
                <c:pt idx="11">
                  <c:v>44.69879518072289</c:v>
                </c:pt>
                <c:pt idx="12">
                  <c:v>296.56874265569922</c:v>
                </c:pt>
                <c:pt idx="13">
                  <c:v>155.67073170731709</c:v>
                </c:pt>
                <c:pt idx="14">
                  <c:v>41.975806451612904</c:v>
                </c:pt>
                <c:pt idx="15">
                  <c:v>56.971187631763883</c:v>
                </c:pt>
                <c:pt idx="16">
                  <c:v>210.06993006993005</c:v>
                </c:pt>
                <c:pt idx="17">
                  <c:v>60.190899581589953</c:v>
                </c:pt>
                <c:pt idx="18">
                  <c:v>304.20833333333331</c:v>
                </c:pt>
                <c:pt idx="19">
                  <c:v>215.08043396932285</c:v>
                </c:pt>
                <c:pt idx="20">
                  <c:v>59.203943661971834</c:v>
                </c:pt>
                <c:pt idx="21">
                  <c:v>383.80022962112514</c:v>
                </c:pt>
                <c:pt idx="22">
                  <c:v>40.282154340836016</c:v>
                </c:pt>
                <c:pt idx="23">
                  <c:v>100.16786570743405</c:v>
                </c:pt>
                <c:pt idx="24">
                  <c:v>123.79293180686909</c:v>
                </c:pt>
                <c:pt idx="25">
                  <c:v>318.78787878787881</c:v>
                </c:pt>
                <c:pt idx="26">
                  <c:v>341.98928571428576</c:v>
                </c:pt>
                <c:pt idx="27" formatCode="0">
                  <c:v>140.46981978437083</c:v>
                </c:pt>
              </c:numCache>
            </c:numRef>
          </c:xVal>
          <c:yVal>
            <c:numRef>
              <c:f>Sheet1!$C$3:$C$30</c:f>
              <c:numCache>
                <c:formatCode>0.0</c:formatCode>
                <c:ptCount val="28"/>
                <c:pt idx="0">
                  <c:v>0.28029764230522358</c:v>
                </c:pt>
                <c:pt idx="1">
                  <c:v>0.30741837841337671</c:v>
                </c:pt>
                <c:pt idx="2">
                  <c:v>0.40184951660361495</c:v>
                </c:pt>
                <c:pt idx="3">
                  <c:v>0.13442905994883503</c:v>
                </c:pt>
                <c:pt idx="4">
                  <c:v>0.19619991738950848</c:v>
                </c:pt>
                <c:pt idx="5">
                  <c:v>0.28335088251566043</c:v>
                </c:pt>
                <c:pt idx="6">
                  <c:v>0.21734795613160521</c:v>
                </c:pt>
                <c:pt idx="7">
                  <c:v>0.32223214978909337</c:v>
                </c:pt>
                <c:pt idx="8">
                  <c:v>0.29225465077923424</c:v>
                </c:pt>
                <c:pt idx="9">
                  <c:v>0.18120769569874653</c:v>
                </c:pt>
                <c:pt idx="10">
                  <c:v>0.41263075416258571</c:v>
                </c:pt>
                <c:pt idx="11">
                  <c:v>0.39750192529842132</c:v>
                </c:pt>
                <c:pt idx="12">
                  <c:v>0.20239051351799917</c:v>
                </c:pt>
                <c:pt idx="13">
                  <c:v>0.30936778336084814</c:v>
                </c:pt>
                <c:pt idx="14">
                  <c:v>0.32998150221100181</c:v>
                </c:pt>
                <c:pt idx="15">
                  <c:v>0.31454298754163063</c:v>
                </c:pt>
                <c:pt idx="16">
                  <c:v>0.40379494007989353</c:v>
                </c:pt>
                <c:pt idx="17">
                  <c:v>0.298040578702698</c:v>
                </c:pt>
                <c:pt idx="18">
                  <c:v>0.22996254235572258</c:v>
                </c:pt>
                <c:pt idx="19">
                  <c:v>0.35333829509100423</c:v>
                </c:pt>
                <c:pt idx="20">
                  <c:v>0.33224233523162588</c:v>
                </c:pt>
                <c:pt idx="21">
                  <c:v>0.1460234386825382</c:v>
                </c:pt>
                <c:pt idx="22">
                  <c:v>0.28280001983689529</c:v>
                </c:pt>
                <c:pt idx="23">
                  <c:v>0.3501735999290288</c:v>
                </c:pt>
                <c:pt idx="24">
                  <c:v>0.18913078451395188</c:v>
                </c:pt>
                <c:pt idx="25">
                  <c:v>0.18298479087452471</c:v>
                </c:pt>
                <c:pt idx="26">
                  <c:v>0.16393579581649381</c:v>
                </c:pt>
                <c:pt idx="27">
                  <c:v>0.43837629380741161</c:v>
                </c:pt>
              </c:numCache>
            </c:numRef>
          </c:yVal>
          <c:smooth val="0"/>
          <c:extLst>
            <c:ext xmlns:c="http://schemas.openxmlformats.org/drawingml/2006/chart" xmlns:c16="http://schemas.microsoft.com/office/drawing/2014/chart" uri="{C3380CC4-5D6E-409C-BE32-E72D297353CC}">
              <c16:uniqueId val="{0000001C-09F0-4884-A64C-3F2BAB81B14B}"/>
            </c:ext>
          </c:extLst>
        </c:ser>
        <c:dLbls>
          <c:showLegendKey val="0"/>
          <c:showVal val="0"/>
          <c:showCatName val="0"/>
          <c:showSerName val="0"/>
          <c:showPercent val="0"/>
          <c:showBubbleSize val="0"/>
        </c:dLbls>
        <c:axId val="656377824"/>
        <c:axId val="656375864"/>
      </c:scatterChart>
      <c:valAx>
        <c:axId val="656377824"/>
        <c:scaling>
          <c:orientation val="minMax"/>
          <c:max val="400"/>
          <c:min val="0"/>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56375864"/>
        <c:crosses val="autoZero"/>
        <c:crossBetween val="midCat"/>
        <c:majorUnit val="50"/>
      </c:valAx>
      <c:valAx>
        <c:axId val="656375864"/>
        <c:scaling>
          <c:orientation val="minMax"/>
          <c:max val="0.5"/>
          <c:min val="0.1"/>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56377824"/>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26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1619797525309326"/>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971B-42E2-9A78-373A62554573}"/>
              </c:ext>
            </c:extLst>
          </c:dPt>
          <c:dPt>
            <c:idx val="2"/>
            <c:bubble3D val="0"/>
            <c:extLst>
              <c:ext xmlns:c="http://schemas.openxmlformats.org/drawingml/2006/chart" xmlns:c16="http://schemas.microsoft.com/office/drawing/2014/chart" uri="{C3380CC4-5D6E-409C-BE32-E72D297353CC}">
                <c16:uniqueId val="{00000001-971B-42E2-9A78-373A62554573}"/>
              </c:ext>
            </c:extLst>
          </c:dPt>
          <c:dPt>
            <c:idx val="5"/>
            <c:bubble3D val="0"/>
            <c:extLst>
              <c:ext xmlns:c="http://schemas.openxmlformats.org/drawingml/2006/chart" xmlns:c16="http://schemas.microsoft.com/office/drawing/2014/chart" uri="{C3380CC4-5D6E-409C-BE32-E72D297353CC}">
                <c16:uniqueId val="{00000002-971B-42E2-9A78-373A62554573}"/>
              </c:ext>
            </c:extLst>
          </c:dPt>
          <c:dPt>
            <c:idx val="11"/>
            <c:bubble3D val="0"/>
            <c:extLst>
              <c:ext xmlns:c="http://schemas.openxmlformats.org/drawingml/2006/chart" xmlns:c16="http://schemas.microsoft.com/office/drawing/2014/chart" uri="{C3380CC4-5D6E-409C-BE32-E72D297353CC}">
                <c16:uniqueId val="{00000003-971B-42E2-9A78-373A62554573}"/>
              </c:ext>
            </c:extLst>
          </c:dPt>
          <c:dPt>
            <c:idx val="12"/>
            <c:bubble3D val="0"/>
            <c:extLst>
              <c:ext xmlns:c="http://schemas.openxmlformats.org/drawingml/2006/chart" xmlns:c16="http://schemas.microsoft.com/office/drawing/2014/chart" uri="{C3380CC4-5D6E-409C-BE32-E72D297353CC}">
                <c16:uniqueId val="{00000004-971B-42E2-9A78-373A62554573}"/>
              </c:ext>
            </c:extLst>
          </c:dPt>
          <c:dPt>
            <c:idx val="13"/>
            <c:bubble3D val="0"/>
            <c:extLst>
              <c:ext xmlns:c="http://schemas.openxmlformats.org/drawingml/2006/chart" xmlns:c16="http://schemas.microsoft.com/office/drawing/2014/chart" uri="{C3380CC4-5D6E-409C-BE32-E72D297353CC}">
                <c16:uniqueId val="{00000005-971B-42E2-9A78-373A62554573}"/>
              </c:ext>
            </c:extLst>
          </c:dPt>
          <c:dPt>
            <c:idx val="14"/>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6-971B-42E2-9A78-373A62554573}"/>
              </c:ext>
            </c:extLst>
          </c:dPt>
          <c:dLbls>
            <c:dLbl>
              <c:idx val="0"/>
              <c:tx>
                <c:rich>
                  <a:bodyPr/>
                  <a:lstStyle/>
                  <a:p>
                    <a:fld id="{18ee3641-01ee-4348-ab00-f6b7771d1c1b}" type="CELLRANGE">
                      <a:rPr lang="lv-LV"/>
                      <a:t>EU-28</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
              <c:tx>
                <c:rich>
                  <a:bodyPr vertOverflow="clip"/>
                  <a:lstStyle/>
                  <a:p>
                    <a:fld id="{215bd5a3-9f15-4efc-a883-cb03c49fdc1d}" type="CELLRANGE">
                      <a:rPr lang="lv-LV"/>
                      <a:t>BE</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2"/>
              <c:tx>
                <c:rich>
                  <a:bodyPr vertOverflow="clip"/>
                  <a:lstStyle/>
                  <a:p>
                    <a:fld id="{26edb3a0-b9f9-4db0-bb1d-474769d48892}" type="CELLRANGE">
                      <a:rPr lang="lv-LV"/>
                      <a:t>BG</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3"/>
              <c:tx>
                <c:rich>
                  <a:bodyPr vertOverflow="clip"/>
                  <a:lstStyle/>
                  <a:p>
                    <a:fld id="{0f061047-43fa-413f-8d07-054e61f16086}" type="CELLRANGE">
                      <a:rPr lang="en-US"/>
                      <a:t>CZ</a:t>
                    </a:fld>
                    <a:endParaRPr lang="lv-LV"/>
                  </a:p>
                </c:rich>
              </c:tx>
              <c:dLblPos val="l"/>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8-971B-42E2-9A78-373A62554573}"/>
                </c:ext>
                <c:ext xmlns:c15="http://schemas.microsoft.com/office/drawing/2012/chart" uri="{CE6537A1-D6FC-4f65-9D91-7224C49458BB}">
                  <c15:showDataLabelsRange val="1"/>
                </c:ext>
              </c:extLst>
            </c:dLbl>
            <c:dLbl>
              <c:idx val="4"/>
              <c:tx>
                <c:rich>
                  <a:bodyPr vertOverflow="clip"/>
                  <a:lstStyle/>
                  <a:p>
                    <a:fld id="{b5c9ad1c-41b0-4bf4-afd4-1a596331d1fb}" type="CELLRANGE">
                      <a:rPr lang="lv-LV"/>
                      <a:t>DK</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5"/>
              <c:tx>
                <c:rich>
                  <a:bodyPr vertOverflow="clip"/>
                  <a:lstStyle/>
                  <a:p>
                    <a:fld id="{1b433ae5-daf1-46a0-ac82-3583ff8a3267}" type="CELLRANGE">
                      <a:rPr lang="lv-LV"/>
                      <a:t>DE</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6"/>
              <c:tx>
                <c:rich>
                  <a:bodyPr vertOverflow="clip"/>
                  <a:lstStyle/>
                  <a:p>
                    <a:fld id="{0fd86744-b79d-4610-ba2c-cc7f30cd2b1d}" type="CELLRANGE">
                      <a:rPr lang="en-US"/>
                      <a:t>EE</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A-971B-42E2-9A78-373A62554573}"/>
                </c:ext>
                <c:ext xmlns:c15="http://schemas.microsoft.com/office/drawing/2012/chart" uri="{CE6537A1-D6FC-4f65-9D91-7224C49458BB}">
                  <c15:showDataLabelsRange val="1"/>
                </c:ext>
              </c:extLst>
            </c:dLbl>
            <c:dLbl>
              <c:idx val="7"/>
              <c:tx>
                <c:rich>
                  <a:bodyPr vertOverflow="clip"/>
                  <a:lstStyle/>
                  <a:p>
                    <a:fld id="{19a219ac-1c7e-4f9a-9bea-cb5f3080e36a}" type="CELLRANGE">
                      <a:rPr lang="lv-LV"/>
                      <a:t>IE</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8"/>
              <c:tx>
                <c:rich>
                  <a:bodyPr vertOverflow="clip"/>
                  <a:lstStyle/>
                  <a:p>
                    <a:fld id="{cbf33811-ae11-44e1-852c-8a86b04c1029}" type="CELLRANGE">
                      <a:rPr lang="lv-LV"/>
                      <a:t>EL</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9"/>
              <c:tx>
                <c:rich>
                  <a:bodyPr vertOverflow="clip"/>
                  <a:lstStyle/>
                  <a:p>
                    <a:fld id="{110fe89c-4eac-4827-9c46-53e3aec5ad02}" type="CELLRANGE">
                      <a:rPr lang="lv-LV"/>
                      <a:t>ES</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0"/>
              <c:tx>
                <c:rich>
                  <a:bodyPr/>
                  <a:lstStyle/>
                  <a:p>
                    <a:fld id="{7afdd7b0-ce63-4073-af96-ebdbfada1d7b}" type="CELLRANGE">
                      <a:rPr lang="lv-LV"/>
                      <a:t>FR</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1"/>
              <c:tx>
                <c:rich>
                  <a:bodyPr/>
                  <a:lstStyle/>
                  <a:p>
                    <a:fld id="{0673ea1d-7032-43db-96ba-33f61cdd9c28}" type="CELLRANGE">
                      <a:rPr lang="lv-LV"/>
                      <a:t>HR</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2"/>
              <c:tx>
                <c:rich>
                  <a:bodyPr vertOverflow="clip"/>
                  <a:lstStyle/>
                  <a:p>
                    <a:fld id="{aba765cb-4e43-4162-bf38-22263944c3fe}" type="CELLRANGE">
                      <a:rPr lang="lv-LV"/>
                      <a:t>IT</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3"/>
              <c:tx>
                <c:rich>
                  <a:bodyPr vertOverflow="clip"/>
                  <a:lstStyle/>
                  <a:p>
                    <a:fld id="{182bf81a-1830-468a-a8aa-08d665c80a86}" type="CELLRANGE">
                      <a:rPr lang="lv-LV"/>
                      <a:t>CY</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4"/>
              <c:tx>
                <c:rich>
                  <a:bodyPr vertOverflow="clip"/>
                  <a:lstStyle/>
                  <a:p>
                    <a:fld id="{f962f303-88b2-4fa5-b3ff-c851fc28f864}" type="CELLRANGE">
                      <a:rPr lang="lv-LV"/>
                      <a:t>LV</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5"/>
              <c:layout>
                <c:manualLayout>
                  <c:x val="-0.012453300124533"/>
                  <c:y val="-0.019002375296912115"/>
                </c:manualLayout>
              </c:layout>
              <c:tx>
                <c:rich>
                  <a:bodyPr vertOverflow="clip"/>
                  <a:lstStyle/>
                  <a:p>
                    <a:fld id="{644cb7fc-61b8-4838-bb94-8831ee652908}" type="CELLRANGE">
                      <a:rPr lang="en-US"/>
                      <a:t>LT</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F-971B-42E2-9A78-373A62554573}"/>
                </c:ext>
                <c:ext xmlns:c15="http://schemas.microsoft.com/office/drawing/2012/chart" uri="{CE6537A1-D6FC-4f65-9D91-7224C49458BB}">
                  <c15:showDataLabelsRange val="1"/>
                </c:ext>
              </c:extLst>
            </c:dLbl>
            <c:dLbl>
              <c:idx val="16"/>
              <c:tx>
                <c:rich>
                  <a:bodyPr vertOverflow="clip"/>
                  <a:lstStyle/>
                  <a:p>
                    <a:fld id="{c1339b22-774e-4e82-8424-a60334b48c84}" type="CELLRANGE">
                      <a:rPr lang="lv-LV"/>
                      <a:t>LU</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7"/>
              <c:tx>
                <c:rich>
                  <a:bodyPr vertOverflow="clip"/>
                  <a:lstStyle/>
                  <a:p>
                    <a:fld id="{de84ff51-4b4a-49bf-ae7b-bf60e8189265}" type="CELLRANGE">
                      <a:rPr lang="lv-LV"/>
                      <a:t>HU</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8"/>
              <c:tx>
                <c:rich>
                  <a:bodyPr vertOverflow="clip"/>
                  <a:lstStyle/>
                  <a:p>
                    <a:fld id="{b1712658-93fa-4b7f-a4ce-9771b5eaf146}" type="CELLRANGE">
                      <a:rPr lang="lv-LV"/>
                      <a:t>NL</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9"/>
              <c:tx>
                <c:rich>
                  <a:bodyPr vertOverflow="clip"/>
                  <a:lstStyle/>
                  <a:p>
                    <a:fld id="{4a7ac50a-2e0f-4f05-903f-851ff200dcd2}" type="CELLRANGE">
                      <a:rPr lang="lv-LV"/>
                      <a:t>AT</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20"/>
              <c:layout>
                <c:manualLayout>
                  <c:x val="-0.093669409007560267"/>
                  <c:y val="0.028503562945368086"/>
                </c:manualLayout>
              </c:layout>
              <c:tx>
                <c:rich>
                  <a:bodyPr vertOverflow="clip"/>
                  <a:lstStyle/>
                  <a:p>
                    <a:fld id="{4c0b2009-ccb9-4234-8d35-d9a3e100aa40}" type="CELLRANGE">
                      <a:rPr lang="en-US"/>
                      <a:t>PL</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4-971B-42E2-9A78-373A62554573}"/>
                </c:ext>
                <c:ext xmlns:c15="http://schemas.microsoft.com/office/drawing/2012/chart" uri="{CE6537A1-D6FC-4f65-9D91-7224C49458BB}">
                  <c15:showDataLabelsRange val="1"/>
                </c:ext>
              </c:extLst>
            </c:dLbl>
            <c:dLbl>
              <c:idx val="21"/>
              <c:tx>
                <c:rich>
                  <a:bodyPr vertOverflow="clip"/>
                  <a:lstStyle/>
                  <a:p>
                    <a:fld id="{8338046a-8939-4263-9b14-9a5bd6c8d4f7}" type="CELLRANGE">
                      <a:rPr lang="lv-LV"/>
                      <a:t>PT</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22"/>
              <c:layout>
                <c:manualLayout>
                  <c:x val="-0.099626400996264047"/>
                  <c:y val="0"/>
                </c:manualLayout>
              </c:layout>
              <c:tx>
                <c:rich>
                  <a:bodyPr vertOverflow="clip"/>
                  <a:lstStyle/>
                  <a:p>
                    <a:fld id="{60570563-0d75-4708-bc78-7e73391cd43c}" type="CELLRANGE">
                      <a:rPr lang="en-US"/>
                      <a:t>RO</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6-971B-42E2-9A78-373A62554573}"/>
                </c:ext>
                <c:ext xmlns:c15="http://schemas.microsoft.com/office/drawing/2012/chart" uri="{CE6537A1-D6FC-4f65-9D91-7224C49458BB}">
                  <c15:showDataLabelsRange val="1"/>
                </c:ext>
              </c:extLst>
            </c:dLbl>
            <c:dLbl>
              <c:idx val="23"/>
              <c:tx>
                <c:rich>
                  <a:bodyPr vertOverflow="clip"/>
                  <a:lstStyle/>
                  <a:p>
                    <a:fld id="{6278db1b-2be4-4b0c-b3a0-81bc22e030d5}" type="CELLRANGE">
                      <a:rPr lang="lv-LV"/>
                      <a:t>SI</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24"/>
              <c:tx>
                <c:rich>
                  <a:bodyPr vertOverflow="clip"/>
                  <a:lstStyle/>
                  <a:p>
                    <a:fld id="{6aa0bd99-cdcf-442b-9d3f-4a5a36ce60ab}" type="CELLRANGE">
                      <a:rPr lang="lv-LV"/>
                      <a:t>SK</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25"/>
              <c:tx>
                <c:rich>
                  <a:bodyPr vertOverflow="clip"/>
                  <a:lstStyle/>
                  <a:p>
                    <a:fld id="{0bc81fe1-3bca-4797-81f9-52fdea18a86b}" type="CELLRANGE">
                      <a:rPr lang="lv-LV"/>
                      <a:t>FI</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26"/>
              <c:tx>
                <c:rich>
                  <a:bodyPr vertOverflow="clip"/>
                  <a:lstStyle/>
                  <a:p>
                    <a:fld id="{f42ed60c-f821-4311-bed0-f0705decb9f4}" type="CELLRANGE">
                      <a:rPr lang="lv-LV"/>
                      <a:t>SE</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27"/>
              <c:tx>
                <c:rich>
                  <a:bodyPr/>
                  <a:lstStyle/>
                  <a:p>
                    <a:fld id="{df534abd-4b63-463b-8022-0f5fbea25256}" type="CELLRANGE">
                      <a:rPr lang="lv-LV"/>
                      <a:t>UK</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Sheet1!$B$3:$B$30</c:f>
              <c:numCache>
                <c:formatCode>0</c:formatCode>
                <c:ptCount val="28"/>
                <c:pt idx="0">
                  <c:v>0</c:v>
                </c:pt>
                <c:pt idx="1">
                  <c:v>306.81818181818181</c:v>
                </c:pt>
                <c:pt idx="2">
                  <c:v>35.5219512195122</c:v>
                </c:pt>
                <c:pt idx="3">
                  <c:v>114.64525139664806</c:v>
                </c:pt>
                <c:pt idx="4">
                  <c:v>314.4</c:v>
                </c:pt>
                <c:pt idx="5">
                  <c:v>205.7308</c:v>
                </c:pt>
                <c:pt idx="6">
                  <c:v>105.26229508196722</c:v>
                </c:pt>
                <c:pt idx="7">
                  <c:v>268.48814229249012</c:v>
                </c:pt>
                <c:pt idx="8">
                  <c:v>119.36585365853659</c:v>
                </c:pt>
                <c:pt idx="9">
                  <c:v>390.93357271095152</c:v>
                </c:pt>
                <c:pt idx="10">
                  <c:v>0</c:v>
                </c:pt>
                <c:pt idx="11">
                  <c:v>0</c:v>
                </c:pt>
                <c:pt idx="12">
                  <c:v>253.71590909090909</c:v>
                </c:pt>
                <c:pt idx="13">
                  <c:v>167.5735294117647</c:v>
                </c:pt>
                <c:pt idx="14">
                  <c:v>37.939444911690494</c:v>
                </c:pt>
                <c:pt idx="15">
                  <c:v>52.332185886402762</c:v>
                </c:pt>
                <c:pt idx="16">
                  <c:v>337.11538461538458</c:v>
                </c:pt>
                <c:pt idx="17">
                  <c:v>80.702721322769548</c:v>
                </c:pt>
                <c:pt idx="18">
                  <c:v>322.66666666666669</c:v>
                </c:pt>
                <c:pt idx="19">
                  <c:v>190.19764348156596</c:v>
                </c:pt>
                <c:pt idx="20">
                  <c:v>60.099826889786492</c:v>
                </c:pt>
                <c:pt idx="21">
                  <c:v>393.28199052132703</c:v>
                </c:pt>
                <c:pt idx="22">
                  <c:v>69.504232164449817</c:v>
                </c:pt>
                <c:pt idx="23">
                  <c:v>106.21229050279331</c:v>
                </c:pt>
                <c:pt idx="24">
                  <c:v>130.19230769230768</c:v>
                </c:pt>
                <c:pt idx="25">
                  <c:v>312.90322580645159</c:v>
                </c:pt>
                <c:pt idx="26">
                  <c:v>352.03793103448277</c:v>
                </c:pt>
                <c:pt idx="27">
                  <c:v>115.56019638015681</c:v>
                </c:pt>
              </c:numCache>
            </c:numRef>
          </c:xVal>
          <c:yVal>
            <c:numRef>
              <c:f>Sheet1!$C$3:$C$30</c:f>
              <c:numCache>
                <c:formatCode>0.0</c:formatCode>
                <c:ptCount val="28"/>
                <c:pt idx="0">
                  <c:v>0</c:v>
                </c:pt>
                <c:pt idx="1">
                  <c:v>0.35327233115468415</c:v>
                </c:pt>
                <c:pt idx="2">
                  <c:v>0.46250383279304497</c:v>
                </c:pt>
                <c:pt idx="3">
                  <c:v>0.22456123252848637</c:v>
                </c:pt>
                <c:pt idx="4">
                  <c:v>0.27057888040712474</c:v>
                </c:pt>
                <c:pt idx="5">
                  <c:v>0.34775541630130247</c:v>
                </c:pt>
                <c:pt idx="6">
                  <c:v>0.18906712350101229</c:v>
                </c:pt>
                <c:pt idx="7">
                  <c:v>0.34369086950736505</c:v>
                </c:pt>
                <c:pt idx="8">
                  <c:v>0.40126981805719231</c:v>
                </c:pt>
                <c:pt idx="9" formatCode="0.00">
                  <c:v>0.21029718590225407</c:v>
                </c:pt>
                <c:pt idx="10">
                  <c:v>0</c:v>
                </c:pt>
                <c:pt idx="11">
                  <c:v>0</c:v>
                </c:pt>
                <c:pt idx="12">
                  <c:v>0.25021118449765167</c:v>
                </c:pt>
                <c:pt idx="13">
                  <c:v>0.29130385321697305</c:v>
                </c:pt>
                <c:pt idx="14">
                  <c:v>0.48913979503095006</c:v>
                </c:pt>
                <c:pt idx="15">
                  <c:v>0.31211971715178427</c:v>
                </c:pt>
                <c:pt idx="16">
                  <c:v>0.31355771059136722</c:v>
                </c:pt>
                <c:pt idx="17">
                  <c:v>0.28468830497037251</c:v>
                </c:pt>
                <c:pt idx="18">
                  <c:v>0.24591268415379083</c:v>
                </c:pt>
                <c:pt idx="19">
                  <c:v>0.47706804320576035</c:v>
                </c:pt>
                <c:pt idx="20">
                  <c:v>0.29394555043497816</c:v>
                </c:pt>
                <c:pt idx="21">
                  <c:v>0.1312149522624578</c:v>
                </c:pt>
                <c:pt idx="22">
                  <c:v>0.17367780097425189</c:v>
                </c:pt>
                <c:pt idx="23">
                  <c:v>0.36998055710913069</c:v>
                </c:pt>
                <c:pt idx="24">
                  <c:v>0.22603668804475785</c:v>
                </c:pt>
                <c:pt idx="25">
                  <c:v>0.21166131485550113</c:v>
                </c:pt>
                <c:pt idx="26" formatCode="0.00">
                  <c:v>0.18327766404482274</c:v>
                </c:pt>
                <c:pt idx="27">
                  <c:v>0</c:v>
                </c:pt>
              </c:numCache>
            </c:numRef>
          </c:yVal>
          <c:smooth val="0"/>
          <c:extLst>
            <c:ext xmlns:c="http://schemas.openxmlformats.org/drawingml/2006/chart" xmlns:c16="http://schemas.microsoft.com/office/drawing/2014/chart" uri="{C3380CC4-5D6E-409C-BE32-E72D297353CC}">
              <c16:uniqueId val="{0000001C-971B-42E2-9A78-373A62554573}"/>
            </c:ext>
            <c:ext xmlns:c15="http://schemas.microsoft.com/office/drawing/2012/chart" uri="{02D57815-91ED-43cb-92C2-25804820EDAC}">
              <c15:datalabelsRange>
                <c15:f>Sheet1!$A$3:$A$30</c15:f>
                <c15:dlblRangeCache>
                  <c:ptCount val="28"/>
                  <c:pt idx="0">
                    <c:v>EU-28</c:v>
                  </c:pt>
                  <c:pt idx="1">
                    <c:v>BE</c:v>
                  </c:pt>
                  <c:pt idx="2">
                    <c:v>BG</c:v>
                  </c:pt>
                  <c:pt idx="3">
                    <c:v>CZ</c:v>
                  </c:pt>
                  <c:pt idx="4">
                    <c:v>DK</c:v>
                  </c:pt>
                  <c:pt idx="5">
                    <c:v>DE</c:v>
                  </c:pt>
                  <c:pt idx="6">
                    <c:v>EE</c:v>
                  </c:pt>
                  <c:pt idx="7">
                    <c:v>IE</c:v>
                  </c:pt>
                  <c:pt idx="8">
                    <c:v>EL</c:v>
                  </c:pt>
                  <c:pt idx="9">
                    <c:v>ES</c:v>
                  </c:pt>
                  <c:pt idx="10">
                    <c:v>FR</c:v>
                  </c:pt>
                  <c:pt idx="11">
                    <c:v>HR</c:v>
                  </c:pt>
                  <c:pt idx="12">
                    <c:v>IT</c:v>
                  </c:pt>
                  <c:pt idx="13">
                    <c:v>CY</c:v>
                  </c:pt>
                  <c:pt idx="14">
                    <c:v>LV</c:v>
                  </c:pt>
                  <c:pt idx="15">
                    <c:v>LT</c:v>
                  </c:pt>
                  <c:pt idx="16">
                    <c:v>LU</c:v>
                  </c:pt>
                  <c:pt idx="17">
                    <c:v>HU</c:v>
                  </c:pt>
                  <c:pt idx="18">
                    <c:v>NL</c:v>
                  </c:pt>
                  <c:pt idx="19">
                    <c:v>AT</c:v>
                  </c:pt>
                  <c:pt idx="20">
                    <c:v>PL</c:v>
                  </c:pt>
                  <c:pt idx="21">
                    <c:v>PT</c:v>
                  </c:pt>
                  <c:pt idx="22">
                    <c:v>RO</c:v>
                  </c:pt>
                  <c:pt idx="23">
                    <c:v>SI</c:v>
                  </c:pt>
                  <c:pt idx="24">
                    <c:v>SK</c:v>
                  </c:pt>
                  <c:pt idx="25">
                    <c:v>FI</c:v>
                  </c:pt>
                  <c:pt idx="26">
                    <c:v>SE</c:v>
                  </c:pt>
                  <c:pt idx="27">
                    <c:v>UK</c:v>
                  </c:pt>
                </c15:dlblRangeCache>
              </c15:datalabelsRange>
            </c:ext>
          </c:extLst>
        </c:ser>
        <c:dLbls>
          <c:showLegendKey val="0"/>
          <c:showVal val="0"/>
          <c:showCatName val="0"/>
          <c:showSerName val="0"/>
          <c:showPercent val="0"/>
          <c:showBubbleSize val="0"/>
        </c:dLbls>
        <c:axId val="656384488"/>
        <c:axId val="656382136"/>
      </c:scatterChart>
      <c:valAx>
        <c:axId val="656384488"/>
        <c:scaling>
          <c:orientation val="minMax"/>
          <c:max val="400"/>
          <c:min val="0"/>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56382136"/>
        <c:crosses val="autoZero"/>
        <c:crossBetween val="midCat"/>
        <c:majorUnit val="50"/>
      </c:valAx>
      <c:valAx>
        <c:axId val="656382136"/>
        <c:scaling>
          <c:orientation val="minMax"/>
          <c:max val="0.5"/>
          <c:min val="0.1"/>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56384488"/>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2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59412201441466"/>
          <c:y val="0.098301682877875565"/>
          <c:w val="0.77357359176256812"/>
          <c:h val="0.72817294544768718"/>
        </c:manualLayout>
      </c:layout>
      <c:barChart>
        <c:barDir val="col"/>
        <c:grouping val="clustered"/>
        <c:varyColors val="0"/>
        <c:ser>
          <c:idx val="4"/>
          <c:order val="0"/>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4E99-4439-8C0C-38703D653399}"/>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4E99-4439-8C0C-38703D653399}"/>
              </c:ext>
            </c:extLst>
          </c:dPt>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Sheet1!$A$3:$A$5</c:f>
              <c:strCache>
                <c:ptCount val="3"/>
                <c:pt idx="0">
                  <c:v>2005</c:v>
                </c:pt>
                <c:pt idx="1">
                  <c:v>2010</c:v>
                </c:pt>
                <c:pt idx="2">
                  <c:v>2016</c:v>
                </c:pt>
              </c:strCache>
            </c:strRef>
          </c:cat>
          <c:val>
            <c:numRef>
              <c:f>Sheet1!$B$3:$B$5</c:f>
              <c:numCache>
                <c:formatCode>General</c:formatCode>
                <c:ptCount val="3"/>
                <c:pt idx="0" formatCode="0.0">
                  <c:v>0.7</c:v>
                </c:pt>
                <c:pt idx="1">
                  <c:v>1</c:v>
                </c:pt>
                <c:pt idx="2">
                  <c:v>0.9</c:v>
                </c:pt>
              </c:numCache>
            </c:numRef>
          </c:val>
          <c:extLst>
            <c:ext xmlns:c="http://schemas.openxmlformats.org/drawingml/2006/chart" xmlns:c16="http://schemas.microsoft.com/office/drawing/2014/chart" uri="{C3380CC4-5D6E-409C-BE32-E72D297353CC}">
              <c16:uniqueId val="{00000004-4E99-4439-8C0C-38703D653399}"/>
            </c:ext>
          </c:extLst>
        </c:ser>
        <c:dLbls>
          <c:showLegendKey val="0"/>
          <c:showVal val="0"/>
          <c:showCatName val="0"/>
          <c:showSerName val="0"/>
          <c:showPercent val="0"/>
          <c:showBubbleSize val="0"/>
        </c:dLbls>
        <c:gapWidth val="20"/>
        <c:axId val="656382920"/>
        <c:axId val="656383312"/>
      </c:barChart>
      <c:catAx>
        <c:axId val="656382920"/>
        <c:scaling>
          <c:orientation val="minMax"/>
        </c:scaling>
        <c:delete val="0"/>
        <c:axPos val="b"/>
        <c:numFmt formatCode="General" sourceLinked="0"/>
        <c:majorTickMark val="out"/>
        <c:minorTickMark val="none"/>
        <c:tickLblPos val="nextTo"/>
        <c:crossAx val="656383312"/>
        <c:crosses val="autoZero"/>
        <c:auto val="1"/>
        <c:lblAlgn val="ctr"/>
        <c:lblOffset val="100"/>
        <c:noMultiLvlLbl val="0"/>
      </c:catAx>
      <c:valAx>
        <c:axId val="656383312"/>
        <c:scaling>
          <c:orientation val="minMax"/>
          <c:min val="0"/>
        </c:scaling>
        <c:delete val="0"/>
        <c:axPos val="l"/>
        <c:numFmt formatCode="0.0" sourceLinked="0"/>
        <c:majorTickMark val="out"/>
        <c:minorTickMark val="none"/>
        <c:tickLblPos val="nextTo"/>
        <c:crossAx val="656382920"/>
        <c:crosses val="autoZero"/>
        <c:crossBetween val="between"/>
        <c:minorUnit val="0.2"/>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mbria Math" panose="02040503050406030204" pitchFamily="18" charset="0"/>
          <a:ea typeface="Cambria Math" panose="02040503050406030204" pitchFamily="18" charset="0"/>
          <a:cs typeface="Arial"/>
        </a:defRPr>
      </a:pPr>
      <a:endParaRPr lang="lv-LV"/>
    </a:p>
  </c:txPr>
  <c:externalData r:id="rId1">
    <c:autoUpdate val="0"/>
  </c:externalData>
</c:chartSpace>
</file>

<file path=word/charts/chart26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73546128124922"/>
          <c:y val="0.048706240487062395"/>
          <c:w val="0.84631315184653555"/>
          <c:h val="0.73779794474843186"/>
        </c:manualLayout>
      </c:layout>
      <c:lineChart>
        <c:grouping val="standard"/>
        <c:varyColors val="0"/>
        <c:ser>
          <c:idx val="0"/>
          <c:order val="0"/>
          <c:tx>
            <c:strRef>
              <c:f>Sheet1!$A$2</c:f>
              <c:strCache>
                <c:ptCount val="1"/>
                <c:pt idx="0">
                  <c:v>Nodarbinātie</c:v>
                </c:pt>
              </c:strCache>
            </c:strRef>
          </c:tx>
          <c:spPr>
            <a:ln w="19050">
              <a:solidFill>
                <a:srgbClr val="0070C0"/>
              </a:solidFill>
              <a:prstDash val="dash"/>
            </a:ln>
          </c:spPr>
          <c:marker>
            <c:symbol val="none"/>
          </c:marker>
          <c:cat>
            <c:numRef>
              <c:f>Sheet1!$B$1:$L$1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Sheet1!$B$2:$L$2</c:f>
              <c:numCache>
                <c:formatCode>0.0</c:formatCode>
                <c:ptCount val="11"/>
                <c:pt idx="0">
                  <c:v>101.8236683285227</c:v>
                </c:pt>
                <c:pt idx="1">
                  <c:v>117.0821306743637</c:v>
                </c:pt>
                <c:pt idx="2">
                  <c:v>112.22776174232487</c:v>
                </c:pt>
                <c:pt idx="3">
                  <c:v>94.542114930464464</c:v>
                </c:pt>
                <c:pt idx="4">
                  <c:v>88.6250327997901</c:v>
                </c:pt>
                <c:pt idx="5">
                  <c:v>90.251902387824728</c:v>
                </c:pt>
                <c:pt idx="6">
                  <c:v>96.142744686434014</c:v>
                </c:pt>
                <c:pt idx="7">
                  <c:v>101.2595119391236</c:v>
                </c:pt>
                <c:pt idx="8">
                  <c:v>99.6457622671215</c:v>
                </c:pt>
                <c:pt idx="9">
                  <c:v>98.6617685646812</c:v>
                </c:pt>
                <c:pt idx="10">
                  <c:v>103.90973497769615</c:v>
                </c:pt>
              </c:numCache>
            </c:numRef>
          </c:val>
          <c:smooth val="0"/>
          <c:extLst>
            <c:ext xmlns:c="http://schemas.openxmlformats.org/drawingml/2006/chart" xmlns:c16="http://schemas.microsoft.com/office/drawing/2014/chart" uri="{C3380CC4-5D6E-409C-BE32-E72D297353CC}">
              <c16:uniqueId val="{00000000-D8FD-4CBF-A617-4F17BCA8592F}"/>
            </c:ext>
          </c:extLst>
        </c:ser>
        <c:ser>
          <c:idx val="1"/>
          <c:order val="1"/>
          <c:tx>
            <c:strRef>
              <c:f>Sheet1!$A$3</c:f>
              <c:strCache>
                <c:ptCount val="1"/>
                <c:pt idx="0">
                  <c:v>Ražošanas apjomi</c:v>
                </c:pt>
              </c:strCache>
            </c:strRef>
          </c:tx>
          <c:marker>
            <c:symbol val="none"/>
          </c:marker>
          <c:cat>
            <c:numRef>
              <c:f>Sheet1!$B$1:$L$1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Sheet1!$B$3:$L$3</c:f>
              <c:numCache>
                <c:formatCode>0.0</c:formatCode>
                <c:ptCount val="11"/>
                <c:pt idx="0">
                  <c:v>98.13710879284649</c:v>
                </c:pt>
                <c:pt idx="1">
                  <c:v>114.75409836065573</c:v>
                </c:pt>
                <c:pt idx="2">
                  <c:v>129.806259314456</c:v>
                </c:pt>
                <c:pt idx="3">
                  <c:v>178.98658718330847</c:v>
                </c:pt>
                <c:pt idx="4">
                  <c:v>121.68405365126677</c:v>
                </c:pt>
                <c:pt idx="5">
                  <c:v>127.19821162444111</c:v>
                </c:pt>
                <c:pt idx="6">
                  <c:v>118.18181818181817</c:v>
                </c:pt>
                <c:pt idx="7">
                  <c:v>121.31147540983606</c:v>
                </c:pt>
                <c:pt idx="8">
                  <c:v>122.20566318926974</c:v>
                </c:pt>
                <c:pt idx="9">
                  <c:v>131.96721311475409</c:v>
                </c:pt>
                <c:pt idx="10" formatCode="General">
                  <c:v>134.2026825633383</c:v>
                </c:pt>
              </c:numCache>
            </c:numRef>
          </c:val>
          <c:smooth val="0"/>
          <c:extLst>
            <c:ext xmlns:c="http://schemas.openxmlformats.org/drawingml/2006/chart" xmlns:c16="http://schemas.microsoft.com/office/drawing/2014/chart" uri="{C3380CC4-5D6E-409C-BE32-E72D297353CC}">
              <c16:uniqueId val="{00000001-D8FD-4CBF-A617-4F17BCA8592F}"/>
            </c:ext>
          </c:extLst>
        </c:ser>
        <c:dLbls>
          <c:showLegendKey val="0"/>
          <c:showVal val="0"/>
          <c:showCatName val="0"/>
          <c:showSerName val="0"/>
          <c:showPercent val="0"/>
          <c:showBubbleSize val="0"/>
        </c:dLbls>
        <c:smooth val="0"/>
        <c:axId val="656378216"/>
        <c:axId val="656383704"/>
      </c:lineChart>
      <c:catAx>
        <c:axId val="656378216"/>
        <c:scaling>
          <c:orientation val="minMax"/>
        </c:scaling>
        <c:delete val="0"/>
        <c:axPos val="b"/>
        <c:numFmt formatCode="General" sourceLinked="1"/>
        <c:majorTickMark val="cross"/>
        <c:minorTickMark val="none"/>
        <c:tickLblPos val="nextTo"/>
        <c:spPr>
          <a:ln w="6350">
            <a:solidFill>
              <a:srgbClr val="000000"/>
            </a:solidFill>
          </a:ln>
        </c:spPr>
        <c:txPr>
          <a:bodyPr rot="-5400000" vert="horz"/>
          <a:lstStyle/>
          <a:p>
            <a:pPr>
              <a:defRPr sz="700" b="0" i="0" u="none" strike="noStrike" baseline="0">
                <a:solidFill>
                  <a:srgbClr val="000000"/>
                </a:solidFill>
                <a:latin typeface="Arial Narrow" pitchFamily="34" charset="0"/>
                <a:ea typeface="Times New Roman"/>
                <a:cs typeface="Times New Roman" pitchFamily="18" charset="0"/>
              </a:defRPr>
            </a:pPr>
            <a:endParaRPr lang="lv-LV"/>
          </a:p>
        </c:txPr>
        <c:crossAx val="656383704"/>
        <c:crosses val="autoZero"/>
        <c:auto val="1"/>
        <c:lblAlgn val="ctr"/>
        <c:lblOffset val="0"/>
        <c:noMultiLvlLbl val="0"/>
      </c:catAx>
      <c:valAx>
        <c:axId val="656383704"/>
        <c:scaling>
          <c:orientation val="minMax"/>
          <c:max val="230"/>
          <c:min val="80"/>
        </c:scaling>
        <c:delete val="0"/>
        <c:axPos val="l"/>
        <c:numFmt formatCode="0" sourceLinked="0"/>
        <c:majorTickMark val="cross"/>
        <c:minorTickMark val="none"/>
        <c:tickLblPos val="nextTo"/>
        <c:spPr>
          <a:ln w="6350">
            <a:solidFill>
              <a:sysClr val="windowText" lastClr="000000"/>
            </a:solidFill>
          </a:ln>
        </c:spPr>
        <c:txPr>
          <a:bodyPr rot="0" vert="horz"/>
          <a:lstStyle/>
          <a:p>
            <a:pPr>
              <a:defRPr sz="700" b="0" i="0" u="none" strike="noStrike" baseline="0">
                <a:solidFill>
                  <a:srgbClr val="000000"/>
                </a:solidFill>
                <a:latin typeface="Arial Narrow" pitchFamily="34" charset="0"/>
                <a:ea typeface="Times New Roman"/>
                <a:cs typeface="Times New Roman"/>
              </a:defRPr>
            </a:pPr>
            <a:endParaRPr lang="lv-LV"/>
          </a:p>
        </c:txPr>
        <c:crossAx val="656378216"/>
        <c:crosses val="autoZero"/>
        <c:crossBetween val="between"/>
        <c:majorUnit val="30"/>
      </c:valAx>
      <c:spPr>
        <a:solidFill>
          <a:sysClr val="window" lastClr="FFFFFF"/>
        </a:solidFill>
        <a:ln w="6350">
          <a:noFill/>
        </a:ln>
      </c:spPr>
    </c:plotArea>
    <c:legend>
      <c:legendPos val="t"/>
      <c:layout>
        <c:manualLayout>
          <c:xMode val="edge"/>
          <c:yMode val="edge"/>
          <c:x val="0.28675685645747634"/>
          <c:y val="0.042128208550202412"/>
          <c:w val="0.65805884790716951"/>
          <c:h val="0.19964223582144541"/>
        </c:manualLayout>
      </c:layout>
      <c:overlay val="0"/>
      <c:txPr>
        <a:bodyPr/>
        <a:lstStyle/>
        <a:p>
          <a:pPr>
            <a:defRPr sz="700" b="0">
              <a:latin typeface="Arial Narrow" pitchFamily="34" charset="0"/>
            </a:defRPr>
          </a:pPr>
          <a:endParaRPr lang="lv-LV"/>
        </a:p>
      </c:txPr>
    </c:legend>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2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7A65-4576-BA9D-0E29061E25F1}"/>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7A65-4576-BA9D-0E29061E25F1}"/>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Sheet1!$B$2:$M$2</c:f>
              <c:numCache>
                <c:formatCode>0</c:formatCode>
                <c:ptCount val="12"/>
                <c:pt idx="0">
                  <c:v>2005</c:v>
                </c:pt>
                <c:pt idx="1">
                  <c:v>2006</c:v>
                </c:pt>
                <c:pt idx="2">
                  <c:v>2007</c:v>
                </c:pt>
                <c:pt idx="3">
                  <c:v>2008</c:v>
                </c:pt>
                <c:pt idx="4">
                  <c:v>2009</c:v>
                </c:pt>
                <c:pt idx="5">
                  <c:v>2010</c:v>
                </c:pt>
                <c:pt idx="6">
                  <c:v>2011</c:v>
                </c:pt>
                <c:pt idx="7">
                  <c:v>2012</c:v>
                </c:pt>
                <c:pt idx="8">
                  <c:v>2013</c:v>
                </c:pt>
                <c:pt idx="9" formatCode="General">
                  <c:v>2014</c:v>
                </c:pt>
                <c:pt idx="10" formatCode="General">
                  <c:v>2015</c:v>
                </c:pt>
                <c:pt idx="11" formatCode="General">
                  <c:v>2016</c:v>
                </c:pt>
              </c:numCache>
            </c:numRef>
          </c:cat>
          <c:val>
            <c:numRef>
              <c:f>Sheet1!$B$3:$M$3</c:f>
              <c:numCache>
                <c:formatCode>0.0</c:formatCode>
                <c:ptCount val="12"/>
                <c:pt idx="0">
                  <c:v>6.16</c:v>
                </c:pt>
                <c:pt idx="1">
                  <c:v>8.8194444444444446</c:v>
                </c:pt>
                <c:pt idx="2">
                  <c:v>9.62406015037594</c:v>
                </c:pt>
                <c:pt idx="3">
                  <c:v>11.196473551637279</c:v>
                </c:pt>
                <c:pt idx="4">
                  <c:v>10.77683615819209</c:v>
                </c:pt>
                <c:pt idx="5">
                  <c:v>11.111111111111112</c:v>
                </c:pt>
                <c:pt idx="6">
                  <c:v>10.637636080870919</c:v>
                </c:pt>
                <c:pt idx="7">
                  <c:v>11.498470948012233</c:v>
                </c:pt>
                <c:pt idx="8">
                  <c:v>11.600587371512482</c:v>
                </c:pt>
                <c:pt idx="9">
                  <c:v>12.319508448540708</c:v>
                </c:pt>
                <c:pt idx="10">
                  <c:v>11.793478260869565</c:v>
                </c:pt>
                <c:pt idx="11" formatCode="General">
                  <c:v>13.282758620689656</c:v>
                </c:pt>
              </c:numCache>
            </c:numRef>
          </c:val>
          <c:extLst>
            <c:ext xmlns:c="http://schemas.openxmlformats.org/drawingml/2006/chart" xmlns:c16="http://schemas.microsoft.com/office/drawing/2014/chart" uri="{C3380CC4-5D6E-409C-BE32-E72D297353CC}">
              <c16:uniqueId val="{00000004-7A65-4576-BA9D-0E29061E25F1}"/>
            </c:ext>
          </c:extLst>
        </c:ser>
        <c:dLbls>
          <c:showLegendKey val="0"/>
          <c:showVal val="0"/>
          <c:showCatName val="0"/>
          <c:showSerName val="0"/>
          <c:showPercent val="0"/>
          <c:showBubbleSize val="0"/>
        </c:dLbls>
        <c:gapWidth val="20"/>
        <c:axId val="656384880"/>
        <c:axId val="656379784"/>
      </c:barChart>
      <c:catAx>
        <c:axId val="656384880"/>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56379784"/>
        <c:crosses val="autoZero"/>
        <c:auto val="1"/>
        <c:lblAlgn val="ctr"/>
        <c:lblOffset val="100"/>
        <c:noMultiLvlLbl val="0"/>
      </c:catAx>
      <c:valAx>
        <c:axId val="656379784"/>
        <c:scaling>
          <c:orientation val="minMax"/>
          <c:max val="25"/>
          <c:min val="0"/>
        </c:scaling>
        <c:delete val="0"/>
        <c:axPos val="l"/>
        <c:numFmt formatCode="0" sourceLinked="0"/>
        <c:majorTickMark val="out"/>
        <c:minorTickMark val="none"/>
        <c:tickLblPos val="nextTo"/>
        <c:crossAx val="656384880"/>
        <c:crosses val="autoZero"/>
        <c:crossBetween val="between"/>
        <c:majorUnit val="5"/>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2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AA49-4101-9AA1-9225D94764A4}"/>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AA49-4101-9AA1-9225D94764A4}"/>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Sheet1!$B$2:$M$2</c:f>
              <c:numCache>
                <c:formatCode>0</c:formatCode>
                <c:ptCount val="12"/>
                <c:pt idx="0">
                  <c:v>2005</c:v>
                </c:pt>
                <c:pt idx="1">
                  <c:v>2006</c:v>
                </c:pt>
                <c:pt idx="2">
                  <c:v>2007</c:v>
                </c:pt>
                <c:pt idx="3">
                  <c:v>2008</c:v>
                </c:pt>
                <c:pt idx="4">
                  <c:v>2009</c:v>
                </c:pt>
                <c:pt idx="5">
                  <c:v>2010</c:v>
                </c:pt>
                <c:pt idx="6">
                  <c:v>2011</c:v>
                </c:pt>
                <c:pt idx="7">
                  <c:v>2012</c:v>
                </c:pt>
                <c:pt idx="8">
                  <c:v>2013</c:v>
                </c:pt>
                <c:pt idx="9" formatCode="General">
                  <c:v>2014</c:v>
                </c:pt>
                <c:pt idx="10" formatCode="General">
                  <c:v>2015</c:v>
                </c:pt>
                <c:pt idx="11" formatCode="General">
                  <c:v>2016</c:v>
                </c:pt>
              </c:numCache>
            </c:numRef>
          </c:cat>
          <c:val>
            <c:numRef>
              <c:f>Sheet1!$B$3:$M$3</c:f>
              <c:numCache>
                <c:formatCode>General</c:formatCode>
                <c:ptCount val="12"/>
                <c:pt idx="0">
                  <c:v>14.845132743362832</c:v>
                </c:pt>
                <c:pt idx="1">
                  <c:v>15.925030229746069</c:v>
                </c:pt>
                <c:pt idx="2">
                  <c:v>17.1875</c:v>
                </c:pt>
                <c:pt idx="3">
                  <c:v>21.453201970443349</c:v>
                </c:pt>
                <c:pt idx="4">
                  <c:v>32.241610738255034</c:v>
                </c:pt>
                <c:pt idx="5">
                  <c:v>24.228486646884274</c:v>
                </c:pt>
                <c:pt idx="6">
                  <c:v>25.785498489425979</c:v>
                </c:pt>
                <c:pt idx="7">
                  <c:v>23.707025411061284</c:v>
                </c:pt>
                <c:pt idx="8">
                  <c:v>21.970310391363025</c:v>
                </c:pt>
                <c:pt idx="9">
                  <c:v>24.550898203592816</c:v>
                </c:pt>
                <c:pt idx="10">
                  <c:v>23.676470588235293</c:v>
                </c:pt>
                <c:pt idx="11">
                  <c:v>23.91766268260292</c:v>
                </c:pt>
              </c:numCache>
            </c:numRef>
          </c:val>
          <c:extLst>
            <c:ext xmlns:c="http://schemas.openxmlformats.org/drawingml/2006/chart" xmlns:c16="http://schemas.microsoft.com/office/drawing/2014/chart" uri="{C3380CC4-5D6E-409C-BE32-E72D297353CC}">
              <c16:uniqueId val="{00000004-AA49-4101-9AA1-9225D94764A4}"/>
            </c:ext>
          </c:extLst>
        </c:ser>
        <c:dLbls>
          <c:showLegendKey val="0"/>
          <c:showVal val="0"/>
          <c:showCatName val="0"/>
          <c:showSerName val="0"/>
          <c:showPercent val="0"/>
          <c:showBubbleSize val="0"/>
        </c:dLbls>
        <c:gapWidth val="20"/>
        <c:axId val="656377040"/>
        <c:axId val="656385272"/>
      </c:barChart>
      <c:catAx>
        <c:axId val="656377040"/>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56385272"/>
        <c:crosses val="autoZero"/>
        <c:auto val="1"/>
        <c:lblAlgn val="ctr"/>
        <c:lblOffset val="100"/>
        <c:noMultiLvlLbl val="0"/>
      </c:catAx>
      <c:valAx>
        <c:axId val="656385272"/>
        <c:scaling>
          <c:orientation val="minMax"/>
        </c:scaling>
        <c:delete val="0"/>
        <c:axPos val="l"/>
        <c:numFmt formatCode="0" sourceLinked="0"/>
        <c:majorTickMark val="out"/>
        <c:minorTickMark val="none"/>
        <c:tickLblPos val="nextTo"/>
        <c:crossAx val="656377040"/>
        <c:crosses val="autoZero"/>
        <c:crossBetween val="between"/>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26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72841410287632"/>
          <c:y val="0.057971014492753624"/>
          <c:w val="0.69294856184214082"/>
          <c:h val="0.726718711443121"/>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extLst>
              <c:ext xmlns:c="http://schemas.openxmlformats.org/drawingml/2006/chart" xmlns:c16="http://schemas.microsoft.com/office/drawing/2014/chart" uri="{C3380CC4-5D6E-409C-BE32-E72D297353CC}">
                <c16:uniqueId val="{00000000-DFB6-40A2-8DCA-8B64401715D2}"/>
              </c:ext>
            </c:extLst>
          </c:dPt>
          <c:dLbls>
            <c:dLbl>
              <c:idx val="0"/>
              <c:layout>
                <c:manualLayout>
                  <c:x val="-0.22962436454935367"/>
                  <c:y val="0.028082211106319"/>
                </c:manualLayout>
              </c:layout>
              <c:tx>
                <c:rich>
                  <a:bodyPr vertOverflow="clip"/>
                  <a:lstStyle/>
                  <a:p>
                    <a:r>
                      <a:rPr lang="en-US"/>
                      <a:t>2005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DFB6-40A2-8DCA-8B64401715D2}"/>
                </c:ext>
                <c:ext xmlns:c15="http://schemas.microsoft.com/office/drawing/2012/chart" uri="{CE6537A1-D6FC-4f65-9D91-7224C49458BB}"/>
              </c:extLst>
            </c:dLbl>
            <c:dLbl>
              <c:idx val="1"/>
              <c:layout>
                <c:manualLayout>
                  <c:x val="-0.02731936732043988"/>
                  <c:y val="-0.045734325119124376"/>
                </c:manualLayout>
              </c:layout>
              <c:tx>
                <c:rich>
                  <a:bodyPr vertOverflow="clip"/>
                  <a:lstStyle/>
                  <a:p>
                    <a:r>
                      <a:rPr lang="en-US"/>
                      <a:t>2007</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DFB6-40A2-8DCA-8B64401715D2}"/>
                </c:ext>
                <c:ext xmlns:c15="http://schemas.microsoft.com/office/drawing/2012/chart" uri="{CE6537A1-D6FC-4f65-9D91-7224C49458BB}"/>
              </c:extLst>
            </c:dLbl>
            <c:dLbl>
              <c:idx val="2"/>
              <c:layout>
                <c:manualLayout>
                  <c:x val="0.23308810743786879"/>
                  <c:y val="0.53749862397584491"/>
                </c:manualLayout>
              </c:layout>
              <c:tx>
                <c:rich>
                  <a:bodyPr vertOverflow="clip"/>
                  <a:lstStyle/>
                  <a:p>
                    <a:r>
                      <a:rPr lang="en-US"/>
                      <a:t>2009</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DFB6-40A2-8DCA-8B64401715D2}"/>
                </c:ext>
                <c:ext xmlns:c15="http://schemas.microsoft.com/office/drawing/2012/chart" uri="{CE6537A1-D6FC-4f65-9D91-7224C49458BB}"/>
              </c:extLst>
            </c:dLbl>
            <c:dLbl>
              <c:idx val="3"/>
              <c:delete val="1"/>
              <c:extLst>
                <c:ext xmlns:c="http://schemas.openxmlformats.org/drawingml/2006/chart" xmlns:c16="http://schemas.microsoft.com/office/drawing/2014/chart" uri="{C3380CC4-5D6E-409C-BE32-E72D297353CC}">
                  <c16:uniqueId val="{00000004-DFB6-40A2-8DCA-8B64401715D2}"/>
                </c:ext>
                <c:ext xmlns:c15="http://schemas.microsoft.com/office/drawing/2012/chart" uri="{CE6537A1-D6FC-4f65-9D91-7224C49458BB}"/>
              </c:extLst>
            </c:dLbl>
            <c:dLbl>
              <c:idx val="4"/>
              <c:delete val="1"/>
              <c:extLst>
                <c:ext xmlns:c="http://schemas.openxmlformats.org/drawingml/2006/chart" xmlns:c16="http://schemas.microsoft.com/office/drawing/2014/chart" uri="{C3380CC4-5D6E-409C-BE32-E72D297353CC}">
                  <c16:uniqueId val="{00000005-DFB6-40A2-8DCA-8B64401715D2}"/>
                </c:ext>
                <c:ext xmlns:c15="http://schemas.microsoft.com/office/drawing/2012/chart" uri="{CE6537A1-D6FC-4f65-9D91-7224C49458BB}"/>
              </c:extLst>
            </c:dLbl>
            <c:dLbl>
              <c:idx val="5"/>
              <c:layout>
                <c:manualLayout>
                  <c:x val="-0.19262718892686179"/>
                  <c:y val="0.0399440154743745"/>
                </c:manualLayout>
              </c:layout>
              <c:tx>
                <c:rich>
                  <a:bodyPr vertOverflow="clip"/>
                  <a:lstStyle/>
                  <a:p>
                    <a:r>
                      <a:rPr lang="en-US"/>
                      <a:t>2010</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DFB6-40A2-8DCA-8B64401715D2}"/>
                </c:ext>
                <c:ext xmlns:c15="http://schemas.microsoft.com/office/drawing/2012/chart" uri="{CE6537A1-D6FC-4f65-9D91-7224C49458BB}"/>
              </c:extLst>
            </c:dLbl>
            <c:dLbl>
              <c:idx val="6"/>
              <c:layout>
                <c:manualLayout>
                  <c:x val="-0.15822947661849363"/>
                  <c:y val="0.051356591324195781"/>
                </c:manualLayout>
              </c:layout>
              <c:tx>
                <c:rich>
                  <a:bodyPr vertOverflow="clip"/>
                  <a:lstStyle/>
                  <a:p>
                    <a:r>
                      <a:rPr lang="en-US"/>
                      <a:t>2011</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DFB6-40A2-8DCA-8B64401715D2}"/>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7-DFB6-40A2-8DCA-8B64401715D2}"/>
                </c:ext>
                <c:ext xmlns:c15="http://schemas.microsoft.com/office/drawing/2012/chart" uri="{CE6537A1-D6FC-4f65-9D91-7224C49458BB}"/>
              </c:extLst>
            </c:dLbl>
            <c:dLbl>
              <c:idx val="8"/>
              <c:layout>
                <c:manualLayout>
                  <c:x val="-0.055036339693389086"/>
                  <c:y val="-0.034237727549463859"/>
                </c:manualLayout>
              </c:layout>
              <c:tx>
                <c:rich>
                  <a:bodyPr vertOverflow="clip"/>
                  <a:lstStyle/>
                  <a:p>
                    <a:r>
                      <a:rPr lang="en-US"/>
                      <a:t>2013</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DFB6-40A2-8DCA-8B64401715D2}"/>
                </c:ext>
                <c:ext xmlns:c15="http://schemas.microsoft.com/office/drawing/2012/chart" uri="{CE6537A1-D6FC-4f65-9D91-7224C49458BB}"/>
              </c:extLst>
            </c:dLbl>
            <c:dLbl>
              <c:idx val="9"/>
              <c:delete val="1"/>
              <c:extLst>
                <c:ext xmlns:c="http://schemas.openxmlformats.org/drawingml/2006/chart" xmlns:c16="http://schemas.microsoft.com/office/drawing/2014/chart" uri="{C3380CC4-5D6E-409C-BE32-E72D297353CC}">
                  <c16:uniqueId val="{00000009-DFB6-40A2-8DCA-8B64401715D2}"/>
                </c:ext>
                <c:ext xmlns:c15="http://schemas.microsoft.com/office/drawing/2012/chart" uri="{CE6537A1-D6FC-4f65-9D91-7224C49458BB}"/>
              </c:extLst>
            </c:dLbl>
            <c:dLbl>
              <c:idx val="10"/>
              <c:layout>
                <c:manualLayout>
                  <c:x val="-0.021164614450397686"/>
                  <c:y val="0.0041804175475093405"/>
                </c:manualLayout>
              </c:layout>
              <c:tx>
                <c:rich>
                  <a:bodyPr vertOverflow="clip"/>
                  <a:lstStyle/>
                  <a:p>
                    <a:r>
                      <a:rPr lang="en-US"/>
                      <a:t>2015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DFB6-40A2-8DCA-8B64401715D2}"/>
                </c:ext>
                <c:ext xmlns:c15="http://schemas.microsoft.com/office/drawing/2012/chart" uri="{CE6537A1-D6FC-4f65-9D91-7224C49458BB}"/>
              </c:extLst>
            </c:dLbl>
            <c:dLbl>
              <c:idx val="11"/>
              <c:layout>
                <c:manualLayout>
                  <c:x val="-0.045473776802943768"/>
                  <c:y val="-0.029435967255112244"/>
                </c:manualLayout>
              </c:layout>
              <c:tx>
                <c:rich>
                  <a:bodyPr vertOverflow="clip"/>
                  <a:lstStyle/>
                  <a:p>
                    <a:r>
                      <a:rPr lang="en-US"/>
                      <a:t>2016</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DFB6-40A2-8DCA-8B64401715D2}"/>
                </c:ext>
                <c:ext xmlns:c15="http://schemas.microsoft.com/office/drawing/2012/chart" uri="{CE6537A1-D6FC-4f65-9D91-7224C49458BB}"/>
              </c:extLst>
            </c:dLbl>
            <c:dLbl>
              <c:idx val="12"/>
              <c:tx>
                <c:rich>
                  <a:bodyPr/>
                  <a:lstStyle/>
                  <a:p>
                    <a:r>
                      <a:rPr lang="lv-LV"/>
                      <a:t>FI</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DFB6-40A2-8DCA-8B64401715D2}"/>
                </c:ext>
                <c:ext xmlns:c15="http://schemas.microsoft.com/office/drawing/2012/chart" uri="{CE6537A1-D6FC-4f65-9D91-7224C49458BB}"/>
              </c:extLst>
            </c:dLbl>
            <c:dLbl>
              <c:idx val="13"/>
              <c:tx>
                <c:rich>
                  <a:bodyPr/>
                  <a:lstStyle/>
                  <a:p>
                    <a:r>
                      <a:rPr lang="lv-LV" b="0"/>
                      <a:t>SE</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DFB6-40A2-8DCA-8B64401715D2}"/>
                </c:ext>
                <c:ext xmlns:c15="http://schemas.microsoft.com/office/drawing/2012/chart" uri="{CE6537A1-D6FC-4f65-9D91-7224C49458BB}"/>
              </c:extLst>
            </c:dLbl>
            <c:spPr>
              <a:noFill/>
              <a:ln>
                <a:noFill/>
              </a:ln>
              <a:effectLst/>
            </c:spPr>
            <c:txPr>
              <a:bodyPr/>
              <a:lstStyle/>
              <a:p>
                <a:pPr>
                  <a:defRPr b="0"/>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Sheet1!$B$3:$B$14</c:f>
              <c:numCache>
                <c:formatCode>0.0</c:formatCode>
                <c:ptCount val="12"/>
                <c:pt idx="0">
                  <c:v>14.845132743362832</c:v>
                </c:pt>
                <c:pt idx="1">
                  <c:v>15.925030229746069</c:v>
                </c:pt>
                <c:pt idx="2">
                  <c:v>17.1875</c:v>
                </c:pt>
                <c:pt idx="3">
                  <c:v>21.453201970443349</c:v>
                </c:pt>
                <c:pt idx="4">
                  <c:v>32.241610738255034</c:v>
                </c:pt>
                <c:pt idx="5">
                  <c:v>24.228486646884274</c:v>
                </c:pt>
                <c:pt idx="6">
                  <c:v>25.785498489425979</c:v>
                </c:pt>
                <c:pt idx="7">
                  <c:v>23.707025411061284</c:v>
                </c:pt>
                <c:pt idx="8">
                  <c:v>21.970310391363025</c:v>
                </c:pt>
                <c:pt idx="9">
                  <c:v>24.550898203592816</c:v>
                </c:pt>
                <c:pt idx="10">
                  <c:v>23.676470588235293</c:v>
                </c:pt>
                <c:pt idx="11">
                  <c:v>23.91766268260292</c:v>
                </c:pt>
              </c:numCache>
            </c:numRef>
          </c:xVal>
          <c:yVal>
            <c:numRef>
              <c:f>Sheet1!$C$3:$C$14</c:f>
              <c:numCache>
                <c:formatCode>0.0</c:formatCode>
                <c:ptCount val="12"/>
                <c:pt idx="0">
                  <c:v>0.41495081967213115</c:v>
                </c:pt>
                <c:pt idx="1">
                  <c:v>0.55381021682274534</c:v>
                </c:pt>
                <c:pt idx="2">
                  <c:v>0.55994531784005463</c:v>
                </c:pt>
                <c:pt idx="3">
                  <c:v>0.52190221147700755</c:v>
                </c:pt>
                <c:pt idx="4">
                  <c:v>0.33425241206715683</c:v>
                </c:pt>
                <c:pt idx="5">
                  <c:v>0.45859699258352049</c:v>
                </c:pt>
                <c:pt idx="6">
                  <c:v>0.41254335591895425</c:v>
                </c:pt>
                <c:pt idx="7">
                  <c:v>0.48502377454099521</c:v>
                </c:pt>
                <c:pt idx="8">
                  <c:v>0.528011992769702</c:v>
                </c:pt>
                <c:pt idx="9">
                  <c:v>0.50179461241617029</c:v>
                </c:pt>
                <c:pt idx="10">
                  <c:v>0.498109640831758</c:v>
                </c:pt>
                <c:pt idx="11">
                  <c:v>0.55535353922150532</c:v>
                </c:pt>
              </c:numCache>
            </c:numRef>
          </c:yVal>
          <c:smooth val="1"/>
          <c:extLst>
            <c:ext xmlns:c="http://schemas.openxmlformats.org/drawingml/2006/chart" xmlns:c16="http://schemas.microsoft.com/office/drawing/2014/chart" uri="{C3380CC4-5D6E-409C-BE32-E72D297353CC}">
              <c16:uniqueId val="{0000000E-DFB6-40A2-8DCA-8B64401715D2}"/>
            </c:ext>
          </c:extLst>
        </c:ser>
        <c:dLbls>
          <c:showLegendKey val="0"/>
          <c:showVal val="0"/>
          <c:showCatName val="0"/>
          <c:showSerName val="0"/>
          <c:showPercent val="0"/>
          <c:showBubbleSize val="0"/>
        </c:dLbls>
        <c:axId val="656385664"/>
        <c:axId val="656386448"/>
      </c:scatterChart>
      <c:valAx>
        <c:axId val="656385664"/>
        <c:scaling>
          <c:orientation val="minMax"/>
          <c:max val="40"/>
          <c:min val="0"/>
        </c:scaling>
        <c:delete val="0"/>
        <c:axPos val="b"/>
        <c:title>
          <c:tx>
            <c:rich>
              <a:bodyPr vertOverflow="clip"/>
              <a:lstStyle/>
              <a:p>
                <a:pPr>
                  <a:defRPr sz="700" b="0">
                    <a:latin typeface="Arial Narrow" pitchFamily="34" charset="0"/>
                  </a:defRPr>
                </a:pPr>
                <a:r>
                  <a:rPr lang="lv-LV" sz="700" b="0">
                    <a:latin typeface="Arial Narrow" pitchFamily="34" charset="0"/>
                  </a:rPr>
                  <a:t>Produktivitāte (pievienotā vērtība </a:t>
                </a:r>
                <a:br>
                  <a:rPr lang="lv-LV" sz="700" b="0">
                    <a:latin typeface="Arial Narrow" pitchFamily="34" charset="0"/>
                  </a:rPr>
                </a:br>
                <a:r>
                  <a:rPr lang="lv-LV" sz="700" b="0">
                    <a:latin typeface="Arial Narrow" pitchFamily="34" charset="0"/>
                  </a:rPr>
                  <a:t>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56386448"/>
        <c:crosses val="autoZero"/>
        <c:crossBetween val="midCat"/>
      </c:valAx>
      <c:valAx>
        <c:axId val="656386448"/>
        <c:scaling>
          <c:orientation val="minMax"/>
          <c:max val="0.60000000000000009"/>
          <c:min val="0.30000000000000004"/>
        </c:scaling>
        <c:delete val="0"/>
        <c:axPos val="l"/>
        <c:title>
          <c:tx>
            <c:rich>
              <a:bodyPr vertOverflow="clip"/>
              <a:lstStyle/>
              <a:p>
                <a:pPr>
                  <a:defRPr sz="700" b="0"/>
                </a:pPr>
                <a:r>
                  <a:rPr lang="lv-LV" sz="700" b="0">
                    <a:latin typeface="Arial Narrow" pitchFamily="34" charset="0"/>
                  </a:rPr>
                  <a:t>Darbaspēka izmaksas </a:t>
                </a:r>
                <a:br>
                  <a:rPr lang="lv-LV" sz="700" b="0">
                    <a:latin typeface="Arial Narrow" pitchFamily="34" charset="0"/>
                  </a:rPr>
                </a:br>
                <a:r>
                  <a:rPr lang="lv-LV" sz="700" b="0">
                    <a:latin typeface="Arial Narrow" pitchFamily="34" charset="0"/>
                  </a:rPr>
                  <a:t>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56385664"/>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2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8"/>
          <c:y val="0.046005165816941182"/>
          <c:w val="0.85762258292899962"/>
          <c:h val="0.831279863372076"/>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Sheet1!$B$1:$K$1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Sheet1!$B$2:$K$2</c:f>
              <c:numCache>
                <c:formatCode>0</c:formatCode>
                <c:ptCount val="10"/>
                <c:pt idx="0">
                  <c:v>33.721439159401655</c:v>
                </c:pt>
                <c:pt idx="1">
                  <c:v>39.357747157592392</c:v>
                </c:pt>
                <c:pt idx="2">
                  <c:v>35.257643303741311</c:v>
                </c:pt>
                <c:pt idx="3">
                  <c:v>31.604252389710798</c:v>
                </c:pt>
                <c:pt idx="4">
                  <c:v>31.875002820972814</c:v>
                </c:pt>
                <c:pt idx="5">
                  <c:v>33.804118310790848</c:v>
                </c:pt>
                <c:pt idx="6">
                  <c:v>35.156533977007385</c:v>
                </c:pt>
                <c:pt idx="7">
                  <c:v>37.421947439091205</c:v>
                </c:pt>
                <c:pt idx="8">
                  <c:v>38.817831590130616</c:v>
                </c:pt>
                <c:pt idx="9">
                  <c:v>41.722712558717859</c:v>
                </c:pt>
              </c:numCache>
            </c:numRef>
          </c:val>
          <c:extLst>
            <c:ext xmlns:c="http://schemas.openxmlformats.org/drawingml/2006/chart" xmlns:c16="http://schemas.microsoft.com/office/drawing/2014/chart" uri="{C3380CC4-5D6E-409C-BE32-E72D297353CC}">
              <c16:uniqueId val="{00000000-D3C4-44C1-933F-3ABFD4FF4FD5}"/>
            </c:ext>
          </c:extLst>
        </c:ser>
        <c:ser>
          <c:idx val="1"/>
          <c:order val="1"/>
          <c:tx>
            <c:strRef>
              <c:f>Sheet1!$A$3</c:f>
              <c:strCache>
                <c:ptCount val="1"/>
                <c:pt idx="0">
                  <c:v>Ūd. apg.; notekūd., atkr. aps. un sanācija</c:v>
                </c:pt>
              </c:strCache>
            </c:strRef>
          </c:tx>
          <c:spPr>
            <a:ln>
              <a:solidFill>
                <a:sysClr val="windowText" lastClr="000000"/>
              </a:solidFill>
            </a:ln>
          </c:spPr>
          <c:invertIfNegative val="0"/>
          <c:dLbls>
            <c:numFmt formatCode="#,##0" sourceLinked="0"/>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Sheet1!$B$3:$K$3</c:f>
              <c:numCache>
                <c:formatCode>0</c:formatCode>
                <c:ptCount val="10"/>
                <c:pt idx="0">
                  <c:v>29.691482247899682</c:v>
                </c:pt>
                <c:pt idx="1">
                  <c:v>34.571623814906971</c:v>
                </c:pt>
                <c:pt idx="2">
                  <c:v>33.035681438792864</c:v>
                </c:pt>
                <c:pt idx="3">
                  <c:v>33.684563625959477</c:v>
                </c:pt>
                <c:pt idx="4">
                  <c:v>32.117073411011631</c:v>
                </c:pt>
                <c:pt idx="5">
                  <c:v>33.769805226443786</c:v>
                </c:pt>
                <c:pt idx="6">
                  <c:v>33.927353949754639</c:v>
                </c:pt>
                <c:pt idx="7">
                  <c:v>35.30194433337622</c:v>
                </c:pt>
                <c:pt idx="8">
                  <c:v>33.150017786623216</c:v>
                </c:pt>
                <c:pt idx="9">
                  <c:v>37.261578941418009</c:v>
                </c:pt>
              </c:numCache>
            </c:numRef>
          </c:val>
          <c:extLst>
            <c:ext xmlns:c="http://schemas.openxmlformats.org/drawingml/2006/chart" xmlns:c16="http://schemas.microsoft.com/office/drawing/2014/chart" uri="{C3380CC4-5D6E-409C-BE32-E72D297353CC}">
              <c16:uniqueId val="{00000001-D3C4-44C1-933F-3ABFD4FF4FD5}"/>
            </c:ext>
          </c:extLst>
        </c:ser>
        <c:dLbls>
          <c:showLegendKey val="0"/>
          <c:showVal val="0"/>
          <c:showCatName val="0"/>
          <c:showSerName val="0"/>
          <c:showPercent val="0"/>
          <c:showBubbleSize val="0"/>
        </c:dLbls>
        <c:gapWidth val="50"/>
        <c:overlap val="52"/>
        <c:axId val="656380176"/>
        <c:axId val="656375472"/>
      </c:barChart>
      <c:catAx>
        <c:axId val="656380176"/>
        <c:scaling>
          <c:orientation val="minMax"/>
        </c:scaling>
        <c:delete val="0"/>
        <c:axPos val="b"/>
        <c:numFmt formatCode="General" sourceLinked="0"/>
        <c:majorTickMark val="out"/>
        <c:minorTickMark val="none"/>
        <c:tickLblPos val="nextTo"/>
        <c:txPr>
          <a:bodyPr rot="-2700000"/>
          <a:lstStyle/>
          <a:p>
            <a:pPr>
              <a:defRPr sz="700"/>
            </a:pPr>
            <a:endParaRPr lang="lv-LV"/>
          </a:p>
        </c:txPr>
        <c:crossAx val="656375472"/>
        <c:crosses val="autoZero"/>
        <c:auto val="1"/>
        <c:lblAlgn val="ctr"/>
        <c:lblOffset val="100"/>
        <c:noMultiLvlLbl val="0"/>
      </c:catAx>
      <c:valAx>
        <c:axId val="656375472"/>
        <c:scaling>
          <c:orientation val="minMax"/>
          <c:max val="80"/>
        </c:scaling>
        <c:delete val="0"/>
        <c:axPos val="l"/>
        <c:numFmt formatCode="0" sourceLinked="0"/>
        <c:majorTickMark val="out"/>
        <c:minorTickMark val="none"/>
        <c:tickLblPos val="nextTo"/>
        <c:txPr>
          <a:bodyPr/>
          <a:lstStyle/>
          <a:p>
            <a:pPr>
              <a:defRPr sz="800"/>
            </a:pPr>
            <a:endParaRPr lang="lv-LV"/>
          </a:p>
        </c:txPr>
        <c:crossAx val="656380176"/>
        <c:crosses val="autoZero"/>
        <c:crossBetween val="between"/>
        <c:majorUnit val="20"/>
      </c:valAx>
      <c:spPr>
        <a:ln>
          <a:noFill/>
        </a:ln>
      </c:spPr>
    </c:plotArea>
    <c:legend>
      <c:legendPos val="r"/>
      <c:layout>
        <c:manualLayout>
          <c:xMode val="edge"/>
          <c:yMode val="edge"/>
          <c:x val="0.077669573814483944"/>
          <c:y val="0.04952826842590622"/>
          <c:w val="0.90239892659157517"/>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2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738"/>
          <c:y val="0.046005165816941182"/>
          <c:w val="0.85762258292899962"/>
          <c:h val="0.83127986337207582"/>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Sheet1!$B$1:$K$1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Sheet1!$B$2:$K$2</c:f>
              <c:numCache>
                <c:formatCode>0</c:formatCode>
                <c:ptCount val="10"/>
                <c:pt idx="0">
                  <c:v>37.571008081742491</c:v>
                </c:pt>
                <c:pt idx="1">
                  <c:v>40.886874357448278</c:v>
                </c:pt>
                <c:pt idx="2">
                  <c:v>38.340696631750923</c:v>
                </c:pt>
                <c:pt idx="3">
                  <c:v>37.13786218879887</c:v>
                </c:pt>
                <c:pt idx="4">
                  <c:v>40.358416265069444</c:v>
                </c:pt>
                <c:pt idx="5">
                  <c:v>42.444824679460964</c:v>
                </c:pt>
                <c:pt idx="6">
                  <c:v>42.534590211759</c:v>
                </c:pt>
                <c:pt idx="7">
                  <c:v>43.637999214462909</c:v>
                </c:pt>
                <c:pt idx="8">
                  <c:v>42.77599222315655</c:v>
                </c:pt>
                <c:pt idx="9">
                  <c:v>43.3164068323518</c:v>
                </c:pt>
              </c:numCache>
            </c:numRef>
          </c:val>
          <c:extLst>
            <c:ext xmlns:c="http://schemas.openxmlformats.org/drawingml/2006/chart" xmlns:c16="http://schemas.microsoft.com/office/drawing/2014/chart" uri="{C3380CC4-5D6E-409C-BE32-E72D297353CC}">
              <c16:uniqueId val="{00000000-4CA3-48C6-A9B8-5DC65E9F8B67}"/>
            </c:ext>
          </c:extLst>
        </c:ser>
        <c:ser>
          <c:idx val="1"/>
          <c:order val="1"/>
          <c:tx>
            <c:strRef>
              <c:f>Sheet1!$A$3</c:f>
              <c:strCache>
                <c:ptCount val="1"/>
                <c:pt idx="0">
                  <c:v>Ūd. apg.; notekūd., atkr. aps. un sanācija</c:v>
                </c:pt>
              </c:strCache>
            </c:strRef>
          </c:tx>
          <c:spPr>
            <a:ln>
              <a:solidFill>
                <a:sysClr val="windowText" lastClr="000000"/>
              </a:solidFill>
            </a:ln>
          </c:spPr>
          <c:invertIfNegative val="0"/>
          <c:dLbls>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Sheet1!$B$3:$K$3</c:f>
              <c:numCache>
                <c:formatCode>0</c:formatCode>
                <c:ptCount val="10"/>
                <c:pt idx="0">
                  <c:v>22.783803236951545</c:v>
                </c:pt>
                <c:pt idx="1">
                  <c:v>32.352784185610865</c:v>
                </c:pt>
                <c:pt idx="2">
                  <c:v>42.20593644411872</c:v>
                </c:pt>
                <c:pt idx="3">
                  <c:v>35.020828433372436</c:v>
                </c:pt>
                <c:pt idx="4">
                  <c:v>39.4800671809588</c:v>
                </c:pt>
                <c:pt idx="5">
                  <c:v>37.040645997006436</c:v>
                </c:pt>
                <c:pt idx="6">
                  <c:v>33.521549883440642</c:v>
                </c:pt>
                <c:pt idx="7">
                  <c:v>37.252222427490814</c:v>
                </c:pt>
                <c:pt idx="8">
                  <c:v>35.347723072052432</c:v>
                </c:pt>
                <c:pt idx="9">
                  <c:v>34.815888775216727</c:v>
                </c:pt>
              </c:numCache>
            </c:numRef>
          </c:val>
          <c:extLst>
            <c:ext xmlns:c="http://schemas.openxmlformats.org/drawingml/2006/chart" xmlns:c16="http://schemas.microsoft.com/office/drawing/2014/chart" uri="{C3380CC4-5D6E-409C-BE32-E72D297353CC}">
              <c16:uniqueId val="{00000001-4CA3-48C6-A9B8-5DC65E9F8B67}"/>
            </c:ext>
          </c:extLst>
        </c:ser>
        <c:dLbls>
          <c:showLegendKey val="0"/>
          <c:showVal val="0"/>
          <c:showCatName val="0"/>
          <c:showSerName val="0"/>
          <c:showPercent val="0"/>
          <c:showBubbleSize val="0"/>
        </c:dLbls>
        <c:gapWidth val="50"/>
        <c:overlap val="52"/>
        <c:axId val="656396248"/>
        <c:axId val="656390760"/>
      </c:barChart>
      <c:catAx>
        <c:axId val="656396248"/>
        <c:scaling>
          <c:orientation val="minMax"/>
        </c:scaling>
        <c:delete val="0"/>
        <c:axPos val="b"/>
        <c:numFmt formatCode="General" sourceLinked="0"/>
        <c:majorTickMark val="out"/>
        <c:minorTickMark val="none"/>
        <c:tickLblPos val="nextTo"/>
        <c:txPr>
          <a:bodyPr rot="-2700000"/>
          <a:lstStyle/>
          <a:p>
            <a:pPr>
              <a:defRPr sz="700"/>
            </a:pPr>
            <a:endParaRPr lang="lv-LV"/>
          </a:p>
        </c:txPr>
        <c:crossAx val="656390760"/>
        <c:crosses val="autoZero"/>
        <c:auto val="1"/>
        <c:lblAlgn val="ctr"/>
        <c:lblOffset val="100"/>
        <c:noMultiLvlLbl val="0"/>
      </c:catAx>
      <c:valAx>
        <c:axId val="656390760"/>
        <c:scaling>
          <c:orientation val="minMax"/>
          <c:max val="80"/>
        </c:scaling>
        <c:delete val="0"/>
        <c:axPos val="l"/>
        <c:numFmt formatCode="0" sourceLinked="1"/>
        <c:majorTickMark val="out"/>
        <c:minorTickMark val="none"/>
        <c:tickLblPos val="nextTo"/>
        <c:txPr>
          <a:bodyPr/>
          <a:lstStyle/>
          <a:p>
            <a:pPr>
              <a:defRPr sz="800"/>
            </a:pPr>
            <a:endParaRPr lang="lv-LV"/>
          </a:p>
        </c:txPr>
        <c:crossAx val="656396248"/>
        <c:crosses val="autoZero"/>
        <c:crossBetween val="between"/>
        <c:majorUnit val="20"/>
      </c:valAx>
      <c:spPr>
        <a:ln>
          <a:noFill/>
        </a:ln>
      </c:spPr>
    </c:plotArea>
    <c:legend>
      <c:legendPos val="r"/>
      <c:layout>
        <c:manualLayout>
          <c:xMode val="edge"/>
          <c:yMode val="edge"/>
          <c:x val="0.07820350581177353"/>
          <c:y val="0.04952826842590622"/>
          <c:w val="0.89699521934758142"/>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59412201441466"/>
          <c:y val="0.098301682877875565"/>
          <c:w val="0.77357359176256812"/>
          <c:h val="0.70274229610187611"/>
        </c:manualLayout>
      </c:layout>
      <c:barChart>
        <c:barDir val="col"/>
        <c:grouping val="clustered"/>
        <c:varyColors val="0"/>
        <c:ser>
          <c:idx val="4"/>
          <c:order val="0"/>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AC11-4B0B-8090-5080FEC0B4B1}"/>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AC11-4B0B-8090-5080FEC0B4B1}"/>
              </c:ext>
            </c:extLst>
          </c:dPt>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Sheet1!$A$3:$A$5</c:f>
              <c:strCache>
                <c:ptCount val="3"/>
                <c:pt idx="0">
                  <c:v>2005</c:v>
                </c:pt>
                <c:pt idx="1">
                  <c:v>2010</c:v>
                </c:pt>
                <c:pt idx="2">
                  <c:v>2016</c:v>
                </c:pt>
              </c:strCache>
            </c:strRef>
          </c:cat>
          <c:val>
            <c:numRef>
              <c:f>Sheet1!$B$3:$B$5</c:f>
              <c:numCache>
                <c:formatCode>General</c:formatCode>
                <c:ptCount val="3"/>
                <c:pt idx="0" formatCode="0.0">
                  <c:v>0.28116367332551867</c:v>
                </c:pt>
                <c:pt idx="1">
                  <c:v>0.50651321613759959</c:v>
                </c:pt>
                <c:pt idx="2">
                  <c:v>0.49941895855237672</c:v>
                </c:pt>
              </c:numCache>
            </c:numRef>
          </c:val>
          <c:extLst>
            <c:ext xmlns:c="http://schemas.openxmlformats.org/drawingml/2006/chart" xmlns:c16="http://schemas.microsoft.com/office/drawing/2014/chart" uri="{C3380CC4-5D6E-409C-BE32-E72D297353CC}">
              <c16:uniqueId val="{00000004-AC11-4B0B-8090-5080FEC0B4B1}"/>
            </c:ext>
          </c:extLst>
        </c:ser>
        <c:dLbls>
          <c:showLegendKey val="0"/>
          <c:showVal val="0"/>
          <c:showCatName val="0"/>
          <c:showSerName val="0"/>
          <c:showPercent val="0"/>
          <c:showBubbleSize val="0"/>
        </c:dLbls>
        <c:gapWidth val="20"/>
        <c:axId val="629843200"/>
        <c:axId val="629838496"/>
      </c:barChart>
      <c:catAx>
        <c:axId val="629843200"/>
        <c:scaling>
          <c:orientation val="minMax"/>
        </c:scaling>
        <c:delete val="0"/>
        <c:axPos val="b"/>
        <c:numFmt formatCode="General" sourceLinked="0"/>
        <c:majorTickMark val="out"/>
        <c:minorTickMark val="none"/>
        <c:tickLblPos val="nextTo"/>
        <c:crossAx val="629838496"/>
        <c:crosses val="autoZero"/>
        <c:auto val="1"/>
        <c:lblAlgn val="ctr"/>
        <c:lblOffset val="100"/>
        <c:noMultiLvlLbl val="0"/>
      </c:catAx>
      <c:valAx>
        <c:axId val="629838496"/>
        <c:scaling>
          <c:orientation val="minMax"/>
          <c:max val="1"/>
          <c:min val="0"/>
        </c:scaling>
        <c:delete val="0"/>
        <c:axPos val="l"/>
        <c:numFmt formatCode="0.0" sourceLinked="0"/>
        <c:majorTickMark val="out"/>
        <c:minorTickMark val="none"/>
        <c:tickLblPos val="nextTo"/>
        <c:crossAx val="629843200"/>
        <c:crosses val="autoZero"/>
        <c:crossBetween val="between"/>
        <c:majorUnit val="0.2"/>
        <c:minorUnit val="0.2"/>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mbria Math" panose="02040503050406030204" pitchFamily="18" charset="0"/>
          <a:ea typeface="Cambria Math" panose="02040503050406030204" pitchFamily="18" charset="0"/>
          <a:cs typeface="Arial"/>
        </a:defRPr>
      </a:pPr>
      <a:endParaRPr lang="lv-LV"/>
    </a:p>
  </c:txPr>
  <c:externalData r:id="rId1">
    <c:autoUpdate val="0"/>
  </c:externalData>
</c:chartSpace>
</file>

<file path=word/charts/chart2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46717244654"/>
          <c:y val="0.044057617797775277"/>
          <c:w val="0.9310540474739486"/>
          <c:h val="0.72250176045067538"/>
        </c:manualLayout>
      </c:layout>
      <c:barChart>
        <c:barDir val="col"/>
        <c:grouping val="clustered"/>
        <c:varyColors val="0"/>
        <c:ser>
          <c:idx val="1"/>
          <c:order val="0"/>
          <c:tx>
            <c:strRef>
              <c:f>Sheet1!$B$3</c:f>
              <c:strCache>
                <c:ptCount val="1"/>
                <c:pt idx="0">
                  <c:v>Compensation per employees 1000 of euro</c:v>
                </c:pt>
              </c:strCache>
            </c:strRef>
          </c:tx>
          <c:spPr>
            <a:solidFill>
              <a:schemeClr val="accent3">
                <a:lumMod val="50000"/>
              </a:schemeClr>
            </a:solidFill>
            <a:ln w="19050"/>
          </c:spPr>
          <c:invertIfNegative val="0"/>
          <c:dPt>
            <c:idx val="10"/>
            <c:invertIfNegative val="0"/>
            <c:bubble3D val="0"/>
            <c:extLst>
              <c:ext xmlns:c="http://schemas.openxmlformats.org/drawingml/2006/chart" xmlns:c16="http://schemas.microsoft.com/office/drawing/2014/chart" uri="{C3380CC4-5D6E-409C-BE32-E72D297353CC}">
                <c16:uniqueId val="{00000000-9313-4379-82A5-EB293BF9A5F6}"/>
              </c:ext>
            </c:extLst>
          </c:dPt>
          <c:dPt>
            <c:idx val="12"/>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2-9313-4379-82A5-EB293BF9A5F6}"/>
              </c:ext>
            </c:extLst>
          </c:dPt>
          <c:dPt>
            <c:idx val="20"/>
            <c:invertIfNegative val="0"/>
            <c:bubble3D val="0"/>
            <c:extLst>
              <c:ext xmlns:c="http://schemas.openxmlformats.org/drawingml/2006/chart" xmlns:c16="http://schemas.microsoft.com/office/drawing/2014/chart" uri="{C3380CC4-5D6E-409C-BE32-E72D297353CC}">
                <c16:uniqueId val="{00000003-9313-4379-82A5-EB293BF9A5F6}"/>
              </c:ext>
            </c:extLst>
          </c:dPt>
          <c:dPt>
            <c:idx val="21"/>
            <c:invertIfNegative val="0"/>
            <c:bubble3D val="0"/>
            <c:spPr>
              <a:solidFill>
                <a:schemeClr val="accent2"/>
              </a:solidFill>
              <a:ln w="19050"/>
            </c:spPr>
            <c:extLst>
              <c:ext xmlns:c="http://schemas.openxmlformats.org/drawingml/2006/chart" xmlns:c16="http://schemas.microsoft.com/office/drawing/2014/chart" uri="{C3380CC4-5D6E-409C-BE32-E72D297353CC}">
                <c16:uniqueId val="{00000005-9313-4379-82A5-EB293BF9A5F6}"/>
              </c:ext>
            </c:extLst>
          </c:dPt>
          <c:dPt>
            <c:idx val="22"/>
            <c:invertIfNegative val="0"/>
            <c:bubble3D val="0"/>
            <c:extLst>
              <c:ext xmlns:c="http://schemas.openxmlformats.org/drawingml/2006/chart" xmlns:c16="http://schemas.microsoft.com/office/drawing/2014/chart" uri="{C3380CC4-5D6E-409C-BE32-E72D297353CC}">
                <c16:uniqueId val="{00000006-9313-4379-82A5-EB293BF9A5F6}"/>
              </c:ext>
            </c:extLst>
          </c:dPt>
          <c:dPt>
            <c:idx val="24"/>
            <c:invertIfNegative val="0"/>
            <c:bubble3D val="0"/>
            <c:extLst>
              <c:ext xmlns:c="http://schemas.openxmlformats.org/drawingml/2006/chart" xmlns:c16="http://schemas.microsoft.com/office/drawing/2014/chart" uri="{C3380CC4-5D6E-409C-BE32-E72D297353CC}">
                <c16:uniqueId val="{00000007-9313-4379-82A5-EB293BF9A5F6}"/>
              </c:ext>
            </c:extLst>
          </c:dPt>
          <c:dPt>
            <c:idx val="25"/>
            <c:invertIfNegative val="0"/>
            <c:bubble3D val="0"/>
            <c:extLst>
              <c:ext xmlns:c="http://schemas.openxmlformats.org/drawingml/2006/chart" xmlns:c16="http://schemas.microsoft.com/office/drawing/2014/chart" uri="{C3380CC4-5D6E-409C-BE32-E72D297353CC}">
                <c16:uniqueId val="{00000008-9313-4379-82A5-EB293BF9A5F6}"/>
              </c:ext>
            </c:extLst>
          </c:dPt>
          <c:dLbls>
            <c:dLbl>
              <c:idx val="21"/>
              <c:layout>
                <c:manualLayout>
                  <c:x val="0"/>
                  <c:y val="2.9874314491176406E-05"/>
                </c:manualLayout>
              </c:layout>
              <c:numFmt formatCode="#,##0" sourceLinked="0"/>
              <c:spPr>
                <a:noFill/>
                <a:ln>
                  <a:noFill/>
                </a:ln>
                <a:effectLst/>
              </c:spPr>
              <c:txPr>
                <a:bodyPr/>
                <a:lstStyle/>
                <a:p>
                  <a:pPr>
                    <a:defRPr sz="600" b="1"/>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9313-4379-82A5-EB293BF9A5F6}"/>
                </c:ext>
                <c:ext xmlns:c15="http://schemas.microsoft.com/office/drawing/2012/chart" uri="{CE6537A1-D6FC-4f65-9D91-7224C49458BB}"/>
              </c:extLst>
            </c:dLbl>
            <c:dLbl>
              <c:idx val="22"/>
              <c:layout>
                <c:manualLayout>
                  <c:x val="0"/>
                  <c:y val="0.010957045003520901"/>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9313-4379-82A5-EB293BF9A5F6}"/>
                </c:ext>
                <c:ext xmlns:c15="http://schemas.microsoft.com/office/drawing/2012/chart" uri="{CE6537A1-D6FC-4f65-9D91-7224C49458BB}"/>
              </c:extLst>
            </c:dLbl>
            <c:dLbl>
              <c:idx val="24"/>
              <c:layout>
                <c:manualLayout>
                  <c:x val="0.0040334849119080547"/>
                  <c:y val="0.010795334438011851"/>
                </c:manualLayout>
              </c:layout>
              <c:numFmt formatCode="#,##0" sourceLinked="0"/>
              <c:spPr>
                <a:noFill/>
                <a:ln>
                  <a:noFill/>
                </a:ln>
                <a:effectLst/>
              </c:spPr>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9313-4379-82A5-EB293BF9A5F6}"/>
                </c:ext>
                <c:ext xmlns:c15="http://schemas.microsoft.com/office/drawing/2012/chart" uri="{CE6537A1-D6FC-4f65-9D91-7224C49458BB}"/>
              </c:extLst>
            </c:dLbl>
            <c:dLbl>
              <c:idx val="25"/>
              <c:layout>
                <c:manualLayout>
                  <c:x val="0"/>
                  <c:y val="0.0047350290403144375"/>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9313-4379-82A5-EB293BF9A5F6}"/>
                </c:ext>
                <c:ext xmlns:c15="http://schemas.microsoft.com/office/drawing/2012/chart" uri="{CE6537A1-D6FC-4f65-9D91-7224C49458BB}"/>
              </c:extLst>
            </c:dLbl>
            <c:numFmt formatCode="#,##0" sourceLinked="0"/>
            <c:spPr>
              <a:noFill/>
              <a:ln>
                <a:noFill/>
              </a:ln>
              <a:effectLst/>
            </c:spPr>
            <c:txPr>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Sheet1!$A$4:$A$29</c:f>
              <c:strCache>
                <c:ptCount val="26"/>
                <c:pt idx="0">
                  <c:v>BE</c:v>
                </c:pt>
                <c:pt idx="1">
                  <c:v>LU</c:v>
                </c:pt>
                <c:pt idx="2">
                  <c:v>DK</c:v>
                </c:pt>
                <c:pt idx="3">
                  <c:v>NL</c:v>
                </c:pt>
                <c:pt idx="4">
                  <c:v>AT</c:v>
                </c:pt>
                <c:pt idx="5">
                  <c:v>DE</c:v>
                </c:pt>
                <c:pt idx="6">
                  <c:v>FI</c:v>
                </c:pt>
                <c:pt idx="7">
                  <c:v>SE</c:v>
                </c:pt>
                <c:pt idx="8">
                  <c:v>IT</c:v>
                </c:pt>
                <c:pt idx="9">
                  <c:v>IE</c:v>
                </c:pt>
                <c:pt idx="10">
                  <c:v>ES</c:v>
                </c:pt>
                <c:pt idx="11">
                  <c:v>EL</c:v>
                </c:pt>
                <c:pt idx="12">
                  <c:v>EU-28</c:v>
                </c:pt>
                <c:pt idx="13">
                  <c:v>SI</c:v>
                </c:pt>
                <c:pt idx="14">
                  <c:v>CY</c:v>
                </c:pt>
                <c:pt idx="15">
                  <c:v>EE</c:v>
                </c:pt>
                <c:pt idx="16">
                  <c:v>MT</c:v>
                </c:pt>
                <c:pt idx="17">
                  <c:v>PT</c:v>
                </c:pt>
                <c:pt idx="18">
                  <c:v>SK</c:v>
                </c:pt>
                <c:pt idx="19">
                  <c:v>CZ</c:v>
                </c:pt>
                <c:pt idx="20">
                  <c:v>LT</c:v>
                </c:pt>
                <c:pt idx="21">
                  <c:v>LV</c:v>
                </c:pt>
                <c:pt idx="22">
                  <c:v>PL</c:v>
                </c:pt>
                <c:pt idx="23">
                  <c:v>HU</c:v>
                </c:pt>
                <c:pt idx="24">
                  <c:v>RO</c:v>
                </c:pt>
                <c:pt idx="25">
                  <c:v>BG</c:v>
                </c:pt>
              </c:strCache>
            </c:strRef>
          </c:cat>
          <c:val>
            <c:numRef>
              <c:f>Sheet1!$B$4:$B$29</c:f>
              <c:numCache>
                <c:formatCode>0.0</c:formatCode>
                <c:ptCount val="26"/>
                <c:pt idx="0">
                  <c:v>63.038216560509561</c:v>
                </c:pt>
                <c:pt idx="1">
                  <c:v>60.488721804511279</c:v>
                </c:pt>
                <c:pt idx="2">
                  <c:v>59.427272727272729</c:v>
                </c:pt>
                <c:pt idx="3">
                  <c:v>57.53125</c:v>
                </c:pt>
                <c:pt idx="4">
                  <c:v>49.088607594936711</c:v>
                </c:pt>
                <c:pt idx="5">
                  <c:v>45.52918287937743</c:v>
                </c:pt>
                <c:pt idx="6">
                  <c:v>45.078125</c:v>
                </c:pt>
                <c:pt idx="7">
                  <c:v>42.53448275862069</c:v>
                </c:pt>
                <c:pt idx="8">
                  <c:v>41.834927025666836</c:v>
                </c:pt>
                <c:pt idx="9">
                  <c:v>41.639586410635154</c:v>
                </c:pt>
                <c:pt idx="10">
                  <c:v>36.686351706036746</c:v>
                </c:pt>
                <c:pt idx="11">
                  <c:v>36.439458086367488</c:v>
                </c:pt>
                <c:pt idx="12">
                  <c:v>35.647331643064753</c:v>
                </c:pt>
                <c:pt idx="13">
                  <c:v>25.176848874598072</c:v>
                </c:pt>
                <c:pt idx="14">
                  <c:v>23.432835820895519</c:v>
                </c:pt>
                <c:pt idx="15">
                  <c:v>22.821428571428573</c:v>
                </c:pt>
                <c:pt idx="16">
                  <c:v>21.677419354838712</c:v>
                </c:pt>
                <c:pt idx="17">
                  <c:v>19.119666503187837</c:v>
                </c:pt>
                <c:pt idx="18">
                  <c:v>15.534701003928415</c:v>
                </c:pt>
                <c:pt idx="19">
                  <c:v>15.308140561539819</c:v>
                </c:pt>
                <c:pt idx="20">
                  <c:v>13.886085075702956</c:v>
                </c:pt>
                <c:pt idx="21">
                  <c:v>13.282758620689656</c:v>
                </c:pt>
                <c:pt idx="22">
                  <c:v>12.577087141986594</c:v>
                </c:pt>
                <c:pt idx="23">
                  <c:v>12.514982434387271</c:v>
                </c:pt>
                <c:pt idx="24">
                  <c:v>7.8214285714285712</c:v>
                </c:pt>
                <c:pt idx="25">
                  <c:v>6.26509256774886</c:v>
                </c:pt>
              </c:numCache>
            </c:numRef>
          </c:val>
          <c:extLst>
            <c:ext xmlns:c="http://schemas.openxmlformats.org/drawingml/2006/chart" xmlns:c16="http://schemas.microsoft.com/office/drawing/2014/chart" uri="{C3380CC4-5D6E-409C-BE32-E72D297353CC}">
              <c16:uniqueId val="{00000009-9313-4379-82A5-EB293BF9A5F6}"/>
            </c:ext>
          </c:extLst>
        </c:ser>
        <c:dLbls>
          <c:showLegendKey val="0"/>
          <c:showVal val="0"/>
          <c:showCatName val="0"/>
          <c:showSerName val="0"/>
          <c:showPercent val="0"/>
          <c:showBubbleSize val="0"/>
        </c:dLbls>
        <c:gapWidth val="20"/>
        <c:axId val="656393896"/>
        <c:axId val="656399776"/>
      </c:barChart>
      <c:catAx>
        <c:axId val="656393896"/>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56399776"/>
        <c:crosses val="autoZero"/>
        <c:auto val="1"/>
        <c:lblAlgn val="ctr"/>
        <c:lblOffset val="100"/>
        <c:tickLblSkip val="1"/>
        <c:noMultiLvlLbl val="0"/>
      </c:catAx>
      <c:valAx>
        <c:axId val="656399776"/>
        <c:scaling>
          <c:orientation val="minMax"/>
        </c:scaling>
        <c:delete val="0"/>
        <c:axPos val="l"/>
        <c:numFmt formatCode="0" sourceLinked="0"/>
        <c:majorTickMark val="out"/>
        <c:minorTickMark val="none"/>
        <c:tickLblPos val="nextTo"/>
        <c:txPr>
          <a:bodyPr/>
          <a:lstStyle/>
          <a:p>
            <a:pPr>
              <a:defRPr sz="600"/>
            </a:pPr>
            <a:endParaRPr lang="lv-LV"/>
          </a:p>
        </c:txPr>
        <c:crossAx val="656393896"/>
        <c:crosses val="autoZero"/>
        <c:crossBetween val="between"/>
      </c:valAx>
    </c:plotArea>
    <c:plotVisOnly val="1"/>
    <c:dispBlanksAs val="gap"/>
    <c:showDLblsOverMax val="0"/>
  </c:chart>
  <c:spPr>
    <a:ln w="9525">
      <a:noFill/>
    </a:ln>
  </c:spPr>
  <c:externalData r:id="rId1">
    <c:autoUpdate val="0"/>
  </c:externalData>
</c:chartSpace>
</file>

<file path=word/charts/chart2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46717244654"/>
          <c:y val="0.044057617797775277"/>
          <c:w val="0.9310540474739486"/>
          <c:h val="0.79816144933102884"/>
        </c:manualLayout>
      </c:layout>
      <c:barChart>
        <c:barDir val="col"/>
        <c:grouping val="clustered"/>
        <c:varyColors val="0"/>
        <c:ser>
          <c:idx val="1"/>
          <c:order val="0"/>
          <c:tx>
            <c:strRef>
              <c:f>Sheet1!$B$3</c:f>
              <c:strCache>
                <c:ptCount val="1"/>
                <c:pt idx="0">
                  <c:v>Resource productivity</c:v>
                </c:pt>
              </c:strCache>
            </c:strRef>
          </c:tx>
          <c:spPr>
            <a:solidFill>
              <a:schemeClr val="accent3">
                <a:lumMod val="50000"/>
              </a:schemeClr>
            </a:solidFill>
            <a:ln w="19050"/>
          </c:spPr>
          <c:invertIfNegative val="0"/>
          <c:dPt>
            <c:idx val="11"/>
            <c:invertIfNegative val="0"/>
            <c:bubble3D val="0"/>
            <c:extLst>
              <c:ext xmlns:c="http://schemas.openxmlformats.org/drawingml/2006/chart" xmlns:c16="http://schemas.microsoft.com/office/drawing/2014/chart" uri="{C3380CC4-5D6E-409C-BE32-E72D297353CC}">
                <c16:uniqueId val="{00000000-5EA7-4DA4-B902-ED39673AC60C}"/>
              </c:ext>
            </c:extLst>
          </c:dPt>
          <c:dPt>
            <c:idx val="16"/>
            <c:invertIfNegative val="0"/>
            <c:bubble3D val="0"/>
            <c:extLst>
              <c:ext xmlns:c="http://schemas.openxmlformats.org/drawingml/2006/chart" xmlns:c16="http://schemas.microsoft.com/office/drawing/2014/chart" uri="{C3380CC4-5D6E-409C-BE32-E72D297353CC}">
                <c16:uniqueId val="{00000001-5EA7-4DA4-B902-ED39673AC60C}"/>
              </c:ext>
            </c:extLst>
          </c:dPt>
          <c:dPt>
            <c:idx val="17"/>
            <c:invertIfNegative val="0"/>
            <c:bubble3D val="0"/>
            <c:extLst>
              <c:ext xmlns:c="http://schemas.openxmlformats.org/drawingml/2006/chart" xmlns:c16="http://schemas.microsoft.com/office/drawing/2014/chart" uri="{C3380CC4-5D6E-409C-BE32-E72D297353CC}">
                <c16:uniqueId val="{00000002-5EA7-4DA4-B902-ED39673AC60C}"/>
              </c:ext>
            </c:extLst>
          </c:dPt>
          <c:dPt>
            <c:idx val="18"/>
            <c:invertIfNegative val="0"/>
            <c:bubble3D val="0"/>
            <c:spPr>
              <a:ln w="19050"/>
            </c:spPr>
            <c:extLst>
              <c:ext xmlns:c="http://schemas.openxmlformats.org/drawingml/2006/chart" xmlns:c16="http://schemas.microsoft.com/office/drawing/2014/chart" uri="{C3380CC4-5D6E-409C-BE32-E72D297353CC}">
                <c16:uniqueId val="{00000004-5EA7-4DA4-B902-ED39673AC60C}"/>
              </c:ext>
            </c:extLst>
          </c:dPt>
          <c:dPt>
            <c:idx val="19"/>
            <c:invertIfNegative val="0"/>
            <c:bubble3D val="0"/>
            <c:extLst>
              <c:ext xmlns:c="http://schemas.openxmlformats.org/drawingml/2006/chart" xmlns:c16="http://schemas.microsoft.com/office/drawing/2014/chart" uri="{C3380CC4-5D6E-409C-BE32-E72D297353CC}">
                <c16:uniqueId val="{00000005-5EA7-4DA4-B902-ED39673AC60C}"/>
              </c:ext>
            </c:extLst>
          </c:dPt>
          <c:dPt>
            <c:idx val="23"/>
            <c:invertIfNegative val="0"/>
            <c:bubble3D val="0"/>
            <c:extLst>
              <c:ext xmlns:c="http://schemas.openxmlformats.org/drawingml/2006/chart" xmlns:c16="http://schemas.microsoft.com/office/drawing/2014/chart" uri="{C3380CC4-5D6E-409C-BE32-E72D297353CC}">
                <c16:uniqueId val="{00000006-5EA7-4DA4-B902-ED39673AC60C}"/>
              </c:ext>
            </c:extLst>
          </c:dPt>
          <c:dPt>
            <c:idx val="24"/>
            <c:invertIfNegative val="0"/>
            <c:bubble3D val="0"/>
            <c:extLst>
              <c:ext xmlns:c="http://schemas.openxmlformats.org/drawingml/2006/chart" xmlns:c16="http://schemas.microsoft.com/office/drawing/2014/chart" uri="{C3380CC4-5D6E-409C-BE32-E72D297353CC}">
                <c16:uniqueId val="{00000007-5EA7-4DA4-B902-ED39673AC60C}"/>
              </c:ext>
            </c:extLst>
          </c:dPt>
          <c:dPt>
            <c:idx val="25"/>
            <c:invertIfNegative val="0"/>
            <c:bubble3D val="0"/>
            <c:extLst>
              <c:ext xmlns:c="http://schemas.openxmlformats.org/drawingml/2006/chart" xmlns:c16="http://schemas.microsoft.com/office/drawing/2014/chart" uri="{C3380CC4-5D6E-409C-BE32-E72D297353CC}">
                <c16:uniqueId val="{00000008-5EA7-4DA4-B902-ED39673AC60C}"/>
              </c:ext>
            </c:extLst>
          </c:dPt>
          <c:dPt>
            <c:idx val="26"/>
            <c:invertIfNegative val="0"/>
            <c:bubble3D val="0"/>
            <c:extLst>
              <c:ext xmlns:c="http://schemas.openxmlformats.org/drawingml/2006/chart" xmlns:c16="http://schemas.microsoft.com/office/drawing/2014/chart" uri="{C3380CC4-5D6E-409C-BE32-E72D297353CC}">
                <c16:uniqueId val="{00000009-5EA7-4DA4-B902-ED39673AC60C}"/>
              </c:ext>
            </c:extLst>
          </c:dPt>
          <c:dLbls>
            <c:dLbl>
              <c:idx val="18"/>
              <c:numFmt formatCode="#,##0" sourceLinked="0"/>
              <c:spPr>
                <a:noFill/>
                <a:ln>
                  <a:noFill/>
                </a:ln>
                <a:effectLst/>
              </c:spPr>
              <c:txPr>
                <a:bodyPr/>
                <a:lstStyle/>
                <a:p>
                  <a:pPr>
                    <a:defRPr sz="600" b="1"/>
                  </a:pPr>
                  <a:endParaRPr lang="lv-LV"/>
                </a:p>
              </c:txPr>
              <c:showLegendKey val="0"/>
              <c:showVal val="1"/>
              <c:showCatName val="0"/>
              <c:showSerName val="0"/>
              <c:showPercent val="0"/>
              <c:showBubbleSize val="0"/>
            </c:dLbl>
            <c:dLbl>
              <c:idx val="19"/>
              <c:layout>
                <c:manualLayout>
                  <c:x val="0"/>
                  <c:y val="2.9874314491126726E-05"/>
                </c:manualLayout>
              </c:layout>
              <c:numFmt formatCode="#,##0" sourceLinked="0"/>
              <c:spPr>
                <a:noFill/>
                <a:ln>
                  <a:noFill/>
                </a:ln>
                <a:effectLst/>
              </c:spPr>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5EA7-4DA4-B902-ED39673AC60C}"/>
                </c:ext>
                <c:ext xmlns:c15="http://schemas.microsoft.com/office/drawing/2012/chart" uri="{CE6537A1-D6FC-4f65-9D91-7224C49458BB}"/>
              </c:extLst>
            </c:dLbl>
            <c:dLbl>
              <c:idx val="23"/>
              <c:layout>
                <c:manualLayout>
                  <c:x val="-5.399154746444577E-06"/>
                  <c:y val="0.010809824819807841"/>
                </c:manualLayout>
              </c:layout>
              <c:numFmt formatCode="#,##0" sourceLinked="0"/>
              <c:spPr>
                <a:noFill/>
                <a:ln>
                  <a:noFill/>
                </a:ln>
                <a:effectLst/>
              </c:spPr>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5EA7-4DA4-B902-ED39673AC60C}"/>
                </c:ext>
                <c:ext xmlns:c15="http://schemas.microsoft.com/office/drawing/2012/chart" uri="{CE6537A1-D6FC-4f65-9D91-7224C49458BB}"/>
              </c:extLst>
            </c:dLbl>
            <c:dLbl>
              <c:idx val="24"/>
              <c:layout>
                <c:manualLayout>
                  <c:x val="0.0040334861929321253"/>
                  <c:y val="0.010825167577003594"/>
                </c:manualLayout>
              </c:layout>
              <c:numFmt formatCode="#,##0" sourceLinked="0"/>
              <c:spPr>
                <a:noFill/>
                <a:ln>
                  <a:noFill/>
                </a:ln>
                <a:effectLst/>
              </c:spPr>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5EA7-4DA4-B902-ED39673AC60C}"/>
                </c:ext>
                <c:ext xmlns:c15="http://schemas.microsoft.com/office/drawing/2012/chart" uri="{CE6537A1-D6FC-4f65-9D91-7224C49458BB}"/>
              </c:extLst>
            </c:dLbl>
            <c:dLbl>
              <c:idx val="25"/>
              <c:layout>
                <c:manualLayout>
                  <c:x val="0"/>
                  <c:y val="0.0045439455203234733"/>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5EA7-4DA4-B902-ED39673AC60C}"/>
                </c:ext>
                <c:ext xmlns:c15="http://schemas.microsoft.com/office/drawing/2012/chart" uri="{CE6537A1-D6FC-4f65-9D91-7224C49458BB}"/>
              </c:extLst>
            </c:dLbl>
            <c:dLbl>
              <c:idx val="26"/>
              <c:layout>
                <c:manualLayout>
                  <c:x val="0"/>
                  <c:y val="-0.032432432432432434"/>
                </c:manualLayout>
              </c:layout>
              <c:numFmt formatCode="#,##0" sourceLinked="0"/>
              <c:txPr>
                <a:bodyPr/>
                <a:lstStyle/>
                <a:p>
                  <a:pPr>
                    <a:defRPr sz="600" b="1"/>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5EA7-4DA4-B902-ED39673AC60C}"/>
                </c:ext>
                <c:ext xmlns:c15="http://schemas.microsoft.com/office/drawing/2012/chart" uri="{CE6537A1-D6FC-4f65-9D91-7224C49458BB}"/>
              </c:extLst>
            </c:dLbl>
            <c:numFmt formatCode="#,##0" sourceLinked="0"/>
            <c:spPr>
              <a:noFill/>
              <a:ln>
                <a:noFill/>
              </a:ln>
              <a:effectLst/>
            </c:spPr>
            <c:txPr>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Sheet1!$A$4:$A$27</c:f>
              <c:strCache>
                <c:ptCount val="24"/>
                <c:pt idx="0">
                  <c:v>IE</c:v>
                </c:pt>
                <c:pt idx="1">
                  <c:v>AT</c:v>
                </c:pt>
                <c:pt idx="2">
                  <c:v>NL</c:v>
                </c:pt>
                <c:pt idx="3">
                  <c:v>DK</c:v>
                </c:pt>
                <c:pt idx="4">
                  <c:v>FI</c:v>
                </c:pt>
                <c:pt idx="5">
                  <c:v>DE</c:v>
                </c:pt>
                <c:pt idx="6">
                  <c:v>BE</c:v>
                </c:pt>
                <c:pt idx="7">
                  <c:v>SE</c:v>
                </c:pt>
                <c:pt idx="8">
                  <c:v>EL</c:v>
                </c:pt>
                <c:pt idx="9">
                  <c:v>LU</c:v>
                </c:pt>
                <c:pt idx="10">
                  <c:v>EE</c:v>
                </c:pt>
                <c:pt idx="11">
                  <c:v>SP</c:v>
                </c:pt>
                <c:pt idx="12">
                  <c:v>IT</c:v>
                </c:pt>
                <c:pt idx="13">
                  <c:v>CY</c:v>
                </c:pt>
                <c:pt idx="14">
                  <c:v>PT</c:v>
                </c:pt>
                <c:pt idx="15">
                  <c:v>SI</c:v>
                </c:pt>
                <c:pt idx="16">
                  <c:v>PL</c:v>
                </c:pt>
                <c:pt idx="17">
                  <c:v>CZ</c:v>
                </c:pt>
                <c:pt idx="18">
                  <c:v>LV</c:v>
                </c:pt>
                <c:pt idx="19">
                  <c:v>SK</c:v>
                </c:pt>
                <c:pt idx="20">
                  <c:v>LT</c:v>
                </c:pt>
                <c:pt idx="21">
                  <c:v>HU</c:v>
                </c:pt>
                <c:pt idx="22">
                  <c:v>BG</c:v>
                </c:pt>
                <c:pt idx="23">
                  <c:v>RO</c:v>
                </c:pt>
              </c:strCache>
            </c:strRef>
          </c:cat>
          <c:val>
            <c:numRef>
              <c:f>Sheet1!$B$4:$B$27</c:f>
              <c:numCache>
                <c:formatCode>0.0</c:formatCode>
                <c:ptCount val="24"/>
                <c:pt idx="0">
                  <c:v>164.89361702127661</c:v>
                </c:pt>
                <c:pt idx="1">
                  <c:v>139.35657949356579</c:v>
                </c:pt>
                <c:pt idx="2">
                  <c:v>126.625</c:v>
                </c:pt>
                <c:pt idx="3">
                  <c:v>125.35833333333333</c:v>
                </c:pt>
                <c:pt idx="4">
                  <c:v>119.54198473282443</c:v>
                </c:pt>
                <c:pt idx="5">
                  <c:v>116.64752851711026</c:v>
                </c:pt>
                <c:pt idx="6">
                  <c:v>95.115987460815049</c:v>
                </c:pt>
                <c:pt idx="7">
                  <c:v>93.7655172413793</c:v>
                </c:pt>
                <c:pt idx="8">
                  <c:v>90.56781045751633</c:v>
                </c:pt>
                <c:pt idx="9">
                  <c:v>77.86516853932585</c:v>
                </c:pt>
                <c:pt idx="10">
                  <c:v>59.379310344827587</c:v>
                </c:pt>
                <c:pt idx="11">
                  <c:v>52.899869960988291</c:v>
                </c:pt>
                <c:pt idx="12">
                  <c:v>48.294002925402246</c:v>
                </c:pt>
                <c:pt idx="13">
                  <c:v>44.249084249084248</c:v>
                </c:pt>
                <c:pt idx="14">
                  <c:v>36.958950692251634</c:v>
                </c:pt>
                <c:pt idx="15">
                  <c:v>26.804670912951167</c:v>
                </c:pt>
                <c:pt idx="16">
                  <c:v>26.171746776084408</c:v>
                </c:pt>
                <c:pt idx="17">
                  <c:v>24.440683702826195</c:v>
                </c:pt>
                <c:pt idx="18">
                  <c:v>23.91766268260292</c:v>
                </c:pt>
                <c:pt idx="19">
                  <c:v>22.211744534933565</c:v>
                </c:pt>
                <c:pt idx="20">
                  <c:v>21.5379113018598</c:v>
                </c:pt>
                <c:pt idx="21">
                  <c:v>20.081833060556463</c:v>
                </c:pt>
                <c:pt idx="22">
                  <c:v>10.209271523178808</c:v>
                </c:pt>
                <c:pt idx="23">
                  <c:v>10.011398963730571</c:v>
                </c:pt>
              </c:numCache>
            </c:numRef>
          </c:val>
          <c:extLst>
            <c:ext xmlns:c="http://schemas.openxmlformats.org/drawingml/2006/chart" xmlns:c16="http://schemas.microsoft.com/office/drawing/2014/chart" uri="{C3380CC4-5D6E-409C-BE32-E72D297353CC}">
              <c16:uniqueId val="{0000000A-5EA7-4DA4-B902-ED39673AC60C}"/>
            </c:ext>
          </c:extLst>
        </c:ser>
        <c:dLbls>
          <c:showLegendKey val="0"/>
          <c:showVal val="0"/>
          <c:showCatName val="0"/>
          <c:showSerName val="0"/>
          <c:showPercent val="0"/>
          <c:showBubbleSize val="0"/>
        </c:dLbls>
        <c:gapWidth val="20"/>
        <c:axId val="656391936"/>
        <c:axId val="656393112"/>
      </c:barChart>
      <c:catAx>
        <c:axId val="656391936"/>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56393112"/>
        <c:crosses val="autoZero"/>
        <c:auto val="1"/>
        <c:lblAlgn val="ctr"/>
        <c:lblOffset val="100"/>
        <c:tickLblSkip val="1"/>
        <c:noMultiLvlLbl val="0"/>
      </c:catAx>
      <c:valAx>
        <c:axId val="656393112"/>
        <c:scaling>
          <c:orientation val="minMax"/>
        </c:scaling>
        <c:delete val="0"/>
        <c:axPos val="l"/>
        <c:numFmt formatCode="0" sourceLinked="0"/>
        <c:majorTickMark val="out"/>
        <c:minorTickMark val="none"/>
        <c:tickLblPos val="nextTo"/>
        <c:txPr>
          <a:bodyPr/>
          <a:lstStyle/>
          <a:p>
            <a:pPr>
              <a:defRPr sz="600"/>
            </a:pPr>
            <a:endParaRPr lang="lv-LV"/>
          </a:p>
        </c:txPr>
        <c:crossAx val="656391936"/>
        <c:crosses val="autoZero"/>
        <c:crossBetween val="between"/>
      </c:valAx>
    </c:plotArea>
    <c:plotVisOnly val="1"/>
    <c:dispBlanksAs val="gap"/>
    <c:showDLblsOverMax val="0"/>
  </c:chart>
  <c:spPr>
    <a:ln w="9525">
      <a:noFill/>
    </a:ln>
  </c:spPr>
  <c:externalData r:id="rId1">
    <c:autoUpdate val="0"/>
  </c:externalData>
</c:chartSpace>
</file>

<file path=word/charts/chart27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3810969644218638"/>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CCE4-46D2-ABD8-80B9B020A9C0}"/>
              </c:ext>
            </c:extLst>
          </c:dPt>
          <c:dPt>
            <c:idx val="5"/>
            <c:bubble3D val="0"/>
            <c:extLst>
              <c:ext xmlns:c="http://schemas.openxmlformats.org/drawingml/2006/chart" xmlns:c16="http://schemas.microsoft.com/office/drawing/2014/chart" uri="{C3380CC4-5D6E-409C-BE32-E72D297353CC}">
                <c16:uniqueId val="{00000001-CCE4-46D2-ABD8-80B9B020A9C0}"/>
              </c:ext>
            </c:extLst>
          </c:dPt>
          <c:dPt>
            <c:idx val="11"/>
            <c:bubble3D val="0"/>
            <c:extLst>
              <c:ext xmlns:c="http://schemas.openxmlformats.org/drawingml/2006/chart" xmlns:c16="http://schemas.microsoft.com/office/drawing/2014/chart" uri="{C3380CC4-5D6E-409C-BE32-E72D297353CC}">
                <c16:uniqueId val="{00000002-CCE4-46D2-ABD8-80B9B020A9C0}"/>
              </c:ext>
            </c:extLst>
          </c:dPt>
          <c:dPt>
            <c:idx val="12"/>
            <c:bubble3D val="0"/>
            <c:extLst>
              <c:ext xmlns:c="http://schemas.openxmlformats.org/drawingml/2006/chart" xmlns:c16="http://schemas.microsoft.com/office/drawing/2014/chart" uri="{C3380CC4-5D6E-409C-BE32-E72D297353CC}">
                <c16:uniqueId val="{00000003-CCE4-46D2-ABD8-80B9B020A9C0}"/>
              </c:ext>
            </c:extLst>
          </c:dPt>
          <c:dPt>
            <c:idx val="13"/>
            <c:bubble3D val="0"/>
            <c:extLst>
              <c:ext xmlns:c="http://schemas.openxmlformats.org/drawingml/2006/chart" xmlns:c16="http://schemas.microsoft.com/office/drawing/2014/chart" uri="{C3380CC4-5D6E-409C-BE32-E72D297353CC}">
                <c16:uniqueId val="{00000004-CCE4-46D2-ABD8-80B9B020A9C0}"/>
              </c:ext>
            </c:extLst>
          </c:dPt>
          <c:dPt>
            <c:idx val="14"/>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5-CCE4-46D2-ABD8-80B9B020A9C0}"/>
              </c:ext>
            </c:extLst>
          </c:dPt>
          <c:dLbls>
            <c:dLbl>
              <c:idx val="0"/>
              <c:layout>
                <c:manualLayout>
                  <c:x val="-0.074704846596857444"/>
                  <c:y val="0.066692344223858446"/>
                </c:manualLayout>
              </c:layout>
              <c:tx>
                <c:rich>
                  <a:bodyPr vertOverflow="clip"/>
                  <a:lstStyle/>
                  <a:p>
                    <a:r>
                      <a:rPr lang="en-US"/>
                      <a:t>ES-28</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CCE4-46D2-ABD8-80B9B020A9C0}"/>
                </c:ext>
                <c:ext xmlns:c15="http://schemas.microsoft.com/office/drawing/2012/chart" uri="{CE6537A1-D6FC-4f65-9D91-7224C49458BB}"/>
              </c:extLst>
            </c:dLbl>
            <c:dLbl>
              <c:idx val="1"/>
              <c:layout>
                <c:manualLayout>
                  <c:x val="-0.045680214267633475"/>
                  <c:y val="-0.066743948634913744"/>
                </c:manualLayout>
              </c:layout>
              <c:tx>
                <c:rich>
                  <a:bodyPr vertOverflow="clip"/>
                  <a:lstStyle/>
                  <a:p>
                    <a:r>
                      <a:rPr lang="en-US"/>
                      <a:t>BE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CCE4-46D2-ABD8-80B9B020A9C0}"/>
                </c:ext>
                <c:ext xmlns:c15="http://schemas.microsoft.com/office/drawing/2012/chart" uri="{CE6537A1-D6FC-4f65-9D91-7224C49458BB}"/>
              </c:extLst>
            </c:dLbl>
            <c:dLbl>
              <c:idx val="2"/>
              <c:layout>
                <c:manualLayout>
                  <c:x val="-0.066541116155180963"/>
                  <c:y val="-0.056989219165429532"/>
                </c:manualLayout>
              </c:layout>
              <c:tx>
                <c:rich>
                  <a:bodyPr vertOverflow="clip"/>
                  <a:lstStyle/>
                  <a:p>
                    <a:r>
                      <a:rPr lang="en-US"/>
                      <a:t>BG</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CCE4-46D2-ABD8-80B9B020A9C0}"/>
                </c:ext>
                <c:ext xmlns:c15="http://schemas.microsoft.com/office/drawing/2012/chart" uri="{CE6537A1-D6FC-4f65-9D91-7224C49458BB}"/>
              </c:extLst>
            </c:dLbl>
            <c:dLbl>
              <c:idx val="3"/>
              <c:layout>
                <c:manualLayout>
                  <c:x val="-0.0374087474715522"/>
                  <c:y val="-0.066436565838627726"/>
                </c:manualLayout>
              </c:layout>
              <c:tx>
                <c:rich>
                  <a:bodyPr vertOverflow="clip"/>
                  <a:lstStyle/>
                  <a:p>
                    <a:r>
                      <a:rPr lang="en-US"/>
                      <a:t>CZ</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CCE4-46D2-ABD8-80B9B020A9C0}"/>
                </c:ext>
                <c:ext xmlns:c15="http://schemas.microsoft.com/office/drawing/2012/chart" uri="{CE6537A1-D6FC-4f65-9D91-7224C49458BB}"/>
              </c:extLst>
            </c:dLbl>
            <c:dLbl>
              <c:idx val="4"/>
              <c:layout>
                <c:manualLayout>
                  <c:x val="-0.03741922638748215"/>
                  <c:y val="-0.075960197293386031"/>
                </c:manualLayout>
              </c:layout>
              <c:tx>
                <c:rich>
                  <a:bodyPr vertOverflow="clip"/>
                  <a:lstStyle/>
                  <a:p>
                    <a:r>
                      <a:rPr lang="en-US"/>
                      <a:t>DK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CCE4-46D2-ABD8-80B9B020A9C0}"/>
                </c:ext>
                <c:ext xmlns:c15="http://schemas.microsoft.com/office/drawing/2012/chart" uri="{CE6537A1-D6FC-4f65-9D91-7224C49458BB}"/>
              </c:extLst>
            </c:dLbl>
            <c:dLbl>
              <c:idx val="5"/>
              <c:layout>
                <c:manualLayout>
                  <c:x val="-0.029060653602733164"/>
                  <c:y val="-0.028290435608539409"/>
                </c:manualLayout>
              </c:layout>
              <c:tx>
                <c:rich>
                  <a:bodyPr vertOverflow="clip"/>
                  <a:lstStyle/>
                  <a:p>
                    <a:r>
                      <a:rPr lang="en-US"/>
                      <a:t>DE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CCE4-46D2-ABD8-80B9B020A9C0}"/>
                </c:ext>
                <c:ext xmlns:c15="http://schemas.microsoft.com/office/drawing/2012/chart" uri="{CE6537A1-D6FC-4f65-9D91-7224C49458BB}"/>
              </c:extLst>
            </c:dLbl>
            <c:dLbl>
              <c:idx val="6"/>
              <c:layout>
                <c:manualLayout>
                  <c:x val="-0.024911985292841492"/>
                  <c:y val="0.047336950628040643"/>
                </c:manualLayout>
              </c:layout>
              <c:tx>
                <c:rich>
                  <a:bodyPr vertOverflow="clip"/>
                  <a:lstStyle/>
                  <a:p>
                    <a:r>
                      <a:rPr lang="en-US"/>
                      <a:t>EE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CCE4-46D2-ABD8-80B9B020A9C0}"/>
                </c:ext>
                <c:ext xmlns:c15="http://schemas.microsoft.com/office/drawing/2012/chart" uri="{CE6537A1-D6FC-4f65-9D91-7224C49458BB}"/>
              </c:extLst>
            </c:dLbl>
            <c:dLbl>
              <c:idx val="7"/>
              <c:layout>
                <c:manualLayout>
                  <c:x val="-0.037429377837289286"/>
                  <c:y val="0.066486674469652493"/>
                </c:manualLayout>
              </c:layout>
              <c:tx>
                <c:rich>
                  <a:bodyPr vertOverflow="clip"/>
                  <a:lstStyle/>
                  <a:p>
                    <a:r>
                      <a:rPr lang="en-US"/>
                      <a:t>IE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CCE4-46D2-ABD8-80B9B020A9C0}"/>
                </c:ext>
                <c:ext xmlns:c15="http://schemas.microsoft.com/office/drawing/2012/chart" uri="{CE6537A1-D6FC-4f65-9D91-7224C49458BB}"/>
              </c:extLst>
            </c:dLbl>
            <c:dLbl>
              <c:idx val="8"/>
              <c:layout>
                <c:manualLayout>
                  <c:x val="-0.049849512943262238"/>
                  <c:y val="-0.076191295308111986"/>
                </c:manualLayout>
              </c:layout>
              <c:tx>
                <c:rich>
                  <a:bodyPr vertOverflow="clip"/>
                  <a:lstStyle/>
                  <a:p>
                    <a:r>
                      <a:rPr lang="en-US"/>
                      <a:t>EL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CCE4-46D2-ABD8-80B9B020A9C0}"/>
                </c:ext>
                <c:ext xmlns:c15="http://schemas.microsoft.com/office/drawing/2012/chart" uri="{CE6537A1-D6FC-4f65-9D91-7224C49458BB}"/>
              </c:extLst>
            </c:dLbl>
            <c:dLbl>
              <c:idx val="9"/>
              <c:layout>
                <c:manualLayout>
                  <c:x val="-0.074838125308841486"/>
                  <c:y val="-0.037993560666968317"/>
                </c:manualLayout>
              </c:layout>
              <c:tx>
                <c:rich>
                  <a:bodyPr vertOverflow="clip"/>
                  <a:lstStyle/>
                  <a:p>
                    <a:r>
                      <a:rPr lang="en-US"/>
                      <a:t>SP</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CCE4-46D2-ABD8-80B9B020A9C0}"/>
                </c:ext>
                <c:ext xmlns:c15="http://schemas.microsoft.com/office/drawing/2012/chart" uri="{CE6537A1-D6FC-4f65-9D91-7224C49458BB}"/>
              </c:extLst>
            </c:dLbl>
            <c:dLbl>
              <c:idx val="10"/>
              <c:layout>
                <c:manualLayout>
                  <c:x val="-0.05401881161889107"/>
                  <c:y val="-0.0762159756786167"/>
                </c:manualLayout>
              </c:layout>
              <c:tx>
                <c:rich>
                  <a:bodyPr vertOverflow="clip"/>
                  <a:lstStyle/>
                  <a:p>
                    <a:r>
                      <a:rPr lang="en-US"/>
                      <a:t>FR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E-CCE4-46D2-ABD8-80B9B020A9C0}"/>
                </c:ext>
                <c:ext xmlns:c15="http://schemas.microsoft.com/office/drawing/2012/chart" uri="{CE6537A1-D6FC-4f65-9D91-7224C49458BB}"/>
              </c:extLst>
            </c:dLbl>
            <c:dLbl>
              <c:idx val="11"/>
              <c:layout>
                <c:manualLayout>
                  <c:x val="-0.049849840409385046"/>
                  <c:y val="-0.076165119157576691"/>
                </c:manualLayout>
              </c:layout>
              <c:tx>
                <c:rich>
                  <a:bodyPr vertOverflow="clip"/>
                  <a:lstStyle/>
                  <a:p>
                    <a:r>
                      <a:rPr lang="en-US"/>
                      <a:t>HR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CCE4-46D2-ABD8-80B9B020A9C0}"/>
                </c:ext>
                <c:ext xmlns:c15="http://schemas.microsoft.com/office/drawing/2012/chart" uri="{CE6537A1-D6FC-4f65-9D91-7224C49458BB}"/>
              </c:extLst>
            </c:dLbl>
            <c:dLbl>
              <c:idx val="12"/>
              <c:layout>
                <c:manualLayout>
                  <c:x val="-0.05400833270296105"/>
                  <c:y val="-0.057194141029620192"/>
                </c:manualLayout>
              </c:layout>
              <c:tx>
                <c:rich>
                  <a:bodyPr vertOverflow="clip"/>
                  <a:lstStyle/>
                  <a:p>
                    <a:r>
                      <a:rPr lang="en-US"/>
                      <a:t>IT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CCE4-46D2-ABD8-80B9B020A9C0}"/>
                </c:ext>
                <c:ext xmlns:c15="http://schemas.microsoft.com/office/drawing/2012/chart" uri="{CE6537A1-D6FC-4f65-9D91-7224C49458BB}"/>
              </c:extLst>
            </c:dLbl>
            <c:dLbl>
              <c:idx val="13"/>
              <c:layout>
                <c:manualLayout>
                  <c:x val="-0.054064656876084527"/>
                  <c:y val="-0.066487422359667786"/>
                </c:manualLayout>
              </c:layout>
              <c:tx>
                <c:rich>
                  <a:bodyPr vertOverflow="clip"/>
                  <a:lstStyle/>
                  <a:p>
                    <a:r>
                      <a:rPr lang="en-US"/>
                      <a:t>CY</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CCE4-46D2-ABD8-80B9B020A9C0}"/>
                </c:ext>
                <c:ext xmlns:c15="http://schemas.microsoft.com/office/drawing/2012/chart" uri="{CE6537A1-D6FC-4f65-9D91-7224C49458BB}"/>
              </c:extLst>
            </c:dLbl>
            <c:dLbl>
              <c:idx val="14"/>
              <c:layout>
                <c:manualLayout>
                  <c:x val="-0.095545118118667824"/>
                  <c:y val="0.066512850620187788"/>
                </c:manualLayout>
              </c:layout>
              <c:tx>
                <c:rich>
                  <a:bodyPr vertOverflow="clip"/>
                  <a:lstStyle/>
                  <a:p>
                    <a:r>
                      <a:rPr lang="en-US"/>
                      <a:t>LV</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CCE4-46D2-ABD8-80B9B020A9C0}"/>
                </c:ext>
                <c:ext xmlns:c15="http://schemas.microsoft.com/office/drawing/2012/chart" uri="{CE6537A1-D6FC-4f65-9D91-7224C49458BB}"/>
              </c:extLst>
            </c:dLbl>
            <c:dLbl>
              <c:idx val="15"/>
              <c:layout>
                <c:manualLayout>
                  <c:x val="-0.058197934278204085"/>
                  <c:y val="0.057142536618564874"/>
                </c:manualLayout>
              </c:layout>
              <c:tx>
                <c:rich>
                  <a:bodyPr vertOverflow="clip"/>
                  <a:lstStyle/>
                  <a:p>
                    <a:r>
                      <a:rPr lang="en-US"/>
                      <a:t>LT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F-CCE4-46D2-ABD8-80B9B020A9C0}"/>
                </c:ext>
                <c:ext xmlns:c15="http://schemas.microsoft.com/office/drawing/2012/chart" uri="{CE6537A1-D6FC-4f65-9D91-7224C49458BB}"/>
              </c:extLst>
            </c:dLbl>
            <c:dLbl>
              <c:idx val="16"/>
              <c:layout>
                <c:manualLayout>
                  <c:x val="-0.033270558077590405"/>
                  <c:y val="-0.066487422359667786"/>
                </c:manualLayout>
              </c:layout>
              <c:tx>
                <c:rich>
                  <a:bodyPr vertOverflow="clip"/>
                  <a:lstStyle/>
                  <a:p>
                    <a:r>
                      <a:rPr lang="en-US"/>
                      <a:t>LU</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0-CCE4-46D2-ABD8-80B9B020A9C0}"/>
                </c:ext>
                <c:ext xmlns:c15="http://schemas.microsoft.com/office/drawing/2012/chart" uri="{CE6537A1-D6FC-4f65-9D91-7224C49458BB}"/>
              </c:extLst>
            </c:dLbl>
            <c:dLbl>
              <c:idx val="17"/>
              <c:layout>
                <c:manualLayout>
                  <c:x val="-0.029014153413294011"/>
                  <c:y val="-0.03781331917328238"/>
                </c:manualLayout>
              </c:layout>
              <c:tx>
                <c:rich>
                  <a:bodyPr vertOverflow="clip"/>
                  <a:lstStyle/>
                  <a:p>
                    <a:r>
                      <a:rPr lang="en-US"/>
                      <a:t>HU</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1-CCE4-46D2-ABD8-80B9B020A9C0}"/>
                </c:ext>
                <c:ext xmlns:c15="http://schemas.microsoft.com/office/drawing/2012/chart" uri="{CE6537A1-D6FC-4f65-9D91-7224C49458BB}"/>
              </c:extLst>
            </c:dLbl>
            <c:dLbl>
              <c:idx val="18"/>
              <c:layout>
                <c:manualLayout>
                  <c:x val="-0.049844236760124609"/>
                  <c:y val="-0.066666666666666666"/>
                </c:manualLayout>
              </c:layout>
              <c:tx>
                <c:rich>
                  <a:bodyPr vertOverflow="clip"/>
                  <a:lstStyle/>
                  <a:p>
                    <a:r>
                      <a:rPr lang="en-US"/>
                      <a:t>NL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2-CCE4-46D2-ABD8-80B9B020A9C0}"/>
                </c:ext>
                <c:ext xmlns:c15="http://schemas.microsoft.com/office/drawing/2012/chart" uri="{CE6537A1-D6FC-4f65-9D91-7224C49458BB}"/>
              </c:extLst>
            </c:dLbl>
            <c:dLbl>
              <c:idx val="19"/>
              <c:layout>
                <c:manualLayout>
                  <c:x val="-0.049798100761980921"/>
                  <c:y val="-0.066360281057067746"/>
                </c:manualLayout>
              </c:layout>
              <c:tx>
                <c:rich>
                  <a:bodyPr vertOverflow="clip"/>
                  <a:lstStyle/>
                  <a:p>
                    <a:r>
                      <a:rPr lang="en-US"/>
                      <a:t>AT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3-CCE4-46D2-ABD8-80B9B020A9C0}"/>
                </c:ext>
                <c:ext xmlns:c15="http://schemas.microsoft.com/office/drawing/2012/chart" uri="{CE6537A1-D6FC-4f65-9D91-7224C49458BB}"/>
              </c:extLst>
            </c:dLbl>
            <c:dLbl>
              <c:idx val="20"/>
              <c:layout>
                <c:manualLayout>
                  <c:x val="-0.029056069077013809"/>
                  <c:y val="0.056784297301238879"/>
                </c:manualLayout>
              </c:layout>
              <c:tx>
                <c:rich>
                  <a:bodyPr vertOverflow="clip"/>
                  <a:lstStyle/>
                  <a:p>
                    <a:r>
                      <a:rPr lang="en-US"/>
                      <a:t>PL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4-CCE4-46D2-ABD8-80B9B020A9C0}"/>
                </c:ext>
                <c:ext xmlns:c15="http://schemas.microsoft.com/office/drawing/2012/chart" uri="{CE6537A1-D6FC-4f65-9D91-7224C49458BB}"/>
              </c:extLst>
            </c:dLbl>
            <c:dLbl>
              <c:idx val="21"/>
              <c:layout>
                <c:manualLayout>
                  <c:x val="-0.054003093244996074"/>
                  <c:y val="-0.066640739812803135"/>
                </c:manualLayout>
              </c:layout>
              <c:tx>
                <c:rich>
                  <a:bodyPr vertOverflow="clip"/>
                  <a:lstStyle/>
                  <a:p>
                    <a:r>
                      <a:rPr lang="en-US"/>
                      <a:t>PT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5-CCE4-46D2-ABD8-80B9B020A9C0}"/>
                </c:ext>
                <c:ext xmlns:c15="http://schemas.microsoft.com/office/drawing/2012/chart" uri="{CE6537A1-D6FC-4f65-9D91-7224C49458BB}"/>
              </c:extLst>
            </c:dLbl>
            <c:dLbl>
              <c:idx val="22"/>
              <c:layout>
                <c:manualLayout>
                  <c:x val="-0.0873198240459029"/>
                  <c:y val="0.047465587710671268"/>
                </c:manualLayout>
              </c:layout>
              <c:tx>
                <c:rich>
                  <a:bodyPr vertOverflow="clip"/>
                  <a:lstStyle/>
                  <a:p>
                    <a:r>
                      <a:rPr lang="en-US"/>
                      <a:t>RO</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6-CCE4-46D2-ABD8-80B9B020A9C0}"/>
                </c:ext>
                <c:ext xmlns:c15="http://schemas.microsoft.com/office/drawing/2012/chart" uri="{CE6537A1-D6FC-4f65-9D91-7224C49458BB}"/>
              </c:extLst>
            </c:dLbl>
            <c:dLbl>
              <c:idx val="23"/>
              <c:layout>
                <c:manualLayout>
                  <c:x val="-0.049844236760124609"/>
                  <c:y val="-0.0666666666666667"/>
                </c:manualLayout>
              </c:layout>
              <c:tx>
                <c:rich>
                  <a:bodyPr/>
                  <a:lstStyle/>
                  <a:p>
                    <a:r>
                      <a:rPr lang="en-US"/>
                      <a:t>SI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7-CCE4-46D2-ABD8-80B9B020A9C0}"/>
                </c:ext>
                <c:ext xmlns:c15="http://schemas.microsoft.com/office/drawing/2012/chart" uri="{CE6537A1-D6FC-4f65-9D91-7224C49458BB}"/>
              </c:extLst>
            </c:dLbl>
            <c:dLbl>
              <c:idx val="24"/>
              <c:layout>
                <c:manualLayout>
                  <c:x val="-0.0956374635653005"/>
                  <c:y val="0.00962609238685359"/>
                </c:manualLayout>
              </c:layout>
              <c:tx>
                <c:rich>
                  <a:bodyPr vertOverflow="clip"/>
                  <a:lstStyle/>
                  <a:p>
                    <a:r>
                      <a:rPr lang="en-US"/>
                      <a:t>SK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8-CCE4-46D2-ABD8-80B9B020A9C0}"/>
                </c:ext>
                <c:ext xmlns:c15="http://schemas.microsoft.com/office/drawing/2012/chart" uri="{CE6537A1-D6FC-4f65-9D91-7224C49458BB}"/>
              </c:extLst>
            </c:dLbl>
            <c:dLbl>
              <c:idx val="25"/>
              <c:layout>
                <c:manualLayout>
                  <c:x val="-0.079007423984470249"/>
                  <c:y val="-0.018893945456381185"/>
                </c:manualLayout>
              </c:layout>
              <c:tx>
                <c:rich>
                  <a:bodyPr vertOverflow="clip"/>
                  <a:lstStyle/>
                  <a:p>
                    <a:r>
                      <a:rPr lang="en-US"/>
                      <a:t>FI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9-CCE4-46D2-ABD8-80B9B020A9C0}"/>
                </c:ext>
                <c:ext xmlns:c15="http://schemas.microsoft.com/office/drawing/2012/chart" uri="{CE6537A1-D6FC-4f65-9D91-7224C49458BB}"/>
              </c:extLst>
            </c:dLbl>
            <c:dLbl>
              <c:idx val="26"/>
              <c:layout>
                <c:manualLayout>
                  <c:x val="-0.041526633965899645"/>
                  <c:y val="-0.056784297301238879"/>
                </c:manualLayout>
              </c:layout>
              <c:tx>
                <c:rich>
                  <a:bodyPr vertOverflow="clip"/>
                  <a:lstStyle/>
                  <a:p>
                    <a:r>
                      <a:rPr lang="en-US"/>
                      <a:t>SE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A-CCE4-46D2-ABD8-80B9B020A9C0}"/>
                </c:ext>
                <c:ext xmlns:c15="http://schemas.microsoft.com/office/drawing/2012/chart" uri="{CE6537A1-D6FC-4f65-9D91-7224C49458BB}"/>
              </c:extLst>
            </c:dLbl>
            <c:dLbl>
              <c:idx val="27"/>
              <c:layout>
                <c:manualLayout>
                  <c:x val="-0.033229624812239109"/>
                  <c:y val="-0.057194141029620185"/>
                </c:manualLayout>
              </c:layout>
              <c:tx>
                <c:rich>
                  <a:bodyPr vertOverflow="clip"/>
                  <a:lstStyle/>
                  <a:p>
                    <a:r>
                      <a:rPr lang="en-US"/>
                      <a:t>UK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B-CCE4-46D2-ABD8-80B9B020A9C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Sheet1!$B$3:$B$30</c:f>
              <c:numCache>
                <c:formatCode>0</c:formatCode>
                <c:ptCount val="28"/>
                <c:pt idx="0">
                  <c:v>68.920561780022084</c:v>
                </c:pt>
                <c:pt idx="1">
                  <c:v>99.133116883116884</c:v>
                </c:pt>
                <c:pt idx="2">
                  <c:v>8.7386644682605112</c:v>
                </c:pt>
                <c:pt idx="3">
                  <c:v>27.977391304347826</c:v>
                </c:pt>
                <c:pt idx="4">
                  <c:v>153.94545454545457</c:v>
                </c:pt>
                <c:pt idx="5">
                  <c:v>96.882591093117412</c:v>
                </c:pt>
                <c:pt idx="6">
                  <c:v>63.590909090909086</c:v>
                </c:pt>
                <c:pt idx="7">
                  <c:v>95.647155812036274</c:v>
                </c:pt>
                <c:pt idx="8">
                  <c:v>72.7819304517387</c:v>
                </c:pt>
                <c:pt idx="9">
                  <c:v>65.958477508650518</c:v>
                </c:pt>
                <c:pt idx="10">
                  <c:v>86.6103896103896</c:v>
                </c:pt>
                <c:pt idx="11">
                  <c:v>18.774847870182558</c:v>
                </c:pt>
                <c:pt idx="12">
                  <c:v>64.552045572242363</c:v>
                </c:pt>
                <c:pt idx="13">
                  <c:v>55.877551020408163</c:v>
                </c:pt>
                <c:pt idx="14">
                  <c:v>24.228486646884274</c:v>
                </c:pt>
                <c:pt idx="15">
                  <c:v>21.306873184898354</c:v>
                </c:pt>
                <c:pt idx="16">
                  <c:v>86.153846153846146</c:v>
                </c:pt>
                <c:pt idx="17">
                  <c:v>21.010867336477343</c:v>
                </c:pt>
                <c:pt idx="18">
                  <c:v>110.65625</c:v>
                </c:pt>
                <c:pt idx="19">
                  <c:v>124.93636363636364</c:v>
                </c:pt>
                <c:pt idx="20">
                  <c:v>26.521768251841927</c:v>
                </c:pt>
                <c:pt idx="21">
                  <c:v>43.160543532964269</c:v>
                </c:pt>
                <c:pt idx="22">
                  <c:v>15.990027198549411</c:v>
                </c:pt>
                <c:pt idx="23">
                  <c:v>32.674418604651166</c:v>
                </c:pt>
                <c:pt idx="24">
                  <c:v>25.905096660808436</c:v>
                </c:pt>
                <c:pt idx="25">
                  <c:v>124.22764227642276</c:v>
                </c:pt>
                <c:pt idx="26">
                  <c:v>83.052173913043475</c:v>
                </c:pt>
                <c:pt idx="27">
                  <c:v>134.72654635624741</c:v>
                </c:pt>
              </c:numCache>
            </c:numRef>
          </c:xVal>
          <c:yVal>
            <c:numRef>
              <c:f>Sheet1!$C$3:$C$30</c:f>
              <c:numCache>
                <c:formatCode>0.0</c:formatCode>
                <c:ptCount val="28"/>
                <c:pt idx="0">
                  <c:v>0.47775462660411816</c:v>
                </c:pt>
                <c:pt idx="1">
                  <c:v>0.5676421050483943</c:v>
                </c:pt>
                <c:pt idx="2">
                  <c:v>0.59515806918761782</c:v>
                </c:pt>
                <c:pt idx="3">
                  <c:v>0.51071989661083317</c:v>
                </c:pt>
                <c:pt idx="4">
                  <c:v>0.34728947679225225</c:v>
                </c:pt>
                <c:pt idx="5">
                  <c:v>0.41025830872548386</c:v>
                </c:pt>
                <c:pt idx="6">
                  <c:v>0.35310936383130809</c:v>
                </c:pt>
                <c:pt idx="7">
                  <c:v>0.53876116873349567</c:v>
                </c:pt>
                <c:pt idx="8">
                  <c:v>0.538415364066649</c:v>
                </c:pt>
                <c:pt idx="9">
                  <c:v>0.526931304434984</c:v>
                </c:pt>
                <c:pt idx="10">
                  <c:v>0.51433398310591294</c:v>
                </c:pt>
                <c:pt idx="11">
                  <c:v>0.62287765195827594</c:v>
                </c:pt>
                <c:pt idx="12">
                  <c:v>0.62496854211485808</c:v>
                </c:pt>
                <c:pt idx="13">
                  <c:v>0.45411796932067205</c:v>
                </c:pt>
                <c:pt idx="14">
                  <c:v>0.45859699258352049</c:v>
                </c:pt>
                <c:pt idx="15" formatCode="0.00">
                  <c:v>0.58086109347175319</c:v>
                </c:pt>
                <c:pt idx="16">
                  <c:v>0.65026889134032007</c:v>
                </c:pt>
                <c:pt idx="17" formatCode="0.00">
                  <c:v>0.5924430569939223</c:v>
                </c:pt>
                <c:pt idx="18">
                  <c:v>0.48347924315165208</c:v>
                </c:pt>
                <c:pt idx="19">
                  <c:v>0.35346380420755952</c:v>
                </c:pt>
                <c:pt idx="20">
                  <c:v>0.43305423998383447</c:v>
                </c:pt>
                <c:pt idx="21">
                  <c:v>0.44892741628614907</c:v>
                </c:pt>
                <c:pt idx="22">
                  <c:v>0.36921718213177379</c:v>
                </c:pt>
                <c:pt idx="23">
                  <c:v>0.73471575873711092</c:v>
                </c:pt>
                <c:pt idx="24">
                  <c:v>0.49611803143782235</c:v>
                </c:pt>
                <c:pt idx="25">
                  <c:v>0.31725438866646138</c:v>
                </c:pt>
                <c:pt idx="26">
                  <c:v>0.43021673123233173</c:v>
                </c:pt>
                <c:pt idx="27">
                  <c:v>0.44404216385124196</c:v>
                </c:pt>
              </c:numCache>
            </c:numRef>
          </c:yVal>
          <c:smooth val="0"/>
          <c:extLst>
            <c:ext xmlns:c="http://schemas.openxmlformats.org/drawingml/2006/chart" xmlns:c16="http://schemas.microsoft.com/office/drawing/2014/chart" uri="{C3380CC4-5D6E-409C-BE32-E72D297353CC}">
              <c16:uniqueId val="{0000001C-CCE4-46D2-ABD8-80B9B020A9C0}"/>
            </c:ext>
          </c:extLst>
        </c:ser>
        <c:dLbls>
          <c:showLegendKey val="0"/>
          <c:showVal val="0"/>
          <c:showCatName val="0"/>
          <c:showSerName val="0"/>
          <c:showPercent val="0"/>
          <c:showBubbleSize val="0"/>
        </c:dLbls>
        <c:axId val="656387624"/>
        <c:axId val="656391544"/>
      </c:scatterChart>
      <c:valAx>
        <c:axId val="656387624"/>
        <c:scaling>
          <c:orientation val="minMax"/>
          <c:max val="160"/>
          <c:min val="0"/>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56391544"/>
        <c:crosses val="autoZero"/>
        <c:crossBetween val="midCat"/>
        <c:majorUnit val="20"/>
      </c:valAx>
      <c:valAx>
        <c:axId val="656391544"/>
        <c:scaling>
          <c:orientation val="minMax"/>
          <c:max val="0.70000000000000007"/>
          <c:min val="0.30000000000000004"/>
        </c:scaling>
        <c:delete val="0"/>
        <c:axPos val="l"/>
        <c:title>
          <c:tx>
            <c:rich>
              <a:bodyPr vertOverflow="clip"/>
              <a:lstStyle/>
              <a:p>
                <a:pPr>
                  <a:defRPr/>
                </a:pPr>
                <a:r>
                  <a:rPr lang="lv-LV"/>
                  <a:t>Darbaspēka izmaksas uz </a:t>
                </a:r>
                <a:br>
                  <a:rPr lang="lv-LV"/>
                </a:br>
                <a:r>
                  <a:rPr lang="lv-LV"/>
                  <a:t>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56387624"/>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27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159093193911356"/>
          <c:y val="0.05812748406449194"/>
          <c:w val="0.75915801238072844"/>
          <c:h val="0.737718213670442"/>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ECEE-4C8B-95F0-775ECD5A68D4}"/>
              </c:ext>
            </c:extLst>
          </c:dPt>
          <c:dPt>
            <c:idx val="5"/>
            <c:bubble3D val="0"/>
            <c:extLst>
              <c:ext xmlns:c="http://schemas.openxmlformats.org/drawingml/2006/chart" xmlns:c16="http://schemas.microsoft.com/office/drawing/2014/chart" uri="{C3380CC4-5D6E-409C-BE32-E72D297353CC}">
                <c16:uniqueId val="{00000001-ECEE-4C8B-95F0-775ECD5A68D4}"/>
              </c:ext>
            </c:extLst>
          </c:dPt>
          <c:dPt>
            <c:idx val="11"/>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2-ECEE-4C8B-95F0-775ECD5A68D4}"/>
              </c:ext>
            </c:extLst>
          </c:dPt>
          <c:dPt>
            <c:idx val="12"/>
            <c:bubble3D val="0"/>
            <c:extLst>
              <c:ext xmlns:c="http://schemas.openxmlformats.org/drawingml/2006/chart" xmlns:c16="http://schemas.microsoft.com/office/drawing/2014/chart" uri="{C3380CC4-5D6E-409C-BE32-E72D297353CC}">
                <c16:uniqueId val="{00000003-ECEE-4C8B-95F0-775ECD5A68D4}"/>
              </c:ext>
            </c:extLst>
          </c:dPt>
          <c:dPt>
            <c:idx val="13"/>
            <c:bubble3D val="0"/>
            <c:extLst>
              <c:ext xmlns:c="http://schemas.openxmlformats.org/drawingml/2006/chart" xmlns:c16="http://schemas.microsoft.com/office/drawing/2014/chart" uri="{C3380CC4-5D6E-409C-BE32-E72D297353CC}">
                <c16:uniqueId val="{00000004-ECEE-4C8B-95F0-775ECD5A68D4}"/>
              </c:ext>
            </c:extLst>
          </c:dPt>
          <c:dPt>
            <c:idx val="14"/>
            <c:bubble3D val="0"/>
            <c:extLst>
              <c:ext xmlns:c="http://schemas.openxmlformats.org/drawingml/2006/chart" xmlns:c16="http://schemas.microsoft.com/office/drawing/2014/chart" uri="{C3380CC4-5D6E-409C-BE32-E72D297353CC}">
                <c16:uniqueId val="{00000005-ECEE-4C8B-95F0-775ECD5A68D4}"/>
              </c:ext>
            </c:extLst>
          </c:dPt>
          <c:dLbls>
            <c:dLbl>
              <c:idx val="0"/>
              <c:tx>
                <c:rich>
                  <a:bodyPr vertOverflow="clip"/>
                  <a:lstStyle/>
                  <a:p>
                    <a:fld id="{7f085a0d-0bf0-4f65-8d3e-f37f2d595faa}" type="CELLRANGE">
                      <a:rPr lang="en-US"/>
                      <a:t>BE</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0-ECEE-4C8B-95F0-775ECD5A68D4}"/>
                </c:ext>
                <c:ext xmlns:c15="http://schemas.microsoft.com/office/drawing/2012/chart" uri="{CE6537A1-D6FC-4f65-9D91-7224C49458BB}">
                  <c15:showDataLabelsRange val="1"/>
                </c:ext>
              </c:extLst>
            </c:dLbl>
            <c:dLbl>
              <c:idx val="1"/>
              <c:layout>
                <c:manualLayout>
                  <c:x val="-0.083499540764129271"/>
                  <c:y val="-0.026109660574412493"/>
                </c:manualLayout>
              </c:layout>
              <c:tx>
                <c:rich>
                  <a:bodyPr vertOverflow="clip"/>
                  <a:lstStyle/>
                  <a:p>
                    <a:fld id="{0bcae3c7-fe5e-4415-9b05-c25908862c16}" type="CELLRANGE">
                      <a:rPr lang="en-US"/>
                      <a:t>BG</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6-ECEE-4C8B-95F0-775ECD5A68D4}"/>
                </c:ext>
                <c:ext xmlns:c15="http://schemas.microsoft.com/office/drawing/2012/chart" uri="{CE6537A1-D6FC-4f65-9D91-7224C49458BB}">
                  <c15:showDataLabelsRange val="1"/>
                </c:ext>
              </c:extLst>
            </c:dLbl>
            <c:dLbl>
              <c:idx val="2"/>
              <c:layout>
                <c:manualLayout>
                  <c:x val="-0.020755500207555039"/>
                  <c:y val="0.026109660574412531"/>
                </c:manualLayout>
              </c:layout>
              <c:tx>
                <c:rich>
                  <a:bodyPr vertOverflow="clip"/>
                  <a:lstStyle/>
                  <a:p>
                    <a:fld id="{fa2b53a2-505a-47e6-b3fa-b375fc56ffbf}" type="CELLRANGE">
                      <a:rPr lang="en-US"/>
                      <a:t>CZ</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7-ECEE-4C8B-95F0-775ECD5A68D4}"/>
                </c:ext>
                <c:ext xmlns:c15="http://schemas.microsoft.com/office/drawing/2012/chart" uri="{CE6537A1-D6FC-4f65-9D91-7224C49458BB}">
                  <c15:showDataLabelsRange val="1"/>
                </c:ext>
              </c:extLst>
            </c:dLbl>
            <c:dLbl>
              <c:idx val="3"/>
              <c:layout>
                <c:manualLayout>
                  <c:x val="-0.055469156019258489"/>
                  <c:y val="-0.078546219581560134"/>
                </c:manualLayout>
              </c:layout>
              <c:tx>
                <c:rich>
                  <a:bodyPr vertOverflow="clip"/>
                  <a:lstStyle/>
                  <a:p>
                    <a:fld id="{40ca3a76-54db-4a70-9f7d-777291127d7c}" type="CELLRANGE">
                      <a:rPr lang="en-US"/>
                      <a:t>DK</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8-ECEE-4C8B-95F0-775ECD5A68D4}"/>
                </c:ext>
                <c:ext xmlns:c15="http://schemas.microsoft.com/office/drawing/2012/chart" uri="{CE6537A1-D6FC-4f65-9D91-7224C49458BB}">
                  <c15:showDataLabelsRange val="1"/>
                </c:ext>
              </c:extLst>
            </c:dLbl>
            <c:dLbl>
              <c:idx val="4"/>
              <c:layout>
                <c:manualLayout>
                  <c:x val="-0.094333585014202151"/>
                  <c:y val="7.9778596812657918E-17"/>
                </c:manualLayout>
              </c:layout>
              <c:tx>
                <c:rich>
                  <a:bodyPr vertOverflow="clip"/>
                  <a:lstStyle/>
                  <a:p>
                    <a:fld id="{feaf9e08-15ec-47b2-ad7a-4b12908adfcc}" type="CELLRANGE">
                      <a:rPr lang="en-US"/>
                      <a:t>DE</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9-ECEE-4C8B-95F0-775ECD5A68D4}"/>
                </c:ext>
                <c:ext xmlns:c15="http://schemas.microsoft.com/office/drawing/2012/chart" uri="{CE6537A1-D6FC-4f65-9D91-7224C49458BB}">
                  <c15:showDataLabelsRange val="1"/>
                </c:ext>
              </c:extLst>
            </c:dLbl>
            <c:dLbl>
              <c:idx val="5"/>
              <c:tx>
                <c:rich>
                  <a:bodyPr vertOverflow="clip"/>
                  <a:lstStyle/>
                  <a:p>
                    <a:fld id="{1f28a53b-509f-42d1-98be-52a80e22862f}" type="CELLRANGE">
                      <a:rPr lang="lv-LV"/>
                      <a:t>EE</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6"/>
              <c:tx>
                <c:rich>
                  <a:bodyPr/>
                  <a:lstStyle/>
                  <a:p>
                    <a:fld id="{b28c940e-a016-464c-9e00-f6d9d1112025}" type="CELLRANGE">
                      <a:rPr lang="lv-LV"/>
                      <a:t>IE</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7"/>
              <c:layout>
                <c:manualLayout>
                  <c:x val="-0.053061517995182182"/>
                  <c:y val="0.069843684683017757"/>
                </c:manualLayout>
              </c:layout>
              <c:tx>
                <c:rich>
                  <a:bodyPr vertOverflow="clip"/>
                  <a:lstStyle/>
                  <a:p>
                    <a:fld id="{719f6c51-a086-4a5e-9c17-531eec606b3d}" type="CELLRANGE">
                      <a:rPr lang="en-US"/>
                      <a:t>EL</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B-ECEE-4C8B-95F0-775ECD5A68D4}"/>
                </c:ext>
                <c:ext xmlns:c15="http://schemas.microsoft.com/office/drawing/2012/chart" uri="{CE6537A1-D6FC-4f65-9D91-7224C49458BB}">
                  <c15:showDataLabelsRange val="1"/>
                </c:ext>
              </c:extLst>
            </c:dLbl>
            <c:dLbl>
              <c:idx val="8"/>
              <c:tx>
                <c:rich>
                  <a:bodyPr vertOverflow="clip"/>
                  <a:lstStyle/>
                  <a:p>
                    <a:fld id="{fc2b6181-c445-4648-96f8-29366c1037f9}" type="CELLRANGE">
                      <a:rPr lang="lv-LV"/>
                      <a:t>ES</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9"/>
              <c:tx>
                <c:rich>
                  <a:bodyPr vertOverflow="clip"/>
                  <a:lstStyle/>
                  <a:p>
                    <a:fld id="{6ed6cb02-66c0-40ea-8112-2faf39ee8a4e}" type="CELLRANGE">
                      <a:rPr lang="lv-LV"/>
                      <a:t>IT</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0"/>
              <c:layout>
                <c:manualLayout>
                  <c:x val="-0.012453300124533077"/>
                  <c:y val="-7.9778596812657918E-17"/>
                </c:manualLayout>
              </c:layout>
              <c:tx>
                <c:rich>
                  <a:bodyPr vertOverflow="clip"/>
                  <a:lstStyle/>
                  <a:p>
                    <a:fld id="{aa5d00d4-7e82-46f0-854e-5527a95c665c}" type="CELLRANGE">
                      <a:rPr lang="en-US"/>
                      <a:t>CY</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E-ECEE-4C8B-95F0-775ECD5A68D4}"/>
                </c:ext>
                <c:ext xmlns:c15="http://schemas.microsoft.com/office/drawing/2012/chart" uri="{CE6537A1-D6FC-4f65-9D91-7224C49458BB}">
                  <c15:showDataLabelsRange val="1"/>
                </c:ext>
              </c:extLst>
            </c:dLbl>
            <c:dLbl>
              <c:idx val="11"/>
              <c:layout>
                <c:manualLayout>
                  <c:x val="-0.093669409007560225"/>
                  <c:y val="0.026109660574412451"/>
                </c:manualLayout>
              </c:layout>
              <c:tx>
                <c:rich>
                  <a:bodyPr vertOverflow="clip"/>
                  <a:lstStyle/>
                  <a:p>
                    <a:fld id="{584ec849-3968-480f-96c7-4fd4b1a4a393}" type="CELLRANGE">
                      <a:rPr lang="en-US"/>
                      <a:t>LV</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2-ECEE-4C8B-95F0-775ECD5A68D4}"/>
                </c:ext>
                <c:ext xmlns:c15="http://schemas.microsoft.com/office/drawing/2012/chart" uri="{CE6537A1-D6FC-4f65-9D91-7224C49458BB}">
                  <c15:showDataLabelsRange val="1"/>
                </c:ext>
              </c:extLst>
            </c:dLbl>
            <c:dLbl>
              <c:idx val="12"/>
              <c:layout>
                <c:manualLayout>
                  <c:x val="-0.0083022000830220381"/>
                  <c:y val="-0.017406440382941729"/>
                </c:manualLayout>
              </c:layout>
              <c:tx>
                <c:rich>
                  <a:bodyPr vertOverflow="clip"/>
                  <a:lstStyle/>
                  <a:p>
                    <a:fld id="{1f279d2d-68d0-49b1-8301-690b0ca5491a}" type="CELLRANGE">
                      <a:rPr lang="en-US"/>
                      <a:t>LT</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3-ECEE-4C8B-95F0-775ECD5A68D4}"/>
                </c:ext>
                <c:ext xmlns:c15="http://schemas.microsoft.com/office/drawing/2012/chart" uri="{CE6537A1-D6FC-4f65-9D91-7224C49458BB}">
                  <c15:showDataLabelsRange val="1"/>
                </c:ext>
              </c:extLst>
            </c:dLbl>
            <c:dLbl>
              <c:idx val="13"/>
              <c:tx>
                <c:rich>
                  <a:bodyPr vertOverflow="clip"/>
                  <a:lstStyle/>
                  <a:p>
                    <a:fld id="{bc1a94fe-7ce5-4d27-bf8d-ce5401c67fd8}" type="CELLRANGE">
                      <a:rPr lang="lv-LV"/>
                      <a:t>LU</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4"/>
              <c:layout>
                <c:manualLayout>
                  <c:x val="-0.0770238246993721"/>
                  <c:y val="-0.035030118624205873"/>
                </c:manualLayout>
              </c:layout>
              <c:tx>
                <c:rich>
                  <a:bodyPr vertOverflow="clip"/>
                  <a:lstStyle/>
                  <a:p>
                    <a:fld id="{6b5aee62-2594-4f42-b991-64fd6cd7a5ca}" type="CELLRANGE">
                      <a:rPr lang="en-US"/>
                      <a:t>HU</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5-ECEE-4C8B-95F0-775ECD5A68D4}"/>
                </c:ext>
                <c:ext xmlns:c15="http://schemas.microsoft.com/office/drawing/2012/chart" uri="{CE6537A1-D6FC-4f65-9D91-7224C49458BB}">
                  <c15:showDataLabelsRange val="1"/>
                </c:ext>
              </c:extLst>
            </c:dLbl>
            <c:dLbl>
              <c:idx val="15"/>
              <c:layout>
                <c:manualLayout>
                  <c:x val="-0.012453300124533153"/>
                  <c:y val="-7.9778596812657918E-17"/>
                </c:manualLayout>
              </c:layout>
              <c:tx>
                <c:rich>
                  <a:bodyPr vertOverflow="clip"/>
                  <a:lstStyle/>
                  <a:p>
                    <a:fld id="{da6b6814-c6f8-432c-b298-50901bc7856f}" type="CELLRANGE">
                      <a:rPr lang="en-US"/>
                      <a:t>NL</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F-ECEE-4C8B-95F0-775ECD5A68D4}"/>
                </c:ext>
                <c:ext xmlns:c15="http://schemas.microsoft.com/office/drawing/2012/chart" uri="{CE6537A1-D6FC-4f65-9D91-7224C49458BB}">
                  <c15:showDataLabelsRange val="1"/>
                </c:ext>
              </c:extLst>
            </c:dLbl>
            <c:dLbl>
              <c:idx val="16"/>
              <c:layout>
                <c:manualLayout>
                  <c:x val="-0.0538502270030692"/>
                  <c:y val="0.06984368468301759"/>
                </c:manualLayout>
              </c:layout>
              <c:tx>
                <c:rich>
                  <a:bodyPr vertOverflow="clip"/>
                  <a:lstStyle/>
                  <a:p>
                    <a:fld id="{2e3d9bff-4bc3-4d52-97bd-cee48a601995}" type="CELLRANGE">
                      <a:rPr lang="en-US"/>
                      <a:t>AT</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0-ECEE-4C8B-95F0-775ECD5A68D4}"/>
                </c:ext>
                <c:ext xmlns:c15="http://schemas.microsoft.com/office/drawing/2012/chart" uri="{CE6537A1-D6FC-4f65-9D91-7224C49458BB}">
                  <c15:showDataLabelsRange val="1"/>
                </c:ext>
              </c:extLst>
            </c:dLbl>
            <c:dLbl>
              <c:idx val="17"/>
              <c:tx>
                <c:rich>
                  <a:bodyPr vertOverflow="clip"/>
                  <a:lstStyle/>
                  <a:p>
                    <a:fld id="{98bcdddc-e561-4d00-a882-6a30c34d2df2}" type="CELLRANGE">
                      <a:rPr lang="en-US"/>
                      <a:t>PL</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1-ECEE-4C8B-95F0-775ECD5A68D4}"/>
                </c:ext>
                <c:ext xmlns:c15="http://schemas.microsoft.com/office/drawing/2012/chart" uri="{CE6537A1-D6FC-4f65-9D91-7224C49458BB}">
                  <c15:showDataLabelsRange val="1"/>
                </c:ext>
              </c:extLst>
            </c:dLbl>
            <c:dLbl>
              <c:idx val="18"/>
              <c:layout>
                <c:manualLayout>
                  <c:x val="-0.05385022700306924"/>
                  <c:y val="0.069843684683017757"/>
                </c:manualLayout>
              </c:layout>
              <c:tx>
                <c:rich>
                  <a:bodyPr vertOverflow="clip"/>
                  <a:lstStyle/>
                  <a:p>
                    <a:fld id="{4fa91462-c80d-4953-b520-458185a970bc}" type="CELLRANGE">
                      <a:rPr lang="en-US"/>
                      <a:t>PT</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2-ECEE-4C8B-95F0-775ECD5A68D4}"/>
                </c:ext>
                <c:ext xmlns:c15="http://schemas.microsoft.com/office/drawing/2012/chart" uri="{CE6537A1-D6FC-4f65-9D91-7224C49458BB}">
                  <c15:showDataLabelsRange val="1"/>
                </c:ext>
              </c:extLst>
            </c:dLbl>
            <c:dLbl>
              <c:idx val="19"/>
              <c:tx>
                <c:rich>
                  <a:bodyPr vertOverflow="clip"/>
                  <a:lstStyle/>
                  <a:p>
                    <a:fld id="{3db6d2b5-729c-4960-b962-58dfe194f5de}" type="CELLRANGE">
                      <a:rPr lang="en-US"/>
                      <a:t>RO</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3-ECEE-4C8B-95F0-775ECD5A68D4}"/>
                </c:ext>
                <c:ext xmlns:c15="http://schemas.microsoft.com/office/drawing/2012/chart" uri="{CE6537A1-D6FC-4f65-9D91-7224C49458BB}">
                  <c15:showDataLabelsRange val="1"/>
                </c:ext>
              </c:extLst>
            </c:dLbl>
            <c:dLbl>
              <c:idx val="20"/>
              <c:tx>
                <c:rich>
                  <a:bodyPr vertOverflow="clip"/>
                  <a:lstStyle/>
                  <a:p>
                    <a:fld id="{0cfb5d61-aa90-4ae6-b159-f104d4059ed9}" type="CELLRANGE">
                      <a:rPr lang="lv-LV"/>
                      <a:t>SI</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21"/>
              <c:layout>
                <c:manualLayout>
                  <c:x val="-0.050518887505188875"/>
                  <c:y val="-0.078546219581560134"/>
                </c:manualLayout>
              </c:layout>
              <c:tx>
                <c:rich>
                  <a:bodyPr vertOverflow="clip"/>
                  <a:lstStyle/>
                  <a:p>
                    <a:fld id="{89db87f1-596a-46d4-b70d-7bfd1146ce1a}" type="CELLRANGE">
                      <a:rPr lang="en-US"/>
                      <a:t>SK</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5-ECEE-4C8B-95F0-775ECD5A68D4}"/>
                </c:ext>
                <c:ext xmlns:c15="http://schemas.microsoft.com/office/drawing/2012/chart" uri="{CE6537A1-D6FC-4f65-9D91-7224C49458BB}">
                  <c15:showDataLabelsRange val="1"/>
                </c:ext>
              </c:extLst>
            </c:dLbl>
            <c:dLbl>
              <c:idx val="22"/>
              <c:tx>
                <c:rich>
                  <a:bodyPr vertOverflow="clip"/>
                  <a:lstStyle/>
                  <a:p>
                    <a:fld id="{86c22e29-a3b6-4e91-b3e0-fc2f48994554}" type="CELLRANGE">
                      <a:rPr lang="en-US"/>
                      <a:t>FI</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6-ECEE-4C8B-95F0-775ECD5A68D4}"/>
                </c:ext>
                <c:ext xmlns:c15="http://schemas.microsoft.com/office/drawing/2012/chart" uri="{CE6537A1-D6FC-4f65-9D91-7224C49458BB}">
                  <c15:showDataLabelsRange val="1"/>
                </c:ext>
              </c:extLst>
            </c:dLbl>
            <c:dLbl>
              <c:idx val="23"/>
              <c:layout>
                <c:manualLayout>
                  <c:x val="-0.054669987546699952"/>
                  <c:y val="-0.0698429993900893"/>
                </c:manualLayout>
              </c:layout>
              <c:tx>
                <c:rich>
                  <a:bodyPr vertOverflow="clip"/>
                  <a:lstStyle/>
                  <a:p>
                    <a:fld id="{e20f5b56-3674-4fec-826e-8455a57e4940}" type="CELLRANGE">
                      <a:rPr lang="en-US"/>
                      <a:t>SE</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7-ECEE-4C8B-95F0-775ECD5A68D4}"/>
                </c:ext>
                <c:ext xmlns:c15="http://schemas.microsoft.com/office/drawing/2012/chart" uri="{CE6537A1-D6FC-4f65-9D91-7224C49458BB}">
                  <c15:showDataLabelsRange val="1"/>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Sheet1!$B$3:$B$26</c:f>
              <c:numCache>
                <c:formatCode>0</c:formatCode>
                <c:ptCount val="24"/>
                <c:pt idx="0">
                  <c:v>95.115987460815049</c:v>
                </c:pt>
                <c:pt idx="1">
                  <c:v>10.209271523178808</c:v>
                </c:pt>
                <c:pt idx="2">
                  <c:v>24.440683702826195</c:v>
                </c:pt>
                <c:pt idx="3">
                  <c:v>125.35833333333333</c:v>
                </c:pt>
                <c:pt idx="4">
                  <c:v>116.64752851711026</c:v>
                </c:pt>
                <c:pt idx="5">
                  <c:v>59.379310344827587</c:v>
                </c:pt>
                <c:pt idx="6">
                  <c:v>164.89361702127661</c:v>
                </c:pt>
                <c:pt idx="7">
                  <c:v>90.56781045751633</c:v>
                </c:pt>
                <c:pt idx="8">
                  <c:v>52.899869960988291</c:v>
                </c:pt>
                <c:pt idx="9">
                  <c:v>48.294002925402246</c:v>
                </c:pt>
                <c:pt idx="10">
                  <c:v>44.249084249084248</c:v>
                </c:pt>
                <c:pt idx="11">
                  <c:v>23.91766268260292</c:v>
                </c:pt>
                <c:pt idx="12">
                  <c:v>21.5379113018598</c:v>
                </c:pt>
                <c:pt idx="13">
                  <c:v>77.86516853932585</c:v>
                </c:pt>
                <c:pt idx="14">
                  <c:v>20.081833060556463</c:v>
                </c:pt>
                <c:pt idx="15">
                  <c:v>126.625</c:v>
                </c:pt>
                <c:pt idx="16">
                  <c:v>139.35657949356579</c:v>
                </c:pt>
                <c:pt idx="17">
                  <c:v>26.171746776084408</c:v>
                </c:pt>
                <c:pt idx="18">
                  <c:v>36.958950692251634</c:v>
                </c:pt>
                <c:pt idx="19">
                  <c:v>10.011398963730571</c:v>
                </c:pt>
                <c:pt idx="20">
                  <c:v>26.804670912951167</c:v>
                </c:pt>
                <c:pt idx="21">
                  <c:v>22.211744534933565</c:v>
                </c:pt>
                <c:pt idx="22">
                  <c:v>119.54198473282443</c:v>
                </c:pt>
                <c:pt idx="23">
                  <c:v>93.7655172413793</c:v>
                </c:pt>
              </c:numCache>
            </c:numRef>
          </c:xVal>
          <c:yVal>
            <c:numRef>
              <c:f>Sheet1!$C$3:$C$26</c:f>
              <c:numCache>
                <c:formatCode>0.0</c:formatCode>
                <c:ptCount val="24"/>
                <c:pt idx="0">
                  <c:v>0.66275100793627806</c:v>
                </c:pt>
                <c:pt idx="1">
                  <c:v>0.61366695493648016</c:v>
                </c:pt>
                <c:pt idx="2">
                  <c:v>0.62633847512905971</c:v>
                </c:pt>
                <c:pt idx="3">
                  <c:v>0.47405921207689472</c:v>
                </c:pt>
                <c:pt idx="4">
                  <c:v>0.39031416660233015</c:v>
                </c:pt>
                <c:pt idx="5">
                  <c:v>0.38433300149328026</c:v>
                </c:pt>
                <c:pt idx="6">
                  <c:v>0.25252394339352929</c:v>
                </c:pt>
                <c:pt idx="7">
                  <c:v>0.4023444742926689</c:v>
                </c:pt>
                <c:pt idx="8">
                  <c:v>0.69350551774685987</c:v>
                </c:pt>
                <c:pt idx="9">
                  <c:v>0.866255114331432</c:v>
                </c:pt>
                <c:pt idx="10">
                  <c:v>0.52956657111792027</c:v>
                </c:pt>
                <c:pt idx="11">
                  <c:v>0.55535353922150532</c:v>
                </c:pt>
                <c:pt idx="12" formatCode="0.00">
                  <c:v>0.64472756346173143</c:v>
                </c:pt>
                <c:pt idx="13">
                  <c:v>0.77683928435808125</c:v>
                </c:pt>
                <c:pt idx="14" formatCode="0.00">
                  <c:v>0.62319920679793184</c:v>
                </c:pt>
                <c:pt idx="15">
                  <c:v>0.45434353405725569</c:v>
                </c:pt>
                <c:pt idx="16">
                  <c:v>0.35225181167139064</c:v>
                </c:pt>
                <c:pt idx="17">
                  <c:v>0.48055971386210505</c:v>
                </c:pt>
                <c:pt idx="18">
                  <c:v>0.5173216810832304</c:v>
                </c:pt>
                <c:pt idx="19">
                  <c:v>0.78125231046771249</c:v>
                </c:pt>
                <c:pt idx="20">
                  <c:v>0.93927095603451027</c:v>
                </c:pt>
                <c:pt idx="21">
                  <c:v>0.69939130532931271</c:v>
                </c:pt>
                <c:pt idx="22">
                  <c:v>0.37709031768837803</c:v>
                </c:pt>
                <c:pt idx="23">
                  <c:v>0.4536260664901442</c:v>
                </c:pt>
              </c:numCache>
            </c:numRef>
          </c:yVal>
          <c:smooth val="0"/>
          <c:extLst>
            <c:ext xmlns:c="http://schemas.openxmlformats.org/drawingml/2006/chart" xmlns:c16="http://schemas.microsoft.com/office/drawing/2014/chart" uri="{C3380CC4-5D6E-409C-BE32-E72D297353CC}">
              <c16:uniqueId val="{0000001C-ECEE-4C8B-95F0-775ECD5A68D4}"/>
            </c:ext>
            <c:ext xmlns:c15="http://schemas.microsoft.com/office/drawing/2012/chart" uri="{02D57815-91ED-43cb-92C2-25804820EDAC}">
              <c15:datalabelsRange>
                <c15:f>Sheet1!$A$3:$A$26</c15:f>
                <c15:dlblRangeCache>
                  <c:ptCount val="24"/>
                  <c:pt idx="0">
                    <c:v>BE</c:v>
                  </c:pt>
                  <c:pt idx="1">
                    <c:v>BG</c:v>
                  </c:pt>
                  <c:pt idx="2">
                    <c:v>CZ</c:v>
                  </c:pt>
                  <c:pt idx="3">
                    <c:v>DK</c:v>
                  </c:pt>
                  <c:pt idx="4">
                    <c:v>DE</c:v>
                  </c:pt>
                  <c:pt idx="5">
                    <c:v>EE</c:v>
                  </c:pt>
                  <c:pt idx="6">
                    <c:v>IE</c:v>
                  </c:pt>
                  <c:pt idx="7">
                    <c:v>EL</c:v>
                  </c:pt>
                  <c:pt idx="8">
                    <c:v>ES</c:v>
                  </c:pt>
                  <c:pt idx="9">
                    <c:v>IT</c:v>
                  </c:pt>
                  <c:pt idx="10">
                    <c:v>CY</c:v>
                  </c:pt>
                  <c:pt idx="11">
                    <c:v>LV</c:v>
                  </c:pt>
                  <c:pt idx="12">
                    <c:v>LT</c:v>
                  </c:pt>
                  <c:pt idx="13">
                    <c:v>LU</c:v>
                  </c:pt>
                  <c:pt idx="14">
                    <c:v>HU</c:v>
                  </c:pt>
                  <c:pt idx="15">
                    <c:v>NL</c:v>
                  </c:pt>
                  <c:pt idx="16">
                    <c:v>AT</c:v>
                  </c:pt>
                  <c:pt idx="17">
                    <c:v>PL</c:v>
                  </c:pt>
                  <c:pt idx="18">
                    <c:v>PT</c:v>
                  </c:pt>
                  <c:pt idx="19">
                    <c:v>RO</c:v>
                  </c:pt>
                  <c:pt idx="20">
                    <c:v>SI</c:v>
                  </c:pt>
                  <c:pt idx="21">
                    <c:v>SK</c:v>
                  </c:pt>
                  <c:pt idx="22">
                    <c:v>FI</c:v>
                  </c:pt>
                  <c:pt idx="23">
                    <c:v>SE</c:v>
                  </c:pt>
                </c15:dlblRangeCache>
              </c15:datalabelsRange>
            </c:ext>
          </c:extLst>
        </c:ser>
        <c:dLbls>
          <c:showLegendKey val="0"/>
          <c:showVal val="0"/>
          <c:showCatName val="0"/>
          <c:showSerName val="0"/>
          <c:showPercent val="0"/>
          <c:showBubbleSize val="0"/>
        </c:dLbls>
        <c:axId val="656390368"/>
        <c:axId val="656394680"/>
      </c:scatterChart>
      <c:valAx>
        <c:axId val="656390368"/>
        <c:scaling>
          <c:orientation val="minMax"/>
          <c:max val="160"/>
          <c:min val="0"/>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56394680"/>
        <c:crosses val="autoZero"/>
        <c:crossBetween val="midCat"/>
        <c:majorUnit val="20"/>
      </c:valAx>
      <c:valAx>
        <c:axId val="656394680"/>
        <c:scaling>
          <c:orientation val="minMax"/>
          <c:min val="0.2"/>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56390368"/>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2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59412201441466"/>
          <c:y val="0.098301682877875565"/>
          <c:w val="0.77357359176256812"/>
          <c:h val="0.69983737326951778"/>
        </c:manualLayout>
      </c:layout>
      <c:barChart>
        <c:barDir val="col"/>
        <c:grouping val="clustered"/>
        <c:varyColors val="0"/>
        <c:ser>
          <c:idx val="4"/>
          <c:order val="0"/>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AB17-4ECC-9710-103A32FD5D8B}"/>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AB17-4ECC-9710-103A32FD5D8B}"/>
              </c:ext>
            </c:extLst>
          </c:dPt>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Sheet1!$A$3:$A$5</c:f>
              <c:strCache>
                <c:ptCount val="3"/>
                <c:pt idx="0">
                  <c:v>2005</c:v>
                </c:pt>
                <c:pt idx="1">
                  <c:v>2010</c:v>
                </c:pt>
                <c:pt idx="2">
                  <c:v>2016</c:v>
                </c:pt>
              </c:strCache>
            </c:strRef>
          </c:cat>
          <c:val>
            <c:numRef>
              <c:f>Sheet1!$B$3:$B$5</c:f>
              <c:numCache>
                <c:formatCode>0.0</c:formatCode>
                <c:ptCount val="3"/>
                <c:pt idx="0">
                  <c:v>6.7</c:v>
                </c:pt>
                <c:pt idx="1">
                  <c:v>5</c:v>
                </c:pt>
                <c:pt idx="2" formatCode="General">
                  <c:v>5.3</c:v>
                </c:pt>
              </c:numCache>
            </c:numRef>
          </c:val>
          <c:extLst>
            <c:ext xmlns:c="http://schemas.openxmlformats.org/drawingml/2006/chart" xmlns:c16="http://schemas.microsoft.com/office/drawing/2014/chart" uri="{C3380CC4-5D6E-409C-BE32-E72D297353CC}">
              <c16:uniqueId val="{00000004-AB17-4ECC-9710-103A32FD5D8B}"/>
            </c:ext>
          </c:extLst>
        </c:ser>
        <c:dLbls>
          <c:showLegendKey val="0"/>
          <c:showVal val="0"/>
          <c:showCatName val="0"/>
          <c:showSerName val="0"/>
          <c:showPercent val="0"/>
          <c:showBubbleSize val="0"/>
        </c:dLbls>
        <c:gapWidth val="20"/>
        <c:axId val="656394288"/>
        <c:axId val="656392328"/>
      </c:barChart>
      <c:catAx>
        <c:axId val="656394288"/>
        <c:scaling>
          <c:orientation val="minMax"/>
        </c:scaling>
        <c:delete val="0"/>
        <c:axPos val="b"/>
        <c:numFmt formatCode="General" sourceLinked="0"/>
        <c:majorTickMark val="out"/>
        <c:minorTickMark val="none"/>
        <c:tickLblPos val="nextTo"/>
        <c:crossAx val="656392328"/>
        <c:crosses val="autoZero"/>
        <c:auto val="1"/>
        <c:lblAlgn val="ctr"/>
        <c:lblOffset val="100"/>
        <c:noMultiLvlLbl val="0"/>
      </c:catAx>
      <c:valAx>
        <c:axId val="656392328"/>
        <c:scaling>
          <c:orientation val="minMax"/>
          <c:max val="10"/>
          <c:min val="0"/>
        </c:scaling>
        <c:delete val="0"/>
        <c:axPos val="l"/>
        <c:numFmt formatCode="0" sourceLinked="0"/>
        <c:majorTickMark val="out"/>
        <c:minorTickMark val="none"/>
        <c:tickLblPos val="nextTo"/>
        <c:crossAx val="656394288"/>
        <c:crosses val="autoZero"/>
        <c:crossBetween val="between"/>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mbria Math" panose="02040503050406030204" pitchFamily="18" charset="0"/>
          <a:ea typeface="Cambria Math" panose="02040503050406030204" pitchFamily="18" charset="0"/>
          <a:cs typeface="Arial"/>
        </a:defRPr>
      </a:pPr>
      <a:endParaRPr lang="lv-LV"/>
    </a:p>
  </c:txPr>
  <c:externalData r:id="rId1">
    <c:autoUpdate val="0"/>
  </c:externalData>
</c:chartSpace>
</file>

<file path=word/charts/chart27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73546128124922"/>
          <c:y val="0.048706240487062395"/>
          <c:w val="0.84631315184653555"/>
          <c:h val="0.73779794474843186"/>
        </c:manualLayout>
      </c:layout>
      <c:lineChart>
        <c:grouping val="standard"/>
        <c:varyColors val="0"/>
        <c:ser>
          <c:idx val="0"/>
          <c:order val="0"/>
          <c:tx>
            <c:strRef>
              <c:f>Sheet1!$A$2</c:f>
              <c:strCache>
                <c:ptCount val="1"/>
                <c:pt idx="0">
                  <c:v>Nodarbinātie</c:v>
                </c:pt>
              </c:strCache>
            </c:strRef>
          </c:tx>
          <c:spPr>
            <a:ln w="19050">
              <a:solidFill>
                <a:srgbClr val="0070C0"/>
              </a:solidFill>
              <a:prstDash val="dash"/>
            </a:ln>
          </c:spPr>
          <c:marker>
            <c:symbol val="none"/>
          </c:marker>
          <c:cat>
            <c:numRef>
              <c:f>Sheet1!$B$1:$L$1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Sheet1!$B$2:$L$2</c:f>
              <c:numCache>
                <c:formatCode>0.0</c:formatCode>
                <c:ptCount val="11"/>
                <c:pt idx="0">
                  <c:v>116.4603540937041</c:v>
                </c:pt>
                <c:pt idx="1">
                  <c:v>148.0076176950017</c:v>
                </c:pt>
                <c:pt idx="2">
                  <c:v>144.18908668355903</c:v>
                </c:pt>
                <c:pt idx="3">
                  <c:v>88.045706170010178</c:v>
                </c:pt>
                <c:pt idx="4">
                  <c:v>74.253159245331744</c:v>
                </c:pt>
                <c:pt idx="5">
                  <c:v>82.1613595648876</c:v>
                </c:pt>
                <c:pt idx="6">
                  <c:v>89.880731427833652</c:v>
                </c:pt>
                <c:pt idx="7">
                  <c:v>97.835735381933816</c:v>
                </c:pt>
                <c:pt idx="8">
                  <c:v>97.330578912541768</c:v>
                </c:pt>
                <c:pt idx="9">
                  <c:v>94.7870434628234</c:v>
                </c:pt>
                <c:pt idx="10">
                  <c:v>87.41305014444572</c:v>
                </c:pt>
              </c:numCache>
            </c:numRef>
          </c:val>
          <c:smooth val="0"/>
          <c:extLst>
            <c:ext xmlns:c="http://schemas.openxmlformats.org/drawingml/2006/chart" xmlns:c16="http://schemas.microsoft.com/office/drawing/2014/chart" uri="{C3380CC4-5D6E-409C-BE32-E72D297353CC}">
              <c16:uniqueId val="{00000000-40C2-4771-BB11-A357EE151787}"/>
            </c:ext>
          </c:extLst>
        </c:ser>
        <c:ser>
          <c:idx val="1"/>
          <c:order val="1"/>
          <c:tx>
            <c:strRef>
              <c:f>Sheet1!$A$3</c:f>
              <c:strCache>
                <c:ptCount val="1"/>
                <c:pt idx="0">
                  <c:v>Ražošanas apjomi</c:v>
                </c:pt>
              </c:strCache>
            </c:strRef>
          </c:tx>
          <c:marker>
            <c:symbol val="none"/>
          </c:marker>
          <c:cat>
            <c:numRef>
              <c:f>Sheet1!$B$1:$L$1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Sheet1!$B$3:$L$3</c:f>
              <c:numCache>
                <c:formatCode>0.0</c:formatCode>
                <c:ptCount val="11"/>
                <c:pt idx="0">
                  <c:v>132.9212347406889</c:v>
                </c:pt>
                <c:pt idx="1">
                  <c:v>156.83072855921</c:v>
                </c:pt>
                <c:pt idx="2">
                  <c:v>152.11880880180388</c:v>
                </c:pt>
                <c:pt idx="3">
                  <c:v>94.137314361247164</c:v>
                </c:pt>
                <c:pt idx="4">
                  <c:v>61.908094238395144</c:v>
                </c:pt>
                <c:pt idx="5">
                  <c:v>80.3514501205194</c:v>
                </c:pt>
                <c:pt idx="6">
                  <c:v>87.380452530907391</c:v>
                </c:pt>
                <c:pt idx="7">
                  <c:v>90.591711375476237</c:v>
                </c:pt>
                <c:pt idx="8">
                  <c:v>95.505792706632448</c:v>
                </c:pt>
                <c:pt idx="9">
                  <c:v>93.826296555477811</c:v>
                </c:pt>
                <c:pt idx="10">
                  <c:v>76.984682373065866</c:v>
                </c:pt>
              </c:numCache>
            </c:numRef>
          </c:val>
          <c:smooth val="0"/>
          <c:extLst>
            <c:ext xmlns:c="http://schemas.openxmlformats.org/drawingml/2006/chart" xmlns:c16="http://schemas.microsoft.com/office/drawing/2014/chart" uri="{C3380CC4-5D6E-409C-BE32-E72D297353CC}">
              <c16:uniqueId val="{00000001-40C2-4771-BB11-A357EE151787}"/>
            </c:ext>
          </c:extLst>
        </c:ser>
        <c:dLbls>
          <c:showLegendKey val="0"/>
          <c:showVal val="0"/>
          <c:showCatName val="0"/>
          <c:showSerName val="0"/>
          <c:showPercent val="0"/>
          <c:showBubbleSize val="0"/>
        </c:dLbls>
        <c:smooth val="0"/>
        <c:axId val="656389192"/>
        <c:axId val="656395072"/>
      </c:lineChart>
      <c:catAx>
        <c:axId val="656389192"/>
        <c:scaling>
          <c:orientation val="minMax"/>
        </c:scaling>
        <c:delete val="0"/>
        <c:axPos val="b"/>
        <c:numFmt formatCode="General" sourceLinked="1"/>
        <c:majorTickMark val="cross"/>
        <c:minorTickMark val="none"/>
        <c:tickLblPos val="nextTo"/>
        <c:spPr>
          <a:ln w="6350">
            <a:solidFill>
              <a:srgbClr val="000000"/>
            </a:solidFill>
          </a:ln>
        </c:spPr>
        <c:txPr>
          <a:bodyPr rot="-5400000" vert="horz"/>
          <a:lstStyle/>
          <a:p>
            <a:pPr>
              <a:defRPr sz="700" b="0" i="0" u="none" strike="noStrike" baseline="0">
                <a:solidFill>
                  <a:srgbClr val="000000"/>
                </a:solidFill>
                <a:latin typeface="Arial Narrow" pitchFamily="34" charset="0"/>
                <a:ea typeface="Times New Roman"/>
                <a:cs typeface="Times New Roman" pitchFamily="18" charset="0"/>
              </a:defRPr>
            </a:pPr>
            <a:endParaRPr lang="lv-LV"/>
          </a:p>
        </c:txPr>
        <c:crossAx val="656395072"/>
        <c:crosses val="autoZero"/>
        <c:auto val="1"/>
        <c:lblAlgn val="ctr"/>
        <c:lblOffset val="0"/>
        <c:noMultiLvlLbl val="0"/>
      </c:catAx>
      <c:valAx>
        <c:axId val="656395072"/>
        <c:scaling>
          <c:orientation val="minMax"/>
          <c:min val="50"/>
        </c:scaling>
        <c:delete val="0"/>
        <c:axPos val="l"/>
        <c:numFmt formatCode="0" sourceLinked="0"/>
        <c:majorTickMark val="cross"/>
        <c:minorTickMark val="none"/>
        <c:tickLblPos val="nextTo"/>
        <c:spPr>
          <a:ln w="6350">
            <a:solidFill>
              <a:sysClr val="windowText" lastClr="000000"/>
            </a:solidFill>
          </a:ln>
        </c:spPr>
        <c:txPr>
          <a:bodyPr rot="0" vert="horz"/>
          <a:lstStyle/>
          <a:p>
            <a:pPr>
              <a:defRPr sz="700" b="0" i="0" u="none" strike="noStrike" baseline="0">
                <a:solidFill>
                  <a:srgbClr val="000000"/>
                </a:solidFill>
                <a:latin typeface="Arial Narrow" pitchFamily="34" charset="0"/>
                <a:ea typeface="Times New Roman"/>
                <a:cs typeface="Times New Roman"/>
              </a:defRPr>
            </a:pPr>
            <a:endParaRPr lang="lv-LV"/>
          </a:p>
        </c:txPr>
        <c:crossAx val="656389192"/>
        <c:crosses val="autoZero"/>
        <c:crossBetween val="between"/>
        <c:majorUnit val="25"/>
      </c:valAx>
      <c:spPr>
        <a:solidFill>
          <a:sysClr val="window" lastClr="FFFFFF"/>
        </a:solidFill>
        <a:ln w="6350">
          <a:noFill/>
        </a:ln>
      </c:spPr>
    </c:plotArea>
    <c:legend>
      <c:legendPos val="t"/>
      <c:layout>
        <c:manualLayout>
          <c:xMode val="edge"/>
          <c:yMode val="edge"/>
          <c:x val="0.31927692861921669"/>
          <c:y val="0.042501000934205259"/>
          <c:w val="0.65805884790716951"/>
          <c:h val="0.19964223582144541"/>
        </c:manualLayout>
      </c:layout>
      <c:overlay val="0"/>
      <c:txPr>
        <a:bodyPr/>
        <a:lstStyle/>
        <a:p>
          <a:pPr>
            <a:defRPr sz="700" b="0">
              <a:latin typeface="Arial Narrow" pitchFamily="34" charset="0"/>
            </a:defRPr>
          </a:pPr>
          <a:endParaRPr lang="lv-LV"/>
        </a:p>
      </c:txPr>
    </c:legend>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27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7354822834645707"/>
          <c:y val="0.054187037037040774"/>
          <c:w val="0.8789631193571017"/>
          <c:h val="0.64438486970896591"/>
        </c:manualLayout>
      </c:layout>
      <c:lineChart>
        <c:grouping val="standard"/>
        <c:varyColors val="0"/>
        <c:ser>
          <c:idx val="9"/>
          <c:order val="0"/>
          <c:tx>
            <c:strRef>
              <c:f>Sheet1!$A$3</c:f>
              <c:strCache>
                <c:ptCount val="1"/>
                <c:pt idx="0">
                  <c:v>Eksports, kopā</c:v>
                </c:pt>
              </c:strCache>
            </c:strRef>
          </c:tx>
          <c:spPr>
            <a:ln w="25400">
              <a:solidFill>
                <a:schemeClr val="accent5">
                  <a:lumMod val="75000"/>
                </a:schemeClr>
              </a:solidFill>
            </a:ln>
            <a:effectLst/>
          </c:spPr>
          <c:marker>
            <c:symbol val="none"/>
          </c:marker>
          <c:cat>
            <c:numRef>
              <c:f>Sheet1!$B$2:$M$2</c:f>
              <c:numCache>
                <c:formatCode>0</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Sheet1!$B$3:$M$3</c:f>
              <c:numCache>
                <c:formatCode>0.0</c:formatCode>
                <c:ptCount val="12"/>
                <c:pt idx="0">
                  <c:v>11</c:v>
                </c:pt>
                <c:pt idx="1">
                  <c:v>19</c:v>
                </c:pt>
                <c:pt idx="2">
                  <c:v>39</c:v>
                </c:pt>
                <c:pt idx="3">
                  <c:v>59</c:v>
                </c:pt>
                <c:pt idx="4">
                  <c:v>26</c:v>
                </c:pt>
                <c:pt idx="5">
                  <c:v>59</c:v>
                </c:pt>
                <c:pt idx="6">
                  <c:v>62</c:v>
                </c:pt>
                <c:pt idx="7">
                  <c:v>98</c:v>
                </c:pt>
                <c:pt idx="8">
                  <c:v>122</c:v>
                </c:pt>
                <c:pt idx="9">
                  <c:v>159</c:v>
                </c:pt>
                <c:pt idx="10">
                  <c:v>123</c:v>
                </c:pt>
                <c:pt idx="11" formatCode="0">
                  <c:v>193</c:v>
                </c:pt>
              </c:numCache>
            </c:numRef>
          </c:val>
          <c:smooth val="0"/>
          <c:extLst>
            <c:ext xmlns:c="http://schemas.openxmlformats.org/drawingml/2006/chart" xmlns:c16="http://schemas.microsoft.com/office/drawing/2014/chart" uri="{C3380CC4-5D6E-409C-BE32-E72D297353CC}">
              <c16:uniqueId val="{00000000-B250-400F-9CB2-22575F00C6EB}"/>
            </c:ext>
          </c:extLst>
        </c:ser>
        <c:dLbls>
          <c:showLegendKey val="0"/>
          <c:showVal val="0"/>
          <c:showCatName val="0"/>
          <c:showSerName val="0"/>
          <c:showPercent val="0"/>
          <c:showBubbleSize val="0"/>
        </c:dLbls>
        <c:smooth val="0"/>
        <c:axId val="656395856"/>
        <c:axId val="656397424"/>
      </c:lineChart>
      <c:catAx>
        <c:axId val="656395856"/>
        <c:scaling>
          <c:orientation val="minMax"/>
        </c:scaling>
        <c:delete val="0"/>
        <c:axPos val="b"/>
        <c:numFmt formatCode="0" sourceLinked="1"/>
        <c:majorTickMark val="out"/>
        <c:minorTickMark val="none"/>
        <c:tickLblPos val="low"/>
        <c:spPr>
          <a:noFill/>
          <a:ln w="3175">
            <a:solidFill>
              <a:sysClr val="window" lastClr="FFFFFF">
                <a:lumMod val="50000"/>
              </a:sysClr>
            </a:solidFill>
            <a:round/>
          </a:ln>
          <a:effectLst/>
        </c:spPr>
        <c:txPr>
          <a:bodyPr rot="-5400000" vert="horz"/>
          <a:lstStyle/>
          <a:p>
            <a:pPr>
              <a:defRPr sz="700"/>
            </a:pPr>
            <a:endParaRPr lang="lv-LV"/>
          </a:p>
        </c:txPr>
        <c:crossAx val="656397424"/>
        <c:crosses val="autoZero"/>
        <c:lblAlgn val="ctr"/>
        <c:lblOffset val="100"/>
        <c:noMultiLvlLbl val="0"/>
      </c:catAx>
      <c:valAx>
        <c:axId val="656397424"/>
        <c:scaling>
          <c:orientation val="minMax"/>
          <c:max val="200"/>
        </c:scaling>
        <c:delete val="0"/>
        <c:axPos val="l"/>
        <c:numFmt formatCode="0" sourceLinked="0"/>
        <c:majorTickMark val="out"/>
        <c:minorTickMark val="none"/>
        <c:tickLblPos val="nextTo"/>
        <c:spPr>
          <a:noFill/>
          <a:ln w="3175">
            <a:solidFill>
              <a:sysClr val="window" lastClr="FFFFFF">
                <a:lumMod val="50000"/>
              </a:sysClr>
            </a:solidFill>
            <a:round/>
          </a:ln>
          <a:effectLst/>
        </c:spPr>
        <c:txPr>
          <a:bodyPr rot="0"/>
          <a:lstStyle/>
          <a:p>
            <a:pPr>
              <a:defRPr/>
            </a:pPr>
            <a:endParaRPr lang="lv-LV"/>
          </a:p>
        </c:txPr>
        <c:crossAx val="656395856"/>
        <c:crosses val="autoZero"/>
        <c:crossBetween val="between"/>
        <c:majorUnit val="50"/>
      </c:valAx>
      <c:spPr>
        <a:noFill/>
        <a:ln w="24631">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Arial Narrow" panose="020B0606020202030204" pitchFamily="34" charset="0"/>
          <a:ea typeface="Arial"/>
          <a:cs typeface="Arial"/>
        </a:defRPr>
      </a:pPr>
      <a:endParaRPr lang="lv-LV"/>
    </a:p>
  </c:txPr>
  <c:externalData r:id="rId1">
    <c:autoUpdate val="0"/>
  </c:externalData>
</c:chartSpace>
</file>

<file path=word/charts/chart27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5939056398438"/>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A98E-4121-9F31-C773901F5D03}"/>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A98E-4121-9F31-C773901F5D03}"/>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Sheet1!$B$2:$M$2</c:f>
              <c:numCache>
                <c:formatCode>0</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formatCode="General">
                  <c:v>2016</c:v>
                </c:pt>
              </c:numCache>
            </c:numRef>
          </c:cat>
          <c:val>
            <c:numRef>
              <c:f>Sheet1!$B$3:$M$3</c:f>
              <c:numCache>
                <c:formatCode>0.0</c:formatCode>
                <c:ptCount val="12"/>
                <c:pt idx="0">
                  <c:v>0.1584786053882726</c:v>
                </c:pt>
                <c:pt idx="1">
                  <c:v>0.19571487433044912</c:v>
                </c:pt>
                <c:pt idx="2">
                  <c:v>0.36054358879541459</c:v>
                </c:pt>
                <c:pt idx="3">
                  <c:v>0.54302807179015189</c:v>
                </c:pt>
                <c:pt idx="4">
                  <c:v>0.35714285714285715</c:v>
                </c:pt>
                <c:pt idx="5">
                  <c:v>1.0107932156929931</c:v>
                </c:pt>
                <c:pt idx="6">
                  <c:v>1.0055141096334739</c:v>
                </c:pt>
                <c:pt idx="7">
                  <c:v>1.6115770432494654</c:v>
                </c:pt>
                <c:pt idx="8">
                  <c:v>1.889714993804213</c:v>
                </c:pt>
                <c:pt idx="9">
                  <c:v>2.3834507570079451</c:v>
                </c:pt>
                <c:pt idx="10">
                  <c:v>1.8778625954198473</c:v>
                </c:pt>
                <c:pt idx="11">
                  <c:v>3.204383197741989</c:v>
                </c:pt>
              </c:numCache>
            </c:numRef>
          </c:val>
          <c:extLst>
            <c:ext xmlns:c="http://schemas.openxmlformats.org/drawingml/2006/chart" xmlns:c16="http://schemas.microsoft.com/office/drawing/2014/chart" uri="{C3380CC4-5D6E-409C-BE32-E72D297353CC}">
              <c16:uniqueId val="{00000004-A98E-4121-9F31-C773901F5D03}"/>
            </c:ext>
          </c:extLst>
        </c:ser>
        <c:dLbls>
          <c:showLegendKey val="0"/>
          <c:showVal val="0"/>
          <c:showCatName val="0"/>
          <c:showSerName val="0"/>
          <c:showPercent val="0"/>
          <c:showBubbleSize val="0"/>
        </c:dLbls>
        <c:gapWidth val="20"/>
        <c:axId val="656398600"/>
        <c:axId val="656399384"/>
      </c:barChart>
      <c:catAx>
        <c:axId val="656398600"/>
        <c:scaling>
          <c:orientation val="minMax"/>
        </c:scaling>
        <c:delete val="0"/>
        <c:axPos val="b"/>
        <c:numFmt formatCode="0" sourceLinked="1"/>
        <c:majorTickMark val="out"/>
        <c:minorTickMark val="none"/>
        <c:tickLblPos val="low"/>
        <c:txPr>
          <a:bodyPr rot="-5400000" vert="horz"/>
          <a:lstStyle/>
          <a:p>
            <a:pPr>
              <a:defRPr/>
            </a:pPr>
            <a:endParaRPr lang="lv-LV"/>
          </a:p>
        </c:txPr>
        <c:crossAx val="656399384"/>
        <c:crosses val="autoZero"/>
        <c:auto val="1"/>
        <c:lblAlgn val="ctr"/>
        <c:lblOffset val="100"/>
        <c:noMultiLvlLbl val="0"/>
      </c:catAx>
      <c:valAx>
        <c:axId val="656399384"/>
        <c:scaling>
          <c:orientation val="minMax"/>
          <c:max val="4"/>
          <c:min val="0"/>
        </c:scaling>
        <c:delete val="0"/>
        <c:axPos val="l"/>
        <c:numFmt formatCode="0" sourceLinked="0"/>
        <c:majorTickMark val="out"/>
        <c:minorTickMark val="none"/>
        <c:tickLblPos val="nextTo"/>
        <c:crossAx val="656398600"/>
        <c:crosses val="autoZero"/>
        <c:crossBetween val="between"/>
        <c:majorUnit val="1"/>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27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572372897835"/>
          <c:y val="0.044057785459744363"/>
          <c:w val="0.9310540474739486"/>
          <c:h val="0.71166165204959131"/>
        </c:manualLayout>
      </c:layout>
      <c:barChart>
        <c:barDir val="col"/>
        <c:grouping val="clustered"/>
        <c:varyColors val="0"/>
        <c:ser>
          <c:idx val="1"/>
          <c:order val="0"/>
          <c:tx>
            <c:strRef>
              <c:f>Sheet1!$B$3</c:f>
              <c:strCache>
                <c:ptCount val="1"/>
              </c:strCache>
            </c:strRef>
          </c:tx>
          <c:spPr>
            <a:solidFill>
              <a:schemeClr val="accent3">
                <a:lumMod val="50000"/>
              </a:schemeClr>
            </a:solidFill>
            <a:ln w="19050"/>
          </c:spPr>
          <c:invertIfNegative val="0"/>
          <c:dPt>
            <c:idx val="7"/>
            <c:invertIfNegative val="0"/>
            <c:bubble3D val="0"/>
            <c:spPr>
              <a:ln w="19050"/>
            </c:spPr>
            <c:extLst>
              <c:ext xmlns:c="http://schemas.openxmlformats.org/drawingml/2006/chart" xmlns:c16="http://schemas.microsoft.com/office/drawing/2014/chart" uri="{C3380CC4-5D6E-409C-BE32-E72D297353CC}">
                <c16:uniqueId val="{00000001-BC18-4A79-9241-4256A87EC0ED}"/>
              </c:ext>
            </c:extLst>
          </c:dPt>
          <c:dPt>
            <c:idx val="8"/>
            <c:invertIfNegative val="0"/>
            <c:bubble3D val="0"/>
            <c:extLst>
              <c:ext xmlns:c="http://schemas.openxmlformats.org/drawingml/2006/chart" xmlns:c16="http://schemas.microsoft.com/office/drawing/2014/chart" uri="{C3380CC4-5D6E-409C-BE32-E72D297353CC}">
                <c16:uniqueId val="{00000002-BC18-4A79-9241-4256A87EC0ED}"/>
              </c:ext>
            </c:extLst>
          </c:dPt>
          <c:dPt>
            <c:idx val="9"/>
            <c:invertIfNegative val="0"/>
            <c:bubble3D val="0"/>
            <c:extLst>
              <c:ext xmlns:c="http://schemas.openxmlformats.org/drawingml/2006/chart" xmlns:c16="http://schemas.microsoft.com/office/drawing/2014/chart" uri="{C3380CC4-5D6E-409C-BE32-E72D297353CC}">
                <c16:uniqueId val="{00000003-BC18-4A79-9241-4256A87EC0ED}"/>
              </c:ext>
            </c:extLst>
          </c:dPt>
          <c:dPt>
            <c:idx val="11"/>
            <c:invertIfNegative val="0"/>
            <c:bubble3D val="0"/>
            <c:extLst>
              <c:ext xmlns:c="http://schemas.openxmlformats.org/drawingml/2006/chart" xmlns:c16="http://schemas.microsoft.com/office/drawing/2014/chart" uri="{C3380CC4-5D6E-409C-BE32-E72D297353CC}">
                <c16:uniqueId val="{00000004-BC18-4A79-9241-4256A87EC0ED}"/>
              </c:ext>
            </c:extLst>
          </c:dPt>
          <c:dPt>
            <c:idx val="12"/>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6-BC18-4A79-9241-4256A87EC0ED}"/>
              </c:ext>
            </c:extLst>
          </c:dPt>
          <c:dPt>
            <c:idx val="14"/>
            <c:invertIfNegative val="0"/>
            <c:bubble3D val="0"/>
            <c:extLst>
              <c:ext xmlns:c="http://schemas.openxmlformats.org/drawingml/2006/chart" xmlns:c16="http://schemas.microsoft.com/office/drawing/2014/chart" uri="{C3380CC4-5D6E-409C-BE32-E72D297353CC}">
                <c16:uniqueId val="{00000007-BC18-4A79-9241-4256A87EC0ED}"/>
              </c:ext>
            </c:extLst>
          </c:dPt>
          <c:dPt>
            <c:idx val="21"/>
            <c:invertIfNegative val="0"/>
            <c:bubble3D val="0"/>
            <c:extLst>
              <c:ext xmlns:c="http://schemas.openxmlformats.org/drawingml/2006/chart" xmlns:c16="http://schemas.microsoft.com/office/drawing/2014/chart" uri="{C3380CC4-5D6E-409C-BE32-E72D297353CC}">
                <c16:uniqueId val="{00000008-BC18-4A79-9241-4256A87EC0ED}"/>
              </c:ext>
            </c:extLst>
          </c:dPt>
          <c:dPt>
            <c:idx val="25"/>
            <c:invertIfNegative val="0"/>
            <c:bubble3D val="0"/>
            <c:extLst>
              <c:ext xmlns:c="http://schemas.openxmlformats.org/drawingml/2006/chart" xmlns:c16="http://schemas.microsoft.com/office/drawing/2014/chart" uri="{C3380CC4-5D6E-409C-BE32-E72D297353CC}">
                <c16:uniqueId val="{00000009-BC18-4A79-9241-4256A87EC0ED}"/>
              </c:ext>
            </c:extLst>
          </c:dPt>
          <c:dLbls>
            <c:dLbl>
              <c:idx val="7"/>
              <c:spPr>
                <a:noFill/>
                <a:ln>
                  <a:noFill/>
                </a:ln>
                <a:effectLst/>
              </c:spPr>
              <c:txPr>
                <a:bodyPr wrap="square" lIns="38100" tIns="19050" rIns="38100" bIns="19050" anchor="ctr">
                  <a:spAutoFit/>
                </a:bodyPr>
                <a:lstStyle/>
                <a:p>
                  <a:pPr>
                    <a:defRPr sz="600" b="1">
                      <a:solidFill>
                        <a:sysClr val="windowText" lastClr="000000"/>
                      </a:solidFill>
                    </a:defRPr>
                  </a:pPr>
                  <a:endParaRPr lang="lv-LV"/>
                </a:p>
              </c:txPr>
              <c:dLblPos val="outEnd"/>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600">
                    <a:solidFill>
                      <a:sysClr val="windowText" lastClr="000000"/>
                    </a:solidFill>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Sheet1!$A$4:$A$31</c:f>
              <c:strCache>
                <c:ptCount val="28"/>
                <c:pt idx="0">
                  <c:v>DK</c:v>
                </c:pt>
                <c:pt idx="1">
                  <c:v>BE</c:v>
                </c:pt>
                <c:pt idx="2">
                  <c:v>FI</c:v>
                </c:pt>
                <c:pt idx="3">
                  <c:v>EE</c:v>
                </c:pt>
                <c:pt idx="4">
                  <c:v>LU</c:v>
                </c:pt>
                <c:pt idx="5">
                  <c:v>SI</c:v>
                </c:pt>
                <c:pt idx="6">
                  <c:v>NL</c:v>
                </c:pt>
                <c:pt idx="7">
                  <c:v>LV</c:v>
                </c:pt>
                <c:pt idx="8">
                  <c:v>SE</c:v>
                </c:pt>
                <c:pt idx="9">
                  <c:v>EL</c:v>
                </c:pt>
                <c:pt idx="10">
                  <c:v>AT</c:v>
                </c:pt>
                <c:pt idx="11">
                  <c:v>LT</c:v>
                </c:pt>
                <c:pt idx="12">
                  <c:v>EU-28</c:v>
                </c:pt>
                <c:pt idx="13">
                  <c:v>PT</c:v>
                </c:pt>
                <c:pt idx="14">
                  <c:v>FR</c:v>
                </c:pt>
                <c:pt idx="15">
                  <c:v>SP</c:v>
                </c:pt>
                <c:pt idx="16">
                  <c:v>PL</c:v>
                </c:pt>
                <c:pt idx="17">
                  <c:v>HR</c:v>
                </c:pt>
                <c:pt idx="18">
                  <c:v>UK</c:v>
                </c:pt>
                <c:pt idx="19">
                  <c:v>HU</c:v>
                </c:pt>
                <c:pt idx="20">
                  <c:v>CZ</c:v>
                </c:pt>
                <c:pt idx="21">
                  <c:v>DE</c:v>
                </c:pt>
                <c:pt idx="22">
                  <c:v>CY</c:v>
                </c:pt>
                <c:pt idx="23">
                  <c:v>SK</c:v>
                </c:pt>
                <c:pt idx="24">
                  <c:v>RO</c:v>
                </c:pt>
                <c:pt idx="25">
                  <c:v>IT</c:v>
                </c:pt>
                <c:pt idx="26">
                  <c:v>BG</c:v>
                </c:pt>
                <c:pt idx="27">
                  <c:v>IE</c:v>
                </c:pt>
              </c:strCache>
            </c:strRef>
          </c:cat>
          <c:val>
            <c:numRef>
              <c:f>Sheet1!$B$4:$B$31</c:f>
              <c:numCache>
                <c:formatCode>0.0</c:formatCode>
                <c:ptCount val="28"/>
                <c:pt idx="0">
                  <c:v>26.505</c:v>
                </c:pt>
                <c:pt idx="1">
                  <c:v>11.749813849590469</c:v>
                </c:pt>
                <c:pt idx="2">
                  <c:v>10.698602794411178</c:v>
                </c:pt>
                <c:pt idx="3">
                  <c:v>8.0767543859649127</c:v>
                </c:pt>
                <c:pt idx="4">
                  <c:v>7.773109243697478</c:v>
                </c:pt>
                <c:pt idx="5">
                  <c:v>6.223155175197804</c:v>
                </c:pt>
                <c:pt idx="6">
                  <c:v>5.7486956521739137</c:v>
                </c:pt>
                <c:pt idx="7">
                  <c:v>3.204383197741989</c:v>
                </c:pt>
                <c:pt idx="8">
                  <c:v>2.8226170332769316</c:v>
                </c:pt>
                <c:pt idx="9">
                  <c:v>2.5056467399488032</c:v>
                </c:pt>
                <c:pt idx="10">
                  <c:v>2.4291639075732756</c:v>
                </c:pt>
                <c:pt idx="11">
                  <c:v>2.3053110186707944</c:v>
                </c:pt>
                <c:pt idx="12">
                  <c:v>1.9074332749609904</c:v>
                </c:pt>
                <c:pt idx="13">
                  <c:v>1.9005315663001527</c:v>
                </c:pt>
                <c:pt idx="14">
                  <c:v>1.4033275960986804</c:v>
                </c:pt>
                <c:pt idx="15">
                  <c:v>1.3648468708388815</c:v>
                </c:pt>
                <c:pt idx="16">
                  <c:v>1.3495103934031951</c:v>
                </c:pt>
                <c:pt idx="17">
                  <c:v>1.1643409474713358</c:v>
                </c:pt>
                <c:pt idx="18">
                  <c:v>0.98619766463762082</c:v>
                </c:pt>
                <c:pt idx="19">
                  <c:v>0.88823886134198982</c:v>
                </c:pt>
                <c:pt idx="20">
                  <c:v>0.82220316137728222</c:v>
                </c:pt>
                <c:pt idx="21">
                  <c:v>0.70693877551020412</c:v>
                </c:pt>
                <c:pt idx="22">
                  <c:v>0.633147113594041</c:v>
                </c:pt>
                <c:pt idx="23">
                  <c:v>0.60374405585986879</c:v>
                </c:pt>
                <c:pt idx="24">
                  <c:v>0.58948298718515246</c:v>
                </c:pt>
                <c:pt idx="25">
                  <c:v>0.27886017229953614</c:v>
                </c:pt>
                <c:pt idx="26">
                  <c:v>0.1278684781367736</c:v>
                </c:pt>
                <c:pt idx="27">
                  <c:v>0</c:v>
                </c:pt>
              </c:numCache>
            </c:numRef>
          </c:val>
          <c:extLst>
            <c:ext xmlns:c="http://schemas.openxmlformats.org/drawingml/2006/chart" xmlns:c16="http://schemas.microsoft.com/office/drawing/2014/chart" uri="{C3380CC4-5D6E-409C-BE32-E72D297353CC}">
              <c16:uniqueId val="{0000000A-BC18-4A79-9241-4256A87EC0ED}"/>
            </c:ext>
          </c:extLst>
        </c:ser>
        <c:dLbls>
          <c:showLegendKey val="0"/>
          <c:showVal val="0"/>
          <c:showCatName val="0"/>
          <c:showSerName val="0"/>
          <c:showPercent val="0"/>
          <c:showBubbleSize val="0"/>
        </c:dLbls>
        <c:gapWidth val="20"/>
        <c:axId val="656388408"/>
        <c:axId val="656388800"/>
      </c:barChart>
      <c:catAx>
        <c:axId val="656388408"/>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56388800"/>
        <c:crosses val="autoZero"/>
        <c:auto val="1"/>
        <c:lblAlgn val="ctr"/>
        <c:lblOffset val="100"/>
        <c:tickLblSkip val="1"/>
        <c:noMultiLvlLbl val="0"/>
      </c:catAx>
      <c:valAx>
        <c:axId val="656388800"/>
        <c:scaling>
          <c:orientation val="minMax"/>
          <c:min val="0"/>
        </c:scaling>
        <c:delete val="0"/>
        <c:axPos val="l"/>
        <c:numFmt formatCode="0" sourceLinked="0"/>
        <c:majorTickMark val="out"/>
        <c:minorTickMark val="none"/>
        <c:tickLblPos val="nextTo"/>
        <c:txPr>
          <a:bodyPr/>
          <a:lstStyle/>
          <a:p>
            <a:pPr>
              <a:defRPr sz="600"/>
            </a:pPr>
            <a:endParaRPr lang="lv-LV"/>
          </a:p>
        </c:txPr>
        <c:crossAx val="656388408"/>
        <c:crosses val="autoZero"/>
        <c:crossBetween val="between"/>
        <c:majorUnit val="6"/>
      </c:valAx>
    </c:plotArea>
    <c:plotVisOnly val="1"/>
    <c:dispBlanksAs val="gap"/>
    <c:showDLblsOverMax val="0"/>
  </c:chart>
  <c:spPr>
    <a:ln w="9525">
      <a:noFill/>
    </a:ln>
  </c:spPr>
  <c:externalData r:id="rId1">
    <c:autoUpdate val="0"/>
  </c:externalData>
</c:chartSpace>
</file>

<file path=word/charts/chart27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449061330451076"/>
          <c:y val="0.15218914041994749"/>
          <c:w val="0.52181675566416263"/>
          <c:h val="0.709344652230971"/>
        </c:manualLayout>
      </c:layout>
      <c:pieChart>
        <c:varyColors val="1"/>
        <c:ser>
          <c:idx val="0"/>
          <c:order val="0"/>
          <c:tx>
            <c:strRef>
              <c:f>Sheet1!$B$1</c:f>
              <c:strCache>
                <c:ptCount val="1"/>
                <c:pt idx="0">
                  <c:v>Column1</c:v>
                </c:pt>
              </c:strCache>
            </c:strRef>
          </c:tx>
          <c:dPt>
            <c:idx val="0"/>
            <c:bubble3D val="0"/>
            <c:spPr>
              <a:solidFill>
                <a:schemeClr val="accent1"/>
              </a:solidFill>
              <a:ln>
                <a:noFill/>
              </a:ln>
              <a:effectLst/>
            </c:spPr>
            <c:extLst>
              <c:ext xmlns:c="http://schemas.openxmlformats.org/drawingml/2006/chart" xmlns:c16="http://schemas.microsoft.com/office/drawing/2014/chart" uri="{C3380CC4-5D6E-409C-BE32-E72D297353CC}">
                <c16:uniqueId val="{00000001-271D-42B9-A92B-73CDB8EBD31B}"/>
              </c:ext>
            </c:extLst>
          </c:dPt>
          <c:dPt>
            <c:idx val="1"/>
            <c:bubble3D val="0"/>
            <c:spPr>
              <a:solidFill>
                <a:schemeClr val="accent2"/>
              </a:solidFill>
              <a:ln>
                <a:noFill/>
              </a:ln>
              <a:effectLst/>
            </c:spPr>
            <c:extLst>
              <c:ext xmlns:c="http://schemas.openxmlformats.org/drawingml/2006/chart" xmlns:c16="http://schemas.microsoft.com/office/drawing/2014/chart" uri="{C3380CC4-5D6E-409C-BE32-E72D297353CC}">
                <c16:uniqueId val="{00000003-271D-42B9-A92B-73CDB8EBD31B}"/>
              </c:ext>
            </c:extLst>
          </c:dPt>
          <c:dPt>
            <c:idx val="2"/>
            <c:bubble3D val="0"/>
            <c:spPr>
              <a:solidFill>
                <a:schemeClr val="accent3"/>
              </a:solidFill>
              <a:ln>
                <a:noFill/>
              </a:ln>
              <a:effectLst/>
            </c:spPr>
            <c:extLst>
              <c:ext xmlns:c="http://schemas.openxmlformats.org/drawingml/2006/chart" xmlns:c16="http://schemas.microsoft.com/office/drawing/2014/chart" uri="{C3380CC4-5D6E-409C-BE32-E72D297353CC}">
                <c16:uniqueId val="{00000005-271D-42B9-A92B-73CDB8EBD31B}"/>
              </c:ext>
            </c:extLst>
          </c:dPt>
          <c:dPt>
            <c:idx val="3"/>
            <c:bubble3D val="0"/>
            <c:spPr>
              <a:solidFill>
                <a:schemeClr val="accent4"/>
              </a:solidFill>
              <a:ln>
                <a:noFill/>
              </a:ln>
              <a:effectLst/>
            </c:spPr>
            <c:extLst>
              <c:ext xmlns:c="http://schemas.openxmlformats.org/drawingml/2006/chart" xmlns:c16="http://schemas.microsoft.com/office/drawing/2014/chart" uri="{C3380CC4-5D6E-409C-BE32-E72D297353CC}">
                <c16:uniqueId val="{00000007-271D-42B9-A92B-73CDB8EBD31B}"/>
              </c:ext>
            </c:extLst>
          </c:dPt>
          <c:dPt>
            <c:idx val="4"/>
            <c:bubble3D val="0"/>
            <c:spPr>
              <a:solidFill>
                <a:schemeClr val="accent5"/>
              </a:solidFill>
              <a:ln>
                <a:noFill/>
              </a:ln>
              <a:effectLst/>
            </c:spPr>
            <c:extLst>
              <c:ext xmlns:c="http://schemas.openxmlformats.org/drawingml/2006/chart" xmlns:c16="http://schemas.microsoft.com/office/drawing/2014/chart" uri="{C3380CC4-5D6E-409C-BE32-E72D297353CC}">
                <c16:uniqueId val="{00000009-271D-42B9-A92B-73CDB8EBD31B}"/>
              </c:ext>
            </c:extLst>
          </c:dPt>
          <c:dPt>
            <c:idx val="5"/>
            <c:bubble3D val="0"/>
            <c:spPr>
              <a:solidFill>
                <a:schemeClr val="accent6"/>
              </a:solidFill>
              <a:ln>
                <a:noFill/>
              </a:ln>
              <a:effectLst/>
            </c:spPr>
            <c:extLst>
              <c:ext xmlns:c="http://schemas.openxmlformats.org/drawingml/2006/chart" xmlns:c16="http://schemas.microsoft.com/office/drawing/2014/chart" uri="{C3380CC4-5D6E-409C-BE32-E72D297353CC}">
                <c16:uniqueId val="{0000000B-271D-42B9-A92B-73CDB8EBD31B}"/>
              </c:ext>
            </c:extLst>
          </c:dPt>
          <c:dPt>
            <c:idx val="6"/>
            <c:bubble3D val="0"/>
            <c:spPr>
              <a:solidFill>
                <a:schemeClr val="accent1">
                  <a:lumMod val="60000"/>
                </a:schemeClr>
              </a:solidFill>
              <a:ln>
                <a:noFill/>
              </a:ln>
              <a:effectLst/>
            </c:spPr>
            <c:extLst>
              <c:ext xmlns:c="http://schemas.openxmlformats.org/drawingml/2006/chart" xmlns:c16="http://schemas.microsoft.com/office/drawing/2014/chart" uri="{C3380CC4-5D6E-409C-BE32-E72D297353CC}">
                <c16:uniqueId val="{0000000D-271D-42B9-A92B-73CDB8EBD31B}"/>
              </c:ext>
            </c:extLst>
          </c:dPt>
          <c:dLbls>
            <c:dLbl>
              <c:idx val="2"/>
              <c:layout>
                <c:manualLayout>
                  <c:x val="-0.0070559181513494447"/>
                  <c:y val="-0.10213556174558965"/>
                </c:manualLayout>
              </c:layout>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5-271D-42B9-A92B-73CDB8EBD31B}"/>
                </c:ext>
                <c:ext xmlns:c15="http://schemas.microsoft.com/office/drawing/2012/chart" uri="{CE6537A1-D6FC-4f65-9D91-7224C49458BB}"/>
              </c:extLst>
            </c:dLbl>
            <c:dLbl>
              <c:idx val="3"/>
              <c:layout>
                <c:manualLayout>
                  <c:x val="-0.0035279590756747223"/>
                  <c:y val="-0.074280408542246934"/>
                </c:manualLayout>
              </c:layout>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7-271D-42B9-A92B-73CDB8EBD31B}"/>
                </c:ext>
                <c:ext xmlns:c15="http://schemas.microsoft.com/office/drawing/2012/chart" uri="{CE6537A1-D6FC-4f65-9D91-7224C49458BB}"/>
              </c:extLst>
            </c:dLbl>
            <c:dLbl>
              <c:idx val="4"/>
              <c:layout>
                <c:manualLayout>
                  <c:x val="0.0070559181513494447"/>
                  <c:y val="-0.055709940853493678"/>
                </c:manualLayout>
              </c:layout>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9-271D-42B9-A92B-73CDB8EBD31B}"/>
                </c:ext>
                <c:ext xmlns:c15="http://schemas.microsoft.com/office/drawing/2012/chart" uri="{CE6537A1-D6FC-4f65-9D91-7224C49458BB}">
                  <c15:layout>
                    <c:manualLayout>
                      <c:w val="0.29271476450873168"/>
                      <c:h val="0.20919220055710303"/>
                    </c:manualLayout>
                  </c15:layout>
                </c:ext>
              </c:extLst>
            </c:dLbl>
            <c:dLbl>
              <c:idx val="5"/>
              <c:layout>
                <c:manualLayout>
                  <c:x val="0.021167754454048334"/>
                  <c:y val="-0.018570102135561744"/>
                </c:manualLayout>
              </c:layout>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B-271D-42B9-A92B-73CDB8EBD31B}"/>
                </c:ext>
                <c:ext xmlns:c15="http://schemas.microsoft.com/office/drawing/2012/chart" uri="{CE6537A1-D6FC-4f65-9D91-7224C49458BB}"/>
              </c:extLst>
            </c:dLbl>
            <c:dLbl>
              <c:idx val="7"/>
              <c:layout>
                <c:manualLayout>
                  <c:x val="-0.0035279590756747223"/>
                  <c:y val="0.027855153203342448"/>
                </c:manualLayout>
              </c:layout>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E-271D-42B9-A92B-73CDB8EBD31B}"/>
                </c:ext>
                <c:ext xmlns:c15="http://schemas.microsoft.com/office/drawing/2012/chart" uri="{CE6537A1-D6FC-4f65-9D91-7224C49458BB}"/>
              </c:extLst>
            </c:dLbl>
            <c:dLbl>
              <c:idx val="8"/>
              <c:spPr>
                <a:noFill/>
                <a:ln>
                  <a:noFill/>
                </a:ln>
                <a:effectLst/>
              </c:spPr>
              <c:txPr>
                <a:bodyPr wrap="square" lIns="38100" tIns="19050" rIns="38100" bIns="19050" anchor="ctr"/>
                <a:lstStyle/>
                <a:p>
                  <a:pPr>
                    <a:defRPr/>
                  </a:pPr>
                  <a:endParaRPr lang="lv-LV"/>
                </a:p>
              </c:txPr>
              <c:dLblPos val="outEnd"/>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F-271D-42B9-A92B-73CDB8EBD31B}"/>
                </c:ex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Sheet1!$A$2:$A$10</c:f>
              <c:strCache>
                <c:ptCount val="9"/>
                <c:pt idx="0">
                  <c:v>Lietuva</c:v>
                </c:pt>
                <c:pt idx="1">
                  <c:v>Zviedrija</c:v>
                </c:pt>
                <c:pt idx="2">
                  <c:v>Norvēģija</c:v>
                </c:pt>
                <c:pt idx="3">
                  <c:v>Igaunija</c:v>
                </c:pt>
                <c:pt idx="4">
                  <c:v>Apvienotā Karaliste</c:v>
                </c:pt>
                <c:pt idx="5">
                  <c:v>Krievija</c:v>
                </c:pt>
                <c:pt idx="6">
                  <c:v>Vācija</c:v>
                </c:pt>
                <c:pt idx="7">
                  <c:v>Francija</c:v>
                </c:pt>
                <c:pt idx="8">
                  <c:v>Citas valstis</c:v>
                </c:pt>
              </c:strCache>
            </c:strRef>
          </c:cat>
          <c:val>
            <c:numRef>
              <c:f>Sheet1!$B$2:$B$10</c:f>
              <c:numCache>
                <c:formatCode>0</c:formatCode>
                <c:ptCount val="9"/>
                <c:pt idx="0">
                  <c:v>50.4</c:v>
                </c:pt>
                <c:pt idx="1">
                  <c:v>17.1</c:v>
                </c:pt>
                <c:pt idx="2">
                  <c:v>6.2</c:v>
                </c:pt>
                <c:pt idx="3">
                  <c:v>3.1</c:v>
                </c:pt>
                <c:pt idx="4">
                  <c:v>3.1</c:v>
                </c:pt>
                <c:pt idx="5">
                  <c:v>3.1</c:v>
                </c:pt>
                <c:pt idx="6" formatCode="0.000">
                  <c:v>2.3</c:v>
                </c:pt>
                <c:pt idx="7" formatCode="0.000">
                  <c:v>2.3</c:v>
                </c:pt>
                <c:pt idx="8">
                  <c:v>12.40000000000002</c:v>
                </c:pt>
              </c:numCache>
            </c:numRef>
          </c:val>
          <c:extLst>
            <c:ext xmlns:c="http://schemas.openxmlformats.org/drawingml/2006/chart" xmlns:c16="http://schemas.microsoft.com/office/drawing/2014/chart" uri="{C3380CC4-5D6E-409C-BE32-E72D297353CC}">
              <c16:uniqueId val="{00000010-271D-42B9-A92B-73CDB8EBD31B}"/>
            </c:ext>
          </c:extLst>
        </c:ser>
        <c:dLbls>
          <c:showLegendKey val="0"/>
          <c:showVal val="0"/>
          <c:showCatName val="0"/>
          <c:showSerName val="0"/>
          <c:showPercent val="0"/>
          <c:showBubbleSize val="0"/>
          <c:showLeaderLines val="0"/>
        </c:dLbls>
        <c:firstSliceAng val="180"/>
      </c:pieChart>
      <c:spPr>
        <a:noFill/>
        <a:ln>
          <a:noFill/>
        </a:ln>
        <a:effectLst/>
      </c:spPr>
    </c:plotArea>
    <c:plotVisOnly val="1"/>
    <c:dispBlanksAs val="zero"/>
    <c:showDLblsOverMax val="0"/>
  </c:chart>
  <c:spPr>
    <a:noFill/>
    <a:ln w="9525">
      <a:noFill/>
      <a:round/>
    </a:ln>
    <a:effectLst/>
  </c:spPr>
  <c:txPr>
    <a:bodyPr/>
    <a:lstStyle/>
    <a:p>
      <a:pPr>
        <a:defRPr sz="800">
          <a:latin typeface="Candara" panose="020E0502030303020204" pitchFamily="34" charset="0"/>
        </a:defRPr>
      </a:pPr>
      <a:endParaRPr lang="lv-LV"/>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73546128124922"/>
          <c:y val="0.048706240487062395"/>
          <c:w val="0.84631315184653555"/>
          <c:h val="0.73779794474843186"/>
        </c:manualLayout>
      </c:layout>
      <c:lineChart>
        <c:grouping val="standard"/>
        <c:varyColors val="0"/>
        <c:ser>
          <c:idx val="0"/>
          <c:order val="0"/>
          <c:tx>
            <c:strRef>
              <c:f>Sheet1!$A$2</c:f>
              <c:strCache>
                <c:ptCount val="1"/>
                <c:pt idx="0">
                  <c:v>Nodarbinātie</c:v>
                </c:pt>
              </c:strCache>
            </c:strRef>
          </c:tx>
          <c:spPr>
            <a:ln w="19050">
              <a:solidFill>
                <a:srgbClr val="0070C0"/>
              </a:solidFill>
              <a:prstDash val="dash"/>
            </a:ln>
          </c:spPr>
          <c:marker>
            <c:symbol val="none"/>
          </c:marker>
          <c:cat>
            <c:numRef>
              <c:f>Sheet1!$B$1:$L$1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Sheet1!$B$2:$L$2</c:f>
              <c:numCache>
                <c:formatCode>0.0</c:formatCode>
                <c:ptCount val="11"/>
                <c:pt idx="0">
                  <c:v>101.51515151515152</c:v>
                </c:pt>
                <c:pt idx="1">
                  <c:v>104.89510489510489</c:v>
                </c:pt>
                <c:pt idx="2">
                  <c:v>111.38306138306137</c:v>
                </c:pt>
                <c:pt idx="3">
                  <c:v>105.90520590520589</c:v>
                </c:pt>
                <c:pt idx="4">
                  <c:v>99.999999999999986</c:v>
                </c:pt>
                <c:pt idx="5">
                  <c:v>109.63480963480961</c:v>
                </c:pt>
                <c:pt idx="6">
                  <c:v>116.00621600621598</c:v>
                </c:pt>
                <c:pt idx="7">
                  <c:v>115.96736596736594</c:v>
                </c:pt>
                <c:pt idx="8">
                  <c:v>116.89976689976687</c:v>
                </c:pt>
                <c:pt idx="9">
                  <c:v>119.96891996891995</c:v>
                </c:pt>
                <c:pt idx="10">
                  <c:v>109.16860916860915</c:v>
                </c:pt>
              </c:numCache>
            </c:numRef>
          </c:val>
          <c:smooth val="0"/>
          <c:extLst>
            <c:ext xmlns:c="http://schemas.openxmlformats.org/drawingml/2006/chart" xmlns:c16="http://schemas.microsoft.com/office/drawing/2014/chart" uri="{C3380CC4-5D6E-409C-BE32-E72D297353CC}">
              <c16:uniqueId val="{00000000-B022-4D74-A83F-2DAA3A284459}"/>
            </c:ext>
          </c:extLst>
        </c:ser>
        <c:ser>
          <c:idx val="1"/>
          <c:order val="1"/>
          <c:tx>
            <c:strRef>
              <c:f>Sheet1!$A$3</c:f>
              <c:strCache>
                <c:ptCount val="1"/>
                <c:pt idx="0">
                  <c:v>Ražošanas apjomi</c:v>
                </c:pt>
              </c:strCache>
            </c:strRef>
          </c:tx>
          <c:marker>
            <c:symbol val="none"/>
          </c:marker>
          <c:cat>
            <c:numRef>
              <c:f>Sheet1!$B$1:$L$1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Sheet1!$B$3:$L$3</c:f>
              <c:numCache>
                <c:formatCode>0.0</c:formatCode>
                <c:ptCount val="11"/>
                <c:pt idx="0">
                  <c:v>118.38842975206612</c:v>
                </c:pt>
                <c:pt idx="1">
                  <c:v>141.73553719008262</c:v>
                </c:pt>
                <c:pt idx="2">
                  <c:v>140.70247933884295</c:v>
                </c:pt>
                <c:pt idx="3">
                  <c:v>156.198347107438</c:v>
                </c:pt>
                <c:pt idx="4">
                  <c:v>165.49586776859502</c:v>
                </c:pt>
                <c:pt idx="5">
                  <c:v>156.198347107438</c:v>
                </c:pt>
                <c:pt idx="6">
                  <c:v>165.28925619834712</c:v>
                </c:pt>
                <c:pt idx="7">
                  <c:v>176.65289256198349</c:v>
                </c:pt>
                <c:pt idx="8">
                  <c:v>159.50413223140498</c:v>
                </c:pt>
                <c:pt idx="9">
                  <c:v>170.04132231404961</c:v>
                </c:pt>
                <c:pt idx="10" formatCode="General">
                  <c:v>171.28099173553724</c:v>
                </c:pt>
              </c:numCache>
            </c:numRef>
          </c:val>
          <c:smooth val="0"/>
          <c:extLst>
            <c:ext xmlns:c="http://schemas.openxmlformats.org/drawingml/2006/chart" xmlns:c16="http://schemas.microsoft.com/office/drawing/2014/chart" uri="{C3380CC4-5D6E-409C-BE32-E72D297353CC}">
              <c16:uniqueId val="{00000001-B022-4D74-A83F-2DAA3A284459}"/>
            </c:ext>
          </c:extLst>
        </c:ser>
        <c:dLbls>
          <c:showLegendKey val="0"/>
          <c:showVal val="0"/>
          <c:showCatName val="0"/>
          <c:showSerName val="0"/>
          <c:showPercent val="0"/>
          <c:showBubbleSize val="0"/>
        </c:dLbls>
        <c:smooth val="0"/>
        <c:axId val="629838888"/>
        <c:axId val="629831048"/>
      </c:lineChart>
      <c:catAx>
        <c:axId val="629838888"/>
        <c:scaling>
          <c:orientation val="minMax"/>
        </c:scaling>
        <c:delete val="0"/>
        <c:axPos val="b"/>
        <c:numFmt formatCode="General" sourceLinked="1"/>
        <c:majorTickMark val="cross"/>
        <c:minorTickMark val="none"/>
        <c:tickLblPos val="nextTo"/>
        <c:spPr>
          <a:ln w="6350">
            <a:solidFill>
              <a:srgbClr val="000000"/>
            </a:solidFill>
          </a:ln>
        </c:spPr>
        <c:txPr>
          <a:bodyPr rot="-5400000" vert="horz"/>
          <a:lstStyle/>
          <a:p>
            <a:pPr>
              <a:defRPr sz="700" b="0" i="0" u="none" strike="noStrike" baseline="0">
                <a:solidFill>
                  <a:srgbClr val="000000"/>
                </a:solidFill>
                <a:latin typeface="Arial Narrow" pitchFamily="34" charset="0"/>
                <a:ea typeface="Times New Roman"/>
                <a:cs typeface="Times New Roman" pitchFamily="18" charset="0"/>
              </a:defRPr>
            </a:pPr>
            <a:endParaRPr lang="lv-LV"/>
          </a:p>
        </c:txPr>
        <c:crossAx val="629831048"/>
        <c:crosses val="autoZero"/>
        <c:auto val="1"/>
        <c:lblAlgn val="ctr"/>
        <c:lblOffset val="0"/>
        <c:noMultiLvlLbl val="0"/>
      </c:catAx>
      <c:valAx>
        <c:axId val="629831048"/>
        <c:scaling>
          <c:orientation val="minMax"/>
          <c:min val="75"/>
        </c:scaling>
        <c:delete val="0"/>
        <c:axPos val="l"/>
        <c:numFmt formatCode="0" sourceLinked="0"/>
        <c:majorTickMark val="cross"/>
        <c:minorTickMark val="none"/>
        <c:tickLblPos val="nextTo"/>
        <c:spPr>
          <a:ln w="6350">
            <a:solidFill>
              <a:sysClr val="windowText" lastClr="000000"/>
            </a:solidFill>
          </a:ln>
        </c:spPr>
        <c:txPr>
          <a:bodyPr rot="0" vert="horz"/>
          <a:lstStyle/>
          <a:p>
            <a:pPr>
              <a:defRPr sz="700" b="0" i="0" u="none" strike="noStrike" baseline="0">
                <a:solidFill>
                  <a:srgbClr val="000000"/>
                </a:solidFill>
                <a:latin typeface="Arial Narrow" pitchFamily="34" charset="0"/>
                <a:ea typeface="Times New Roman"/>
                <a:cs typeface="Times New Roman"/>
              </a:defRPr>
            </a:pPr>
            <a:endParaRPr lang="lv-LV"/>
          </a:p>
        </c:txPr>
        <c:crossAx val="629838888"/>
        <c:crosses val="autoZero"/>
        <c:crossBetween val="between"/>
        <c:majorUnit val="25"/>
      </c:valAx>
      <c:spPr>
        <a:solidFill>
          <a:sysClr val="window" lastClr="FFFFFF"/>
        </a:solidFill>
        <a:ln w="6350">
          <a:noFill/>
        </a:ln>
      </c:spPr>
    </c:plotArea>
    <c:legend>
      <c:legendPos val="t"/>
      <c:layout>
        <c:manualLayout>
          <c:xMode val="edge"/>
          <c:yMode val="edge"/>
          <c:x val="0.031695229272811494"/>
          <c:y val="0.019901694106418517"/>
          <c:w val="0.65805884790716951"/>
          <c:h val="0.19964223582144541"/>
        </c:manualLayout>
      </c:layout>
      <c:overlay val="0"/>
      <c:txPr>
        <a:bodyPr/>
        <a:lstStyle/>
        <a:p>
          <a:pPr>
            <a:defRPr sz="700" b="0">
              <a:latin typeface="Arial Narrow" pitchFamily="34" charset="0"/>
            </a:defRPr>
          </a:pPr>
          <a:endParaRPr lang="lv-LV"/>
        </a:p>
      </c:txPr>
    </c:legend>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28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A4D2-47F8-BF3D-B57F1C663977}"/>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A4D2-47F8-BF3D-B57F1C663977}"/>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Sheet1!$B$2:$L$2</c:f>
              <c:numCache>
                <c:formatCode>0</c:formatCode>
                <c:ptCount val="11"/>
                <c:pt idx="0">
                  <c:v>2006</c:v>
                </c:pt>
                <c:pt idx="1">
                  <c:v>2007</c:v>
                </c:pt>
                <c:pt idx="2">
                  <c:v>2008</c:v>
                </c:pt>
                <c:pt idx="3">
                  <c:v>2009</c:v>
                </c:pt>
                <c:pt idx="4">
                  <c:v>2010</c:v>
                </c:pt>
                <c:pt idx="5">
                  <c:v>2011</c:v>
                </c:pt>
                <c:pt idx="6">
                  <c:v>2012</c:v>
                </c:pt>
                <c:pt idx="7">
                  <c:v>2013</c:v>
                </c:pt>
                <c:pt idx="8">
                  <c:v>2014</c:v>
                </c:pt>
                <c:pt idx="9" formatCode="General">
                  <c:v>2015</c:v>
                </c:pt>
                <c:pt idx="10" formatCode="General">
                  <c:v>2016</c:v>
                </c:pt>
              </c:numCache>
            </c:numRef>
          </c:cat>
          <c:val>
            <c:numRef>
              <c:f>Sheet1!$B$3:$L$3</c:f>
              <c:numCache>
                <c:formatCode>0.0</c:formatCode>
                <c:ptCount val="11"/>
                <c:pt idx="0">
                  <c:v>9.116847826086957</c:v>
                </c:pt>
                <c:pt idx="1">
                  <c:v>14.02764881873517</c:v>
                </c:pt>
                <c:pt idx="2">
                  <c:v>14.362058146831206</c:v>
                </c:pt>
                <c:pt idx="3">
                  <c:v>11.630417526591522</c:v>
                </c:pt>
                <c:pt idx="4">
                  <c:v>11.024503183484468</c:v>
                </c:pt>
                <c:pt idx="5">
                  <c:v>10.876635514018691</c:v>
                </c:pt>
                <c:pt idx="6">
                  <c:v>12.467332820906995</c:v>
                </c:pt>
                <c:pt idx="7">
                  <c:v>13.223363980530017</c:v>
                </c:pt>
                <c:pt idx="8">
                  <c:v>14.56571328303211</c:v>
                </c:pt>
                <c:pt idx="9">
                  <c:v>15.58674393335748</c:v>
                </c:pt>
                <c:pt idx="10">
                  <c:v>17.123036115078555</c:v>
                </c:pt>
              </c:numCache>
            </c:numRef>
          </c:val>
          <c:extLst>
            <c:ext xmlns:c="http://schemas.openxmlformats.org/drawingml/2006/chart" xmlns:c16="http://schemas.microsoft.com/office/drawing/2014/chart" uri="{C3380CC4-5D6E-409C-BE32-E72D297353CC}">
              <c16:uniqueId val="{00000004-A4D2-47F8-BF3D-B57F1C663977}"/>
            </c:ext>
          </c:extLst>
        </c:ser>
        <c:dLbls>
          <c:showLegendKey val="0"/>
          <c:showVal val="0"/>
          <c:showCatName val="0"/>
          <c:showSerName val="0"/>
          <c:showPercent val="0"/>
          <c:showBubbleSize val="0"/>
        </c:dLbls>
        <c:gapWidth val="20"/>
        <c:axId val="656400952"/>
        <c:axId val="656403304"/>
      </c:barChart>
      <c:catAx>
        <c:axId val="656400952"/>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56403304"/>
        <c:crosses val="autoZero"/>
        <c:auto val="1"/>
        <c:lblAlgn val="ctr"/>
        <c:lblOffset val="100"/>
        <c:noMultiLvlLbl val="0"/>
      </c:catAx>
      <c:valAx>
        <c:axId val="656403304"/>
        <c:scaling>
          <c:orientation val="minMax"/>
          <c:max val="25"/>
          <c:min val="0"/>
        </c:scaling>
        <c:delete val="0"/>
        <c:axPos val="l"/>
        <c:numFmt formatCode="0" sourceLinked="0"/>
        <c:majorTickMark val="out"/>
        <c:minorTickMark val="none"/>
        <c:tickLblPos val="nextTo"/>
        <c:crossAx val="656400952"/>
        <c:crosses val="autoZero"/>
        <c:crossBetween val="between"/>
        <c:majorUnit val="5"/>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28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9D83-43D4-9F75-15F6AE472DD3}"/>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9D83-43D4-9F75-15F6AE472DD3}"/>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Sheet1!$B$2:$L$2</c:f>
              <c:numCache>
                <c:formatCode>0</c:formatCode>
                <c:ptCount val="11"/>
                <c:pt idx="0">
                  <c:v>2006</c:v>
                </c:pt>
                <c:pt idx="1">
                  <c:v>2007</c:v>
                </c:pt>
                <c:pt idx="2">
                  <c:v>2008</c:v>
                </c:pt>
                <c:pt idx="3">
                  <c:v>2009</c:v>
                </c:pt>
                <c:pt idx="4">
                  <c:v>2010</c:v>
                </c:pt>
                <c:pt idx="5">
                  <c:v>2011</c:v>
                </c:pt>
                <c:pt idx="6">
                  <c:v>2012</c:v>
                </c:pt>
                <c:pt idx="7">
                  <c:v>2013</c:v>
                </c:pt>
                <c:pt idx="8">
                  <c:v>2014</c:v>
                </c:pt>
                <c:pt idx="9" formatCode="General">
                  <c:v>2015</c:v>
                </c:pt>
                <c:pt idx="10" formatCode="General">
                  <c:v>2016</c:v>
                </c:pt>
              </c:numCache>
            </c:numRef>
          </c:cat>
          <c:val>
            <c:numRef>
              <c:f>Sheet1!$B$3:$L$3</c:f>
              <c:numCache>
                <c:formatCode>0.0</c:formatCode>
                <c:ptCount val="11"/>
                <c:pt idx="0">
                  <c:v>17.609188298310674</c:v>
                </c:pt>
                <c:pt idx="1">
                  <c:v>18.646574835906442</c:v>
                </c:pt>
                <c:pt idx="2">
                  <c:v>18.006442705936493</c:v>
                </c:pt>
                <c:pt idx="3">
                  <c:v>16.630494505494507</c:v>
                </c:pt>
                <c:pt idx="4">
                  <c:v>13.640568785334933</c:v>
                </c:pt>
                <c:pt idx="5">
                  <c:v>16.759649691858581</c:v>
                </c:pt>
                <c:pt idx="6">
                  <c:v>18.480513073507645</c:v>
                </c:pt>
                <c:pt idx="7">
                  <c:v>18.046778190830235</c:v>
                </c:pt>
                <c:pt idx="8">
                  <c:v>18.412531854294709</c:v>
                </c:pt>
                <c:pt idx="9">
                  <c:v>18.422900763358779</c:v>
                </c:pt>
                <c:pt idx="10">
                  <c:v>16.438651834633905</c:v>
                </c:pt>
              </c:numCache>
            </c:numRef>
          </c:val>
          <c:extLst>
            <c:ext xmlns:c="http://schemas.openxmlformats.org/drawingml/2006/chart" xmlns:c16="http://schemas.microsoft.com/office/drawing/2014/chart" uri="{C3380CC4-5D6E-409C-BE32-E72D297353CC}">
              <c16:uniqueId val="{00000004-9D83-43D4-9F75-15F6AE472DD3}"/>
            </c:ext>
          </c:extLst>
        </c:ser>
        <c:dLbls>
          <c:showLegendKey val="0"/>
          <c:showVal val="0"/>
          <c:showCatName val="0"/>
          <c:showSerName val="0"/>
          <c:showPercent val="0"/>
          <c:showBubbleSize val="0"/>
        </c:dLbls>
        <c:gapWidth val="20"/>
        <c:axId val="656403696"/>
        <c:axId val="656409576"/>
      </c:barChart>
      <c:catAx>
        <c:axId val="656403696"/>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56409576"/>
        <c:crosses val="autoZero"/>
        <c:auto val="1"/>
        <c:lblAlgn val="ctr"/>
        <c:lblOffset val="100"/>
        <c:noMultiLvlLbl val="0"/>
      </c:catAx>
      <c:valAx>
        <c:axId val="656409576"/>
        <c:scaling>
          <c:orientation val="minMax"/>
          <c:max val="25"/>
          <c:min val="0"/>
        </c:scaling>
        <c:delete val="0"/>
        <c:axPos val="l"/>
        <c:numFmt formatCode="0" sourceLinked="0"/>
        <c:majorTickMark val="out"/>
        <c:minorTickMark val="none"/>
        <c:tickLblPos val="nextTo"/>
        <c:crossAx val="656403696"/>
        <c:crosses val="autoZero"/>
        <c:crossBetween val="between"/>
        <c:majorUnit val="5"/>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28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21982303758424"/>
          <c:y val="0.057971014492753624"/>
          <c:w val="0.665457152907433"/>
          <c:h val="0.726718711443121"/>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marker>
              <c:spPr>
                <a:solidFill>
                  <a:srgbClr val="002060"/>
                </a:solidFill>
                <a:ln w="6350">
                  <a:solidFill>
                    <a:sysClr val="windowText" lastClr="000000"/>
                  </a:solidFill>
                </a:ln>
              </c:spPr>
            </c:marker>
            <c:extLst>
              <c:ext xmlns:c="http://schemas.openxmlformats.org/drawingml/2006/chart" xmlns:c16="http://schemas.microsoft.com/office/drawing/2014/chart" uri="{C3380CC4-5D6E-409C-BE32-E72D297353CC}">
                <c16:uniqueId val="{00000000-85D2-4C37-B16B-87FF050F1A77}"/>
              </c:ext>
            </c:extLst>
          </c:dPt>
          <c:dLbls>
            <c:dLbl>
              <c:idx val="0"/>
              <c:layout>
                <c:manualLayout>
                  <c:x val="-0.23649701003869356"/>
                  <c:y val="0.016686183457837"/>
                </c:manualLayout>
              </c:layout>
              <c:tx>
                <c:rich>
                  <a:bodyPr vertOverflow="clip"/>
                  <a:lstStyle/>
                  <a:p>
                    <a:r>
                      <a:rPr lang="en-US"/>
                      <a:t>2005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85D2-4C37-B16B-87FF050F1A77}"/>
                </c:ext>
                <c:ext xmlns:c15="http://schemas.microsoft.com/office/drawing/2012/chart" uri="{CE6537A1-D6FC-4f65-9D91-7224C49458BB}"/>
              </c:extLst>
            </c:dLbl>
            <c:dLbl>
              <c:idx val="1"/>
              <c:layout>
                <c:manualLayout>
                  <c:x val="0.027496279459912745"/>
                  <c:y val="-0.19972138098122355"/>
                </c:manualLayout>
              </c:layout>
              <c:tx>
                <c:rich>
                  <a:bodyPr vertOverflow="clip"/>
                  <a:lstStyle/>
                  <a:p>
                    <a:r>
                      <a:rPr lang="en-US"/>
                      <a:t>2007</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85D2-4C37-B16B-87FF050F1A77}"/>
                </c:ext>
                <c:ext xmlns:c15="http://schemas.microsoft.com/office/drawing/2012/chart" uri="{CE6537A1-D6FC-4f65-9D91-7224C49458BB}"/>
              </c:extLst>
            </c:dLbl>
            <c:dLbl>
              <c:idx val="2"/>
              <c:layout>
                <c:manualLayout>
                  <c:x val="-0.42947208918472818"/>
                  <c:y val="-0.095692397424680886"/>
                </c:manualLayout>
              </c:layout>
              <c:tx>
                <c:rich>
                  <a:bodyPr vertOverflow="clip"/>
                  <a:lstStyle/>
                  <a:p>
                    <a:r>
                      <a:rPr lang="en-US"/>
                      <a:t>2010</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85D2-4C37-B16B-87FF050F1A77}"/>
                </c:ext>
                <c:ext xmlns:c15="http://schemas.microsoft.com/office/drawing/2012/chart" uri="{CE6537A1-D6FC-4f65-9D91-7224C49458BB}"/>
              </c:extLst>
            </c:dLbl>
            <c:dLbl>
              <c:idx val="3"/>
              <c:layout>
                <c:manualLayout>
                  <c:x val="-0.20646805747219749"/>
                  <c:y val="0.0091168091168091162"/>
                </c:manualLayout>
              </c:layout>
              <c:tx>
                <c:rich>
                  <a:bodyPr vertOverflow="clip"/>
                  <a:lstStyle/>
                  <a:p>
                    <a:r>
                      <a:rPr lang="en-US"/>
                      <a:t>2008</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85D2-4C37-B16B-87FF050F1A77}"/>
                </c:ext>
                <c:ext xmlns:c15="http://schemas.microsoft.com/office/drawing/2012/chart" uri="{CE6537A1-D6FC-4f65-9D91-7224C49458BB}"/>
              </c:extLst>
            </c:dLbl>
            <c:dLbl>
              <c:idx val="4"/>
              <c:delete val="1"/>
              <c:extLst>
                <c:ext xmlns:c="http://schemas.openxmlformats.org/drawingml/2006/chart" xmlns:c16="http://schemas.microsoft.com/office/drawing/2014/chart" uri="{C3380CC4-5D6E-409C-BE32-E72D297353CC}">
                  <c16:uniqueId val="{00000005-85D2-4C37-B16B-87FF050F1A77}"/>
                </c:ext>
                <c:ext xmlns:c15="http://schemas.microsoft.com/office/drawing/2012/chart" uri="{CE6537A1-D6FC-4f65-9D91-7224C49458BB}"/>
              </c:extLst>
            </c:dLbl>
            <c:dLbl>
              <c:idx val="5"/>
              <c:delete val="1"/>
              <c:extLst>
                <c:ext xmlns:c="http://schemas.openxmlformats.org/drawingml/2006/chart" xmlns:c16="http://schemas.microsoft.com/office/drawing/2014/chart" uri="{C3380CC4-5D6E-409C-BE32-E72D297353CC}">
                  <c16:uniqueId val="{00000000-85D2-4C37-B16B-87FF050F1A77}"/>
                </c:ext>
                <c:ext xmlns:c15="http://schemas.microsoft.com/office/drawing/2012/chart" uri="{CE6537A1-D6FC-4f65-9D91-7224C49458BB}"/>
              </c:extLst>
            </c:dLbl>
            <c:dLbl>
              <c:idx val="6"/>
              <c:delete val="1"/>
              <c:extLst>
                <c:ext xmlns:c="http://schemas.openxmlformats.org/drawingml/2006/chart" xmlns:c16="http://schemas.microsoft.com/office/drawing/2014/chart" uri="{C3380CC4-5D6E-409C-BE32-E72D297353CC}">
                  <c16:uniqueId val="{00000006-85D2-4C37-B16B-87FF050F1A77}"/>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7-85D2-4C37-B16B-87FF050F1A77}"/>
                </c:ext>
                <c:ext xmlns:c15="http://schemas.microsoft.com/office/drawing/2012/chart" uri="{CE6537A1-D6FC-4f65-9D91-7224C49458BB}"/>
              </c:extLst>
            </c:dLbl>
            <c:dLbl>
              <c:idx val="8"/>
              <c:delete val="1"/>
              <c:extLst>
                <c:ext xmlns:c="http://schemas.openxmlformats.org/drawingml/2006/chart" xmlns:c16="http://schemas.microsoft.com/office/drawing/2014/chart" uri="{C3380CC4-5D6E-409C-BE32-E72D297353CC}">
                  <c16:uniqueId val="{00000008-85D2-4C37-B16B-87FF050F1A77}"/>
                </c:ext>
                <c:ext xmlns:c15="http://schemas.microsoft.com/office/drawing/2012/chart" uri="{CE6537A1-D6FC-4f65-9D91-7224C49458BB}"/>
              </c:extLst>
            </c:dLbl>
            <c:dLbl>
              <c:idx val="9"/>
              <c:layout>
                <c:manualLayout>
                  <c:x val="-0.0069973212111372673"/>
                  <c:y val="-0.013705274020234651"/>
                </c:manualLayout>
              </c:layout>
              <c:tx>
                <c:rich>
                  <a:bodyPr vertOverflow="clip"/>
                  <a:lstStyle/>
                  <a:p>
                    <a:r>
                      <a:rPr lang="en-US"/>
                      <a:t>2014</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85D2-4C37-B16B-87FF050F1A77}"/>
                </c:ext>
                <c:ext xmlns:c15="http://schemas.microsoft.com/office/drawing/2012/chart" uri="{CE6537A1-D6FC-4f65-9D91-7224C49458BB}"/>
              </c:extLst>
            </c:dLbl>
            <c:dLbl>
              <c:idx val="10"/>
              <c:layout>
                <c:manualLayout>
                  <c:x val="-0.048682691305879967"/>
                  <c:y val="-0.05288250515989211"/>
                </c:manualLayout>
              </c:layout>
              <c:tx>
                <c:rich>
                  <a:bodyPr vertOverflow="clip"/>
                  <a:lstStyle/>
                  <a:p>
                    <a:r>
                      <a:rPr lang="en-US"/>
                      <a:t>2015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85D2-4C37-B16B-87FF050F1A77}"/>
                </c:ext>
                <c:ext xmlns:c15="http://schemas.microsoft.com/office/drawing/2012/chart" uri="{CE6537A1-D6FC-4f65-9D91-7224C49458BB}"/>
              </c:extLst>
            </c:dLbl>
            <c:dLbl>
              <c:idx val="11"/>
              <c:layout>
                <c:manualLayout>
                  <c:x val="-0.045473776802943768"/>
                  <c:y val="-0.029435967255112244"/>
                </c:manualLayout>
              </c:layout>
              <c:tx>
                <c:rich>
                  <a:bodyPr vertOverflow="clip"/>
                  <a:lstStyle/>
                  <a:p>
                    <a:r>
                      <a:rPr lang="en-US"/>
                      <a:t>2016</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85D2-4C37-B16B-87FF050F1A77}"/>
                </c:ext>
                <c:ext xmlns:c15="http://schemas.microsoft.com/office/drawing/2012/chart" uri="{CE6537A1-D6FC-4f65-9D91-7224C49458BB}"/>
              </c:extLst>
            </c:dLbl>
            <c:dLbl>
              <c:idx val="12"/>
              <c:tx>
                <c:rich>
                  <a:bodyPr/>
                  <a:lstStyle/>
                  <a:p>
                    <a:r>
                      <a:rPr lang="lv-LV"/>
                      <a:t>FI</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85D2-4C37-B16B-87FF050F1A77}"/>
                </c:ext>
                <c:ext xmlns:c15="http://schemas.microsoft.com/office/drawing/2012/chart" uri="{CE6537A1-D6FC-4f65-9D91-7224C49458BB}"/>
              </c:extLst>
            </c:dLbl>
            <c:dLbl>
              <c:idx val="13"/>
              <c:tx>
                <c:rich>
                  <a:bodyPr/>
                  <a:lstStyle/>
                  <a:p>
                    <a:r>
                      <a:rPr lang="lv-LV" b="0"/>
                      <a:t>SE</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85D2-4C37-B16B-87FF050F1A77}"/>
                </c:ext>
                <c:ext xmlns:c15="http://schemas.microsoft.com/office/drawing/2012/chart" uri="{CE6537A1-D6FC-4f65-9D91-7224C49458BB}"/>
              </c:extLst>
            </c:dLbl>
            <c:spPr>
              <a:noFill/>
              <a:ln>
                <a:noFill/>
              </a:ln>
              <a:effectLst/>
            </c:spPr>
            <c:txPr>
              <a:bodyPr/>
              <a:lstStyle/>
              <a:p>
                <a:pPr>
                  <a:defRPr b="0"/>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Sheet1!$B$3:$B$14</c:f>
              <c:numCache>
                <c:formatCode>0.0</c:formatCode>
                <c:ptCount val="12"/>
                <c:pt idx="0">
                  <c:v>18.529030399077943</c:v>
                </c:pt>
                <c:pt idx="1">
                  <c:v>17.609188298310674</c:v>
                </c:pt>
                <c:pt idx="2">
                  <c:v>18.646574835906442</c:v>
                </c:pt>
                <c:pt idx="3">
                  <c:v>18.006442705936493</c:v>
                </c:pt>
                <c:pt idx="4">
                  <c:v>16.630494505494507</c:v>
                </c:pt>
                <c:pt idx="5">
                  <c:v>13.640568785334933</c:v>
                </c:pt>
                <c:pt idx="6">
                  <c:v>16.759649691858581</c:v>
                </c:pt>
                <c:pt idx="7">
                  <c:v>18.480513073507645</c:v>
                </c:pt>
                <c:pt idx="8">
                  <c:v>18.046778190830235</c:v>
                </c:pt>
                <c:pt idx="9">
                  <c:v>18.412531854294709</c:v>
                </c:pt>
                <c:pt idx="10">
                  <c:v>18.422900763358779</c:v>
                </c:pt>
                <c:pt idx="11">
                  <c:v>16.438651834633905</c:v>
                </c:pt>
              </c:numCache>
            </c:numRef>
          </c:xVal>
          <c:yVal>
            <c:numRef>
              <c:f>Sheet1!$C$3:$C$14</c:f>
              <c:numCache>
                <c:formatCode>0.0</c:formatCode>
                <c:ptCount val="12"/>
                <c:pt idx="0">
                  <c:v>0.38802854270424525</c:v>
                </c:pt>
                <c:pt idx="1">
                  <c:v>0.51773242875491177</c:v>
                </c:pt>
                <c:pt idx="2">
                  <c:v>0.752290913595728</c:v>
                </c:pt>
                <c:pt idx="3">
                  <c:v>0.7976066334354992</c:v>
                </c:pt>
                <c:pt idx="4" formatCode="0.00">
                  <c:v>0.69934285614591785</c:v>
                </c:pt>
                <c:pt idx="5" formatCode="0.00">
                  <c:v>0.80821433160008582</c:v>
                </c:pt>
                <c:pt idx="6" formatCode="0.00">
                  <c:v>0.648977497381839</c:v>
                </c:pt>
                <c:pt idx="7" formatCode="0.00">
                  <c:v>0.67462049193749285</c:v>
                </c:pt>
                <c:pt idx="8">
                  <c:v>0.73272712950220409</c:v>
                </c:pt>
                <c:pt idx="9">
                  <c:v>0.79107606701218924</c:v>
                </c:pt>
                <c:pt idx="10">
                  <c:v>0.84605264575695283</c:v>
                </c:pt>
                <c:pt idx="11">
                  <c:v>1.0416326282306649</c:v>
                </c:pt>
              </c:numCache>
            </c:numRef>
          </c:yVal>
          <c:smooth val="1"/>
          <c:extLst>
            <c:ext xmlns:c="http://schemas.openxmlformats.org/drawingml/2006/chart" xmlns:c16="http://schemas.microsoft.com/office/drawing/2014/chart" uri="{C3380CC4-5D6E-409C-BE32-E72D297353CC}">
              <c16:uniqueId val="{0000000E-85D2-4C37-B16B-87FF050F1A77}"/>
            </c:ext>
          </c:extLst>
        </c:ser>
        <c:dLbls>
          <c:showLegendKey val="0"/>
          <c:showVal val="0"/>
          <c:showCatName val="0"/>
          <c:showSerName val="0"/>
          <c:showPercent val="0"/>
          <c:showBubbleSize val="0"/>
        </c:dLbls>
        <c:axId val="656411928"/>
        <c:axId val="656412320"/>
      </c:scatterChart>
      <c:valAx>
        <c:axId val="656411928"/>
        <c:scaling>
          <c:orientation val="minMax"/>
          <c:max val="25"/>
          <c:min val="10"/>
        </c:scaling>
        <c:delete val="0"/>
        <c:axPos val="b"/>
        <c:title>
          <c:tx>
            <c:rich>
              <a:bodyPr vertOverflow="clip"/>
              <a:lstStyle/>
              <a:p>
                <a:pPr>
                  <a:defRPr sz="700" b="0">
                    <a:latin typeface="Arial Narrow" pitchFamily="34" charset="0"/>
                  </a:defRPr>
                </a:pPr>
                <a:r>
                  <a:rPr lang="lv-LV" sz="700" b="0">
                    <a:latin typeface="Arial Narrow" pitchFamily="34" charset="0"/>
                  </a:rPr>
                  <a:t>Produktivitāte (pievienotā vērtība </a:t>
                </a:r>
                <a:br>
                  <a:rPr lang="lv-LV" sz="700" b="0">
                    <a:latin typeface="Arial Narrow" pitchFamily="34" charset="0"/>
                  </a:rPr>
                </a:br>
                <a:r>
                  <a:rPr lang="lv-LV" sz="700" b="0">
                    <a:latin typeface="Arial Narrow" pitchFamily="34" charset="0"/>
                  </a:rPr>
                  <a:t>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56412320"/>
        <c:crosses val="autoZero"/>
        <c:crossBetween val="midCat"/>
        <c:majorUnit val="5"/>
      </c:valAx>
      <c:valAx>
        <c:axId val="656412320"/>
        <c:scaling>
          <c:orientation val="minMax"/>
          <c:min val="0.30000000000000004"/>
        </c:scaling>
        <c:delete val="0"/>
        <c:axPos val="l"/>
        <c:title>
          <c:tx>
            <c:rich>
              <a:bodyPr vertOverflow="clip"/>
              <a:lstStyle/>
              <a:p>
                <a:pPr>
                  <a:defRPr sz="700" b="0"/>
                </a:pPr>
                <a:r>
                  <a:rPr lang="lv-LV" sz="700" b="0">
                    <a:latin typeface="Arial Narrow" pitchFamily="34" charset="0"/>
                  </a:rPr>
                  <a:t>Darbaspēka izmaksas </a:t>
                </a:r>
                <a:br>
                  <a:rPr lang="lv-LV" sz="700" b="0">
                    <a:latin typeface="Arial Narrow" pitchFamily="34" charset="0"/>
                  </a:rPr>
                </a:br>
                <a:r>
                  <a:rPr lang="lv-LV" sz="700" b="0">
                    <a:latin typeface="Arial Narrow" pitchFamily="34" charset="0"/>
                  </a:rPr>
                  <a:t>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56411928"/>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28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8"/>
          <c:y val="0.046005165816941182"/>
          <c:w val="0.85762258292899962"/>
          <c:h val="0.831279863372076"/>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Sheet1!$B$1:$J$1</c:f>
              <c:strCache>
                <c:ptCount val="9"/>
                <c:pt idx="0">
                  <c:v>2008</c:v>
                </c:pt>
                <c:pt idx="1">
                  <c:v>2009</c:v>
                </c:pt>
                <c:pt idx="2">
                  <c:v>2010</c:v>
                </c:pt>
                <c:pt idx="3">
                  <c:v>2011</c:v>
                </c:pt>
                <c:pt idx="4">
                  <c:v>2012</c:v>
                </c:pt>
                <c:pt idx="5">
                  <c:v>2013</c:v>
                </c:pt>
                <c:pt idx="6">
                  <c:v>2014</c:v>
                </c:pt>
                <c:pt idx="7">
                  <c:v>2015</c:v>
                </c:pt>
                <c:pt idx="8">
                  <c:v>2016</c:v>
                </c:pt>
              </c:strCache>
            </c:strRef>
          </c:cat>
          <c:val>
            <c:numRef>
              <c:f>Sheet1!$B$2:$J$2</c:f>
              <c:numCache>
                <c:formatCode>0</c:formatCode>
                <c:ptCount val="9"/>
                <c:pt idx="0">
                  <c:v>39.357747157592392</c:v>
                </c:pt>
                <c:pt idx="1">
                  <c:v>35.257643303741311</c:v>
                </c:pt>
                <c:pt idx="2">
                  <c:v>31.604252389710798</c:v>
                </c:pt>
                <c:pt idx="3">
                  <c:v>31.875002820972814</c:v>
                </c:pt>
                <c:pt idx="4">
                  <c:v>33.804118310790848</c:v>
                </c:pt>
                <c:pt idx="5">
                  <c:v>35.156533977007385</c:v>
                </c:pt>
                <c:pt idx="6">
                  <c:v>37.421947439091205</c:v>
                </c:pt>
                <c:pt idx="7">
                  <c:v>38.817831590130616</c:v>
                </c:pt>
                <c:pt idx="8">
                  <c:v>41.722712558717859</c:v>
                </c:pt>
              </c:numCache>
            </c:numRef>
          </c:val>
          <c:extLst>
            <c:ext xmlns:c="http://schemas.openxmlformats.org/drawingml/2006/chart" xmlns:c16="http://schemas.microsoft.com/office/drawing/2014/chart" uri="{C3380CC4-5D6E-409C-BE32-E72D297353CC}">
              <c16:uniqueId val="{00000000-FC3C-4687-B27C-3E67012E9C35}"/>
            </c:ext>
          </c:extLst>
        </c:ser>
        <c:ser>
          <c:idx val="1"/>
          <c:order val="1"/>
          <c:tx>
            <c:strRef>
              <c:f>Sheet1!$A$3</c:f>
              <c:strCache>
                <c:ptCount val="1"/>
                <c:pt idx="0">
                  <c:v>Būvniecība</c:v>
                </c:pt>
              </c:strCache>
            </c:strRef>
          </c:tx>
          <c:spPr>
            <a:ln>
              <a:solidFill>
                <a:sysClr val="windowText" lastClr="000000"/>
              </a:solidFill>
            </a:ln>
          </c:spPr>
          <c:invertIfNegative val="0"/>
          <c:dLbls>
            <c:numFmt formatCode="#,##0" sourceLinked="0"/>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2008</c:v>
                </c:pt>
                <c:pt idx="1">
                  <c:v>2009</c:v>
                </c:pt>
                <c:pt idx="2">
                  <c:v>2010</c:v>
                </c:pt>
                <c:pt idx="3">
                  <c:v>2011</c:v>
                </c:pt>
                <c:pt idx="4">
                  <c:v>2012</c:v>
                </c:pt>
                <c:pt idx="5">
                  <c:v>2013</c:v>
                </c:pt>
                <c:pt idx="6">
                  <c:v>2014</c:v>
                </c:pt>
                <c:pt idx="7">
                  <c:v>2015</c:v>
                </c:pt>
                <c:pt idx="8">
                  <c:v>2016</c:v>
                </c:pt>
              </c:strCache>
            </c:strRef>
          </c:cat>
          <c:val>
            <c:numRef>
              <c:f>Sheet1!$B$3:$J$3</c:f>
              <c:numCache>
                <c:formatCode>0</c:formatCode>
                <c:ptCount val="9"/>
                <c:pt idx="0">
                  <c:v>48.072895664080825</c:v>
                </c:pt>
                <c:pt idx="1">
                  <c:v>38.893859828652161</c:v>
                </c:pt>
                <c:pt idx="2">
                  <c:v>35.108797288211655</c:v>
                </c:pt>
                <c:pt idx="3">
                  <c:v>33.5503745651547</c:v>
                </c:pt>
                <c:pt idx="4">
                  <c:v>37.128564905206751</c:v>
                </c:pt>
                <c:pt idx="5">
                  <c:v>38.914651678566663</c:v>
                </c:pt>
                <c:pt idx="6">
                  <c:v>42.063500178198531</c:v>
                </c:pt>
                <c:pt idx="7">
                  <c:v>44.098174453266246</c:v>
                </c:pt>
                <c:pt idx="8">
                  <c:v>48.559534680671071</c:v>
                </c:pt>
              </c:numCache>
            </c:numRef>
          </c:val>
          <c:extLst>
            <c:ext xmlns:c="http://schemas.openxmlformats.org/drawingml/2006/chart" xmlns:c16="http://schemas.microsoft.com/office/drawing/2014/chart" uri="{C3380CC4-5D6E-409C-BE32-E72D297353CC}">
              <c16:uniqueId val="{00000001-FC3C-4687-B27C-3E67012E9C35}"/>
            </c:ext>
          </c:extLst>
        </c:ser>
        <c:dLbls>
          <c:showLegendKey val="0"/>
          <c:showVal val="0"/>
          <c:showCatName val="0"/>
          <c:showSerName val="0"/>
          <c:showPercent val="0"/>
          <c:showBubbleSize val="0"/>
        </c:dLbls>
        <c:gapWidth val="50"/>
        <c:overlap val="52"/>
        <c:axId val="656408792"/>
        <c:axId val="656410360"/>
      </c:barChart>
      <c:catAx>
        <c:axId val="656408792"/>
        <c:scaling>
          <c:orientation val="minMax"/>
        </c:scaling>
        <c:delete val="0"/>
        <c:axPos val="b"/>
        <c:numFmt formatCode="General" sourceLinked="0"/>
        <c:majorTickMark val="out"/>
        <c:minorTickMark val="none"/>
        <c:tickLblPos val="nextTo"/>
        <c:txPr>
          <a:bodyPr/>
          <a:lstStyle/>
          <a:p>
            <a:pPr>
              <a:defRPr sz="700"/>
            </a:pPr>
            <a:endParaRPr lang="lv-LV"/>
          </a:p>
        </c:txPr>
        <c:crossAx val="656410360"/>
        <c:crosses val="autoZero"/>
        <c:auto val="1"/>
        <c:lblAlgn val="ctr"/>
        <c:lblOffset val="100"/>
        <c:noMultiLvlLbl val="0"/>
      </c:catAx>
      <c:valAx>
        <c:axId val="656410360"/>
        <c:scaling>
          <c:orientation val="minMax"/>
          <c:max val="80"/>
        </c:scaling>
        <c:delete val="0"/>
        <c:axPos val="l"/>
        <c:numFmt formatCode="0" sourceLinked="0"/>
        <c:majorTickMark val="out"/>
        <c:minorTickMark val="none"/>
        <c:tickLblPos val="nextTo"/>
        <c:txPr>
          <a:bodyPr/>
          <a:lstStyle/>
          <a:p>
            <a:pPr>
              <a:defRPr sz="800"/>
            </a:pPr>
            <a:endParaRPr lang="lv-LV"/>
          </a:p>
        </c:txPr>
        <c:crossAx val="656408792"/>
        <c:crosses val="autoZero"/>
        <c:crossBetween val="between"/>
        <c:majorUnit val="20"/>
      </c:valAx>
      <c:spPr>
        <a:ln>
          <a:noFill/>
        </a:ln>
      </c:spPr>
    </c:plotArea>
    <c:legend>
      <c:legendPos val="r"/>
      <c:layout>
        <c:manualLayout>
          <c:xMode val="edge"/>
          <c:yMode val="edge"/>
          <c:x val="0.1972511805244323"/>
          <c:y val="0.049528317790409886"/>
          <c:w val="0.53767545872909384"/>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28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738"/>
          <c:y val="0.046005165816941182"/>
          <c:w val="0.85762258292899962"/>
          <c:h val="0.83127986337207582"/>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Sheet1!$B$1:$J$1</c:f>
              <c:strCache>
                <c:ptCount val="9"/>
                <c:pt idx="0">
                  <c:v>2008</c:v>
                </c:pt>
                <c:pt idx="1">
                  <c:v>2009</c:v>
                </c:pt>
                <c:pt idx="2">
                  <c:v>2010</c:v>
                </c:pt>
                <c:pt idx="3">
                  <c:v>2011</c:v>
                </c:pt>
                <c:pt idx="4">
                  <c:v>2012</c:v>
                </c:pt>
                <c:pt idx="5">
                  <c:v>2013</c:v>
                </c:pt>
                <c:pt idx="6">
                  <c:v>2014</c:v>
                </c:pt>
                <c:pt idx="7">
                  <c:v>2015</c:v>
                </c:pt>
                <c:pt idx="8">
                  <c:v>2016</c:v>
                </c:pt>
              </c:strCache>
            </c:strRef>
          </c:cat>
          <c:val>
            <c:numRef>
              <c:f>Sheet1!$B$2:$J$2</c:f>
              <c:numCache>
                <c:formatCode>0</c:formatCode>
                <c:ptCount val="9"/>
                <c:pt idx="0">
                  <c:v>40.886874357448278</c:v>
                </c:pt>
                <c:pt idx="1">
                  <c:v>38.340696631750923</c:v>
                </c:pt>
                <c:pt idx="2">
                  <c:v>37.13786218879887</c:v>
                </c:pt>
                <c:pt idx="3">
                  <c:v>40.358416265069444</c:v>
                </c:pt>
                <c:pt idx="4">
                  <c:v>42.444824679460964</c:v>
                </c:pt>
                <c:pt idx="5">
                  <c:v>42.534590211759</c:v>
                </c:pt>
                <c:pt idx="6">
                  <c:v>43.637999214462909</c:v>
                </c:pt>
                <c:pt idx="7">
                  <c:v>42.77599222315655</c:v>
                </c:pt>
                <c:pt idx="8">
                  <c:v>43.3164068323518</c:v>
                </c:pt>
              </c:numCache>
            </c:numRef>
          </c:val>
          <c:extLst>
            <c:ext xmlns:c="http://schemas.openxmlformats.org/drawingml/2006/chart" xmlns:c16="http://schemas.microsoft.com/office/drawing/2014/chart" uri="{C3380CC4-5D6E-409C-BE32-E72D297353CC}">
              <c16:uniqueId val="{00000000-FD32-4815-914E-1E6628344C6E}"/>
            </c:ext>
          </c:extLst>
        </c:ser>
        <c:ser>
          <c:idx val="1"/>
          <c:order val="1"/>
          <c:tx>
            <c:strRef>
              <c:f>Sheet1!$A$3</c:f>
              <c:strCache>
                <c:ptCount val="1"/>
                <c:pt idx="0">
                  <c:v>Būvniecība</c:v>
                </c:pt>
              </c:strCache>
            </c:strRef>
          </c:tx>
          <c:spPr>
            <a:ln>
              <a:solidFill>
                <a:sysClr val="windowText" lastClr="000000"/>
              </a:solidFill>
            </a:ln>
          </c:spPr>
          <c:invertIfNegative val="0"/>
          <c:dLbls>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2008</c:v>
                </c:pt>
                <c:pt idx="1">
                  <c:v>2009</c:v>
                </c:pt>
                <c:pt idx="2">
                  <c:v>2010</c:v>
                </c:pt>
                <c:pt idx="3">
                  <c:v>2011</c:v>
                </c:pt>
                <c:pt idx="4">
                  <c:v>2012</c:v>
                </c:pt>
                <c:pt idx="5">
                  <c:v>2013</c:v>
                </c:pt>
                <c:pt idx="6">
                  <c:v>2014</c:v>
                </c:pt>
                <c:pt idx="7">
                  <c:v>2015</c:v>
                </c:pt>
                <c:pt idx="8">
                  <c:v>2016</c:v>
                </c:pt>
              </c:strCache>
            </c:strRef>
          </c:cat>
          <c:val>
            <c:numRef>
              <c:f>Sheet1!$B$3:$J$3</c:f>
              <c:numCache>
                <c:formatCode>0</c:formatCode>
                <c:ptCount val="9"/>
                <c:pt idx="0">
                  <c:v>47.928654365292608</c:v>
                </c:pt>
                <c:pt idx="1">
                  <c:v>44.050032153647351</c:v>
                </c:pt>
                <c:pt idx="2">
                  <c:v>32.599457570749571</c:v>
                </c:pt>
                <c:pt idx="3">
                  <c:v>40.110261801640178</c:v>
                </c:pt>
                <c:pt idx="4">
                  <c:v>46.432197237141878</c:v>
                </c:pt>
                <c:pt idx="5">
                  <c:v>45.71733406140865</c:v>
                </c:pt>
                <c:pt idx="6">
                  <c:v>45.3026067350924</c:v>
                </c:pt>
                <c:pt idx="7">
                  <c:v>44.022575786662493</c:v>
                </c:pt>
                <c:pt idx="8">
                  <c:v>39.378078940103514</c:v>
                </c:pt>
              </c:numCache>
            </c:numRef>
          </c:val>
          <c:extLst>
            <c:ext xmlns:c="http://schemas.openxmlformats.org/drawingml/2006/chart" xmlns:c16="http://schemas.microsoft.com/office/drawing/2014/chart" uri="{C3380CC4-5D6E-409C-BE32-E72D297353CC}">
              <c16:uniqueId val="{00000001-FD32-4815-914E-1E6628344C6E}"/>
            </c:ext>
          </c:extLst>
        </c:ser>
        <c:dLbls>
          <c:showLegendKey val="0"/>
          <c:showVal val="0"/>
          <c:showCatName val="0"/>
          <c:showSerName val="0"/>
          <c:showPercent val="0"/>
          <c:showBubbleSize val="0"/>
        </c:dLbls>
        <c:gapWidth val="50"/>
        <c:overlap val="52"/>
        <c:axId val="656406440"/>
        <c:axId val="656410752"/>
      </c:barChart>
      <c:catAx>
        <c:axId val="656406440"/>
        <c:scaling>
          <c:orientation val="minMax"/>
        </c:scaling>
        <c:delete val="0"/>
        <c:axPos val="b"/>
        <c:numFmt formatCode="General" sourceLinked="0"/>
        <c:majorTickMark val="out"/>
        <c:minorTickMark val="none"/>
        <c:tickLblPos val="nextTo"/>
        <c:txPr>
          <a:bodyPr/>
          <a:lstStyle/>
          <a:p>
            <a:pPr>
              <a:defRPr sz="700"/>
            </a:pPr>
            <a:endParaRPr lang="lv-LV"/>
          </a:p>
        </c:txPr>
        <c:crossAx val="656410752"/>
        <c:crosses val="autoZero"/>
        <c:auto val="1"/>
        <c:lblAlgn val="ctr"/>
        <c:lblOffset val="100"/>
        <c:noMultiLvlLbl val="0"/>
      </c:catAx>
      <c:valAx>
        <c:axId val="656410752"/>
        <c:scaling>
          <c:orientation val="minMax"/>
          <c:max val="80"/>
        </c:scaling>
        <c:delete val="0"/>
        <c:axPos val="l"/>
        <c:numFmt formatCode="0" sourceLinked="1"/>
        <c:majorTickMark val="out"/>
        <c:minorTickMark val="none"/>
        <c:tickLblPos val="nextTo"/>
        <c:txPr>
          <a:bodyPr/>
          <a:lstStyle/>
          <a:p>
            <a:pPr>
              <a:defRPr sz="800"/>
            </a:pPr>
            <a:endParaRPr lang="lv-LV"/>
          </a:p>
        </c:txPr>
        <c:crossAx val="656406440"/>
        <c:crosses val="autoZero"/>
        <c:crossBetween val="between"/>
        <c:majorUnit val="20"/>
      </c:valAx>
      <c:spPr>
        <a:ln>
          <a:noFill/>
        </a:ln>
      </c:spPr>
    </c:plotArea>
    <c:legend>
      <c:legendPos val="r"/>
      <c:layout>
        <c:manualLayout>
          <c:xMode val="edge"/>
          <c:yMode val="edge"/>
          <c:x val="0.19725118052443219"/>
          <c:y val="0.0495283177904099"/>
          <c:w val="0.58747156605424322"/>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28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46717244654"/>
          <c:y val="0.044057617797775277"/>
          <c:w val="0.9310540474739486"/>
          <c:h val="0.71166165204959131"/>
        </c:manualLayout>
      </c:layout>
      <c:barChart>
        <c:barDir val="col"/>
        <c:grouping val="clustered"/>
        <c:varyColors val="0"/>
        <c:ser>
          <c:idx val="1"/>
          <c:order val="0"/>
          <c:tx>
            <c:strRef>
              <c:f>Sheet1!$B$3</c:f>
              <c:strCache>
                <c:ptCount val="1"/>
                <c:pt idx="0">
                  <c:v>Compensation per employees 1000 of euro</c:v>
                </c:pt>
              </c:strCache>
            </c:strRef>
          </c:tx>
          <c:spPr>
            <a:solidFill>
              <a:schemeClr val="accent3">
                <a:lumMod val="50000"/>
              </a:schemeClr>
            </a:solidFill>
            <a:ln w="19050"/>
          </c:spPr>
          <c:invertIfNegative val="0"/>
          <c:dPt>
            <c:idx val="11"/>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1-06A6-4C99-B670-6AE459D31868}"/>
              </c:ext>
            </c:extLst>
          </c:dPt>
          <c:dPt>
            <c:idx val="17"/>
            <c:invertIfNegative val="0"/>
            <c:bubble3D val="0"/>
            <c:spPr>
              <a:ln w="19050"/>
            </c:spPr>
            <c:extLst>
              <c:ext xmlns:c="http://schemas.openxmlformats.org/drawingml/2006/chart" xmlns:c16="http://schemas.microsoft.com/office/drawing/2014/chart" uri="{C3380CC4-5D6E-409C-BE32-E72D297353CC}">
                <c16:uniqueId val="{00000003-06A6-4C99-B670-6AE459D31868}"/>
              </c:ext>
            </c:extLst>
          </c:dPt>
          <c:dPt>
            <c:idx val="20"/>
            <c:invertIfNegative val="0"/>
            <c:bubble3D val="0"/>
            <c:extLst>
              <c:ext xmlns:c="http://schemas.openxmlformats.org/drawingml/2006/chart" xmlns:c16="http://schemas.microsoft.com/office/drawing/2014/chart" uri="{C3380CC4-5D6E-409C-BE32-E72D297353CC}">
                <c16:uniqueId val="{00000004-06A6-4C99-B670-6AE459D31868}"/>
              </c:ext>
            </c:extLst>
          </c:dPt>
          <c:dPt>
            <c:idx val="21"/>
            <c:invertIfNegative val="0"/>
            <c:bubble3D val="0"/>
            <c:extLst>
              <c:ext xmlns:c="http://schemas.openxmlformats.org/drawingml/2006/chart" xmlns:c16="http://schemas.microsoft.com/office/drawing/2014/chart" uri="{C3380CC4-5D6E-409C-BE32-E72D297353CC}">
                <c16:uniqueId val="{00000005-06A6-4C99-B670-6AE459D31868}"/>
              </c:ext>
            </c:extLst>
          </c:dPt>
          <c:dPt>
            <c:idx val="22"/>
            <c:invertIfNegative val="0"/>
            <c:bubble3D val="0"/>
            <c:extLst>
              <c:ext xmlns:c="http://schemas.openxmlformats.org/drawingml/2006/chart" xmlns:c16="http://schemas.microsoft.com/office/drawing/2014/chart" uri="{C3380CC4-5D6E-409C-BE32-E72D297353CC}">
                <c16:uniqueId val="{00000006-06A6-4C99-B670-6AE459D31868}"/>
              </c:ext>
            </c:extLst>
          </c:dPt>
          <c:dPt>
            <c:idx val="25"/>
            <c:invertIfNegative val="0"/>
            <c:bubble3D val="0"/>
            <c:extLst>
              <c:ext xmlns:c="http://schemas.openxmlformats.org/drawingml/2006/chart" xmlns:c16="http://schemas.microsoft.com/office/drawing/2014/chart" uri="{C3380CC4-5D6E-409C-BE32-E72D297353CC}">
                <c16:uniqueId val="{00000007-06A6-4C99-B670-6AE459D31868}"/>
              </c:ext>
            </c:extLst>
          </c:dPt>
          <c:dLbls>
            <c:dLbl>
              <c:idx val="17"/>
              <c:numFmt formatCode="#,##0" sourceLinked="0"/>
              <c:spPr>
                <a:noFill/>
                <a:ln>
                  <a:noFill/>
                </a:ln>
                <a:effectLst/>
              </c:spPr>
              <c:txPr>
                <a:bodyPr/>
                <a:lstStyle/>
                <a:p>
                  <a:pPr>
                    <a:defRPr sz="600" b="1"/>
                  </a:pPr>
                  <a:endParaRPr lang="lv-LV"/>
                </a:p>
              </c:txPr>
              <c:showLegendKey val="0"/>
              <c:showVal val="1"/>
              <c:showCatName val="0"/>
              <c:showSerName val="0"/>
              <c:showPercent val="0"/>
              <c:showBubbleSize val="0"/>
            </c:dLbl>
            <c:dLbl>
              <c:idx val="21"/>
              <c:layout>
                <c:manualLayout>
                  <c:x val="1.4769886443141018E-16"/>
                  <c:y val="0.010840108401083961"/>
                </c:manualLayout>
              </c:layout>
              <c:numFmt formatCode="#,##0" sourceLinked="0"/>
              <c:spPr>
                <a:noFill/>
                <a:ln>
                  <a:noFill/>
                </a:ln>
                <a:effectLst/>
              </c:spPr>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06A6-4C99-B670-6AE459D31868}"/>
                </c:ext>
                <c:ext xmlns:c15="http://schemas.microsoft.com/office/drawing/2012/chart" uri="{CE6537A1-D6FC-4f65-9D91-7224C49458BB}"/>
              </c:extLst>
            </c:dLbl>
            <c:dLbl>
              <c:idx val="22"/>
              <c:layout>
                <c:manualLayout>
                  <c:x val="-1.4769886443141018E-16"/>
                  <c:y val="0.010957045003520951"/>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06A6-4C99-B670-6AE459D31868}"/>
                </c:ext>
                <c:ext xmlns:c15="http://schemas.microsoft.com/office/drawing/2012/chart" uri="{CE6537A1-D6FC-4f65-9D91-7224C49458BB}"/>
              </c:extLst>
            </c:dLbl>
            <c:dLbl>
              <c:idx val="25"/>
              <c:layout>
                <c:manualLayout>
                  <c:x val="0"/>
                  <c:y val="0.0047350290403144375"/>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06A6-4C99-B670-6AE459D31868}"/>
                </c:ext>
                <c:ext xmlns:c15="http://schemas.microsoft.com/office/drawing/2012/chart" uri="{CE6537A1-D6FC-4f65-9D91-7224C49458BB}"/>
              </c:extLst>
            </c:dLbl>
            <c:numFmt formatCode="#,##0" sourceLinked="0"/>
            <c:spPr>
              <a:noFill/>
              <a:ln>
                <a:noFill/>
              </a:ln>
              <a:effectLst/>
            </c:spPr>
            <c:txPr>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Sheet1!$A$4:$A$32</c:f>
              <c:strCache>
                <c:ptCount val="29"/>
                <c:pt idx="0">
                  <c:v>NL</c:v>
                </c:pt>
                <c:pt idx="1">
                  <c:v>DK</c:v>
                </c:pt>
                <c:pt idx="2">
                  <c:v>UK</c:v>
                </c:pt>
                <c:pt idx="3">
                  <c:v>FI</c:v>
                </c:pt>
                <c:pt idx="4">
                  <c:v>BE</c:v>
                </c:pt>
                <c:pt idx="5">
                  <c:v>FR</c:v>
                </c:pt>
                <c:pt idx="6">
                  <c:v>SE</c:v>
                </c:pt>
                <c:pt idx="7">
                  <c:v>LU</c:v>
                </c:pt>
                <c:pt idx="8">
                  <c:v>IE</c:v>
                </c:pt>
                <c:pt idx="9">
                  <c:v>AT</c:v>
                </c:pt>
                <c:pt idx="10">
                  <c:v>DE</c:v>
                </c:pt>
                <c:pt idx="11">
                  <c:v>EU-28</c:v>
                </c:pt>
                <c:pt idx="12">
                  <c:v>IT</c:v>
                </c:pt>
                <c:pt idx="13">
                  <c:v>ES</c:v>
                </c:pt>
                <c:pt idx="14">
                  <c:v>SI</c:v>
                </c:pt>
                <c:pt idx="15">
                  <c:v>EE</c:v>
                </c:pt>
                <c:pt idx="16">
                  <c:v>CY</c:v>
                </c:pt>
                <c:pt idx="17">
                  <c:v>LV</c:v>
                </c:pt>
                <c:pt idx="18">
                  <c:v>PT</c:v>
                </c:pt>
                <c:pt idx="19">
                  <c:v>LT</c:v>
                </c:pt>
                <c:pt idx="20">
                  <c:v>SK</c:v>
                </c:pt>
                <c:pt idx="21">
                  <c:v>MT</c:v>
                </c:pt>
                <c:pt idx="22">
                  <c:v>HR</c:v>
                </c:pt>
                <c:pt idx="23">
                  <c:v>CZ</c:v>
                </c:pt>
                <c:pt idx="24">
                  <c:v>EL</c:v>
                </c:pt>
                <c:pt idx="25">
                  <c:v>PL</c:v>
                </c:pt>
                <c:pt idx="26">
                  <c:v>HU</c:v>
                </c:pt>
                <c:pt idx="27">
                  <c:v>RO</c:v>
                </c:pt>
                <c:pt idx="28">
                  <c:v>BG</c:v>
                </c:pt>
              </c:strCache>
            </c:strRef>
          </c:cat>
          <c:val>
            <c:numRef>
              <c:f>Sheet1!$B$4:$B$32</c:f>
              <c:numCache>
                <c:formatCode>0.0</c:formatCode>
                <c:ptCount val="29"/>
                <c:pt idx="0">
                  <c:v>56.6518771331058</c:v>
                </c:pt>
                <c:pt idx="1">
                  <c:v>55.308641975308639</c:v>
                </c:pt>
                <c:pt idx="2">
                  <c:v>52.78172929134373</c:v>
                </c:pt>
                <c:pt idx="3">
                  <c:v>51.85705558949298</c:v>
                </c:pt>
                <c:pt idx="4">
                  <c:v>50.319880418535135</c:v>
                </c:pt>
                <c:pt idx="5">
                  <c:v>47.930839802399433</c:v>
                </c:pt>
                <c:pt idx="6">
                  <c:v>47.812953995157386</c:v>
                </c:pt>
                <c:pt idx="7">
                  <c:v>46.167421893632245</c:v>
                </c:pt>
                <c:pt idx="8">
                  <c:v>45.891913060505182</c:v>
                </c:pt>
                <c:pt idx="9">
                  <c:v>44.130418134476948</c:v>
                </c:pt>
                <c:pt idx="10">
                  <c:v>40.201120162932789</c:v>
                </c:pt>
                <c:pt idx="11">
                  <c:v>35.26194438987141</c:v>
                </c:pt>
                <c:pt idx="12">
                  <c:v>33.509031556039169</c:v>
                </c:pt>
                <c:pt idx="13">
                  <c:v>31.732132808103547</c:v>
                </c:pt>
                <c:pt idx="14">
                  <c:v>21.00742524583584</c:v>
                </c:pt>
                <c:pt idx="15">
                  <c:v>19.560773480662984</c:v>
                </c:pt>
                <c:pt idx="16">
                  <c:v>18.952781673679286</c:v>
                </c:pt>
                <c:pt idx="17">
                  <c:v>17.123036115078555</c:v>
                </c:pt>
                <c:pt idx="18">
                  <c:v>16.955389258692687</c:v>
                </c:pt>
                <c:pt idx="19">
                  <c:v>15.792143446974167</c:v>
                </c:pt>
                <c:pt idx="20">
                  <c:v>15.598142949686892</c:v>
                </c:pt>
                <c:pt idx="21">
                  <c:v>15.413711583924348</c:v>
                </c:pt>
                <c:pt idx="22">
                  <c:v>13.60045972207711</c:v>
                </c:pt>
                <c:pt idx="23">
                  <c:v>12.789784624588693</c:v>
                </c:pt>
                <c:pt idx="24">
                  <c:v>11.809806835066865</c:v>
                </c:pt>
                <c:pt idx="25">
                  <c:v>11.77784123358081</c:v>
                </c:pt>
                <c:pt idx="26">
                  <c:v>7.0411258037122408</c:v>
                </c:pt>
                <c:pt idx="27">
                  <c:v>6.1669937205651486</c:v>
                </c:pt>
                <c:pt idx="28">
                  <c:v>6.0384588587751695</c:v>
                </c:pt>
              </c:numCache>
            </c:numRef>
          </c:val>
          <c:extLst>
            <c:ext xmlns:c="http://schemas.openxmlformats.org/drawingml/2006/chart" xmlns:c16="http://schemas.microsoft.com/office/drawing/2014/chart" uri="{C3380CC4-5D6E-409C-BE32-E72D297353CC}">
              <c16:uniqueId val="{00000008-06A6-4C99-B670-6AE459D31868}"/>
            </c:ext>
          </c:extLst>
        </c:ser>
        <c:dLbls>
          <c:showLegendKey val="0"/>
          <c:showVal val="0"/>
          <c:showCatName val="0"/>
          <c:showSerName val="0"/>
          <c:showPercent val="0"/>
          <c:showBubbleSize val="0"/>
        </c:dLbls>
        <c:gapWidth val="20"/>
        <c:axId val="656411536"/>
        <c:axId val="656400560"/>
      </c:barChart>
      <c:catAx>
        <c:axId val="656411536"/>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56400560"/>
        <c:crosses val="autoZero"/>
        <c:auto val="1"/>
        <c:lblAlgn val="ctr"/>
        <c:lblOffset val="100"/>
        <c:tickLblSkip val="1"/>
        <c:noMultiLvlLbl val="0"/>
      </c:catAx>
      <c:valAx>
        <c:axId val="656400560"/>
        <c:scaling>
          <c:orientation val="minMax"/>
        </c:scaling>
        <c:delete val="0"/>
        <c:axPos val="l"/>
        <c:numFmt formatCode="0" sourceLinked="0"/>
        <c:majorTickMark val="out"/>
        <c:minorTickMark val="none"/>
        <c:tickLblPos val="nextTo"/>
        <c:txPr>
          <a:bodyPr/>
          <a:lstStyle/>
          <a:p>
            <a:pPr>
              <a:defRPr sz="600"/>
            </a:pPr>
            <a:endParaRPr lang="lv-LV"/>
          </a:p>
        </c:txPr>
        <c:crossAx val="656411536"/>
        <c:crosses val="autoZero"/>
        <c:crossBetween val="between"/>
      </c:valAx>
    </c:plotArea>
    <c:plotVisOnly val="1"/>
    <c:dispBlanksAs val="gap"/>
    <c:showDLblsOverMax val="0"/>
  </c:chart>
  <c:spPr>
    <a:ln w="9525">
      <a:noFill/>
    </a:ln>
  </c:spPr>
  <c:externalData r:id="rId1">
    <c:autoUpdate val="0"/>
  </c:externalData>
</c:chartSpace>
</file>

<file path=word/charts/chart28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46717244654"/>
          <c:y val="0.044057617797775277"/>
          <c:w val="0.9310540474739486"/>
          <c:h val="0.72250176045067538"/>
        </c:manualLayout>
      </c:layout>
      <c:barChart>
        <c:barDir val="col"/>
        <c:grouping val="clustered"/>
        <c:varyColors val="0"/>
        <c:ser>
          <c:idx val="1"/>
          <c:order val="0"/>
          <c:tx>
            <c:strRef>
              <c:f>Sheet1!$B$3</c:f>
              <c:strCache>
                <c:ptCount val="1"/>
                <c:pt idx="0">
                  <c:v>Resource productivity</c:v>
                </c:pt>
              </c:strCache>
            </c:strRef>
          </c:tx>
          <c:spPr>
            <a:solidFill>
              <a:schemeClr val="accent3">
                <a:lumMod val="50000"/>
              </a:schemeClr>
            </a:solidFill>
            <a:ln w="19050"/>
          </c:spPr>
          <c:invertIfNegative val="0"/>
          <c:dPt>
            <c:idx val="10"/>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1-165C-47BC-BBF3-4CADF0DC3C33}"/>
              </c:ext>
            </c:extLst>
          </c:dPt>
          <c:dPt>
            <c:idx val="16"/>
            <c:invertIfNegative val="0"/>
            <c:bubble3D val="0"/>
            <c:extLst>
              <c:ext xmlns:c="http://schemas.openxmlformats.org/drawingml/2006/chart" xmlns:c16="http://schemas.microsoft.com/office/drawing/2014/chart" uri="{C3380CC4-5D6E-409C-BE32-E72D297353CC}">
                <c16:uniqueId val="{00000002-165C-47BC-BBF3-4CADF0DC3C33}"/>
              </c:ext>
            </c:extLst>
          </c:dPt>
          <c:dPt>
            <c:idx val="17"/>
            <c:invertIfNegative val="0"/>
            <c:bubble3D val="0"/>
            <c:extLst>
              <c:ext xmlns:c="http://schemas.openxmlformats.org/drawingml/2006/chart" xmlns:c16="http://schemas.microsoft.com/office/drawing/2014/chart" uri="{C3380CC4-5D6E-409C-BE32-E72D297353CC}">
                <c16:uniqueId val="{00000003-165C-47BC-BBF3-4CADF0DC3C33}"/>
              </c:ext>
            </c:extLst>
          </c:dPt>
          <c:dPt>
            <c:idx val="23"/>
            <c:invertIfNegative val="0"/>
            <c:bubble3D val="0"/>
            <c:extLst>
              <c:ext xmlns:c="http://schemas.openxmlformats.org/drawingml/2006/chart" xmlns:c16="http://schemas.microsoft.com/office/drawing/2014/chart" uri="{C3380CC4-5D6E-409C-BE32-E72D297353CC}">
                <c16:uniqueId val="{00000004-165C-47BC-BBF3-4CADF0DC3C33}"/>
              </c:ext>
            </c:extLst>
          </c:dPt>
          <c:dPt>
            <c:idx val="24"/>
            <c:invertIfNegative val="0"/>
            <c:bubble3D val="0"/>
            <c:spPr>
              <a:solidFill>
                <a:schemeClr val="accent2"/>
              </a:solidFill>
              <a:ln w="19050"/>
            </c:spPr>
            <c:extLst>
              <c:ext xmlns:c="http://schemas.openxmlformats.org/drawingml/2006/chart" xmlns:c16="http://schemas.microsoft.com/office/drawing/2014/chart" uri="{C3380CC4-5D6E-409C-BE32-E72D297353CC}">
                <c16:uniqueId val="{00000006-165C-47BC-BBF3-4CADF0DC3C33}"/>
              </c:ext>
            </c:extLst>
          </c:dPt>
          <c:dPt>
            <c:idx val="25"/>
            <c:invertIfNegative val="0"/>
            <c:bubble3D val="0"/>
            <c:extLst>
              <c:ext xmlns:c="http://schemas.openxmlformats.org/drawingml/2006/chart" xmlns:c16="http://schemas.microsoft.com/office/drawing/2014/chart" uri="{C3380CC4-5D6E-409C-BE32-E72D297353CC}">
                <c16:uniqueId val="{00000007-165C-47BC-BBF3-4CADF0DC3C33}"/>
              </c:ext>
            </c:extLst>
          </c:dPt>
          <c:dPt>
            <c:idx val="26"/>
            <c:invertIfNegative val="0"/>
            <c:bubble3D val="0"/>
            <c:extLst>
              <c:ext xmlns:c="http://schemas.openxmlformats.org/drawingml/2006/chart" xmlns:c16="http://schemas.microsoft.com/office/drawing/2014/chart" uri="{C3380CC4-5D6E-409C-BE32-E72D297353CC}">
                <c16:uniqueId val="{00000008-165C-47BC-BBF3-4CADF0DC3C33}"/>
              </c:ext>
            </c:extLst>
          </c:dPt>
          <c:dLbls>
            <c:dLbl>
              <c:idx val="23"/>
              <c:layout>
                <c:manualLayout/>
              </c:layout>
              <c:numFmt formatCode="#,##0" sourceLinked="0"/>
              <c:spPr>
                <a:noFill/>
                <a:ln>
                  <a:noFill/>
                </a:ln>
                <a:effectLst/>
              </c:spPr>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165C-47BC-BBF3-4CADF0DC3C33}"/>
                </c:ext>
                <c:ext xmlns:c15="http://schemas.microsoft.com/office/drawing/2012/chart" uri="{CE6537A1-D6FC-4f65-9D91-7224C49458BB}"/>
              </c:extLst>
            </c:dLbl>
            <c:dLbl>
              <c:idx val="24"/>
              <c:layout>
                <c:manualLayout>
                  <c:x val="0"/>
                  <c:y val="0.010840108401084011"/>
                </c:manualLayout>
              </c:layout>
              <c:numFmt formatCode="#,##0" sourceLinked="0"/>
              <c:spPr>
                <a:noFill/>
                <a:ln>
                  <a:noFill/>
                </a:ln>
                <a:effectLst/>
              </c:spPr>
              <c:txPr>
                <a:bodyPr/>
                <a:lstStyle/>
                <a:p>
                  <a:pPr>
                    <a:defRPr sz="600" b="1"/>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165C-47BC-BBF3-4CADF0DC3C33}"/>
                </c:ext>
                <c:ext xmlns:c15="http://schemas.microsoft.com/office/drawing/2012/chart" uri="{CE6537A1-D6FC-4f65-9D91-7224C49458BB}"/>
              </c:extLst>
            </c:dLbl>
            <c:dLbl>
              <c:idx val="25"/>
              <c:layout>
                <c:manualLayout>
                  <c:x val="0"/>
                  <c:y val="0.0045439455203234733"/>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165C-47BC-BBF3-4CADF0DC3C33}"/>
                </c:ext>
                <c:ext xmlns:c15="http://schemas.microsoft.com/office/drawing/2012/chart" uri="{CE6537A1-D6FC-4f65-9D91-7224C49458BB}"/>
              </c:extLst>
            </c:dLbl>
            <c:dLbl>
              <c:idx val="26"/>
              <c:layout>
                <c:manualLayout>
                  <c:x val="0"/>
                  <c:y val="0.01092802424087233"/>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165C-47BC-BBF3-4CADF0DC3C33}"/>
                </c:ext>
                <c:ext xmlns:c15="http://schemas.microsoft.com/office/drawing/2012/chart" uri="{CE6537A1-D6FC-4f65-9D91-7224C49458BB}"/>
              </c:extLst>
            </c:dLbl>
            <c:numFmt formatCode="#,##0" sourceLinked="0"/>
            <c:spPr>
              <a:noFill/>
              <a:ln>
                <a:noFill/>
              </a:ln>
              <a:effectLst/>
            </c:spPr>
            <c:txPr>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Sheet1!$A$4:$A$31</c:f>
              <c:strCache>
                <c:ptCount val="28"/>
                <c:pt idx="0">
                  <c:v>BE</c:v>
                </c:pt>
                <c:pt idx="1">
                  <c:v>NL</c:v>
                </c:pt>
                <c:pt idx="2">
                  <c:v>DK</c:v>
                </c:pt>
                <c:pt idx="3">
                  <c:v>ES</c:v>
                </c:pt>
                <c:pt idx="4">
                  <c:v>AT</c:v>
                </c:pt>
                <c:pt idx="5">
                  <c:v>FR</c:v>
                </c:pt>
                <c:pt idx="6">
                  <c:v>SE</c:v>
                </c:pt>
                <c:pt idx="7">
                  <c:v>LU</c:v>
                </c:pt>
                <c:pt idx="8">
                  <c:v>FI</c:v>
                </c:pt>
                <c:pt idx="9">
                  <c:v>UK</c:v>
                </c:pt>
                <c:pt idx="10">
                  <c:v>EU-28</c:v>
                </c:pt>
                <c:pt idx="11">
                  <c:v>DE</c:v>
                </c:pt>
                <c:pt idx="12">
                  <c:v>IT</c:v>
                </c:pt>
                <c:pt idx="13">
                  <c:v>SK</c:v>
                </c:pt>
                <c:pt idx="14">
                  <c:v>CY</c:v>
                </c:pt>
                <c:pt idx="15">
                  <c:v>PL</c:v>
                </c:pt>
                <c:pt idx="16">
                  <c:v>SI</c:v>
                </c:pt>
                <c:pt idx="17">
                  <c:v>EL</c:v>
                </c:pt>
                <c:pt idx="18">
                  <c:v>CZ</c:v>
                </c:pt>
                <c:pt idx="19">
                  <c:v>PT</c:v>
                </c:pt>
                <c:pt idx="20">
                  <c:v>EE</c:v>
                </c:pt>
                <c:pt idx="21">
                  <c:v>IE</c:v>
                </c:pt>
                <c:pt idx="22">
                  <c:v>HR</c:v>
                </c:pt>
                <c:pt idx="23">
                  <c:v>LT</c:v>
                </c:pt>
                <c:pt idx="24">
                  <c:v>LV</c:v>
                </c:pt>
                <c:pt idx="25">
                  <c:v>RO</c:v>
                </c:pt>
                <c:pt idx="26">
                  <c:v>HU</c:v>
                </c:pt>
                <c:pt idx="27">
                  <c:v>BG</c:v>
                </c:pt>
              </c:strCache>
            </c:strRef>
          </c:cat>
          <c:val>
            <c:numRef>
              <c:f>Sheet1!$B$4:$B$31</c:f>
              <c:numCache>
                <c:formatCode>0.0</c:formatCode>
                <c:ptCount val="28"/>
                <c:pt idx="0">
                  <c:v>73.181682799702145</c:v>
                </c:pt>
                <c:pt idx="1">
                  <c:v>71.009782608695659</c:v>
                </c:pt>
                <c:pt idx="2">
                  <c:v>60.972222222222221</c:v>
                </c:pt>
                <c:pt idx="3">
                  <c:v>60.612516644474027</c:v>
                </c:pt>
                <c:pt idx="4">
                  <c:v>56.565712891646044</c:v>
                </c:pt>
                <c:pt idx="5">
                  <c:v>55.870912220309812</c:v>
                </c:pt>
                <c:pt idx="6">
                  <c:v>54.146926113931187</c:v>
                </c:pt>
                <c:pt idx="7">
                  <c:v>52.4953314659197</c:v>
                </c:pt>
                <c:pt idx="8">
                  <c:v>51.786427145708579</c:v>
                </c:pt>
                <c:pt idx="9">
                  <c:v>48.241468510595965</c:v>
                </c:pt>
                <c:pt idx="10">
                  <c:v>43.182918935124931</c:v>
                </c:pt>
                <c:pt idx="11">
                  <c:v>42.749102040816325</c:v>
                </c:pt>
                <c:pt idx="12">
                  <c:v>42.073624917163684</c:v>
                </c:pt>
                <c:pt idx="13">
                  <c:v>33.591163546620116</c:v>
                </c:pt>
                <c:pt idx="14">
                  <c:v>28.718808193668529</c:v>
                </c:pt>
                <c:pt idx="15">
                  <c:v>25.845129702800207</c:v>
                </c:pt>
                <c:pt idx="16">
                  <c:v>25.619247537542385</c:v>
                </c:pt>
                <c:pt idx="17">
                  <c:v>25.552376650102897</c:v>
                </c:pt>
                <c:pt idx="18">
                  <c:v>22.602622227668178</c:v>
                </c:pt>
                <c:pt idx="19">
                  <c:v>22.313769751693</c:v>
                </c:pt>
                <c:pt idx="20">
                  <c:v>20.111842105263158</c:v>
                </c:pt>
                <c:pt idx="21">
                  <c:v>19.332526719096592</c:v>
                </c:pt>
                <c:pt idx="22">
                  <c:v>18.293485023553458</c:v>
                </c:pt>
                <c:pt idx="23">
                  <c:v>18.179355712489116</c:v>
                </c:pt>
                <c:pt idx="24">
                  <c:v>16.438651834633905</c:v>
                </c:pt>
                <c:pt idx="25">
                  <c:v>13.803358373840036</c:v>
                </c:pt>
                <c:pt idx="26">
                  <c:v>12.995041558163594</c:v>
                </c:pt>
                <c:pt idx="27">
                  <c:v>11.599497659550176</c:v>
                </c:pt>
              </c:numCache>
            </c:numRef>
          </c:val>
          <c:extLst>
            <c:ext xmlns:c="http://schemas.openxmlformats.org/drawingml/2006/chart" xmlns:c16="http://schemas.microsoft.com/office/drawing/2014/chart" uri="{C3380CC4-5D6E-409C-BE32-E72D297353CC}">
              <c16:uniqueId val="{00000009-165C-47BC-BBF3-4CADF0DC3C33}"/>
            </c:ext>
          </c:extLst>
        </c:ser>
        <c:dLbls>
          <c:showLegendKey val="0"/>
          <c:showVal val="0"/>
          <c:showCatName val="0"/>
          <c:showSerName val="0"/>
          <c:showPercent val="0"/>
          <c:showBubbleSize val="0"/>
        </c:dLbls>
        <c:gapWidth val="20"/>
        <c:axId val="656404088"/>
        <c:axId val="656400168"/>
      </c:barChart>
      <c:catAx>
        <c:axId val="656404088"/>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56400168"/>
        <c:crosses val="autoZero"/>
        <c:auto val="1"/>
        <c:lblAlgn val="ctr"/>
        <c:lblOffset val="100"/>
        <c:tickLblSkip val="1"/>
        <c:noMultiLvlLbl val="0"/>
      </c:catAx>
      <c:valAx>
        <c:axId val="656400168"/>
        <c:scaling>
          <c:orientation val="minMax"/>
          <c:max val="80"/>
        </c:scaling>
        <c:delete val="0"/>
        <c:axPos val="l"/>
        <c:numFmt formatCode="0" sourceLinked="0"/>
        <c:majorTickMark val="out"/>
        <c:minorTickMark val="none"/>
        <c:tickLblPos val="nextTo"/>
        <c:txPr>
          <a:bodyPr/>
          <a:lstStyle/>
          <a:p>
            <a:pPr>
              <a:defRPr sz="600"/>
            </a:pPr>
            <a:endParaRPr lang="lv-LV"/>
          </a:p>
        </c:txPr>
        <c:crossAx val="656404088"/>
        <c:crosses val="autoZero"/>
        <c:crossBetween val="between"/>
      </c:valAx>
    </c:plotArea>
    <c:plotVisOnly val="1"/>
    <c:dispBlanksAs val="gap"/>
    <c:showDLblsOverMax val="0"/>
  </c:chart>
  <c:spPr>
    <a:ln w="9525">
      <a:noFill/>
    </a:ln>
  </c:spPr>
  <c:externalData r:id="rId1">
    <c:autoUpdate val="0"/>
  </c:externalData>
</c:chartSpace>
</file>

<file path=word/charts/chart28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1619797525309326"/>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33CC"/>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76A7-473F-8BEB-BEC35B19D6F3}"/>
              </c:ext>
            </c:extLst>
          </c:dPt>
          <c:dPt>
            <c:idx val="5"/>
            <c:bubble3D val="0"/>
            <c:extLst>
              <c:ext xmlns:c="http://schemas.openxmlformats.org/drawingml/2006/chart" xmlns:c16="http://schemas.microsoft.com/office/drawing/2014/chart" uri="{C3380CC4-5D6E-409C-BE32-E72D297353CC}">
                <c16:uniqueId val="{00000001-76A7-473F-8BEB-BEC35B19D6F3}"/>
              </c:ext>
            </c:extLst>
          </c:dPt>
          <c:dPt>
            <c:idx val="11"/>
            <c:bubble3D val="0"/>
            <c:extLst>
              <c:ext xmlns:c="http://schemas.openxmlformats.org/drawingml/2006/chart" xmlns:c16="http://schemas.microsoft.com/office/drawing/2014/chart" uri="{C3380CC4-5D6E-409C-BE32-E72D297353CC}">
                <c16:uniqueId val="{00000002-76A7-473F-8BEB-BEC35B19D6F3}"/>
              </c:ext>
            </c:extLst>
          </c:dPt>
          <c:dPt>
            <c:idx val="12"/>
            <c:bubble3D val="0"/>
            <c:extLst>
              <c:ext xmlns:c="http://schemas.openxmlformats.org/drawingml/2006/chart" xmlns:c16="http://schemas.microsoft.com/office/drawing/2014/chart" uri="{C3380CC4-5D6E-409C-BE32-E72D297353CC}">
                <c16:uniqueId val="{00000003-76A7-473F-8BEB-BEC35B19D6F3}"/>
              </c:ext>
            </c:extLst>
          </c:dPt>
          <c:dPt>
            <c:idx val="13"/>
            <c:bubble3D val="0"/>
            <c:extLst>
              <c:ext xmlns:c="http://schemas.openxmlformats.org/drawingml/2006/chart" xmlns:c16="http://schemas.microsoft.com/office/drawing/2014/chart" uri="{C3380CC4-5D6E-409C-BE32-E72D297353CC}">
                <c16:uniqueId val="{00000004-76A7-473F-8BEB-BEC35B19D6F3}"/>
              </c:ext>
            </c:extLst>
          </c:dPt>
          <c:dPt>
            <c:idx val="14"/>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5-76A7-473F-8BEB-BEC35B19D6F3}"/>
              </c:ext>
            </c:extLst>
          </c:dPt>
          <c:dLbls>
            <c:dLbl>
              <c:idx val="0"/>
              <c:layout>
                <c:manualLayout>
                  <c:x val="-0.070612668743509868"/>
                  <c:y val="0.085714285714285715"/>
                </c:manualLayout>
              </c:layout>
              <c:tx>
                <c:rich>
                  <a:bodyPr vertOverflow="clip"/>
                  <a:lstStyle/>
                  <a:p>
                    <a:r>
                      <a:rPr lang="en-US"/>
                      <a:t>EU-28</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76A7-473F-8BEB-BEC35B19D6F3}"/>
                </c:ext>
                <c:ext xmlns:c15="http://schemas.microsoft.com/office/drawing/2012/chart" uri="{CE6537A1-D6FC-4f65-9D91-7224C49458BB}"/>
              </c:extLst>
            </c:dLbl>
            <c:dLbl>
              <c:idx val="1"/>
              <c:layout>
                <c:manualLayout>
                  <c:x val="-0.0041536863966770508"/>
                  <c:y val="0.0380952380952381"/>
                </c:manualLayout>
              </c:layout>
              <c:tx>
                <c:rich>
                  <a:bodyPr vertOverflow="clip"/>
                  <a:lstStyle/>
                  <a:p>
                    <a:r>
                      <a:rPr lang="en-US"/>
                      <a:t>BE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76A7-473F-8BEB-BEC35B19D6F3}"/>
                </c:ext>
                <c:ext xmlns:c15="http://schemas.microsoft.com/office/drawing/2012/chart" uri="{CE6537A1-D6FC-4f65-9D91-7224C49458BB}"/>
              </c:extLst>
            </c:dLbl>
            <c:dLbl>
              <c:idx val="2"/>
              <c:layout>
                <c:manualLayout>
                  <c:x val="-0.049844236760124651"/>
                  <c:y val="-0.085714285714285715"/>
                </c:manualLayout>
              </c:layout>
              <c:tx>
                <c:rich>
                  <a:bodyPr vertOverflow="clip"/>
                  <a:lstStyle/>
                  <a:p>
                    <a:r>
                      <a:rPr lang="en-US"/>
                      <a:t>BG</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76A7-473F-8BEB-BEC35B19D6F3}"/>
                </c:ext>
                <c:ext xmlns:c15="http://schemas.microsoft.com/office/drawing/2012/chart" uri="{CE6537A1-D6FC-4f65-9D91-7224C49458BB}"/>
              </c:extLst>
            </c:dLbl>
            <c:dLbl>
              <c:idx val="3"/>
              <c:layout>
                <c:manualLayout>
                  <c:x val="-0.016614745586708203"/>
                  <c:y val="0"/>
                </c:manualLayout>
              </c:layout>
              <c:tx>
                <c:rich>
                  <a:bodyPr vertOverflow="clip"/>
                  <a:lstStyle/>
                  <a:p>
                    <a:r>
                      <a:rPr lang="en-US"/>
                      <a:t>CZ</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76A7-473F-8BEB-BEC35B19D6F3}"/>
                </c:ext>
                <c:ext xmlns:c15="http://schemas.microsoft.com/office/drawing/2012/chart" uri="{CE6537A1-D6FC-4f65-9D91-7224C49458BB}"/>
              </c:extLst>
            </c:dLbl>
            <c:dLbl>
              <c:idx val="4"/>
              <c:layout>
                <c:manualLayout>
                  <c:x val="-0.087227414330218"/>
                  <c:y val="-0.0095245594300712409"/>
                </c:manualLayout>
              </c:layout>
              <c:tx>
                <c:rich>
                  <a:bodyPr vertOverflow="clip"/>
                  <a:lstStyle/>
                  <a:p>
                    <a:r>
                      <a:rPr lang="en-US"/>
                      <a:t>DK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76A7-473F-8BEB-BEC35B19D6F3}"/>
                </c:ext>
                <c:ext xmlns:c15="http://schemas.microsoft.com/office/drawing/2012/chart" uri="{CE6537A1-D6FC-4f65-9D91-7224C49458BB}"/>
              </c:extLst>
            </c:dLbl>
            <c:dLbl>
              <c:idx val="5"/>
              <c:layout>
                <c:manualLayout>
                  <c:x val="-0.020768431983385256"/>
                  <c:y val="0.085714285714285715"/>
                </c:manualLayout>
              </c:layout>
              <c:tx>
                <c:rich>
                  <a:bodyPr vertOverflow="clip"/>
                  <a:lstStyle/>
                  <a:p>
                    <a:r>
                      <a:rPr lang="en-US"/>
                      <a:t>IT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76A7-473F-8BEB-BEC35B19D6F3}"/>
                </c:ext>
                <c:ext xmlns:c15="http://schemas.microsoft.com/office/drawing/2012/chart" uri="{CE6537A1-D6FC-4f65-9D91-7224C49458BB}"/>
              </c:extLst>
            </c:dLbl>
            <c:dLbl>
              <c:idx val="6"/>
              <c:layout>
                <c:manualLayout>
                  <c:x val="-0.049844236760124609"/>
                  <c:y val="-0.095238095238095233"/>
                </c:manualLayout>
              </c:layout>
              <c:tx>
                <c:rich>
                  <a:bodyPr vertOverflow="clip"/>
                  <a:lstStyle/>
                  <a:p>
                    <a:r>
                      <a:rPr lang="en-US"/>
                      <a:t>EE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76A7-473F-8BEB-BEC35B19D6F3}"/>
                </c:ext>
                <c:ext xmlns:c15="http://schemas.microsoft.com/office/drawing/2012/chart" uri="{CE6537A1-D6FC-4f65-9D91-7224C49458BB}"/>
              </c:extLst>
            </c:dLbl>
            <c:dLbl>
              <c:idx val="8"/>
              <c:layout>
                <c:manualLayout>
                  <c:x val="-0.016614745586708203"/>
                  <c:y val="0.047619047619047665"/>
                </c:manualLayout>
              </c:layout>
              <c:tx>
                <c:rich>
                  <a:bodyPr vertOverflow="clip"/>
                  <a:lstStyle/>
                  <a:p>
                    <a:r>
                      <a:rPr lang="en-US"/>
                      <a:t>EL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76A7-473F-8BEB-BEC35B19D6F3}"/>
                </c:ext>
                <c:ext xmlns:c15="http://schemas.microsoft.com/office/drawing/2012/chart" uri="{CE6537A1-D6FC-4f65-9D91-7224C49458BB}"/>
              </c:extLst>
            </c:dLbl>
            <c:dLbl>
              <c:idx val="9"/>
              <c:layout>
                <c:manualLayout>
                  <c:x val="-0.070612995805430859"/>
                  <c:y val="0.066666666666666707"/>
                </c:manualLayout>
              </c:layout>
              <c:tx>
                <c:rich>
                  <a:bodyPr vertOverflow="clip"/>
                  <a:lstStyle/>
                  <a:p>
                    <a:r>
                      <a:rPr lang="en-US"/>
                      <a:t>ES</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76A7-473F-8BEB-BEC35B19D6F3}"/>
                </c:ext>
                <c:ext xmlns:c15="http://schemas.microsoft.com/office/drawing/2012/chart" uri="{CE6537A1-D6FC-4f65-9D91-7224C49458BB}"/>
              </c:extLst>
            </c:dLbl>
            <c:dLbl>
              <c:idx val="10"/>
              <c:layout>
                <c:manualLayout>
                  <c:x val="-0.087227414330218064"/>
                  <c:y val="0.019047619047619049"/>
                </c:manualLayout>
              </c:layout>
              <c:tx>
                <c:rich>
                  <a:bodyPr vertOverflow="clip"/>
                  <a:lstStyle/>
                  <a:p>
                    <a:r>
                      <a:rPr lang="en-US"/>
                      <a:t>FR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76A7-473F-8BEB-BEC35B19D6F3}"/>
                </c:ext>
                <c:ext xmlns:c15="http://schemas.microsoft.com/office/drawing/2012/chart" uri="{CE6537A1-D6FC-4f65-9D91-7224C49458BB}"/>
              </c:extLst>
            </c:dLbl>
            <c:dLbl>
              <c:idx val="11"/>
              <c:layout>
                <c:manualLayout>
                  <c:x val="-0.0083073727933541015"/>
                  <c:y val="0.047619047619047616"/>
                </c:manualLayout>
              </c:layout>
              <c:tx>
                <c:rich>
                  <a:bodyPr vertOverflow="clip"/>
                  <a:lstStyle/>
                  <a:p>
                    <a:r>
                      <a:rPr lang="en-US"/>
                      <a:t>PT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76A7-473F-8BEB-BEC35B19D6F3}"/>
                </c:ext>
                <c:ext xmlns:c15="http://schemas.microsoft.com/office/drawing/2012/chart" uri="{CE6537A1-D6FC-4f65-9D91-7224C49458BB}"/>
              </c:extLst>
            </c:dLbl>
            <c:dLbl>
              <c:idx val="12"/>
              <c:layout>
                <c:manualLayout>
                  <c:x val="-0.04569055036344756"/>
                  <c:y val="-0.16190476190476191"/>
                </c:manualLayout>
              </c:layout>
              <c:tx>
                <c:rich>
                  <a:bodyPr vertOverflow="clip"/>
                  <a:lstStyle/>
                  <a:p>
                    <a:r>
                      <a:rPr lang="en-US"/>
                      <a:t>DE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76A7-473F-8BEB-BEC35B19D6F3}"/>
                </c:ext>
                <c:ext xmlns:c15="http://schemas.microsoft.com/office/drawing/2012/chart" uri="{CE6537A1-D6FC-4f65-9D91-7224C49458BB}"/>
              </c:extLst>
            </c:dLbl>
            <c:dLbl>
              <c:idx val="13"/>
              <c:layout>
                <c:manualLayout>
                  <c:x val="-0.037383177570093455"/>
                  <c:y val="-0.0761904761904762"/>
                </c:manualLayout>
              </c:layout>
              <c:tx>
                <c:rich>
                  <a:bodyPr vertOverflow="clip"/>
                  <a:lstStyle/>
                  <a:p>
                    <a:r>
                      <a:rPr lang="en-US"/>
                      <a:t>CY</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76A7-473F-8BEB-BEC35B19D6F3}"/>
                </c:ext>
                <c:ext xmlns:c15="http://schemas.microsoft.com/office/drawing/2012/chart" uri="{CE6537A1-D6FC-4f65-9D91-7224C49458BB}"/>
              </c:extLst>
            </c:dLbl>
            <c:dLbl>
              <c:idx val="14"/>
              <c:layout>
                <c:manualLayout>
                  <c:x val="-0.049844236760124609"/>
                  <c:y val="-0.07619122609673791"/>
                </c:manualLayout>
              </c:layout>
              <c:tx>
                <c:rich>
                  <a:bodyPr vertOverflow="clip"/>
                  <a:lstStyle/>
                  <a:p>
                    <a:r>
                      <a:rPr lang="en-US"/>
                      <a:t>LV</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76A7-473F-8BEB-BEC35B19D6F3}"/>
                </c:ext>
                <c:ext xmlns:c15="http://schemas.microsoft.com/office/drawing/2012/chart" uri="{CE6537A1-D6FC-4f65-9D91-7224C49458BB}"/>
              </c:extLst>
            </c:dLbl>
            <c:dLbl>
              <c:idx val="15"/>
              <c:layout>
                <c:manualLayout>
                  <c:x val="-0.049844236760124609"/>
                  <c:y val="0.085714285714285673"/>
                </c:manualLayout>
              </c:layout>
              <c:tx>
                <c:rich>
                  <a:bodyPr vertOverflow="clip"/>
                  <a:lstStyle/>
                  <a:p>
                    <a:r>
                      <a:rPr lang="en-US"/>
                      <a:t>LT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E-76A7-473F-8BEB-BEC35B19D6F3}"/>
                </c:ext>
                <c:ext xmlns:c15="http://schemas.microsoft.com/office/drawing/2012/chart" uri="{CE6537A1-D6FC-4f65-9D91-7224C49458BB}"/>
              </c:extLst>
            </c:dLbl>
            <c:dLbl>
              <c:idx val="16"/>
              <c:layout>
                <c:manualLayout>
                  <c:x val="-0.045690550363447484"/>
                  <c:y val="0.066666666666666666"/>
                </c:manualLayout>
              </c:layout>
              <c:tx>
                <c:rich>
                  <a:bodyPr vertOverflow="clip"/>
                  <a:lstStyle/>
                  <a:p>
                    <a:r>
                      <a:rPr lang="en-US"/>
                      <a:t>LU</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F-76A7-473F-8BEB-BEC35B19D6F3}"/>
                </c:ext>
                <c:ext xmlns:c15="http://schemas.microsoft.com/office/drawing/2012/chart" uri="{CE6537A1-D6FC-4f65-9D91-7224C49458BB}"/>
              </c:extLst>
            </c:dLbl>
            <c:dLbl>
              <c:idx val="17"/>
              <c:layout>
                <c:manualLayout>
                  <c:x val="-0.087227414330218064"/>
                  <c:y val="-0.047619047619047616"/>
                </c:manualLayout>
              </c:layout>
              <c:tx>
                <c:rich>
                  <a:bodyPr vertOverflow="clip"/>
                  <a:lstStyle/>
                  <a:p>
                    <a:r>
                      <a:rPr lang="en-US"/>
                      <a:t>HU</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0-76A7-473F-8BEB-BEC35B19D6F3}"/>
                </c:ext>
                <c:ext xmlns:c15="http://schemas.microsoft.com/office/drawing/2012/chart" uri="{CE6537A1-D6FC-4f65-9D91-7224C49458BB}"/>
              </c:extLst>
            </c:dLbl>
            <c:dLbl>
              <c:idx val="18"/>
              <c:layout>
                <c:manualLayout>
                  <c:x val="-0.024922118380062305"/>
                  <c:y val="-0.0380952380952381"/>
                </c:manualLayout>
              </c:layout>
              <c:tx>
                <c:rich>
                  <a:bodyPr vertOverflow="clip"/>
                  <a:lstStyle/>
                  <a:p>
                    <a:r>
                      <a:rPr lang="en-US"/>
                      <a:t>NL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1-76A7-473F-8BEB-BEC35B19D6F3}"/>
                </c:ext>
                <c:ext xmlns:c15="http://schemas.microsoft.com/office/drawing/2012/chart" uri="{CE6537A1-D6FC-4f65-9D91-7224C49458BB}"/>
              </c:extLst>
            </c:dLbl>
            <c:dLbl>
              <c:idx val="19"/>
              <c:layout>
                <c:manualLayout>
                  <c:x val="-0.053997923156801658"/>
                  <c:y val="0.085714285714285757"/>
                </c:manualLayout>
              </c:layout>
              <c:tx>
                <c:rich>
                  <a:bodyPr vertOverflow="clip"/>
                  <a:lstStyle/>
                  <a:p>
                    <a:r>
                      <a:rPr lang="en-US"/>
                      <a:t>AT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2-76A7-473F-8BEB-BEC35B19D6F3}"/>
                </c:ext>
                <c:ext xmlns:c15="http://schemas.microsoft.com/office/drawing/2012/chart" uri="{CE6537A1-D6FC-4f65-9D91-7224C49458BB}"/>
              </c:extLst>
            </c:dLbl>
            <c:dLbl>
              <c:idx val="20"/>
              <c:layout>
                <c:manualLayout>
                  <c:x val="-0.037383177570093455"/>
                  <c:y val="-0.066666666666666666"/>
                </c:manualLayout>
              </c:layout>
              <c:tx>
                <c:rich>
                  <a:bodyPr vertOverflow="clip"/>
                  <a:lstStyle/>
                  <a:p>
                    <a:r>
                      <a:rPr lang="en-US"/>
                      <a:t>PL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3-76A7-473F-8BEB-BEC35B19D6F3}"/>
                </c:ext>
                <c:ext xmlns:c15="http://schemas.microsoft.com/office/drawing/2012/chart" uri="{CE6537A1-D6FC-4f65-9D91-7224C49458BB}"/>
              </c:extLst>
            </c:dLbl>
            <c:dLbl>
              <c:idx val="21"/>
              <c:layout>
                <c:manualLayout>
                  <c:x val="-0.10384215991692623"/>
                  <c:y val="0.0095230596175477841"/>
                </c:manualLayout>
              </c:layout>
              <c:tx>
                <c:rich>
                  <a:bodyPr vertOverflow="clip"/>
                  <a:lstStyle/>
                  <a:p>
                    <a:r>
                      <a:rPr lang="en-US"/>
                      <a:t>HR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4-76A7-473F-8BEB-BEC35B19D6F3}"/>
                </c:ext>
                <c:ext xmlns:c15="http://schemas.microsoft.com/office/drawing/2012/chart" uri="{CE6537A1-D6FC-4f65-9D91-7224C49458BB}"/>
              </c:extLst>
            </c:dLbl>
            <c:dLbl>
              <c:idx val="22"/>
              <c:layout>
                <c:manualLayout>
                  <c:x val="-0.04569055036344756"/>
                  <c:y val="-0.0761904761904762"/>
                </c:manualLayout>
              </c:layout>
              <c:tx>
                <c:rich>
                  <a:bodyPr vertOverflow="clip"/>
                  <a:lstStyle/>
                  <a:p>
                    <a:r>
                      <a:rPr lang="en-US"/>
                      <a:t>RO</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5-76A7-473F-8BEB-BEC35B19D6F3}"/>
                </c:ext>
                <c:ext xmlns:c15="http://schemas.microsoft.com/office/drawing/2012/chart" uri="{CE6537A1-D6FC-4f65-9D91-7224C49458BB}"/>
              </c:extLst>
            </c:dLbl>
            <c:dLbl>
              <c:idx val="23"/>
              <c:layout>
                <c:manualLayout>
                  <c:x val="-0.016614745586708203"/>
                  <c:y val="-0.028571428571428567"/>
                </c:manualLayout>
              </c:layout>
              <c:tx>
                <c:rich>
                  <a:bodyPr vertOverflow="clip"/>
                  <a:lstStyle/>
                  <a:p>
                    <a:r>
                      <a:rPr lang="en-US"/>
                      <a:t>SI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6-76A7-473F-8BEB-BEC35B19D6F3}"/>
                </c:ext>
                <c:ext xmlns:c15="http://schemas.microsoft.com/office/drawing/2012/chart" uri="{CE6537A1-D6FC-4f65-9D91-7224C49458BB}"/>
              </c:extLst>
            </c:dLbl>
            <c:dLbl>
              <c:idx val="24"/>
              <c:layout>
                <c:manualLayout>
                  <c:x val="-0.024922118380062305"/>
                  <c:y val="0.0761904761904762"/>
                </c:manualLayout>
              </c:layout>
              <c:tx>
                <c:rich>
                  <a:bodyPr vertOverflow="clip"/>
                  <a:lstStyle/>
                  <a:p>
                    <a:r>
                      <a:rPr lang="en-US"/>
                      <a:t>SK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7-76A7-473F-8BEB-BEC35B19D6F3}"/>
                </c:ext>
                <c:ext xmlns:c15="http://schemas.microsoft.com/office/drawing/2012/chart" uri="{CE6537A1-D6FC-4f65-9D91-7224C49458BB}"/>
              </c:extLst>
            </c:dLbl>
            <c:dLbl>
              <c:idx val="25"/>
              <c:layout>
                <c:manualLayout>
                  <c:x val="-0.0083073727933541015"/>
                  <c:y val="0.019047619047619049"/>
                </c:manualLayout>
              </c:layout>
              <c:tx>
                <c:rich>
                  <a:bodyPr vertOverflow="clip"/>
                  <a:lstStyle/>
                  <a:p>
                    <a:r>
                      <a:rPr lang="en-US"/>
                      <a:t>FI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8-76A7-473F-8BEB-BEC35B19D6F3}"/>
                </c:ext>
                <c:ext xmlns:c15="http://schemas.microsoft.com/office/drawing/2012/chart" uri="{CE6537A1-D6FC-4f65-9D91-7224C49458BB}"/>
              </c:extLst>
            </c:dLbl>
            <c:dLbl>
              <c:idx val="26"/>
              <c:layout>
                <c:manualLayout>
                  <c:x val="-0.029075804776739357"/>
                  <c:y val="-0.066666666666666666"/>
                </c:manualLayout>
              </c:layout>
              <c:tx>
                <c:rich>
                  <a:bodyPr vertOverflow="clip"/>
                  <a:lstStyle/>
                  <a:p>
                    <a:r>
                      <a:rPr lang="en-US"/>
                      <a:t>SE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9-76A7-473F-8BEB-BEC35B19D6F3}"/>
                </c:ext>
                <c:ext xmlns:c15="http://schemas.microsoft.com/office/drawing/2012/chart" uri="{CE6537A1-D6FC-4f65-9D91-7224C49458BB}"/>
              </c:extLst>
            </c:dLbl>
            <c:dLbl>
              <c:idx val="27"/>
              <c:layout>
                <c:manualLayout>
                  <c:x val="-0.029057700290577079"/>
                  <c:y val="-0.038004750593824237"/>
                </c:manualLayout>
              </c:layout>
              <c:tx>
                <c:rich>
                  <a:bodyPr vertOverflow="clip"/>
                  <a:lstStyle/>
                  <a:p>
                    <a:r>
                      <a:rPr lang="en-US"/>
                      <a:t>UK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B-76A7-473F-8BEB-BEC35B19D6F3}"/>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Sheet1!$B$3:$B$30</c:f>
              <c:numCache>
                <c:formatCode>0</c:formatCode>
                <c:ptCount val="28"/>
                <c:pt idx="0">
                  <c:v>41.855830037111083</c:v>
                </c:pt>
                <c:pt idx="1">
                  <c:v>67.269016697588128</c:v>
                </c:pt>
                <c:pt idx="2">
                  <c:v>10.575632306529759</c:v>
                </c:pt>
                <c:pt idx="3">
                  <c:v>20.646687028081786</c:v>
                </c:pt>
                <c:pt idx="4">
                  <c:v>55.144047619047626</c:v>
                </c:pt>
                <c:pt idx="5">
                  <c:v>42.83268983268983</c:v>
                </c:pt>
                <c:pt idx="6">
                  <c:v>20.725543478260871</c:v>
                </c:pt>
                <c:pt idx="7">
                  <c:v>20.582540203478832</c:v>
                </c:pt>
                <c:pt idx="8">
                  <c:v>28.33726565489096</c:v>
                </c:pt>
                <c:pt idx="9">
                  <c:v>53.680466114688748</c:v>
                </c:pt>
                <c:pt idx="10">
                  <c:v>58.514729512587039</c:v>
                </c:pt>
                <c:pt idx="11">
                  <c:v>20.393849050682569</c:v>
                </c:pt>
                <c:pt idx="12">
                  <c:v>42.474606412469271</c:v>
                </c:pt>
                <c:pt idx="13">
                  <c:v>32.6483491110598</c:v>
                </c:pt>
                <c:pt idx="14">
                  <c:v>13.640568785334933</c:v>
                </c:pt>
                <c:pt idx="15">
                  <c:v>16.950558948945488</c:v>
                </c:pt>
                <c:pt idx="16">
                  <c:v>49.517825083354708</c:v>
                </c:pt>
                <c:pt idx="17">
                  <c:v>13.221992091884767</c:v>
                </c:pt>
                <c:pt idx="18">
                  <c:v>58.376673040152966</c:v>
                </c:pt>
                <c:pt idx="19">
                  <c:v>59.210499014420584</c:v>
                </c:pt>
                <c:pt idx="20">
                  <c:v>22.137544032112721</c:v>
                </c:pt>
                <c:pt idx="21">
                  <c:v>21.1416655208763</c:v>
                </c:pt>
                <c:pt idx="22">
                  <c:v>16.227194982896236</c:v>
                </c:pt>
                <c:pt idx="23">
                  <c:v>24.285886464987346</c:v>
                </c:pt>
                <c:pt idx="24">
                  <c:v>29.659338267305181</c:v>
                </c:pt>
                <c:pt idx="25">
                  <c:v>55.927889713679747</c:v>
                </c:pt>
                <c:pt idx="26">
                  <c:v>63.52325581395349</c:v>
                </c:pt>
                <c:pt idx="27">
                  <c:v>45.789176672050438</c:v>
                </c:pt>
              </c:numCache>
            </c:numRef>
          </c:xVal>
          <c:yVal>
            <c:numRef>
              <c:f>Sheet1!$C$3:$C$30</c:f>
              <c:numCache>
                <c:formatCode>0.0</c:formatCode>
                <c:ptCount val="28"/>
                <c:pt idx="0">
                  <c:v>0.74838351830147587</c:v>
                </c:pt>
                <c:pt idx="1">
                  <c:v>0.65096861797835326</c:v>
                </c:pt>
                <c:pt idx="2">
                  <c:v>0.38644990693715409</c:v>
                </c:pt>
                <c:pt idx="3">
                  <c:v>0.61769956946430582</c:v>
                </c:pt>
                <c:pt idx="4">
                  <c:v>0.89419369067908594</c:v>
                </c:pt>
                <c:pt idx="5">
                  <c:v>0.83091540533613351</c:v>
                </c:pt>
                <c:pt idx="6">
                  <c:v>0.8135678197202425</c:v>
                </c:pt>
                <c:pt idx="7">
                  <c:v>2.643293696549541</c:v>
                </c:pt>
                <c:pt idx="8">
                  <c:v>0.5983972620690623</c:v>
                </c:pt>
                <c:pt idx="9">
                  <c:v>0.61643654723000607</c:v>
                </c:pt>
                <c:pt idx="10">
                  <c:v>0.73268205987847945</c:v>
                </c:pt>
                <c:pt idx="11">
                  <c:v>0.739158443157212</c:v>
                </c:pt>
                <c:pt idx="12">
                  <c:v>0.75196656084317359</c:v>
                </c:pt>
                <c:pt idx="13">
                  <c:v>0.66169419605398794</c:v>
                </c:pt>
                <c:pt idx="14">
                  <c:v>0.80821433160008582</c:v>
                </c:pt>
                <c:pt idx="15">
                  <c:v>0.60140207569121884</c:v>
                </c:pt>
                <c:pt idx="16">
                  <c:v>0.82603818703622689</c:v>
                </c:pt>
                <c:pt idx="17">
                  <c:v>0.60098086158057551</c:v>
                </c:pt>
                <c:pt idx="18">
                  <c:v>0.86877537850319608</c:v>
                </c:pt>
                <c:pt idx="19">
                  <c:v>0.63064068941242157</c:v>
                </c:pt>
                <c:pt idx="20">
                  <c:v>0.4624783882232873</c:v>
                </c:pt>
                <c:pt idx="21">
                  <c:v>0.735521747784992</c:v>
                </c:pt>
                <c:pt idx="22">
                  <c:v>0.33532519537557326</c:v>
                </c:pt>
                <c:pt idx="23">
                  <c:v>0.7777059765465183</c:v>
                </c:pt>
                <c:pt idx="24">
                  <c:v>0.48318283314977561</c:v>
                </c:pt>
                <c:pt idx="25">
                  <c:v>0.8223044065419981</c:v>
                </c:pt>
                <c:pt idx="26">
                  <c:v>0.66646396533821028</c:v>
                </c:pt>
                <c:pt idx="27">
                  <c:v>0.98340621476022116</c:v>
                </c:pt>
              </c:numCache>
            </c:numRef>
          </c:yVal>
          <c:smooth val="0"/>
          <c:extLst>
            <c:ext xmlns:c="http://schemas.openxmlformats.org/drawingml/2006/chart" xmlns:c16="http://schemas.microsoft.com/office/drawing/2014/chart" uri="{C3380CC4-5D6E-409C-BE32-E72D297353CC}">
              <c16:uniqueId val="{0000001A-76A7-473F-8BEB-BEC35B19D6F3}"/>
            </c:ext>
          </c:extLst>
        </c:ser>
        <c:dLbls>
          <c:showLegendKey val="0"/>
          <c:showVal val="0"/>
          <c:showCatName val="0"/>
          <c:showSerName val="0"/>
          <c:showPercent val="0"/>
          <c:showBubbleSize val="0"/>
        </c:dLbls>
        <c:axId val="656404480"/>
        <c:axId val="656401736"/>
      </c:scatterChart>
      <c:valAx>
        <c:axId val="656404480"/>
        <c:scaling>
          <c:orientation val="minMax"/>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56401736"/>
        <c:crosses val="autoZero"/>
        <c:crossBetween val="midCat"/>
      </c:valAx>
      <c:valAx>
        <c:axId val="656401736"/>
        <c:scaling>
          <c:orientation val="minMax"/>
          <c:max val="1.1"/>
          <c:min val="0.30000000000000004"/>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56404480"/>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28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3524559430071246"/>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6CEE-43D9-8F1E-02739977751C}"/>
              </c:ext>
            </c:extLst>
          </c:dPt>
          <c:dPt>
            <c:idx val="5"/>
            <c:bubble3D val="0"/>
            <c:extLst>
              <c:ext xmlns:c="http://schemas.openxmlformats.org/drawingml/2006/chart" xmlns:c16="http://schemas.microsoft.com/office/drawing/2014/chart" uri="{C3380CC4-5D6E-409C-BE32-E72D297353CC}">
                <c16:uniqueId val="{00000001-6CEE-43D9-8F1E-02739977751C}"/>
              </c:ext>
            </c:extLst>
          </c:dPt>
          <c:dPt>
            <c:idx val="11"/>
            <c:bubble3D val="0"/>
            <c:extLst>
              <c:ext xmlns:c="http://schemas.openxmlformats.org/drawingml/2006/chart" xmlns:c16="http://schemas.microsoft.com/office/drawing/2014/chart" uri="{C3380CC4-5D6E-409C-BE32-E72D297353CC}">
                <c16:uniqueId val="{00000002-6CEE-43D9-8F1E-02739977751C}"/>
              </c:ext>
            </c:extLst>
          </c:dPt>
          <c:dPt>
            <c:idx val="12"/>
            <c:bubble3D val="0"/>
            <c:extLst>
              <c:ext xmlns:c="http://schemas.openxmlformats.org/drawingml/2006/chart" xmlns:c16="http://schemas.microsoft.com/office/drawing/2014/chart" uri="{C3380CC4-5D6E-409C-BE32-E72D297353CC}">
                <c16:uniqueId val="{00000003-6CEE-43D9-8F1E-02739977751C}"/>
              </c:ext>
            </c:extLst>
          </c:dPt>
          <c:dPt>
            <c:idx val="13"/>
            <c:bubble3D val="0"/>
            <c:extLst>
              <c:ext xmlns:c="http://schemas.openxmlformats.org/drawingml/2006/chart" xmlns:c16="http://schemas.microsoft.com/office/drawing/2014/chart" uri="{C3380CC4-5D6E-409C-BE32-E72D297353CC}">
                <c16:uniqueId val="{00000004-6CEE-43D9-8F1E-02739977751C}"/>
              </c:ext>
            </c:extLst>
          </c:dPt>
          <c:dPt>
            <c:idx val="14"/>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5-6CEE-43D9-8F1E-02739977751C}"/>
              </c:ext>
            </c:extLst>
          </c:dPt>
          <c:dLbls>
            <c:dLbl>
              <c:idx val="0"/>
              <c:layout>
                <c:manualLayout>
                  <c:x val="-0.034962721814194221"/>
                  <c:y val="0.076247404941365615"/>
                </c:manualLayout>
              </c:layout>
              <c:tx>
                <c:rich>
                  <a:bodyPr vertOverflow="clip"/>
                  <a:lstStyle/>
                  <a:p>
                    <a:fld id="{2ee580a4-5cc5-499e-9999-37142afcc54e}" type="CELLRANGE">
                      <a:rPr lang="en-US"/>
                      <a:t>EU-28</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0-6CEE-43D9-8F1E-02739977751C}"/>
                </c:ext>
                <c:ext xmlns:c15="http://schemas.microsoft.com/office/drawing/2012/chart" uri="{CE6537A1-D6FC-4f65-9D91-7224C49458BB}">
                  <c15:showDataLabelsRange val="1"/>
                </c:ext>
              </c:extLst>
            </c:dLbl>
            <c:dLbl>
              <c:idx val="1"/>
              <c:tx>
                <c:rich>
                  <a:bodyPr vertOverflow="clip"/>
                  <a:lstStyle/>
                  <a:p>
                    <a:fld id="{2dad025b-f714-42da-9038-2ea2787ff819}" type="CELLRANGE">
                      <a:rPr lang="en-US"/>
                      <a:t>BE</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6-6CEE-43D9-8F1E-02739977751C}"/>
                </c:ext>
                <c:ext xmlns:c15="http://schemas.microsoft.com/office/drawing/2012/chart" uri="{CE6537A1-D6FC-4f65-9D91-7224C49458BB}">
                  <c15:showDataLabelsRange val="1"/>
                </c:ext>
              </c:extLst>
            </c:dLbl>
            <c:dLbl>
              <c:idx val="2"/>
              <c:layout>
                <c:manualLayout>
                  <c:x val="-0.05627878395648863"/>
                  <c:y val="-0.076246656816354008"/>
                </c:manualLayout>
              </c:layout>
              <c:tx>
                <c:rich>
                  <a:bodyPr vertOverflow="clip"/>
                  <a:lstStyle/>
                  <a:p>
                    <a:fld id="{4a048c54-832a-4023-b084-9d63fcb08369}" type="CELLRANGE">
                      <a:rPr lang="en-US"/>
                      <a:t>BG</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7-6CEE-43D9-8F1E-02739977751C}"/>
                </c:ext>
                <c:ext xmlns:c15="http://schemas.microsoft.com/office/drawing/2012/chart" uri="{CE6537A1-D6FC-4f65-9D91-7224C49458BB}">
                  <c15:showDataLabelsRange val="1"/>
                </c:ext>
              </c:extLst>
            </c:dLbl>
            <c:dLbl>
              <c:idx val="3"/>
              <c:layout>
                <c:manualLayout>
                  <c:x val="-0.054649395475627811"/>
                  <c:y val="0.066746217292909651"/>
                </c:manualLayout>
              </c:layout>
              <c:tx>
                <c:rich>
                  <a:bodyPr vertOverflow="clip"/>
                  <a:lstStyle/>
                  <a:p>
                    <a:fld id="{380ad615-4015-4e04-92ee-95d9e2ec98e6}" type="CELLRANGE">
                      <a:rPr lang="en-US"/>
                      <a:t>CZ</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8-6CEE-43D9-8F1E-02739977751C}"/>
                </c:ext>
                <c:ext xmlns:c15="http://schemas.microsoft.com/office/drawing/2012/chart" uri="{CE6537A1-D6FC-4f65-9D91-7224C49458BB}">
                  <c15:showDataLabelsRange val="1"/>
                </c:ext>
              </c:extLst>
            </c:dLbl>
            <c:dLbl>
              <c:idx val="4"/>
              <c:tx>
                <c:rich>
                  <a:bodyPr vertOverflow="clip"/>
                  <a:lstStyle/>
                  <a:p>
                    <a:fld id="{7030a612-7d31-44a5-ae32-49ffcdd59e5f}" type="CELLRANGE">
                      <a:rPr lang="en-US"/>
                      <a:t>DK</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9-6CEE-43D9-8F1E-02739977751C}"/>
                </c:ext>
                <c:ext xmlns:c15="http://schemas.microsoft.com/office/drawing/2012/chart" uri="{CE6537A1-D6FC-4f65-9D91-7224C49458BB}">
                  <c15:showDataLabelsRange val="1"/>
                </c:ext>
              </c:extLst>
            </c:dLbl>
            <c:dLbl>
              <c:idx val="5"/>
              <c:layout>
                <c:manualLayout>
                  <c:x val="-0.055469156019258566"/>
                  <c:y val="-0.07624665681635405"/>
                </c:manualLayout>
              </c:layout>
              <c:tx>
                <c:rich>
                  <a:bodyPr vertOverflow="clip"/>
                  <a:lstStyle/>
                  <a:p>
                    <a:fld id="{4d40dc46-681a-408f-a4c6-c071d14f80eb}" type="CELLRANGE">
                      <a:rPr lang="en-US"/>
                      <a:t>DE</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1-6CEE-43D9-8F1E-02739977751C}"/>
                </c:ext>
                <c:ext xmlns:c15="http://schemas.microsoft.com/office/drawing/2012/chart" uri="{CE6537A1-D6FC-4f65-9D91-7224C49458BB}">
                  <c15:showDataLabelsRange val="1"/>
                </c:ext>
              </c:extLst>
            </c:dLbl>
            <c:dLbl>
              <c:idx val="6"/>
              <c:layout>
                <c:manualLayout>
                  <c:x val="-0.054669987546699876"/>
                  <c:y val="-0.076246656816354008"/>
                </c:manualLayout>
              </c:layout>
              <c:tx>
                <c:rich>
                  <a:bodyPr vertOverflow="clip"/>
                  <a:lstStyle/>
                  <a:p>
                    <a:fld id="{8b599ed3-8a2a-4c0b-8155-8b6ce2a96e9f}" type="CELLRANGE">
                      <a:rPr lang="en-US"/>
                      <a:t>EE</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A-6CEE-43D9-8F1E-02739977751C}"/>
                </c:ext>
                <c:ext xmlns:c15="http://schemas.microsoft.com/office/drawing/2012/chart" uri="{CE6537A1-D6FC-4f65-9D91-7224C49458BB}">
                  <c15:showDataLabelsRange val="1"/>
                </c:ext>
              </c:extLst>
            </c:dLbl>
            <c:dLbl>
              <c:idx val="7"/>
              <c:tx>
                <c:rich>
                  <a:bodyPr vertOverflow="clip"/>
                  <a:lstStyle/>
                  <a:p>
                    <a:fld id="{6ecb8baf-f30b-4fd3-9da9-438b17325bb8}" type="CELLRANGE">
                      <a:rPr lang="lv-LV"/>
                      <a:t>IE</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8"/>
              <c:layout>
                <c:manualLayout>
                  <c:x val="-0.020755500207555"/>
                  <c:y val="0"/>
                </c:manualLayout>
              </c:layout>
              <c:tx>
                <c:rich>
                  <a:bodyPr vertOverflow="clip"/>
                  <a:lstStyle/>
                  <a:p>
                    <a:fld id="{c65bfbf7-c15d-4dcf-95dd-f5f9d792a206}" type="CELLRANGE">
                      <a:rPr lang="en-US"/>
                      <a:t>EL</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B-6CEE-43D9-8F1E-02739977751C}"/>
                </c:ext>
                <c:ext xmlns:c15="http://schemas.microsoft.com/office/drawing/2012/chart" uri="{CE6537A1-D6FC-4f65-9D91-7224C49458BB}">
                  <c15:showDataLabelsRange val="1"/>
                </c:ext>
              </c:extLst>
            </c:dLbl>
            <c:dLbl>
              <c:idx val="9"/>
              <c:layout>
                <c:manualLayout>
                  <c:x val="-0.050518887505188875"/>
                  <c:y val="0.0572450296444535"/>
                </c:manualLayout>
              </c:layout>
              <c:tx>
                <c:rich>
                  <a:bodyPr vertOverflow="clip"/>
                  <a:lstStyle/>
                  <a:p>
                    <a:fld id="{fa4b5268-b335-43e3-b942-d94e7ec68e3b}" type="CELLRANGE">
                      <a:rPr lang="en-US"/>
                      <a:t>ES</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C-6CEE-43D9-8F1E-02739977751C}"/>
                </c:ext>
                <c:ext xmlns:c15="http://schemas.microsoft.com/office/drawing/2012/chart" uri="{CE6537A1-D6FC-4f65-9D91-7224C49458BB}">
                  <c15:showDataLabelsRange val="1"/>
                </c:ext>
              </c:extLst>
            </c:dLbl>
            <c:dLbl>
              <c:idx val="10"/>
              <c:layout>
                <c:manualLayout>
                  <c:x val="-0.042196095351094809"/>
                  <c:y val="-0.0572442815194419"/>
                </c:manualLayout>
              </c:layout>
              <c:tx>
                <c:rich>
                  <a:bodyPr vertOverflow="clip"/>
                  <a:lstStyle/>
                  <a:p>
                    <a:fld id="{be35b356-d6c2-4300-95a7-6a15f6395b37}" type="CELLRANGE">
                      <a:rPr lang="en-US"/>
                      <a:t>FR</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D-6CEE-43D9-8F1E-02739977751C}"/>
                </c:ext>
                <c:ext xmlns:c15="http://schemas.microsoft.com/office/drawing/2012/chart" uri="{CE6537A1-D6FC-4f65-9D91-7224C49458BB}">
                  <c15:showDataLabelsRange val="1"/>
                </c:ext>
              </c:extLst>
            </c:dLbl>
            <c:dLbl>
              <c:idx val="11"/>
              <c:layout>
                <c:manualLayout>
                  <c:x val="-0.056268324491817068"/>
                  <c:y val="0.066746217292909554"/>
                </c:manualLayout>
              </c:layout>
              <c:tx>
                <c:rich>
                  <a:bodyPr vertOverflow="clip"/>
                  <a:lstStyle/>
                  <a:p>
                    <a:fld id="{c572584e-3a9e-486a-b7e7-e5fd27a7563e}" type="CELLRANGE">
                      <a:rPr lang="en-US"/>
                      <a:t>HR</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2-6CEE-43D9-8F1E-02739977751C}"/>
                </c:ext>
                <c:ext xmlns:c15="http://schemas.microsoft.com/office/drawing/2012/chart" uri="{CE6537A1-D6FC-4f65-9D91-7224C49458BB}">
                  <c15:showDataLabelsRange val="1"/>
                </c:ext>
              </c:extLst>
            </c:dLbl>
            <c:dLbl>
              <c:idx val="12"/>
              <c:layout>
                <c:manualLayout>
                  <c:x val="-0.048194271481942788"/>
                  <c:y val="0.085748592589821759"/>
                </c:manualLayout>
              </c:layout>
              <c:tx>
                <c:rich>
                  <a:bodyPr vertOverflow="clip"/>
                  <a:lstStyle/>
                  <a:p>
                    <a:fld id="{f886974a-8a1c-4026-89b0-b9458cd0a424}" type="CELLRANGE">
                      <a:rPr lang="en-US"/>
                      <a:t>IT</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3-6CEE-43D9-8F1E-02739977751C}"/>
                </c:ext>
                <c:ext xmlns:c15="http://schemas.microsoft.com/office/drawing/2012/chart" uri="{CE6537A1-D6FC-4f65-9D91-7224C49458BB}">
                  <c15:showDataLabelsRange val="1"/>
                </c:ext>
              </c:extLst>
            </c:dLbl>
            <c:dLbl>
              <c:idx val="13"/>
              <c:layout>
                <c:manualLayout>
                  <c:x val="-0.033208800332088007"/>
                  <c:y val="-0.03800475059382423"/>
                </c:manualLayout>
              </c:layout>
              <c:tx>
                <c:rich>
                  <a:bodyPr vertOverflow="clip"/>
                  <a:lstStyle/>
                  <a:p>
                    <a:fld id="{9106a503-329c-4f5b-a9dc-bf8970b60238}" type="CELLRANGE">
                      <a:rPr lang="en-US"/>
                      <a:t>CY</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4-6CEE-43D9-8F1E-02739977751C}"/>
                </c:ext>
                <c:ext xmlns:c15="http://schemas.microsoft.com/office/drawing/2012/chart" uri="{CE6537A1-D6FC-4f65-9D91-7224C49458BB}">
                  <c15:showDataLabelsRange val="1"/>
                </c:ext>
              </c:extLst>
            </c:dLbl>
            <c:dLbl>
              <c:idx val="14"/>
              <c:layout>
                <c:manualLayout>
                  <c:x val="-0.071741468181981571"/>
                  <c:y val="-0.0999996259374942"/>
                </c:manualLayout>
              </c:layout>
              <c:tx>
                <c:rich>
                  <a:bodyPr vertOverflow="clip"/>
                  <a:lstStyle/>
                  <a:p>
                    <a:fld id="{d043a12c-4132-49b7-9747-f51a29de4015}" type="CELLRANGE">
                      <a:rPr lang="en-US"/>
                      <a:t>LV</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5-6CEE-43D9-8F1E-02739977751C}"/>
                </c:ext>
                <c:ext xmlns:c15="http://schemas.microsoft.com/office/drawing/2012/chart" uri="{CE6537A1-D6FC-4f65-9D91-7224C49458BB}">
                  <c15:showDataLabelsRange val="1"/>
                </c:ext>
              </c:extLst>
            </c:dLbl>
            <c:dLbl>
              <c:idx val="15"/>
              <c:layout>
                <c:manualLayout>
                  <c:x val="-0.079576587795765874"/>
                  <c:y val="0.019002375296912115"/>
                </c:manualLayout>
              </c:layout>
              <c:tx>
                <c:rich>
                  <a:bodyPr vertOverflow="clip"/>
                  <a:lstStyle/>
                  <a:p>
                    <a:fld id="{300c6e7c-2834-4967-8e86-47c89aae6796}" type="CELLRANGE">
                      <a:rPr lang="en-US"/>
                      <a:t>LT</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E-6CEE-43D9-8F1E-02739977751C}"/>
                </c:ext>
                <c:ext xmlns:c15="http://schemas.microsoft.com/office/drawing/2012/chart" uri="{CE6537A1-D6FC-4f65-9D91-7224C49458BB}">
                  <c15:showDataLabelsRange val="1"/>
                </c:ext>
              </c:extLst>
            </c:dLbl>
            <c:dLbl>
              <c:idx val="16"/>
              <c:layout>
                <c:manualLayout>
                  <c:x val="-0.041407386343207724"/>
                  <c:y val="-0.076246656816354008"/>
                </c:manualLayout>
              </c:layout>
              <c:tx>
                <c:rich>
                  <a:bodyPr vertOverflow="clip"/>
                  <a:lstStyle/>
                  <a:p>
                    <a:fld id="{378b1949-9638-458a-8475-d18e6807d1bf}" type="CELLRANGE">
                      <a:rPr lang="en-US"/>
                      <a:t>LU</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F-6CEE-43D9-8F1E-02739977751C}"/>
                </c:ext>
                <c:ext xmlns:c15="http://schemas.microsoft.com/office/drawing/2012/chart" uri="{CE6537A1-D6FC-4f65-9D91-7224C49458BB}">
                  <c15:showDataLabelsRange val="1"/>
                </c:ext>
              </c:extLst>
            </c:dLbl>
            <c:dLbl>
              <c:idx val="17"/>
              <c:layout>
                <c:manualLayout>
                  <c:x val="-0.10423412204234123"/>
                  <c:y val="0.019002375296912028"/>
                </c:manualLayout>
              </c:layout>
              <c:tx>
                <c:rich>
                  <a:bodyPr vertOverflow="clip"/>
                  <a:lstStyle/>
                  <a:p>
                    <a:fld id="{b36ed253-bfd3-4ab4-8e48-b470e7daf4a0}" type="CELLRANGE">
                      <a:rPr lang="en-US"/>
                      <a:t>HU</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0-6CEE-43D9-8F1E-02739977751C}"/>
                </c:ext>
                <c:ext xmlns:c15="http://schemas.microsoft.com/office/drawing/2012/chart" uri="{CE6537A1-D6FC-4f65-9D91-7224C49458BB}">
                  <c15:showDataLabelsRange val="1"/>
                </c:ext>
              </c:extLst>
            </c:dLbl>
            <c:dLbl>
              <c:idx val="18"/>
              <c:tx>
                <c:rich>
                  <a:bodyPr vertOverflow="clip"/>
                  <a:lstStyle/>
                  <a:p>
                    <a:fld id="{e5a3610f-27fb-4bc3-80ea-2bce78d4412a}" type="CELLRANGE">
                      <a:rPr lang="en-US"/>
                      <a:t>NL</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1-6CEE-43D9-8F1E-02739977751C}"/>
                </c:ext>
                <c:ext xmlns:c15="http://schemas.microsoft.com/office/drawing/2012/chart" uri="{CE6537A1-D6FC-4f65-9D91-7224C49458BB}">
                  <c15:showDataLabelsRange val="1"/>
                </c:ext>
              </c:extLst>
            </c:dLbl>
            <c:dLbl>
              <c:idx val="19"/>
              <c:layout>
                <c:manualLayout>
                  <c:x val="-0.0455480269200472"/>
                  <c:y val="0.10475096788673378"/>
                </c:manualLayout>
              </c:layout>
              <c:tx>
                <c:rich>
                  <a:bodyPr vertOverflow="clip"/>
                  <a:lstStyle/>
                  <a:p>
                    <a:fld id="{fd52cc17-b166-46ea-95c6-dd3a13894430}" type="CELLRANGE">
                      <a:rPr lang="en-US"/>
                      <a:t>AT</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2-6CEE-43D9-8F1E-02739977751C}"/>
                </c:ext>
                <c:ext xmlns:c15="http://schemas.microsoft.com/office/drawing/2012/chart" uri="{CE6537A1-D6FC-4f65-9D91-7224C49458BB}">
                  <c15:showDataLabelsRange val="1"/>
                </c:ext>
              </c:extLst>
            </c:dLbl>
            <c:dLbl>
              <c:idx val="20"/>
              <c:layout>
                <c:manualLayout>
                  <c:x val="-0.048910417953671112"/>
                  <c:y val="0.076247404941365615"/>
                </c:manualLayout>
              </c:layout>
              <c:tx>
                <c:rich>
                  <a:bodyPr vertOverflow="clip"/>
                  <a:lstStyle/>
                  <a:p>
                    <a:fld id="{b3534f8b-7f9c-49d4-88ed-41a2443c9771}" type="CELLRANGE">
                      <a:rPr lang="en-US"/>
                      <a:t>PL</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3-6CEE-43D9-8F1E-02739977751C}"/>
                </c:ext>
                <c:ext xmlns:c15="http://schemas.microsoft.com/office/drawing/2012/chart" uri="{CE6537A1-D6FC-4f65-9D91-7224C49458BB}">
                  <c15:showDataLabelsRange val="1"/>
                </c:ext>
              </c:extLst>
            </c:dLbl>
            <c:dLbl>
              <c:idx val="21"/>
              <c:layout>
                <c:manualLayout>
                  <c:x val="-0.0496991269615582"/>
                  <c:y val="-0.076246656816354008"/>
                </c:manualLayout>
              </c:layout>
              <c:tx>
                <c:rich>
                  <a:bodyPr vertOverflow="clip"/>
                  <a:lstStyle/>
                  <a:p>
                    <a:fld id="{4b92d0d0-7f38-45a5-999e-4c21cdd6a2de}" type="CELLRANGE">
                      <a:rPr lang="en-US"/>
                      <a:t>PT</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4-6CEE-43D9-8F1E-02739977751C}"/>
                </c:ext>
                <c:ext xmlns:c15="http://schemas.microsoft.com/office/drawing/2012/chart" uri="{CE6537A1-D6FC-4f65-9D91-7224C49458BB}">
                  <c15:showDataLabelsRange val="1"/>
                </c:ext>
              </c:extLst>
            </c:dLbl>
            <c:dLbl>
              <c:idx val="22"/>
              <c:layout>
                <c:manualLayout>
                  <c:x val="-0.057077625570776253"/>
                  <c:y val="0.066746217292909651"/>
                </c:manualLayout>
              </c:layout>
              <c:tx>
                <c:rich>
                  <a:bodyPr vertOverflow="clip"/>
                  <a:lstStyle/>
                  <a:p>
                    <a:fld id="{1ae028c0-9905-4bd5-8ad8-c3bdb03f8d4a}" type="CELLRANGE">
                      <a:rPr lang="en-US"/>
                      <a:t>RO</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5-6CEE-43D9-8F1E-02739977751C}"/>
                </c:ext>
                <c:ext xmlns:c15="http://schemas.microsoft.com/office/drawing/2012/chart" uri="{CE6537A1-D6FC-4f65-9D91-7224C49458BB}">
                  <c15:showDataLabelsRange val="1"/>
                </c:ext>
              </c:extLst>
            </c:dLbl>
            <c:dLbl>
              <c:idx val="23"/>
              <c:layout>
                <c:manualLayout>
                  <c:x val="-0.037359900373599077"/>
                  <c:y val="-0.057007125890736345"/>
                </c:manualLayout>
              </c:layout>
              <c:tx>
                <c:rich>
                  <a:bodyPr vertOverflow="clip"/>
                  <a:lstStyle/>
                  <a:p>
                    <a:fld id="{bf149ec2-23af-4704-93db-331f9f66e407}" type="CELLRANGE">
                      <a:rPr lang="en-US"/>
                      <a:t>SI</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6-6CEE-43D9-8F1E-02739977751C}"/>
                </c:ext>
                <c:ext xmlns:c15="http://schemas.microsoft.com/office/drawing/2012/chart" uri="{CE6537A1-D6FC-4f65-9D91-7224C49458BB}">
                  <c15:showDataLabelsRange val="1"/>
                </c:ext>
              </c:extLst>
            </c:dLbl>
            <c:dLbl>
              <c:idx val="24"/>
              <c:layout>
                <c:manualLayout>
                  <c:x val="-0.016604400166044003"/>
                  <c:y val="0"/>
                </c:manualLayout>
              </c:layout>
              <c:tx>
                <c:rich>
                  <a:bodyPr vertOverflow="clip"/>
                  <a:lstStyle/>
                  <a:p>
                    <a:fld id="{4254c6a1-e417-4029-8654-d071e207369c}" type="CELLRANGE">
                      <a:rPr lang="en-US"/>
                      <a:t>SK</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7-6CEE-43D9-8F1E-02739977751C}"/>
                </c:ext>
                <c:ext xmlns:c15="http://schemas.microsoft.com/office/drawing/2012/chart" uri="{CE6537A1-D6FC-4f65-9D91-7224C49458BB}">
                  <c15:showDataLabelsRange val="1"/>
                </c:ext>
              </c:extLst>
            </c:dLbl>
            <c:dLbl>
              <c:idx val="25"/>
              <c:tx>
                <c:rich>
                  <a:bodyPr vertOverflow="clip"/>
                  <a:lstStyle/>
                  <a:p>
                    <a:fld id="{b503beec-9bc6-480c-9dff-d0679a00aac5}" type="CELLRANGE">
                      <a:rPr lang="en-US"/>
                      <a:t>FI</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8-6CEE-43D9-8F1E-02739977751C}"/>
                </c:ext>
                <c:ext xmlns:c15="http://schemas.microsoft.com/office/drawing/2012/chart" uri="{CE6537A1-D6FC-4f65-9D91-7224C49458BB}">
                  <c15:showDataLabelsRange val="1"/>
                </c:ext>
              </c:extLst>
            </c:dLbl>
            <c:dLbl>
              <c:idx val="26"/>
              <c:layout>
                <c:manualLayout>
                  <c:x val="-0.054669987546699876"/>
                  <c:y val="0.085748592589821759"/>
                </c:manualLayout>
              </c:layout>
              <c:tx>
                <c:rich>
                  <a:bodyPr vertOverflow="clip"/>
                  <a:lstStyle/>
                  <a:p>
                    <a:fld id="{66195ddb-f8c1-450d-95f6-434ce525543e}" type="CELLRANGE">
                      <a:rPr lang="en-US"/>
                      <a:t>SE</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9-6CEE-43D9-8F1E-02739977751C}"/>
                </c:ext>
                <c:ext xmlns:c15="http://schemas.microsoft.com/office/drawing/2012/chart" uri="{CE6537A1-D6FC-4f65-9D91-7224C49458BB}">
                  <c15:showDataLabelsRange val="1"/>
                </c:ext>
              </c:extLst>
            </c:dLbl>
            <c:dLbl>
              <c:idx val="27"/>
              <c:layout>
                <c:manualLayout>
                  <c:x val="-0.055469156019258566"/>
                  <c:y val="-0.085747844464810069"/>
                </c:manualLayout>
              </c:layout>
              <c:tx>
                <c:rich>
                  <a:bodyPr vertOverflow="clip"/>
                  <a:lstStyle/>
                  <a:p>
                    <a:fld id="{d837d1c3-f61d-43c9-82ba-603005b0c89d}" type="CELLRANGE">
                      <a:rPr lang="en-US"/>
                      <a:t>UK</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B-6CEE-43D9-8F1E-02739977751C}"/>
                </c:ext>
                <c:ext xmlns:c15="http://schemas.microsoft.com/office/drawing/2012/chart" uri="{CE6537A1-D6FC-4f65-9D91-7224C49458BB}">
                  <c15:showDataLabelsRange val="1"/>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Sheet1!$B$3:$B$30</c:f>
              <c:numCache>
                <c:formatCode>0</c:formatCode>
                <c:ptCount val="28"/>
                <c:pt idx="0">
                  <c:v>43.182918935124931</c:v>
                </c:pt>
                <c:pt idx="1">
                  <c:v>73.181682799702145</c:v>
                </c:pt>
                <c:pt idx="2">
                  <c:v>11.599497659550176</c:v>
                </c:pt>
                <c:pt idx="3">
                  <c:v>22.602622227668178</c:v>
                </c:pt>
                <c:pt idx="4">
                  <c:v>60.972222222222221</c:v>
                </c:pt>
                <c:pt idx="5">
                  <c:v>42.749102040816325</c:v>
                </c:pt>
                <c:pt idx="6">
                  <c:v>20.111842105263158</c:v>
                </c:pt>
                <c:pt idx="7">
                  <c:v>19.332526719096592</c:v>
                </c:pt>
                <c:pt idx="8">
                  <c:v>25.552376650102897</c:v>
                </c:pt>
                <c:pt idx="9">
                  <c:v>60.612516644474027</c:v>
                </c:pt>
                <c:pt idx="10">
                  <c:v>55.870912220309812</c:v>
                </c:pt>
                <c:pt idx="11">
                  <c:v>18.293485023553458</c:v>
                </c:pt>
                <c:pt idx="12">
                  <c:v>42.073624917163684</c:v>
                </c:pt>
                <c:pt idx="13">
                  <c:v>28.718808193668529</c:v>
                </c:pt>
                <c:pt idx="14">
                  <c:v>16.438651834633905</c:v>
                </c:pt>
                <c:pt idx="15">
                  <c:v>18.179355712489116</c:v>
                </c:pt>
                <c:pt idx="16">
                  <c:v>52.4953314659197</c:v>
                </c:pt>
                <c:pt idx="17">
                  <c:v>12.995041558163594</c:v>
                </c:pt>
                <c:pt idx="18">
                  <c:v>71.009782608695659</c:v>
                </c:pt>
                <c:pt idx="19">
                  <c:v>56.565712891646044</c:v>
                </c:pt>
                <c:pt idx="20">
                  <c:v>25.845129702800207</c:v>
                </c:pt>
                <c:pt idx="21">
                  <c:v>22.313769751693</c:v>
                </c:pt>
                <c:pt idx="22">
                  <c:v>13.803358373840036</c:v>
                </c:pt>
                <c:pt idx="23">
                  <c:v>25.619247537542385</c:v>
                </c:pt>
                <c:pt idx="24">
                  <c:v>33.591163546620116</c:v>
                </c:pt>
                <c:pt idx="25">
                  <c:v>51.786427145708579</c:v>
                </c:pt>
                <c:pt idx="26">
                  <c:v>54.146926113931187</c:v>
                </c:pt>
                <c:pt idx="27">
                  <c:v>48.241468510595965</c:v>
                </c:pt>
              </c:numCache>
            </c:numRef>
          </c:xVal>
          <c:yVal>
            <c:numRef>
              <c:f>Sheet1!$C$3:$C$30</c:f>
              <c:numCache>
                <c:formatCode>0.0</c:formatCode>
                <c:ptCount val="28"/>
                <c:pt idx="0">
                  <c:v>0.81657158106534089</c:v>
                </c:pt>
                <c:pt idx="1">
                  <c:v>0.68760212246362751</c:v>
                </c:pt>
                <c:pt idx="2">
                  <c:v>0.52057934196861921</c:v>
                </c:pt>
                <c:pt idx="3">
                  <c:v>0.56585401887275466</c:v>
                </c:pt>
                <c:pt idx="4">
                  <c:v>0.90711212351303461</c:v>
                </c:pt>
                <c:pt idx="5">
                  <c:v>0.94039683276970931</c:v>
                </c:pt>
                <c:pt idx="6">
                  <c:v>0.97259979360836557</c:v>
                </c:pt>
                <c:pt idx="7">
                  <c:v>2.3738186801611056</c:v>
                </c:pt>
                <c:pt idx="8">
                  <c:v>0.46218036767313025</c:v>
                </c:pt>
                <c:pt idx="9">
                  <c:v>0.5235244230862427</c:v>
                </c:pt>
                <c:pt idx="10">
                  <c:v>0.85788539863818336</c:v>
                </c:pt>
                <c:pt idx="11">
                  <c:v>0.74345919897526769</c:v>
                </c:pt>
                <c:pt idx="12">
                  <c:v>0.79643794947578572</c:v>
                </c:pt>
                <c:pt idx="13">
                  <c:v>0.65994318238657612</c:v>
                </c:pt>
                <c:pt idx="14">
                  <c:v>1.0416326282306649</c:v>
                </c:pt>
                <c:pt idx="15">
                  <c:v>0.86868554071611315</c:v>
                </c:pt>
                <c:pt idx="16">
                  <c:v>0.87945766993783869</c:v>
                </c:pt>
                <c:pt idx="17">
                  <c:v>0.54183172652410228</c:v>
                </c:pt>
                <c:pt idx="18">
                  <c:v>0.797803838455469</c:v>
                </c:pt>
                <c:pt idx="19">
                  <c:v>0.78016197230662654</c:v>
                </c:pt>
                <c:pt idx="20">
                  <c:v>0.45570834308116209</c:v>
                </c:pt>
                <c:pt idx="21">
                  <c:v>0.75986215898845344</c:v>
                </c:pt>
                <c:pt idx="22">
                  <c:v>0.44677487561670232</c:v>
                </c:pt>
                <c:pt idx="23">
                  <c:v>0.81998603647712953</c:v>
                </c:pt>
                <c:pt idx="24">
                  <c:v>0.46435256486542126</c:v>
                </c:pt>
                <c:pt idx="25">
                  <c:v>1.0013638408300629</c:v>
                </c:pt>
                <c:pt idx="26">
                  <c:v>0.88302249872049221</c:v>
                </c:pt>
                <c:pt idx="27">
                  <c:v>1.0941153103527625</c:v>
                </c:pt>
              </c:numCache>
            </c:numRef>
          </c:yVal>
          <c:smooth val="0"/>
          <c:extLst>
            <c:ext xmlns:c="http://schemas.openxmlformats.org/drawingml/2006/chart" xmlns:c16="http://schemas.microsoft.com/office/drawing/2014/chart" uri="{C3380CC4-5D6E-409C-BE32-E72D297353CC}">
              <c16:uniqueId val="{0000001A-6CEE-43D9-8F1E-02739977751C}"/>
            </c:ext>
            <c:ext xmlns:c15="http://schemas.microsoft.com/office/drawing/2012/chart" uri="{02D57815-91ED-43cb-92C2-25804820EDAC}">
              <c15:datalabelsRange>
                <c15:f>Sheet1!$A$3:$A$30</c15:f>
                <c15:dlblRangeCache>
                  <c:ptCount val="28"/>
                  <c:pt idx="0">
                    <c:v>EU-28</c:v>
                  </c:pt>
                  <c:pt idx="1">
                    <c:v>BE</c:v>
                  </c:pt>
                  <c:pt idx="2">
                    <c:v>BG</c:v>
                  </c:pt>
                  <c:pt idx="3">
                    <c:v>CZ</c:v>
                  </c:pt>
                  <c:pt idx="4">
                    <c:v>DK</c:v>
                  </c:pt>
                  <c:pt idx="5">
                    <c:v>DE</c:v>
                  </c:pt>
                  <c:pt idx="6">
                    <c:v>EE</c:v>
                  </c:pt>
                  <c:pt idx="7">
                    <c:v>IE</c:v>
                  </c:pt>
                  <c:pt idx="8">
                    <c:v>EL</c:v>
                  </c:pt>
                  <c:pt idx="9">
                    <c:v>ES</c:v>
                  </c:pt>
                  <c:pt idx="10">
                    <c:v>FR</c:v>
                  </c:pt>
                  <c:pt idx="11">
                    <c:v>HR</c:v>
                  </c:pt>
                  <c:pt idx="12">
                    <c:v>IT</c:v>
                  </c:pt>
                  <c:pt idx="13">
                    <c:v>CY</c:v>
                  </c:pt>
                  <c:pt idx="14">
                    <c:v>LV</c:v>
                  </c:pt>
                  <c:pt idx="15">
                    <c:v>LT</c:v>
                  </c:pt>
                  <c:pt idx="16">
                    <c:v>LU</c:v>
                  </c:pt>
                  <c:pt idx="17">
                    <c:v>HU</c:v>
                  </c:pt>
                  <c:pt idx="18">
                    <c:v>NL</c:v>
                  </c:pt>
                  <c:pt idx="19">
                    <c:v>AT</c:v>
                  </c:pt>
                  <c:pt idx="20">
                    <c:v>PL</c:v>
                  </c:pt>
                  <c:pt idx="21">
                    <c:v>PT</c:v>
                  </c:pt>
                  <c:pt idx="22">
                    <c:v>RO</c:v>
                  </c:pt>
                  <c:pt idx="23">
                    <c:v>SI</c:v>
                  </c:pt>
                  <c:pt idx="24">
                    <c:v>SK</c:v>
                  </c:pt>
                  <c:pt idx="25">
                    <c:v>FI</c:v>
                  </c:pt>
                  <c:pt idx="26">
                    <c:v>SE</c:v>
                  </c:pt>
                  <c:pt idx="27">
                    <c:v>UK</c:v>
                  </c:pt>
                </c15:dlblRangeCache>
              </c15:datalabelsRange>
            </c:ext>
          </c:extLst>
        </c:ser>
        <c:dLbls>
          <c:showLegendKey val="0"/>
          <c:showVal val="0"/>
          <c:showCatName val="0"/>
          <c:showSerName val="0"/>
          <c:showPercent val="0"/>
          <c:showBubbleSize val="0"/>
        </c:dLbls>
        <c:axId val="656404872"/>
        <c:axId val="656405656"/>
      </c:scatterChart>
      <c:valAx>
        <c:axId val="656404872"/>
        <c:scaling>
          <c:orientation val="minMax"/>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56405656"/>
        <c:crosses val="autoZero"/>
        <c:crossBetween val="midCat"/>
      </c:valAx>
      <c:valAx>
        <c:axId val="656405656"/>
        <c:scaling>
          <c:orientation val="minMax"/>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56404872"/>
        <c:crosses val="autoZero"/>
        <c:crossBetween val="midCat"/>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28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59412201441466"/>
          <c:y val="0.098301682877875565"/>
          <c:w val="0.77357359176256812"/>
          <c:h val="0.75212499652753129"/>
        </c:manualLayout>
      </c:layout>
      <c:barChart>
        <c:barDir val="col"/>
        <c:grouping val="clustered"/>
        <c:varyColors val="0"/>
        <c:ser>
          <c:idx val="4"/>
          <c:order val="0"/>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0D4A-41C9-8E8E-54387B72E6AA}"/>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0D4A-41C9-8E8E-54387B72E6AA}"/>
              </c:ext>
            </c:extLst>
          </c:dPt>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Sheet1!$A$3:$A$5</c:f>
              <c:strCache>
                <c:ptCount val="3"/>
                <c:pt idx="0">
                  <c:v>2005</c:v>
                </c:pt>
                <c:pt idx="1">
                  <c:v>2010</c:v>
                </c:pt>
                <c:pt idx="2">
                  <c:v>2016</c:v>
                </c:pt>
              </c:strCache>
            </c:strRef>
          </c:cat>
          <c:val>
            <c:numRef>
              <c:f>Sheet1!$B$3:$B$5</c:f>
              <c:numCache>
                <c:formatCode>General</c:formatCode>
                <c:ptCount val="3"/>
                <c:pt idx="0" formatCode="0.0">
                  <c:v>16.5</c:v>
                </c:pt>
                <c:pt idx="1">
                  <c:v>15.7</c:v>
                </c:pt>
                <c:pt idx="2" formatCode="0.0">
                  <c:v>14.7</c:v>
                </c:pt>
              </c:numCache>
            </c:numRef>
          </c:val>
          <c:extLst>
            <c:ext xmlns:c="http://schemas.openxmlformats.org/drawingml/2006/chart" xmlns:c16="http://schemas.microsoft.com/office/drawing/2014/chart" uri="{C3380CC4-5D6E-409C-BE32-E72D297353CC}">
              <c16:uniqueId val="{00000004-0D4A-41C9-8E8E-54387B72E6AA}"/>
            </c:ext>
          </c:extLst>
        </c:ser>
        <c:dLbls>
          <c:showLegendKey val="0"/>
          <c:showVal val="0"/>
          <c:showCatName val="0"/>
          <c:showSerName val="0"/>
          <c:showPercent val="0"/>
          <c:showBubbleSize val="0"/>
        </c:dLbls>
        <c:gapWidth val="20"/>
        <c:axId val="656405264"/>
        <c:axId val="656406048"/>
      </c:barChart>
      <c:catAx>
        <c:axId val="656405264"/>
        <c:scaling>
          <c:orientation val="minMax"/>
        </c:scaling>
        <c:delete val="0"/>
        <c:axPos val="b"/>
        <c:numFmt formatCode="General" sourceLinked="0"/>
        <c:majorTickMark val="out"/>
        <c:minorTickMark val="none"/>
        <c:tickLblPos val="nextTo"/>
        <c:crossAx val="656406048"/>
        <c:crosses val="autoZero"/>
        <c:auto val="1"/>
        <c:lblAlgn val="ctr"/>
        <c:lblOffset val="100"/>
        <c:noMultiLvlLbl val="0"/>
      </c:catAx>
      <c:valAx>
        <c:axId val="656406048"/>
        <c:scaling>
          <c:orientation val="minMax"/>
          <c:min val="0"/>
        </c:scaling>
        <c:delete val="0"/>
        <c:axPos val="l"/>
        <c:numFmt formatCode="0.0" sourceLinked="0"/>
        <c:majorTickMark val="out"/>
        <c:minorTickMark val="none"/>
        <c:tickLblPos val="nextTo"/>
        <c:crossAx val="656405264"/>
        <c:crosses val="autoZero"/>
        <c:crossBetween val="between"/>
        <c:minorUnit val="0.2"/>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mbria Math" panose="02040503050406030204" pitchFamily="18" charset="0"/>
          <a:ea typeface="Cambria Math" panose="02040503050406030204" pitchFamily="18" charset="0"/>
          <a:cs typeface="Arial"/>
        </a:defRPr>
      </a:pPr>
      <a:endParaRPr lang="lv-LV"/>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7354822834645707"/>
          <c:y val="0.054187037037040774"/>
          <c:w val="0.8789631193571017"/>
          <c:h val="0.65144059822710831"/>
        </c:manualLayout>
      </c:layout>
      <c:lineChart>
        <c:grouping val="standard"/>
        <c:varyColors val="0"/>
        <c:ser>
          <c:idx val="9"/>
          <c:order val="0"/>
          <c:tx>
            <c:strRef>
              <c:f>Sheet1!$A$3</c:f>
              <c:strCache>
                <c:ptCount val="1"/>
                <c:pt idx="0">
                  <c:v>Eksports, kopā</c:v>
                </c:pt>
              </c:strCache>
            </c:strRef>
          </c:tx>
          <c:spPr>
            <a:ln w="25400">
              <a:solidFill>
                <a:schemeClr val="accent5">
                  <a:lumMod val="75000"/>
                </a:schemeClr>
              </a:solidFill>
            </a:ln>
            <a:effectLst/>
          </c:spPr>
          <c:marker>
            <c:symbol val="none"/>
          </c:marker>
          <c:cat>
            <c:numRef>
              <c:f>Sheet1!$B$2:$M$2</c:f>
              <c:numCache>
                <c:formatCode>0</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Sheet1!$B$3:$M$3</c:f>
              <c:numCache>
                <c:formatCode>0.0</c:formatCode>
                <c:ptCount val="12"/>
                <c:pt idx="0">
                  <c:v>46.392795</c:v>
                </c:pt>
                <c:pt idx="1">
                  <c:v>52.543586</c:v>
                </c:pt>
                <c:pt idx="2">
                  <c:v>70.917327</c:v>
                </c:pt>
                <c:pt idx="3">
                  <c:v>79.778633</c:v>
                </c:pt>
                <c:pt idx="4">
                  <c:v>84.798014000000009</c:v>
                </c:pt>
                <c:pt idx="5">
                  <c:v>102.56187299999999</c:v>
                </c:pt>
                <c:pt idx="6">
                  <c:v>108.174297</c:v>
                </c:pt>
                <c:pt idx="7">
                  <c:v>113.249358</c:v>
                </c:pt>
                <c:pt idx="8">
                  <c:v>124.73540799999999</c:v>
                </c:pt>
                <c:pt idx="9">
                  <c:v>132.340333</c:v>
                </c:pt>
                <c:pt idx="10">
                  <c:v>140.240744</c:v>
                </c:pt>
                <c:pt idx="11" formatCode="#,##0">
                  <c:v>156.592039</c:v>
                </c:pt>
              </c:numCache>
            </c:numRef>
          </c:val>
          <c:smooth val="0"/>
          <c:extLst>
            <c:ext xmlns:c="http://schemas.openxmlformats.org/drawingml/2006/chart" xmlns:c16="http://schemas.microsoft.com/office/drawing/2014/chart" uri="{C3380CC4-5D6E-409C-BE32-E72D297353CC}">
              <c16:uniqueId val="{00000000-837A-45C1-B30E-E01489FB4778}"/>
            </c:ext>
          </c:extLst>
        </c:ser>
        <c:dLbls>
          <c:showLegendKey val="0"/>
          <c:showVal val="0"/>
          <c:showCatName val="0"/>
          <c:showSerName val="0"/>
          <c:showPercent val="0"/>
          <c:showBubbleSize val="0"/>
        </c:dLbls>
        <c:smooth val="0"/>
        <c:axId val="629839672"/>
        <c:axId val="629840064"/>
      </c:lineChart>
      <c:catAx>
        <c:axId val="629839672"/>
        <c:scaling>
          <c:orientation val="minMax"/>
        </c:scaling>
        <c:delete val="0"/>
        <c:axPos val="b"/>
        <c:numFmt formatCode="0" sourceLinked="1"/>
        <c:majorTickMark val="out"/>
        <c:minorTickMark val="none"/>
        <c:tickLblPos val="low"/>
        <c:spPr>
          <a:noFill/>
          <a:ln w="3175">
            <a:solidFill>
              <a:sysClr val="window" lastClr="FFFFFF">
                <a:lumMod val="50000"/>
              </a:sysClr>
            </a:solidFill>
            <a:round/>
          </a:ln>
          <a:effectLst/>
        </c:spPr>
        <c:txPr>
          <a:bodyPr rot="-5400000" vert="horz"/>
          <a:lstStyle/>
          <a:p>
            <a:pPr>
              <a:defRPr sz="700"/>
            </a:pPr>
            <a:endParaRPr lang="lv-LV"/>
          </a:p>
        </c:txPr>
        <c:crossAx val="629840064"/>
        <c:crosses val="autoZero"/>
        <c:lblAlgn val="ctr"/>
        <c:lblOffset val="100"/>
        <c:noMultiLvlLbl val="0"/>
      </c:catAx>
      <c:valAx>
        <c:axId val="629840064"/>
        <c:scaling>
          <c:orientation val="minMax"/>
        </c:scaling>
        <c:delete val="0"/>
        <c:axPos val="l"/>
        <c:numFmt formatCode="0" sourceLinked="0"/>
        <c:majorTickMark val="out"/>
        <c:minorTickMark val="none"/>
        <c:tickLblPos val="nextTo"/>
        <c:spPr>
          <a:noFill/>
          <a:ln w="3175">
            <a:solidFill>
              <a:sysClr val="window" lastClr="FFFFFF">
                <a:lumMod val="50000"/>
              </a:sysClr>
            </a:solidFill>
            <a:round/>
          </a:ln>
          <a:effectLst/>
        </c:spPr>
        <c:txPr>
          <a:bodyPr rot="0"/>
          <a:lstStyle/>
          <a:p>
            <a:pPr>
              <a:defRPr/>
            </a:pPr>
            <a:endParaRPr lang="lv-LV"/>
          </a:p>
        </c:txPr>
        <c:crossAx val="629839672"/>
        <c:crosses val="autoZero"/>
        <c:crossBetween val="between"/>
      </c:valAx>
      <c:spPr>
        <a:noFill/>
        <a:ln w="24631">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Arial Narrow" panose="020B0606020202030204" pitchFamily="34" charset="0"/>
          <a:ea typeface="Arial"/>
          <a:cs typeface="Arial"/>
        </a:defRPr>
      </a:pPr>
      <a:endParaRPr lang="lv-LV"/>
    </a:p>
  </c:txPr>
  <c:externalData r:id="rId1">
    <c:autoUpdate val="0"/>
  </c:externalData>
</c:chartSpace>
</file>

<file path=word/charts/chart290.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73546128124922"/>
          <c:y val="0.048706240487062395"/>
          <c:w val="0.84631315184653555"/>
          <c:h val="0.73779794474843186"/>
        </c:manualLayout>
      </c:layout>
      <c:lineChart>
        <c:grouping val="standard"/>
        <c:varyColors val="0"/>
        <c:ser>
          <c:idx val="0"/>
          <c:order val="0"/>
          <c:tx>
            <c:strRef>
              <c:f>Sheet1!$A$2</c:f>
              <c:strCache>
                <c:ptCount val="1"/>
                <c:pt idx="0">
                  <c:v>Nodarbinātie</c:v>
                </c:pt>
              </c:strCache>
            </c:strRef>
          </c:tx>
          <c:spPr>
            <a:ln w="19050">
              <a:solidFill>
                <a:srgbClr val="0070C0"/>
              </a:solidFill>
              <a:prstDash val="dash"/>
            </a:ln>
          </c:spPr>
          <c:marker>
            <c:symbol val="none"/>
          </c:marker>
          <c:cat>
            <c:numRef>
              <c:f>Sheet1!$B$1:$L$1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Sheet1!$B$2:$L$2</c:f>
              <c:numCache>
                <c:formatCode>0.0</c:formatCode>
                <c:ptCount val="11"/>
                <c:pt idx="0">
                  <c:v>104.16939744342307</c:v>
                </c:pt>
                <c:pt idx="1">
                  <c:v>112.59880662681158</c:v>
                </c:pt>
                <c:pt idx="2">
                  <c:v>107.84640021884208</c:v>
                </c:pt>
                <c:pt idx="3">
                  <c:v>84.736335193111032</c:v>
                </c:pt>
                <c:pt idx="4">
                  <c:v>78.01719961930597</c:v>
                </c:pt>
                <c:pt idx="5">
                  <c:v>78.679994756908627</c:v>
                </c:pt>
                <c:pt idx="6">
                  <c:v>81.648040394599619</c:v>
                </c:pt>
                <c:pt idx="7">
                  <c:v>82.768466224803248</c:v>
                </c:pt>
                <c:pt idx="8">
                  <c:v>83.214698892681909</c:v>
                </c:pt>
                <c:pt idx="9">
                  <c:v>83.855267882076049</c:v>
                </c:pt>
                <c:pt idx="10">
                  <c:v>83.65238304201884</c:v>
                </c:pt>
              </c:numCache>
            </c:numRef>
          </c:val>
          <c:smooth val="0"/>
          <c:extLst>
            <c:ext xmlns:c="http://schemas.openxmlformats.org/drawingml/2006/chart" xmlns:c16="http://schemas.microsoft.com/office/drawing/2014/chart" uri="{C3380CC4-5D6E-409C-BE32-E72D297353CC}">
              <c16:uniqueId val="{00000000-8C49-439C-91A6-4B42A829F62B}"/>
            </c:ext>
          </c:extLst>
        </c:ser>
        <c:ser>
          <c:idx val="1"/>
          <c:order val="1"/>
          <c:tx>
            <c:strRef>
              <c:f>Sheet1!$A$3</c:f>
              <c:strCache>
                <c:ptCount val="1"/>
                <c:pt idx="0">
                  <c:v>Ražošanas apjomi</c:v>
                </c:pt>
              </c:strCache>
            </c:strRef>
          </c:tx>
          <c:marker>
            <c:symbol val="none"/>
          </c:marker>
          <c:cat>
            <c:numRef>
              <c:f>Sheet1!$B$1:$L$1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Sheet1!$B$3:$L$3</c:f>
              <c:numCache>
                <c:formatCode>0.0</c:formatCode>
                <c:ptCount val="11"/>
                <c:pt idx="0">
                  <c:v>116.76002965647909</c:v>
                </c:pt>
                <c:pt idx="1">
                  <c:v>131.05280500864978</c:v>
                </c:pt>
                <c:pt idx="2">
                  <c:v>122.62954114836475</c:v>
                </c:pt>
                <c:pt idx="3">
                  <c:v>104.22192931872478</c:v>
                </c:pt>
                <c:pt idx="4">
                  <c:v>102.01828816212209</c:v>
                </c:pt>
                <c:pt idx="5">
                  <c:v>103.44756569733916</c:v>
                </c:pt>
                <c:pt idx="6">
                  <c:v>104.74091770327047</c:v>
                </c:pt>
                <c:pt idx="7">
                  <c:v>107.81777741164842</c:v>
                </c:pt>
                <c:pt idx="8">
                  <c:v>113.5596012851141</c:v>
                </c:pt>
                <c:pt idx="9">
                  <c:v>121.8963670813082</c:v>
                </c:pt>
                <c:pt idx="10" formatCode="General">
                  <c:v>125.89587280665623</c:v>
                </c:pt>
              </c:numCache>
            </c:numRef>
          </c:val>
          <c:smooth val="0"/>
          <c:extLst>
            <c:ext xmlns:c="http://schemas.openxmlformats.org/drawingml/2006/chart" xmlns:c16="http://schemas.microsoft.com/office/drawing/2014/chart" uri="{C3380CC4-5D6E-409C-BE32-E72D297353CC}">
              <c16:uniqueId val="{00000001-8C49-439C-91A6-4B42A829F62B}"/>
            </c:ext>
          </c:extLst>
        </c:ser>
        <c:dLbls>
          <c:showLegendKey val="0"/>
          <c:showVal val="0"/>
          <c:showCatName val="0"/>
          <c:showSerName val="0"/>
          <c:showPercent val="0"/>
          <c:showBubbleSize val="0"/>
        </c:dLbls>
        <c:smooth val="0"/>
        <c:axId val="656420552"/>
        <c:axId val="656420160"/>
      </c:lineChart>
      <c:catAx>
        <c:axId val="656420552"/>
        <c:scaling>
          <c:orientation val="minMax"/>
        </c:scaling>
        <c:delete val="0"/>
        <c:axPos val="b"/>
        <c:numFmt formatCode="General" sourceLinked="1"/>
        <c:majorTickMark val="cross"/>
        <c:minorTickMark val="none"/>
        <c:tickLblPos val="nextTo"/>
        <c:spPr>
          <a:ln w="6350">
            <a:solidFill>
              <a:srgbClr val="000000"/>
            </a:solidFill>
          </a:ln>
        </c:spPr>
        <c:txPr>
          <a:bodyPr rot="-5400000" vert="horz"/>
          <a:lstStyle/>
          <a:p>
            <a:pPr>
              <a:defRPr sz="700" b="0" i="0" u="none" strike="noStrike" baseline="0">
                <a:solidFill>
                  <a:srgbClr val="000000"/>
                </a:solidFill>
                <a:latin typeface="Arial Narrow" pitchFamily="34" charset="0"/>
                <a:ea typeface="Times New Roman"/>
                <a:cs typeface="Times New Roman" pitchFamily="18" charset="0"/>
              </a:defRPr>
            </a:pPr>
            <a:endParaRPr lang="lv-LV"/>
          </a:p>
        </c:txPr>
        <c:crossAx val="656420160"/>
        <c:crosses val="autoZero"/>
        <c:auto val="1"/>
        <c:lblAlgn val="ctr"/>
        <c:lblOffset val="0"/>
        <c:noMultiLvlLbl val="0"/>
      </c:catAx>
      <c:valAx>
        <c:axId val="656420160"/>
        <c:scaling>
          <c:orientation val="minMax"/>
          <c:max val="150"/>
          <c:min val="70"/>
        </c:scaling>
        <c:delete val="0"/>
        <c:axPos val="l"/>
        <c:numFmt formatCode="0" sourceLinked="0"/>
        <c:majorTickMark val="cross"/>
        <c:minorTickMark val="none"/>
        <c:tickLblPos val="nextTo"/>
        <c:spPr>
          <a:ln w="6350">
            <a:solidFill>
              <a:sysClr val="windowText" lastClr="000000"/>
            </a:solidFill>
          </a:ln>
        </c:spPr>
        <c:txPr>
          <a:bodyPr rot="0" vert="horz"/>
          <a:lstStyle/>
          <a:p>
            <a:pPr>
              <a:defRPr sz="700" b="0" i="0" u="none" strike="noStrike" baseline="0">
                <a:solidFill>
                  <a:srgbClr val="000000"/>
                </a:solidFill>
                <a:latin typeface="Arial Narrow" pitchFamily="34" charset="0"/>
                <a:ea typeface="Times New Roman"/>
                <a:cs typeface="Times New Roman"/>
              </a:defRPr>
            </a:pPr>
            <a:endParaRPr lang="lv-LV"/>
          </a:p>
        </c:txPr>
        <c:crossAx val="656420552"/>
        <c:crosses val="autoZero"/>
        <c:crossBetween val="between"/>
        <c:majorUnit val="20"/>
      </c:valAx>
      <c:spPr>
        <a:solidFill>
          <a:sysClr val="window" lastClr="FFFFFF"/>
        </a:solidFill>
        <a:ln w="6350">
          <a:noFill/>
        </a:ln>
      </c:spPr>
    </c:plotArea>
    <c:legend>
      <c:legendPos val="t"/>
      <c:layout>
        <c:manualLayout>
          <c:xMode val="edge"/>
          <c:yMode val="edge"/>
          <c:x val="0.33255931134540717"/>
          <c:y val="0.031112593976600381"/>
          <c:w val="0.65805884790716951"/>
          <c:h val="0.19964223582144541"/>
        </c:manualLayout>
      </c:layout>
      <c:overlay val="0"/>
      <c:txPr>
        <a:bodyPr/>
        <a:lstStyle/>
        <a:p>
          <a:pPr>
            <a:defRPr sz="700" b="0">
              <a:latin typeface="Arial Narrow" pitchFamily="34" charset="0"/>
            </a:defRPr>
          </a:pPr>
          <a:endParaRPr lang="lv-LV"/>
        </a:p>
      </c:txPr>
    </c:legend>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29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64DC-4CBD-AABC-AE86AC81DA4C}"/>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64DC-4CBD-AABC-AE86AC81DA4C}"/>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Sheet1!$B$2:$M$2</c:f>
              <c:numCache>
                <c:formatCode>0</c:formatCode>
                <c:ptCount val="12"/>
                <c:pt idx="0">
                  <c:v>2005</c:v>
                </c:pt>
                <c:pt idx="1">
                  <c:v>2006</c:v>
                </c:pt>
                <c:pt idx="2">
                  <c:v>2007</c:v>
                </c:pt>
                <c:pt idx="3">
                  <c:v>2008</c:v>
                </c:pt>
                <c:pt idx="4">
                  <c:v>2009</c:v>
                </c:pt>
                <c:pt idx="5">
                  <c:v>2010</c:v>
                </c:pt>
                <c:pt idx="6">
                  <c:v>2011</c:v>
                </c:pt>
                <c:pt idx="7">
                  <c:v>2012</c:v>
                </c:pt>
                <c:pt idx="8">
                  <c:v>2013</c:v>
                </c:pt>
                <c:pt idx="9" formatCode="General">
                  <c:v>2014</c:v>
                </c:pt>
                <c:pt idx="10" formatCode="General">
                  <c:v>2015</c:v>
                </c:pt>
                <c:pt idx="11" formatCode="General">
                  <c:v>2016</c:v>
                </c:pt>
              </c:numCache>
            </c:numRef>
          </c:cat>
          <c:val>
            <c:numRef>
              <c:f>Sheet1!$B$3:$M$3</c:f>
              <c:numCache>
                <c:formatCode>0.0</c:formatCode>
                <c:ptCount val="12"/>
                <c:pt idx="0">
                  <c:v>5.0532309977717258</c:v>
                </c:pt>
                <c:pt idx="1">
                  <c:v>6.7299847792998486</c:v>
                </c:pt>
                <c:pt idx="2">
                  <c:v>8.674425048489887</c:v>
                </c:pt>
                <c:pt idx="3">
                  <c:v>10.740358718698069</c:v>
                </c:pt>
                <c:pt idx="4">
                  <c:v>9.1417583159031111</c:v>
                </c:pt>
                <c:pt idx="5">
                  <c:v>8.3158800745947516</c:v>
                </c:pt>
                <c:pt idx="6">
                  <c:v>8.9420673987126076</c:v>
                </c:pt>
                <c:pt idx="7">
                  <c:v>10.022263165975742</c:v>
                </c:pt>
                <c:pt idx="8">
                  <c:v>10.630773890655764</c:v>
                </c:pt>
                <c:pt idx="9">
                  <c:v>11.418000604047116</c:v>
                </c:pt>
                <c:pt idx="10">
                  <c:v>12.375177782768171</c:v>
                </c:pt>
                <c:pt idx="11" formatCode="General">
                  <c:v>13.36751875095668</c:v>
                </c:pt>
              </c:numCache>
            </c:numRef>
          </c:val>
          <c:extLst>
            <c:ext xmlns:c="http://schemas.openxmlformats.org/drawingml/2006/chart" xmlns:c16="http://schemas.microsoft.com/office/drawing/2014/chart" uri="{C3380CC4-5D6E-409C-BE32-E72D297353CC}">
              <c16:uniqueId val="{00000004-64DC-4CBD-AABC-AE86AC81DA4C}"/>
            </c:ext>
          </c:extLst>
        </c:ser>
        <c:dLbls>
          <c:showLegendKey val="0"/>
          <c:showVal val="0"/>
          <c:showCatName val="0"/>
          <c:showSerName val="0"/>
          <c:showPercent val="0"/>
          <c:showBubbleSize val="0"/>
        </c:dLbls>
        <c:gapWidth val="20"/>
        <c:axId val="656424864"/>
        <c:axId val="656419768"/>
      </c:barChart>
      <c:catAx>
        <c:axId val="656424864"/>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56419768"/>
        <c:crosses val="autoZero"/>
        <c:auto val="1"/>
        <c:lblAlgn val="ctr"/>
        <c:lblOffset val="100"/>
        <c:noMultiLvlLbl val="0"/>
      </c:catAx>
      <c:valAx>
        <c:axId val="656419768"/>
        <c:scaling>
          <c:orientation val="minMax"/>
          <c:max val="25"/>
          <c:min val="0"/>
        </c:scaling>
        <c:delete val="0"/>
        <c:axPos val="l"/>
        <c:numFmt formatCode="0" sourceLinked="0"/>
        <c:majorTickMark val="out"/>
        <c:minorTickMark val="none"/>
        <c:tickLblPos val="nextTo"/>
        <c:crossAx val="656424864"/>
        <c:crosses val="autoZero"/>
        <c:crossBetween val="between"/>
        <c:majorUnit val="5"/>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29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2FB7-442A-8E4B-9B976CE08CD6}"/>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2FB7-442A-8E4B-9B976CE08CD6}"/>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Sheet1!$B$2:$M$2</c:f>
              <c:numCache>
                <c:formatCode>0</c:formatCode>
                <c:ptCount val="12"/>
                <c:pt idx="0">
                  <c:v>2005</c:v>
                </c:pt>
                <c:pt idx="1">
                  <c:v>2006</c:v>
                </c:pt>
                <c:pt idx="2">
                  <c:v>2007</c:v>
                </c:pt>
                <c:pt idx="3">
                  <c:v>2008</c:v>
                </c:pt>
                <c:pt idx="4">
                  <c:v>2009</c:v>
                </c:pt>
                <c:pt idx="5">
                  <c:v>2010</c:v>
                </c:pt>
                <c:pt idx="6">
                  <c:v>2011</c:v>
                </c:pt>
                <c:pt idx="7">
                  <c:v>2012</c:v>
                </c:pt>
                <c:pt idx="8">
                  <c:v>2013</c:v>
                </c:pt>
                <c:pt idx="9" formatCode="General">
                  <c:v>2014</c:v>
                </c:pt>
                <c:pt idx="10" formatCode="General">
                  <c:v>2015</c:v>
                </c:pt>
                <c:pt idx="11" formatCode="General">
                  <c:v>2016</c:v>
                </c:pt>
              </c:numCache>
            </c:numRef>
          </c:cat>
          <c:val>
            <c:numRef>
              <c:f>Sheet1!$B$3:$M$3</c:f>
              <c:numCache>
                <c:formatCode>General</c:formatCode>
                <c:ptCount val="12"/>
                <c:pt idx="0">
                  <c:v>13.927260211106013</c:v>
                </c:pt>
                <c:pt idx="1">
                  <c:v>15.846936493738818</c:v>
                </c:pt>
                <c:pt idx="2">
                  <c:v>16.065135066902297</c:v>
                </c:pt>
                <c:pt idx="3">
                  <c:v>15.655466161855182</c:v>
                </c:pt>
                <c:pt idx="4">
                  <c:v>15.482469558832529</c:v>
                </c:pt>
                <c:pt idx="5">
                  <c:v>16.039373138194538</c:v>
                </c:pt>
                <c:pt idx="6">
                  <c:v>17.378217547744256</c:v>
                </c:pt>
                <c:pt idx="7">
                  <c:v>17.768849137027459</c:v>
                </c:pt>
                <c:pt idx="8">
                  <c:v>18.049924148393323</c:v>
                </c:pt>
                <c:pt idx="9">
                  <c:v>19.078264479966787</c:v>
                </c:pt>
                <c:pt idx="10">
                  <c:v>20.233830165458773</c:v>
                </c:pt>
                <c:pt idx="11">
                  <c:v>21.028551771585828</c:v>
                </c:pt>
              </c:numCache>
            </c:numRef>
          </c:val>
          <c:extLst>
            <c:ext xmlns:c="http://schemas.openxmlformats.org/drawingml/2006/chart" xmlns:c16="http://schemas.microsoft.com/office/drawing/2014/chart" uri="{C3380CC4-5D6E-409C-BE32-E72D297353CC}">
              <c16:uniqueId val="{00000004-2FB7-442A-8E4B-9B976CE08CD6}"/>
            </c:ext>
          </c:extLst>
        </c:ser>
        <c:dLbls>
          <c:showLegendKey val="0"/>
          <c:showVal val="0"/>
          <c:showCatName val="0"/>
          <c:showSerName val="0"/>
          <c:showPercent val="0"/>
          <c:showBubbleSize val="0"/>
        </c:dLbls>
        <c:gapWidth val="20"/>
        <c:axId val="656412712"/>
        <c:axId val="656413888"/>
      </c:barChart>
      <c:catAx>
        <c:axId val="656412712"/>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56413888"/>
        <c:crosses val="autoZero"/>
        <c:auto val="1"/>
        <c:lblAlgn val="ctr"/>
        <c:lblOffset val="100"/>
        <c:noMultiLvlLbl val="0"/>
      </c:catAx>
      <c:valAx>
        <c:axId val="656413888"/>
        <c:scaling>
          <c:orientation val="minMax"/>
        </c:scaling>
        <c:delete val="0"/>
        <c:axPos val="l"/>
        <c:numFmt formatCode="0" sourceLinked="0"/>
        <c:majorTickMark val="out"/>
        <c:minorTickMark val="none"/>
        <c:tickLblPos val="nextTo"/>
        <c:crossAx val="656412712"/>
        <c:crosses val="autoZero"/>
        <c:crossBetween val="between"/>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29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134697080390723"/>
          <c:y val="0.057971014492753624"/>
          <c:w val="0.67233000514111"/>
          <c:h val="0.726718711443121"/>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extLst>
              <c:ext xmlns:c="http://schemas.openxmlformats.org/drawingml/2006/chart" xmlns:c16="http://schemas.microsoft.com/office/drawing/2014/chart" uri="{C3380CC4-5D6E-409C-BE32-E72D297353CC}">
                <c16:uniqueId val="{00000000-4576-4BD1-92FE-D51539ECB680}"/>
              </c:ext>
            </c:extLst>
          </c:dPt>
          <c:dLbls>
            <c:dLbl>
              <c:idx val="0"/>
              <c:layout>
                <c:manualLayout>
                  <c:x val="-0.22962436454935367"/>
                  <c:y val="0.028082211106319"/>
                </c:manualLayout>
              </c:layout>
              <c:tx>
                <c:rich>
                  <a:bodyPr vertOverflow="clip"/>
                  <a:lstStyle/>
                  <a:p>
                    <a:r>
                      <a:rPr lang="en-US"/>
                      <a:t>2005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4576-4BD1-92FE-D51539ECB680}"/>
                </c:ext>
                <c:ext xmlns:c15="http://schemas.microsoft.com/office/drawing/2012/chart" uri="{CE6537A1-D6FC-4f65-9D91-7224C49458BB}"/>
              </c:extLst>
            </c:dLbl>
            <c:dLbl>
              <c:idx val="1"/>
              <c:delete val="1"/>
              <c:extLst>
                <c:ext xmlns:c="http://schemas.openxmlformats.org/drawingml/2006/chart" xmlns:c16="http://schemas.microsoft.com/office/drawing/2014/chart" uri="{C3380CC4-5D6E-409C-BE32-E72D297353CC}">
                  <c16:uniqueId val="{00000002-4576-4BD1-92FE-D51539ECB680}"/>
                </c:ext>
                <c:ext xmlns:c15="http://schemas.microsoft.com/office/drawing/2012/chart" uri="{CE6537A1-D6FC-4f65-9D91-7224C49458BB}"/>
              </c:extLst>
            </c:dLbl>
            <c:dLbl>
              <c:idx val="2"/>
              <c:delete val="1"/>
              <c:extLst>
                <c:ext xmlns:c="http://schemas.openxmlformats.org/drawingml/2006/chart" xmlns:c16="http://schemas.microsoft.com/office/drawing/2014/chart" uri="{C3380CC4-5D6E-409C-BE32-E72D297353CC}">
                  <c16:uniqueId val="{00000003-4576-4BD1-92FE-D51539ECB680}"/>
                </c:ext>
                <c:ext xmlns:c15="http://schemas.microsoft.com/office/drawing/2012/chart" uri="{CE6537A1-D6FC-4f65-9D91-7224C49458BB}"/>
              </c:extLst>
            </c:dLbl>
            <c:dLbl>
              <c:idx val="3"/>
              <c:layout>
                <c:manualLayout>
                  <c:x val="-0.22014535877355629"/>
                  <c:y val="-0.0057062879249106429"/>
                </c:manualLayout>
              </c:layout>
              <c:tx>
                <c:rich>
                  <a:bodyPr vertOverflow="clip"/>
                  <a:lstStyle/>
                  <a:p>
                    <a:r>
                      <a:rPr lang="en-US"/>
                      <a:t>2008</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4576-4BD1-92FE-D51539ECB680}"/>
                </c:ext>
                <c:ext xmlns:c15="http://schemas.microsoft.com/office/drawing/2012/chart" uri="{CE6537A1-D6FC-4f65-9D91-7224C49458BB}"/>
              </c:extLst>
            </c:dLbl>
            <c:dLbl>
              <c:idx val="4"/>
              <c:delete val="1"/>
              <c:extLst>
                <c:ext xmlns:c="http://schemas.openxmlformats.org/drawingml/2006/chart" xmlns:c16="http://schemas.microsoft.com/office/drawing/2014/chart" uri="{C3380CC4-5D6E-409C-BE32-E72D297353CC}">
                  <c16:uniqueId val="{00000005-4576-4BD1-92FE-D51539ECB680}"/>
                </c:ext>
                <c:ext xmlns:c15="http://schemas.microsoft.com/office/drawing/2012/chart" uri="{CE6537A1-D6FC-4f65-9D91-7224C49458BB}"/>
              </c:extLst>
            </c:dLbl>
            <c:dLbl>
              <c:idx val="5"/>
              <c:layout>
                <c:manualLayout>
                  <c:x val="-0.20638627385020913"/>
                  <c:y val="0.028531439624553213"/>
                </c:manualLayout>
              </c:layout>
              <c:tx>
                <c:rich>
                  <a:bodyPr vertOverflow="clip"/>
                  <a:lstStyle/>
                  <a:p>
                    <a:r>
                      <a:rPr lang="en-US"/>
                      <a:t>2010</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4576-4BD1-92FE-D51539ECB680}"/>
                </c:ext>
                <c:ext xmlns:c15="http://schemas.microsoft.com/office/drawing/2012/chart" uri="{CE6537A1-D6FC-4f65-9D91-7224C49458BB}"/>
              </c:extLst>
            </c:dLbl>
            <c:dLbl>
              <c:idx val="6"/>
              <c:layout>
                <c:manualLayout>
                  <c:x val="-0.020638627385020907"/>
                  <c:y val="0.022825151699642571"/>
                </c:manualLayout>
              </c:layout>
              <c:tx>
                <c:rich>
                  <a:bodyPr vertOverflow="clip"/>
                  <a:lstStyle/>
                  <a:p>
                    <a:r>
                      <a:rPr lang="en-US"/>
                      <a:t>2011</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4576-4BD1-92FE-D51539ECB680}"/>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7-4576-4BD1-92FE-D51539ECB680}"/>
                </c:ext>
                <c:ext xmlns:c15="http://schemas.microsoft.com/office/drawing/2012/chart" uri="{CE6537A1-D6FC-4f65-9D91-7224C49458BB}"/>
              </c:extLst>
            </c:dLbl>
            <c:dLbl>
              <c:idx val="8"/>
              <c:delete val="1"/>
              <c:extLst>
                <c:ext xmlns:c="http://schemas.openxmlformats.org/drawingml/2006/chart" xmlns:c16="http://schemas.microsoft.com/office/drawing/2014/chart" uri="{C3380CC4-5D6E-409C-BE32-E72D297353CC}">
                  <c16:uniqueId val="{00000008-4576-4BD1-92FE-D51539ECB680}"/>
                </c:ext>
                <c:ext xmlns:c15="http://schemas.microsoft.com/office/drawing/2012/chart" uri="{CE6537A1-D6FC-4f65-9D91-7224C49458BB}"/>
              </c:extLst>
            </c:dLbl>
            <c:dLbl>
              <c:idx val="9"/>
              <c:delete val="1"/>
              <c:extLst>
                <c:ext xmlns:c="http://schemas.openxmlformats.org/drawingml/2006/chart" xmlns:c16="http://schemas.microsoft.com/office/drawing/2014/chart" uri="{C3380CC4-5D6E-409C-BE32-E72D297353CC}">
                  <c16:uniqueId val="{00000009-4576-4BD1-92FE-D51539ECB680}"/>
                </c:ext>
                <c:ext xmlns:c15="http://schemas.microsoft.com/office/drawing/2012/chart" uri="{CE6537A1-D6FC-4f65-9D91-7224C49458BB}"/>
              </c:extLst>
            </c:dLbl>
            <c:dLbl>
              <c:idx val="10"/>
              <c:delete val="1"/>
              <c:extLst>
                <c:ext xmlns:c="http://schemas.openxmlformats.org/drawingml/2006/chart" xmlns:c16="http://schemas.microsoft.com/office/drawing/2014/chart" uri="{C3380CC4-5D6E-409C-BE32-E72D297353CC}">
                  <c16:uniqueId val="{0000000A-4576-4BD1-92FE-D51539ECB680}"/>
                </c:ext>
                <c:ext xmlns:c15="http://schemas.microsoft.com/office/drawing/2012/chart" uri="{CE6537A1-D6FC-4f65-9D91-7224C49458BB}"/>
              </c:extLst>
            </c:dLbl>
            <c:dLbl>
              <c:idx val="11"/>
              <c:layout>
                <c:manualLayout>
                  <c:x val="-0.045473776802943768"/>
                  <c:y val="-0.029435967255112244"/>
                </c:manualLayout>
              </c:layout>
              <c:tx>
                <c:rich>
                  <a:bodyPr vertOverflow="clip"/>
                  <a:lstStyle/>
                  <a:p>
                    <a:r>
                      <a:rPr lang="en-US"/>
                      <a:t>2016</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4576-4BD1-92FE-D51539ECB680}"/>
                </c:ext>
                <c:ext xmlns:c15="http://schemas.microsoft.com/office/drawing/2012/chart" uri="{CE6537A1-D6FC-4f65-9D91-7224C49458BB}"/>
              </c:extLst>
            </c:dLbl>
            <c:dLbl>
              <c:idx val="12"/>
              <c:tx>
                <c:rich>
                  <a:bodyPr/>
                  <a:lstStyle/>
                  <a:p>
                    <a:r>
                      <a:rPr lang="lv-LV"/>
                      <a:t>FI</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4576-4BD1-92FE-D51539ECB680}"/>
                </c:ext>
                <c:ext xmlns:c15="http://schemas.microsoft.com/office/drawing/2012/chart" uri="{CE6537A1-D6FC-4f65-9D91-7224C49458BB}"/>
              </c:extLst>
            </c:dLbl>
            <c:dLbl>
              <c:idx val="13"/>
              <c:tx>
                <c:rich>
                  <a:bodyPr/>
                  <a:lstStyle/>
                  <a:p>
                    <a:r>
                      <a:rPr lang="lv-LV" b="0"/>
                      <a:t>SE</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4576-4BD1-92FE-D51539ECB680}"/>
                </c:ext>
                <c:ext xmlns:c15="http://schemas.microsoft.com/office/drawing/2012/chart" uri="{CE6537A1-D6FC-4f65-9D91-7224C49458BB}"/>
              </c:extLst>
            </c:dLbl>
            <c:spPr>
              <a:noFill/>
              <a:ln>
                <a:noFill/>
              </a:ln>
              <a:effectLst/>
            </c:spPr>
            <c:txPr>
              <a:bodyPr/>
              <a:lstStyle/>
              <a:p>
                <a:pPr>
                  <a:defRPr b="0"/>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Sheet1!$B$3:$B$14</c:f>
              <c:numCache>
                <c:formatCode>0.0</c:formatCode>
                <c:ptCount val="12"/>
                <c:pt idx="0">
                  <c:v>13.927260211106013</c:v>
                </c:pt>
                <c:pt idx="1">
                  <c:v>15.846936493738818</c:v>
                </c:pt>
                <c:pt idx="2">
                  <c:v>16.065135066902297</c:v>
                </c:pt>
                <c:pt idx="3">
                  <c:v>15.655466161855182</c:v>
                </c:pt>
                <c:pt idx="4">
                  <c:v>15.482469558832529</c:v>
                </c:pt>
                <c:pt idx="5">
                  <c:v>16.039373138194538</c:v>
                </c:pt>
                <c:pt idx="6">
                  <c:v>17.378217547744256</c:v>
                </c:pt>
                <c:pt idx="7">
                  <c:v>17.768849137027459</c:v>
                </c:pt>
                <c:pt idx="8">
                  <c:v>18.049924148393323</c:v>
                </c:pt>
                <c:pt idx="9">
                  <c:v>19.078264479966787</c:v>
                </c:pt>
                <c:pt idx="10">
                  <c:v>20.233830165458773</c:v>
                </c:pt>
                <c:pt idx="11">
                  <c:v>21.028551771585828</c:v>
                </c:pt>
              </c:numCache>
            </c:numRef>
          </c:xVal>
          <c:yVal>
            <c:numRef>
              <c:f>Sheet1!$C$3:$C$14</c:f>
              <c:numCache>
                <c:formatCode>0.0</c:formatCode>
                <c:ptCount val="12"/>
                <c:pt idx="0">
                  <c:v>0.36283022799718556</c:v>
                </c:pt>
                <c:pt idx="1">
                  <c:v>0.42468680189126079</c:v>
                </c:pt>
                <c:pt idx="2">
                  <c:v>0.53995344653908983</c:v>
                </c:pt>
                <c:pt idx="3">
                  <c:v>0.68604528333159065</c:v>
                </c:pt>
                <c:pt idx="4">
                  <c:v>0.59045866560014437</c:v>
                </c:pt>
                <c:pt idx="5">
                  <c:v>0.51846665096855671</c:v>
                </c:pt>
                <c:pt idx="6">
                  <c:v>0.51455607424325944</c:v>
                </c:pt>
                <c:pt idx="7">
                  <c:v>0.56403558208454463</c:v>
                </c:pt>
                <c:pt idx="8">
                  <c:v>0.588965017429286</c:v>
                </c:pt>
                <c:pt idx="9">
                  <c:v>0.59848214265174049</c:v>
                </c:pt>
                <c:pt idx="10">
                  <c:v>0.61160826603624807</c:v>
                </c:pt>
                <c:pt idx="11">
                  <c:v>0.63568423047654288</c:v>
                </c:pt>
              </c:numCache>
            </c:numRef>
          </c:yVal>
          <c:smooth val="1"/>
          <c:extLst>
            <c:ext xmlns:c="http://schemas.openxmlformats.org/drawingml/2006/chart" xmlns:c16="http://schemas.microsoft.com/office/drawing/2014/chart" uri="{C3380CC4-5D6E-409C-BE32-E72D297353CC}">
              <c16:uniqueId val="{0000000E-4576-4BD1-92FE-D51539ECB680}"/>
            </c:ext>
          </c:extLst>
        </c:ser>
        <c:dLbls>
          <c:showLegendKey val="0"/>
          <c:showVal val="0"/>
          <c:showCatName val="0"/>
          <c:showSerName val="0"/>
          <c:showPercent val="0"/>
          <c:showBubbleSize val="0"/>
        </c:dLbls>
        <c:axId val="656419376"/>
        <c:axId val="656415456"/>
      </c:scatterChart>
      <c:valAx>
        <c:axId val="656419376"/>
        <c:scaling>
          <c:orientation val="minMax"/>
          <c:max val="25"/>
          <c:min val="10"/>
        </c:scaling>
        <c:delete val="0"/>
        <c:axPos val="b"/>
        <c:title>
          <c:tx>
            <c:rich>
              <a:bodyPr vertOverflow="clip"/>
              <a:lstStyle/>
              <a:p>
                <a:pPr>
                  <a:defRPr sz="700" b="0">
                    <a:latin typeface="Arial Narrow" pitchFamily="34" charset="0"/>
                  </a:defRPr>
                </a:pPr>
                <a:r>
                  <a:rPr lang="lv-LV" sz="700" b="0">
                    <a:latin typeface="Arial Narrow" pitchFamily="34" charset="0"/>
                  </a:rPr>
                  <a:t>Produktivitāte (pievienotā vērtība </a:t>
                </a:r>
                <a:br>
                  <a:rPr lang="lv-LV" sz="700" b="0">
                    <a:latin typeface="Arial Narrow" pitchFamily="34" charset="0"/>
                  </a:rPr>
                </a:br>
                <a:r>
                  <a:rPr lang="lv-LV" sz="700" b="0">
                    <a:latin typeface="Arial Narrow" pitchFamily="34" charset="0"/>
                  </a:rPr>
                  <a:t>uz 1 strādājošo, EUR)</a:t>
                </a:r>
              </a:p>
            </c:rich>
          </c:tx>
          <c:layout>
            <c:manualLayout>
              <c:xMode val="edge"/>
              <c:yMode val="edge"/>
              <c:x val="0.24072841410287632"/>
              <c:y val="0.872876595553761"/>
            </c:manualLayout>
          </c:layout>
          <c:overlay val="0"/>
        </c:title>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56415456"/>
        <c:crosses val="autoZero"/>
        <c:crossBetween val="midCat"/>
      </c:valAx>
      <c:valAx>
        <c:axId val="656415456"/>
        <c:scaling>
          <c:orientation val="minMax"/>
          <c:max val="0.70000000000000007"/>
          <c:min val="0.30000000000000004"/>
        </c:scaling>
        <c:delete val="0"/>
        <c:axPos val="l"/>
        <c:title>
          <c:tx>
            <c:rich>
              <a:bodyPr vertOverflow="clip"/>
              <a:lstStyle/>
              <a:p>
                <a:pPr>
                  <a:defRPr sz="700" b="0"/>
                </a:pPr>
                <a:r>
                  <a:rPr lang="lv-LV" sz="700" b="0">
                    <a:latin typeface="Arial Narrow" pitchFamily="34" charset="0"/>
                  </a:rPr>
                  <a:t>Darbaspēka izmaksas </a:t>
                </a:r>
                <a:br>
                  <a:rPr lang="lv-LV" sz="700" b="0">
                    <a:latin typeface="Arial Narrow" pitchFamily="34" charset="0"/>
                  </a:rPr>
                </a:br>
                <a:r>
                  <a:rPr lang="lv-LV" sz="700" b="0">
                    <a:latin typeface="Arial Narrow" pitchFamily="34" charset="0"/>
                  </a:rPr>
                  <a:t>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56419376"/>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29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8"/>
          <c:y val="0.046005165816941182"/>
          <c:w val="0.85762258292899962"/>
          <c:h val="0.831279863372076"/>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Sheet1!$B$1:$K$1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Sheet1!$B$2:$K$2</c:f>
              <c:numCache>
                <c:formatCode>0</c:formatCode>
                <c:ptCount val="10"/>
                <c:pt idx="0">
                  <c:v>33.721439159401655</c:v>
                </c:pt>
                <c:pt idx="1">
                  <c:v>39.357747157592392</c:v>
                </c:pt>
                <c:pt idx="2">
                  <c:v>35.257643303741311</c:v>
                </c:pt>
                <c:pt idx="3">
                  <c:v>31.604252389710798</c:v>
                </c:pt>
                <c:pt idx="4">
                  <c:v>31.875002820972814</c:v>
                </c:pt>
                <c:pt idx="5">
                  <c:v>33.804118310790848</c:v>
                </c:pt>
                <c:pt idx="6">
                  <c:v>35.156533977007385</c:v>
                </c:pt>
                <c:pt idx="7">
                  <c:v>37.421947439091205</c:v>
                </c:pt>
                <c:pt idx="8">
                  <c:v>38.817831590130616</c:v>
                </c:pt>
                <c:pt idx="9">
                  <c:v>41.722712558717859</c:v>
                </c:pt>
              </c:numCache>
            </c:numRef>
          </c:val>
          <c:extLst>
            <c:ext xmlns:c="http://schemas.openxmlformats.org/drawingml/2006/chart" xmlns:c16="http://schemas.microsoft.com/office/drawing/2014/chart" uri="{C3380CC4-5D6E-409C-BE32-E72D297353CC}">
              <c16:uniqueId val="{00000000-A861-4790-814E-D4107089636D}"/>
            </c:ext>
          </c:extLst>
        </c:ser>
        <c:ser>
          <c:idx val="1"/>
          <c:order val="1"/>
          <c:tx>
            <c:strRef>
              <c:f>Sheet1!$A$3</c:f>
              <c:strCache>
                <c:ptCount val="1"/>
                <c:pt idx="0">
                  <c:v>Tirdzniecība</c:v>
                </c:pt>
              </c:strCache>
            </c:strRef>
          </c:tx>
          <c:spPr>
            <a:ln>
              <a:solidFill>
                <a:sysClr val="windowText" lastClr="000000"/>
              </a:solidFill>
            </a:ln>
          </c:spPr>
          <c:invertIfNegative val="0"/>
          <c:dLbls>
            <c:numFmt formatCode="#,##0" sourceLinked="0"/>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Sheet1!$B$3:$K$3</c:f>
              <c:numCache>
                <c:formatCode>0</c:formatCode>
                <c:ptCount val="10"/>
                <c:pt idx="0">
                  <c:v>33.450395356648052</c:v>
                </c:pt>
                <c:pt idx="1">
                  <c:v>41.181289179843127</c:v>
                </c:pt>
                <c:pt idx="2">
                  <c:v>35.5822219806325</c:v>
                </c:pt>
                <c:pt idx="3">
                  <c:v>31.187530646987298</c:v>
                </c:pt>
                <c:pt idx="4">
                  <c:v>32.784547004665072</c:v>
                </c:pt>
                <c:pt idx="5">
                  <c:v>35.49742660936549</c:v>
                </c:pt>
                <c:pt idx="6">
                  <c:v>37.283183379595066</c:v>
                </c:pt>
                <c:pt idx="7">
                  <c:v>39.247583356932466</c:v>
                </c:pt>
                <c:pt idx="8">
                  <c:v>41.171148002689655</c:v>
                </c:pt>
                <c:pt idx="9">
                  <c:v>44.595268745984015</c:v>
                </c:pt>
              </c:numCache>
            </c:numRef>
          </c:val>
          <c:extLst>
            <c:ext xmlns:c="http://schemas.openxmlformats.org/drawingml/2006/chart" xmlns:c16="http://schemas.microsoft.com/office/drawing/2014/chart" uri="{C3380CC4-5D6E-409C-BE32-E72D297353CC}">
              <c16:uniqueId val="{00000001-A861-4790-814E-D4107089636D}"/>
            </c:ext>
          </c:extLst>
        </c:ser>
        <c:dLbls>
          <c:showLegendKey val="0"/>
          <c:showVal val="0"/>
          <c:showCatName val="0"/>
          <c:showSerName val="0"/>
          <c:showPercent val="0"/>
          <c:showBubbleSize val="0"/>
        </c:dLbls>
        <c:gapWidth val="50"/>
        <c:overlap val="52"/>
        <c:axId val="656418200"/>
        <c:axId val="656420944"/>
      </c:barChart>
      <c:catAx>
        <c:axId val="656418200"/>
        <c:scaling>
          <c:orientation val="minMax"/>
        </c:scaling>
        <c:delete val="0"/>
        <c:axPos val="b"/>
        <c:numFmt formatCode="General" sourceLinked="0"/>
        <c:majorTickMark val="out"/>
        <c:minorTickMark val="none"/>
        <c:tickLblPos val="nextTo"/>
        <c:txPr>
          <a:bodyPr rot="-2700000"/>
          <a:lstStyle/>
          <a:p>
            <a:pPr>
              <a:defRPr sz="700"/>
            </a:pPr>
            <a:endParaRPr lang="lv-LV"/>
          </a:p>
        </c:txPr>
        <c:crossAx val="656420944"/>
        <c:crosses val="autoZero"/>
        <c:auto val="1"/>
        <c:lblAlgn val="ctr"/>
        <c:lblOffset val="100"/>
        <c:noMultiLvlLbl val="0"/>
      </c:catAx>
      <c:valAx>
        <c:axId val="656420944"/>
        <c:scaling>
          <c:orientation val="minMax"/>
          <c:max val="80"/>
        </c:scaling>
        <c:delete val="0"/>
        <c:axPos val="l"/>
        <c:numFmt formatCode="0" sourceLinked="0"/>
        <c:majorTickMark val="out"/>
        <c:minorTickMark val="none"/>
        <c:tickLblPos val="nextTo"/>
        <c:txPr>
          <a:bodyPr/>
          <a:lstStyle/>
          <a:p>
            <a:pPr>
              <a:defRPr sz="800"/>
            </a:pPr>
            <a:endParaRPr lang="lv-LV"/>
          </a:p>
        </c:txPr>
        <c:crossAx val="656418200"/>
        <c:crosses val="autoZero"/>
        <c:crossBetween val="between"/>
        <c:majorUnit val="20"/>
      </c:valAx>
      <c:spPr>
        <a:ln>
          <a:noFill/>
        </a:ln>
      </c:spPr>
    </c:plotArea>
    <c:legend>
      <c:legendPos val="r"/>
      <c:layout>
        <c:manualLayout>
          <c:xMode val="edge"/>
          <c:yMode val="edge"/>
          <c:x val="0.1972511805244323"/>
          <c:y val="0.049528317790409886"/>
          <c:w val="0.53767545872909384"/>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29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738"/>
          <c:y val="0.046005165816941182"/>
          <c:w val="0.85762258292899962"/>
          <c:h val="0.83127986337207582"/>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Sheet1!$B$1:$K$1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Sheet1!$B$2:$K$2</c:f>
              <c:numCache>
                <c:formatCode>0</c:formatCode>
                <c:ptCount val="10"/>
                <c:pt idx="0">
                  <c:v>37.571008081742491</c:v>
                </c:pt>
                <c:pt idx="1">
                  <c:v>40.886874357448278</c:v>
                </c:pt>
                <c:pt idx="2">
                  <c:v>38.340696631750923</c:v>
                </c:pt>
                <c:pt idx="3">
                  <c:v>37.13786218879887</c:v>
                </c:pt>
                <c:pt idx="4">
                  <c:v>40.358416265069444</c:v>
                </c:pt>
                <c:pt idx="5">
                  <c:v>42.444824679460964</c:v>
                </c:pt>
                <c:pt idx="6">
                  <c:v>42.534590211759</c:v>
                </c:pt>
                <c:pt idx="7">
                  <c:v>43.637999214462909</c:v>
                </c:pt>
                <c:pt idx="8">
                  <c:v>42.77599222315655</c:v>
                </c:pt>
                <c:pt idx="9">
                  <c:v>43.3164068323518</c:v>
                </c:pt>
              </c:numCache>
            </c:numRef>
          </c:val>
          <c:extLst>
            <c:ext xmlns:c="http://schemas.openxmlformats.org/drawingml/2006/chart" xmlns:c16="http://schemas.microsoft.com/office/drawing/2014/chart" uri="{C3380CC4-5D6E-409C-BE32-E72D297353CC}">
              <c16:uniqueId val="{00000000-C550-41A9-A1D0-2861368E7669}"/>
            </c:ext>
          </c:extLst>
        </c:ser>
        <c:ser>
          <c:idx val="1"/>
          <c:order val="1"/>
          <c:tx>
            <c:strRef>
              <c:f>Sheet1!$A$3</c:f>
              <c:strCache>
                <c:ptCount val="1"/>
                <c:pt idx="0">
                  <c:v>Tirdzniecība</c:v>
                </c:pt>
              </c:strCache>
            </c:strRef>
          </c:tx>
          <c:spPr>
            <a:ln>
              <a:solidFill>
                <a:sysClr val="windowText" lastClr="000000"/>
              </a:solidFill>
            </a:ln>
          </c:spPr>
          <c:invertIfNegative val="0"/>
          <c:dLbls>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Sheet1!$B$3:$K$3</c:f>
              <c:numCache>
                <c:formatCode>0</c:formatCode>
                <c:ptCount val="10"/>
                <c:pt idx="0">
                  <c:v>41.150900762739006</c:v>
                </c:pt>
                <c:pt idx="1">
                  <c:v>41.74621041682218</c:v>
                </c:pt>
                <c:pt idx="2">
                  <c:v>41.7553929484896</c:v>
                </c:pt>
                <c:pt idx="3">
                  <c:v>41.696214793991857</c:v>
                </c:pt>
                <c:pt idx="4">
                  <c:v>46.40613413184353</c:v>
                </c:pt>
                <c:pt idx="5">
                  <c:v>48.257938756260884</c:v>
                </c:pt>
                <c:pt idx="6">
                  <c:v>48.241726886904992</c:v>
                </c:pt>
                <c:pt idx="7">
                  <c:v>49.174251013268631</c:v>
                </c:pt>
                <c:pt idx="8">
                  <c:v>48.998845643552826</c:v>
                </c:pt>
                <c:pt idx="9">
                  <c:v>50.285686181520447</c:v>
                </c:pt>
              </c:numCache>
            </c:numRef>
          </c:val>
          <c:extLst>
            <c:ext xmlns:c="http://schemas.openxmlformats.org/drawingml/2006/chart" xmlns:c16="http://schemas.microsoft.com/office/drawing/2014/chart" uri="{C3380CC4-5D6E-409C-BE32-E72D297353CC}">
              <c16:uniqueId val="{00000001-C550-41A9-A1D0-2861368E7669}"/>
            </c:ext>
          </c:extLst>
        </c:ser>
        <c:dLbls>
          <c:showLegendKey val="0"/>
          <c:showVal val="0"/>
          <c:showCatName val="0"/>
          <c:showSerName val="0"/>
          <c:showPercent val="0"/>
          <c:showBubbleSize val="0"/>
        </c:dLbls>
        <c:gapWidth val="50"/>
        <c:overlap val="52"/>
        <c:axId val="656413496"/>
        <c:axId val="656421336"/>
      </c:barChart>
      <c:catAx>
        <c:axId val="656413496"/>
        <c:scaling>
          <c:orientation val="minMax"/>
        </c:scaling>
        <c:delete val="0"/>
        <c:axPos val="b"/>
        <c:numFmt formatCode="General" sourceLinked="0"/>
        <c:majorTickMark val="out"/>
        <c:minorTickMark val="none"/>
        <c:tickLblPos val="nextTo"/>
        <c:txPr>
          <a:bodyPr rot="-2700000"/>
          <a:lstStyle/>
          <a:p>
            <a:pPr>
              <a:defRPr sz="700"/>
            </a:pPr>
            <a:endParaRPr lang="lv-LV"/>
          </a:p>
        </c:txPr>
        <c:crossAx val="656421336"/>
        <c:crosses val="autoZero"/>
        <c:auto val="1"/>
        <c:lblAlgn val="ctr"/>
        <c:lblOffset val="100"/>
        <c:noMultiLvlLbl val="0"/>
      </c:catAx>
      <c:valAx>
        <c:axId val="656421336"/>
        <c:scaling>
          <c:orientation val="minMax"/>
          <c:max val="80"/>
        </c:scaling>
        <c:delete val="0"/>
        <c:axPos val="l"/>
        <c:numFmt formatCode="0" sourceLinked="1"/>
        <c:majorTickMark val="out"/>
        <c:minorTickMark val="none"/>
        <c:tickLblPos val="nextTo"/>
        <c:txPr>
          <a:bodyPr/>
          <a:lstStyle/>
          <a:p>
            <a:pPr>
              <a:defRPr sz="800"/>
            </a:pPr>
            <a:endParaRPr lang="lv-LV"/>
          </a:p>
        </c:txPr>
        <c:crossAx val="656413496"/>
        <c:crosses val="autoZero"/>
        <c:crossBetween val="between"/>
        <c:majorUnit val="20"/>
      </c:valAx>
      <c:spPr>
        <a:ln>
          <a:noFill/>
        </a:ln>
      </c:spPr>
    </c:plotArea>
    <c:legend>
      <c:legendPos val="r"/>
      <c:layout>
        <c:manualLayout>
          <c:xMode val="edge"/>
          <c:yMode val="edge"/>
          <c:x val="0.19725118052443219"/>
          <c:y val="0.0495283177904099"/>
          <c:w val="0.58747156605424322"/>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29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46717244654"/>
          <c:y val="0.044057617797775277"/>
          <c:w val="0.9310540474739486"/>
          <c:h val="0.72250176045067538"/>
        </c:manualLayout>
      </c:layout>
      <c:barChart>
        <c:barDir val="col"/>
        <c:grouping val="clustered"/>
        <c:varyColors val="0"/>
        <c:ser>
          <c:idx val="1"/>
          <c:order val="0"/>
          <c:tx>
            <c:strRef>
              <c:f>Sheet1!$B$3</c:f>
              <c:strCache>
                <c:ptCount val="1"/>
                <c:pt idx="0">
                  <c:v>Compensation per employees 1000 of euro</c:v>
                </c:pt>
              </c:strCache>
            </c:strRef>
          </c:tx>
          <c:spPr>
            <a:solidFill>
              <a:schemeClr val="accent3">
                <a:lumMod val="50000"/>
              </a:schemeClr>
            </a:solidFill>
            <a:ln w="19050"/>
          </c:spPr>
          <c:invertIfNegative val="0"/>
          <c:dPt>
            <c:idx val="11"/>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1-B6FF-42C7-B5EB-B6007115FEE5}"/>
              </c:ext>
            </c:extLst>
          </c:dPt>
          <c:dPt>
            <c:idx val="20"/>
            <c:invertIfNegative val="0"/>
            <c:bubble3D val="0"/>
            <c:extLst>
              <c:ext xmlns:c="http://schemas.openxmlformats.org/drawingml/2006/chart" xmlns:c16="http://schemas.microsoft.com/office/drawing/2014/chart" uri="{C3380CC4-5D6E-409C-BE32-E72D297353CC}">
                <c16:uniqueId val="{00000002-B6FF-42C7-B5EB-B6007115FEE5}"/>
              </c:ext>
            </c:extLst>
          </c:dPt>
          <c:dPt>
            <c:idx val="21"/>
            <c:invertIfNegative val="0"/>
            <c:bubble3D val="0"/>
            <c:extLst>
              <c:ext xmlns:c="http://schemas.openxmlformats.org/drawingml/2006/chart" xmlns:c16="http://schemas.microsoft.com/office/drawing/2014/chart" uri="{C3380CC4-5D6E-409C-BE32-E72D297353CC}">
                <c16:uniqueId val="{00000003-B6FF-42C7-B5EB-B6007115FEE5}"/>
              </c:ext>
            </c:extLst>
          </c:dPt>
          <c:dPt>
            <c:idx val="22"/>
            <c:invertIfNegative val="0"/>
            <c:bubble3D val="0"/>
            <c:spPr>
              <a:solidFill>
                <a:schemeClr val="accent2"/>
              </a:solidFill>
              <a:ln w="19050"/>
            </c:spPr>
            <c:extLst>
              <c:ext xmlns:c="http://schemas.openxmlformats.org/drawingml/2006/chart" xmlns:c16="http://schemas.microsoft.com/office/drawing/2014/chart" uri="{C3380CC4-5D6E-409C-BE32-E72D297353CC}">
                <c16:uniqueId val="{00000005-B6FF-42C7-B5EB-B6007115FEE5}"/>
              </c:ext>
            </c:extLst>
          </c:dPt>
          <c:dPt>
            <c:idx val="24"/>
            <c:invertIfNegative val="0"/>
            <c:bubble3D val="0"/>
            <c:extLst>
              <c:ext xmlns:c="http://schemas.openxmlformats.org/drawingml/2006/chart" xmlns:c16="http://schemas.microsoft.com/office/drawing/2014/chart" uri="{C3380CC4-5D6E-409C-BE32-E72D297353CC}">
                <c16:uniqueId val="{00000006-B6FF-42C7-B5EB-B6007115FEE5}"/>
              </c:ext>
            </c:extLst>
          </c:dPt>
          <c:dPt>
            <c:idx val="25"/>
            <c:invertIfNegative val="0"/>
            <c:bubble3D val="0"/>
            <c:extLst>
              <c:ext xmlns:c="http://schemas.openxmlformats.org/drawingml/2006/chart" xmlns:c16="http://schemas.microsoft.com/office/drawing/2014/chart" uri="{C3380CC4-5D6E-409C-BE32-E72D297353CC}">
                <c16:uniqueId val="{00000007-B6FF-42C7-B5EB-B6007115FEE5}"/>
              </c:ext>
            </c:extLst>
          </c:dPt>
          <c:dLbls>
            <c:dLbl>
              <c:idx val="21"/>
              <c:layout>
                <c:manualLayout>
                  <c:x val="0"/>
                  <c:y val="0.010825167577003643"/>
                </c:manualLayout>
              </c:layout>
              <c:numFmt formatCode="#,##0" sourceLinked="0"/>
              <c:spPr>
                <a:noFill/>
                <a:ln>
                  <a:noFill/>
                </a:ln>
                <a:effectLst/>
              </c:spPr>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B6FF-42C7-B5EB-B6007115FEE5}"/>
                </c:ext>
                <c:ext xmlns:c15="http://schemas.microsoft.com/office/drawing/2012/chart" uri="{CE6537A1-D6FC-4f65-9D91-7224C49458BB}"/>
              </c:extLst>
            </c:dLbl>
            <c:dLbl>
              <c:idx val="22"/>
              <c:layout>
                <c:manualLayout>
                  <c:x val="-1.4769886443141018E-16"/>
                  <c:y val="0.010986919318012078"/>
                </c:manualLayout>
              </c:layout>
              <c:numFmt formatCode="#,##0" sourceLinked="0"/>
              <c:txPr>
                <a:bodyPr/>
                <a:lstStyle/>
                <a:p>
                  <a:pPr>
                    <a:defRPr sz="600" b="1"/>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B6FF-42C7-B5EB-B6007115FEE5}"/>
                </c:ext>
                <c:ext xmlns:c15="http://schemas.microsoft.com/office/drawing/2012/chart" uri="{CE6537A1-D6FC-4f65-9D91-7224C49458BB}"/>
              </c:extLst>
            </c:dLbl>
            <c:dLbl>
              <c:idx val="24"/>
              <c:layout>
                <c:manualLayout>
                  <c:x val="0.0040334849119080547"/>
                  <c:y val="0.010795334438011851"/>
                </c:manualLayout>
              </c:layout>
              <c:numFmt formatCode="#,##0" sourceLinked="0"/>
              <c:spPr>
                <a:noFill/>
                <a:ln>
                  <a:noFill/>
                </a:ln>
                <a:effectLst/>
              </c:spPr>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B6FF-42C7-B5EB-B6007115FEE5}"/>
                </c:ext>
                <c:ext xmlns:c15="http://schemas.microsoft.com/office/drawing/2012/chart" uri="{CE6537A1-D6FC-4f65-9D91-7224C49458BB}"/>
              </c:extLst>
            </c:dLbl>
            <c:dLbl>
              <c:idx val="25"/>
              <c:layout>
                <c:manualLayout>
                  <c:x val="0"/>
                  <c:y val="0.0047350290403144375"/>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B6FF-42C7-B5EB-B6007115FEE5}"/>
                </c:ext>
                <c:ext xmlns:c15="http://schemas.microsoft.com/office/drawing/2012/chart" uri="{CE6537A1-D6FC-4f65-9D91-7224C49458BB}"/>
              </c:extLst>
            </c:dLbl>
            <c:numFmt formatCode="#,##0" sourceLinked="0"/>
            <c:spPr>
              <a:noFill/>
              <a:ln>
                <a:noFill/>
              </a:ln>
              <a:effectLst/>
            </c:spPr>
            <c:txPr>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Sheet1!$A$4:$A$30</c:f>
              <c:strCache>
                <c:ptCount val="27"/>
                <c:pt idx="0">
                  <c:v>BE</c:v>
                </c:pt>
                <c:pt idx="1">
                  <c:v>LU</c:v>
                </c:pt>
                <c:pt idx="2">
                  <c:v>SE</c:v>
                </c:pt>
                <c:pt idx="3">
                  <c:v>DK</c:v>
                </c:pt>
                <c:pt idx="4">
                  <c:v>FR</c:v>
                </c:pt>
                <c:pt idx="5">
                  <c:v>FI</c:v>
                </c:pt>
                <c:pt idx="6">
                  <c:v>AT</c:v>
                </c:pt>
                <c:pt idx="7">
                  <c:v>NL</c:v>
                </c:pt>
                <c:pt idx="8">
                  <c:v>IE</c:v>
                </c:pt>
                <c:pt idx="9">
                  <c:v>DE</c:v>
                </c:pt>
                <c:pt idx="10">
                  <c:v>IT</c:v>
                </c:pt>
                <c:pt idx="11">
                  <c:v>EU-28</c:v>
                </c:pt>
                <c:pt idx="12">
                  <c:v>ES</c:v>
                </c:pt>
                <c:pt idx="13">
                  <c:v>SI</c:v>
                </c:pt>
                <c:pt idx="14">
                  <c:v>CY</c:v>
                </c:pt>
                <c:pt idx="15">
                  <c:v>EE</c:v>
                </c:pt>
                <c:pt idx="16">
                  <c:v>PT</c:v>
                </c:pt>
                <c:pt idx="17">
                  <c:v>EL</c:v>
                </c:pt>
                <c:pt idx="18">
                  <c:v>MT</c:v>
                </c:pt>
                <c:pt idx="19">
                  <c:v>SK</c:v>
                </c:pt>
                <c:pt idx="20">
                  <c:v>LT</c:v>
                </c:pt>
                <c:pt idx="21">
                  <c:v>CZ</c:v>
                </c:pt>
                <c:pt idx="22">
                  <c:v>LV</c:v>
                </c:pt>
                <c:pt idx="23">
                  <c:v>PL</c:v>
                </c:pt>
                <c:pt idx="24">
                  <c:v>HU</c:v>
                </c:pt>
                <c:pt idx="25">
                  <c:v>RO</c:v>
                </c:pt>
                <c:pt idx="26">
                  <c:v>BG</c:v>
                </c:pt>
              </c:strCache>
            </c:strRef>
          </c:cat>
          <c:val>
            <c:numRef>
              <c:f>Sheet1!$B$4:$B$30</c:f>
              <c:numCache>
                <c:formatCode>0.0</c:formatCode>
                <c:ptCount val="27"/>
                <c:pt idx="0">
                  <c:v>50.950994175537261</c:v>
                </c:pt>
                <c:pt idx="1">
                  <c:v>50.085487906588824</c:v>
                </c:pt>
                <c:pt idx="2">
                  <c:v>48.8032967032967</c:v>
                </c:pt>
                <c:pt idx="3">
                  <c:v>46.281093394077452</c:v>
                </c:pt>
                <c:pt idx="4">
                  <c:v>42.770122142186032</c:v>
                </c:pt>
                <c:pt idx="5">
                  <c:v>41.937452326468346</c:v>
                </c:pt>
                <c:pt idx="6">
                  <c:v>37.19281457231596</c:v>
                </c:pt>
                <c:pt idx="7">
                  <c:v>35.147360126083534</c:v>
                </c:pt>
                <c:pt idx="8">
                  <c:v>34.568075927523729</c:v>
                </c:pt>
                <c:pt idx="9">
                  <c:v>33.842085450781106</c:v>
                </c:pt>
                <c:pt idx="10">
                  <c:v>33.141889712995813</c:v>
                </c:pt>
                <c:pt idx="11">
                  <c:v>29.975194963166309</c:v>
                </c:pt>
                <c:pt idx="12">
                  <c:v>27.455233768692032</c:v>
                </c:pt>
                <c:pt idx="13">
                  <c:v>24.793678665496046</c:v>
                </c:pt>
                <c:pt idx="14">
                  <c:v>19.16872573243911</c:v>
                </c:pt>
                <c:pt idx="15">
                  <c:v>18.993288590604028</c:v>
                </c:pt>
                <c:pt idx="16">
                  <c:v>17.3190450188084</c:v>
                </c:pt>
                <c:pt idx="17">
                  <c:v>16.924977899220444</c:v>
                </c:pt>
                <c:pt idx="18">
                  <c:v>15.92237061769616</c:v>
                </c:pt>
                <c:pt idx="19">
                  <c:v>15.0416</c:v>
                </c:pt>
                <c:pt idx="20">
                  <c:v>14.593981253083374</c:v>
                </c:pt>
                <c:pt idx="21">
                  <c:v>13.893988217296487</c:v>
                </c:pt>
                <c:pt idx="22">
                  <c:v>13.36751875095668</c:v>
                </c:pt>
                <c:pt idx="23">
                  <c:v>10.969889982628835</c:v>
                </c:pt>
                <c:pt idx="24">
                  <c:v>9.665802213001383</c:v>
                </c:pt>
                <c:pt idx="25">
                  <c:v>7.817389709254333</c:v>
                </c:pt>
                <c:pt idx="26">
                  <c:v>6.6895205563010851</c:v>
                </c:pt>
              </c:numCache>
            </c:numRef>
          </c:val>
          <c:extLst>
            <c:ext xmlns:c="http://schemas.openxmlformats.org/drawingml/2006/chart" xmlns:c16="http://schemas.microsoft.com/office/drawing/2014/chart" uri="{C3380CC4-5D6E-409C-BE32-E72D297353CC}">
              <c16:uniqueId val="{00000008-B6FF-42C7-B5EB-B6007115FEE5}"/>
            </c:ext>
          </c:extLst>
        </c:ser>
        <c:dLbls>
          <c:showLegendKey val="0"/>
          <c:showVal val="0"/>
          <c:showCatName val="0"/>
          <c:showSerName val="0"/>
          <c:showPercent val="0"/>
          <c:showBubbleSize val="0"/>
        </c:dLbls>
        <c:gapWidth val="20"/>
        <c:axId val="656422120"/>
        <c:axId val="656422512"/>
      </c:barChart>
      <c:catAx>
        <c:axId val="656422120"/>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56422512"/>
        <c:crosses val="autoZero"/>
        <c:auto val="1"/>
        <c:lblAlgn val="ctr"/>
        <c:lblOffset val="100"/>
        <c:tickLblSkip val="1"/>
        <c:noMultiLvlLbl val="0"/>
      </c:catAx>
      <c:valAx>
        <c:axId val="656422512"/>
        <c:scaling>
          <c:orientation val="minMax"/>
        </c:scaling>
        <c:delete val="0"/>
        <c:axPos val="l"/>
        <c:numFmt formatCode="0" sourceLinked="0"/>
        <c:majorTickMark val="out"/>
        <c:minorTickMark val="none"/>
        <c:tickLblPos val="nextTo"/>
        <c:txPr>
          <a:bodyPr/>
          <a:lstStyle/>
          <a:p>
            <a:pPr>
              <a:defRPr sz="600"/>
            </a:pPr>
            <a:endParaRPr lang="lv-LV"/>
          </a:p>
        </c:txPr>
        <c:crossAx val="656422120"/>
        <c:crosses val="autoZero"/>
        <c:crossBetween val="between"/>
      </c:valAx>
    </c:plotArea>
    <c:plotVisOnly val="1"/>
    <c:dispBlanksAs val="gap"/>
    <c:showDLblsOverMax val="0"/>
  </c:chart>
  <c:spPr>
    <a:ln w="9525">
      <a:noFill/>
    </a:ln>
  </c:spPr>
  <c:externalData r:id="rId1">
    <c:autoUpdate val="0"/>
  </c:externalData>
</c:chartSpace>
</file>

<file path=word/charts/chart29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46717244654"/>
          <c:y val="0.044057617797775277"/>
          <c:w val="0.9310540474739486"/>
          <c:h val="0.78754241085717935"/>
        </c:manualLayout>
      </c:layout>
      <c:barChart>
        <c:barDir val="col"/>
        <c:grouping val="clustered"/>
        <c:varyColors val="0"/>
        <c:ser>
          <c:idx val="1"/>
          <c:order val="0"/>
          <c:tx>
            <c:strRef>
              <c:f>Sheet1!$B$3</c:f>
              <c:strCache>
                <c:ptCount val="1"/>
                <c:pt idx="0">
                  <c:v>Resource productivity</c:v>
                </c:pt>
              </c:strCache>
            </c:strRef>
          </c:tx>
          <c:spPr>
            <a:solidFill>
              <a:schemeClr val="accent3">
                <a:lumMod val="50000"/>
              </a:schemeClr>
            </a:solidFill>
            <a:ln w="19050"/>
          </c:spPr>
          <c:invertIfNegative val="0"/>
          <c:dPt>
            <c:idx val="12"/>
            <c:invertIfNegative val="0"/>
            <c:bubble3D val="0"/>
            <c:extLst>
              <c:ext xmlns:c="http://schemas.openxmlformats.org/drawingml/2006/chart" xmlns:c16="http://schemas.microsoft.com/office/drawing/2014/chart" uri="{C3380CC4-5D6E-409C-BE32-E72D297353CC}">
                <c16:uniqueId val="{00000000-4B6A-484C-92C9-6860ECADC755}"/>
              </c:ext>
            </c:extLst>
          </c:dPt>
          <c:dPt>
            <c:idx val="16"/>
            <c:invertIfNegative val="0"/>
            <c:bubble3D val="0"/>
            <c:extLst>
              <c:ext xmlns:c="http://schemas.openxmlformats.org/drawingml/2006/chart" xmlns:c16="http://schemas.microsoft.com/office/drawing/2014/chart" uri="{C3380CC4-5D6E-409C-BE32-E72D297353CC}">
                <c16:uniqueId val="{00000001-4B6A-484C-92C9-6860ECADC755}"/>
              </c:ext>
            </c:extLst>
          </c:dPt>
          <c:dPt>
            <c:idx val="17"/>
            <c:invertIfNegative val="0"/>
            <c:bubble3D val="0"/>
            <c:extLst>
              <c:ext xmlns:c="http://schemas.openxmlformats.org/drawingml/2006/chart" xmlns:c16="http://schemas.microsoft.com/office/drawing/2014/chart" uri="{C3380CC4-5D6E-409C-BE32-E72D297353CC}">
                <c16:uniqueId val="{00000002-4B6A-484C-92C9-6860ECADC755}"/>
              </c:ext>
            </c:extLst>
          </c:dPt>
          <c:dPt>
            <c:idx val="19"/>
            <c:invertIfNegative val="0"/>
            <c:bubble3D val="0"/>
            <c:spPr>
              <a:ln w="19050"/>
            </c:spPr>
            <c:extLst>
              <c:ext xmlns:c="http://schemas.openxmlformats.org/drawingml/2006/chart" xmlns:c16="http://schemas.microsoft.com/office/drawing/2014/chart" uri="{C3380CC4-5D6E-409C-BE32-E72D297353CC}">
                <c16:uniqueId val="{00000004-4B6A-484C-92C9-6860ECADC755}"/>
              </c:ext>
            </c:extLst>
          </c:dPt>
          <c:dPt>
            <c:idx val="21"/>
            <c:invertIfNegative val="0"/>
            <c:bubble3D val="0"/>
            <c:extLst>
              <c:ext xmlns:c="http://schemas.openxmlformats.org/drawingml/2006/chart" xmlns:c16="http://schemas.microsoft.com/office/drawing/2014/chart" uri="{C3380CC4-5D6E-409C-BE32-E72D297353CC}">
                <c16:uniqueId val="{00000005-4B6A-484C-92C9-6860ECADC755}"/>
              </c:ext>
            </c:extLst>
          </c:dPt>
          <c:dPt>
            <c:idx val="22"/>
            <c:invertIfNegative val="0"/>
            <c:bubble3D val="0"/>
            <c:extLst>
              <c:ext xmlns:c="http://schemas.openxmlformats.org/drawingml/2006/chart" xmlns:c16="http://schemas.microsoft.com/office/drawing/2014/chart" uri="{C3380CC4-5D6E-409C-BE32-E72D297353CC}">
                <c16:uniqueId val="{00000006-4B6A-484C-92C9-6860ECADC755}"/>
              </c:ext>
            </c:extLst>
          </c:dPt>
          <c:dPt>
            <c:idx val="23"/>
            <c:invertIfNegative val="0"/>
            <c:bubble3D val="0"/>
            <c:extLst>
              <c:ext xmlns:c="http://schemas.openxmlformats.org/drawingml/2006/chart" xmlns:c16="http://schemas.microsoft.com/office/drawing/2014/chart" uri="{C3380CC4-5D6E-409C-BE32-E72D297353CC}">
                <c16:uniqueId val="{00000007-4B6A-484C-92C9-6860ECADC755}"/>
              </c:ext>
            </c:extLst>
          </c:dPt>
          <c:dPt>
            <c:idx val="24"/>
            <c:invertIfNegative val="0"/>
            <c:bubble3D val="0"/>
            <c:extLst>
              <c:ext xmlns:c="http://schemas.openxmlformats.org/drawingml/2006/chart" xmlns:c16="http://schemas.microsoft.com/office/drawing/2014/chart" uri="{C3380CC4-5D6E-409C-BE32-E72D297353CC}">
                <c16:uniqueId val="{00000008-4B6A-484C-92C9-6860ECADC755}"/>
              </c:ext>
            </c:extLst>
          </c:dPt>
          <c:dPt>
            <c:idx val="25"/>
            <c:invertIfNegative val="0"/>
            <c:bubble3D val="0"/>
            <c:extLst>
              <c:ext xmlns:c="http://schemas.openxmlformats.org/drawingml/2006/chart" xmlns:c16="http://schemas.microsoft.com/office/drawing/2014/chart" uri="{C3380CC4-5D6E-409C-BE32-E72D297353CC}">
                <c16:uniqueId val="{00000009-4B6A-484C-92C9-6860ECADC755}"/>
              </c:ext>
            </c:extLst>
          </c:dPt>
          <c:dPt>
            <c:idx val="26"/>
            <c:invertIfNegative val="0"/>
            <c:bubble3D val="0"/>
            <c:extLst>
              <c:ext xmlns:c="http://schemas.openxmlformats.org/drawingml/2006/chart" xmlns:c16="http://schemas.microsoft.com/office/drawing/2014/chart" uri="{C3380CC4-5D6E-409C-BE32-E72D297353CC}">
                <c16:uniqueId val="{0000000A-4B6A-484C-92C9-6860ECADC755}"/>
              </c:ext>
            </c:extLst>
          </c:dPt>
          <c:dLbls>
            <c:dLbl>
              <c:idx val="19"/>
              <c:layout>
                <c:manualLayout/>
              </c:layout>
              <c:numFmt formatCode="#,##0" sourceLinked="0"/>
              <c:spPr>
                <a:noFill/>
                <a:ln>
                  <a:noFill/>
                </a:ln>
                <a:effectLst/>
              </c:spPr>
              <c:txPr>
                <a:bodyPr/>
                <a:lstStyle/>
                <a:p>
                  <a:pPr>
                    <a:defRPr sz="600" b="1"/>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4B6A-484C-92C9-6860ECADC755}"/>
                </c:ext>
                <c:ext xmlns:c15="http://schemas.microsoft.com/office/drawing/2012/chart" uri="{CE6537A1-D6FC-4f65-9D91-7224C49458BB}"/>
              </c:extLst>
            </c:dLbl>
            <c:dLbl>
              <c:idx val="21"/>
              <c:layout>
                <c:manualLayout/>
              </c:layout>
              <c:numFmt formatCode="#,##0" sourceLinked="0"/>
              <c:spPr>
                <a:noFill/>
                <a:ln>
                  <a:noFill/>
                </a:ln>
                <a:effectLst/>
              </c:spPr>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4B6A-484C-92C9-6860ECADC755}"/>
                </c:ext>
                <c:ext xmlns:c15="http://schemas.microsoft.com/office/drawing/2012/chart" uri="{CE6537A1-D6FC-4f65-9D91-7224C49458BB}"/>
              </c:extLst>
            </c:dLbl>
            <c:dLbl>
              <c:idx val="22"/>
              <c:layout>
                <c:manualLayout>
                  <c:x val="0"/>
                  <c:y val="2.9874314491176406E-05"/>
                </c:manualLayout>
              </c:layout>
              <c:numFmt formatCode="#,##0" sourceLinked="0"/>
              <c:spPr>
                <a:noFill/>
                <a:ln>
                  <a:noFill/>
                </a:ln>
                <a:effectLst/>
              </c:spPr>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4B6A-484C-92C9-6860ECADC755}"/>
                </c:ext>
                <c:ext xmlns:c15="http://schemas.microsoft.com/office/drawing/2012/chart" uri="{CE6537A1-D6FC-4f65-9D91-7224C49458BB}"/>
              </c:extLst>
            </c:dLbl>
            <c:dLbl>
              <c:idx val="23"/>
              <c:layout>
                <c:manualLayout>
                  <c:x val="-5.399154746444577E-06"/>
                  <c:y val="0.010809824819807841"/>
                </c:manualLayout>
              </c:layout>
              <c:numFmt formatCode="#,##0" sourceLinked="0"/>
              <c:spPr>
                <a:noFill/>
                <a:ln>
                  <a:noFill/>
                </a:ln>
                <a:effectLst/>
              </c:spPr>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4B6A-484C-92C9-6860ECADC755}"/>
                </c:ext>
                <c:ext xmlns:c15="http://schemas.microsoft.com/office/drawing/2012/chart" uri="{CE6537A1-D6FC-4f65-9D91-7224C49458BB}"/>
              </c:extLst>
            </c:dLbl>
            <c:dLbl>
              <c:idx val="24"/>
              <c:layout>
                <c:manualLayout>
                  <c:x val="0.0040334861929321253"/>
                  <c:y val="0.010825167577003594"/>
                </c:manualLayout>
              </c:layout>
              <c:numFmt formatCode="#,##0" sourceLinked="0"/>
              <c:spPr>
                <a:noFill/>
                <a:ln>
                  <a:noFill/>
                </a:ln>
                <a:effectLst/>
              </c:spPr>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4B6A-484C-92C9-6860ECADC755}"/>
                </c:ext>
                <c:ext xmlns:c15="http://schemas.microsoft.com/office/drawing/2012/chart" uri="{CE6537A1-D6FC-4f65-9D91-7224C49458BB}"/>
              </c:extLst>
            </c:dLbl>
            <c:dLbl>
              <c:idx val="25"/>
              <c:layout>
                <c:manualLayout>
                  <c:x val="0"/>
                  <c:y val="0.0045439455203234733"/>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4B6A-484C-92C9-6860ECADC755}"/>
                </c:ext>
                <c:ext xmlns:c15="http://schemas.microsoft.com/office/drawing/2012/chart" uri="{CE6537A1-D6FC-4f65-9D91-7224C49458BB}"/>
              </c:extLst>
            </c:dLbl>
            <c:dLbl>
              <c:idx val="26"/>
              <c:layout>
                <c:manualLayout>
                  <c:x val="0"/>
                  <c:y val="-0.010781696431615627"/>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4B6A-484C-92C9-6860ECADC755}"/>
                </c:ext>
                <c:ext xmlns:c15="http://schemas.microsoft.com/office/drawing/2012/chart" uri="{CE6537A1-D6FC-4f65-9D91-7224C49458BB}"/>
              </c:extLst>
            </c:dLbl>
            <c:numFmt formatCode="#,##0" sourceLinked="0"/>
            <c:spPr>
              <a:noFill/>
              <a:ln>
                <a:noFill/>
              </a:ln>
              <a:effectLst/>
            </c:spPr>
            <c:txPr>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Sheet1!$A$4:$A$28</c:f>
              <c:strCache>
                <c:ptCount val="25"/>
                <c:pt idx="0">
                  <c:v>SE</c:v>
                </c:pt>
                <c:pt idx="1">
                  <c:v>BE</c:v>
                </c:pt>
                <c:pt idx="2">
                  <c:v>LU</c:v>
                </c:pt>
                <c:pt idx="3">
                  <c:v>NL</c:v>
                </c:pt>
                <c:pt idx="4">
                  <c:v>DK</c:v>
                </c:pt>
                <c:pt idx="5">
                  <c:v>IE</c:v>
                </c:pt>
                <c:pt idx="6">
                  <c:v>FR</c:v>
                </c:pt>
                <c:pt idx="7">
                  <c:v>AT</c:v>
                </c:pt>
                <c:pt idx="8">
                  <c:v>FI</c:v>
                </c:pt>
                <c:pt idx="9">
                  <c:v>IT</c:v>
                </c:pt>
                <c:pt idx="10">
                  <c:v>DE</c:v>
                </c:pt>
                <c:pt idx="11">
                  <c:v>ES</c:v>
                </c:pt>
                <c:pt idx="12">
                  <c:v>SI</c:v>
                </c:pt>
                <c:pt idx="13">
                  <c:v>PT</c:v>
                </c:pt>
                <c:pt idx="14">
                  <c:v>PL</c:v>
                </c:pt>
                <c:pt idx="15">
                  <c:v>CY</c:v>
                </c:pt>
                <c:pt idx="16">
                  <c:v>CZ</c:v>
                </c:pt>
                <c:pt idx="17">
                  <c:v>LT</c:v>
                </c:pt>
                <c:pt idx="18">
                  <c:v>EE</c:v>
                </c:pt>
                <c:pt idx="19">
                  <c:v>LV</c:v>
                </c:pt>
                <c:pt idx="20">
                  <c:v>SK</c:v>
                </c:pt>
                <c:pt idx="21">
                  <c:v>EL</c:v>
                </c:pt>
                <c:pt idx="22">
                  <c:v>HU</c:v>
                </c:pt>
                <c:pt idx="23">
                  <c:v>RO</c:v>
                </c:pt>
                <c:pt idx="24">
                  <c:v>BG</c:v>
                </c:pt>
              </c:strCache>
            </c:strRef>
          </c:cat>
          <c:val>
            <c:numRef>
              <c:f>Sheet1!$B$4:$B$28</c:f>
              <c:numCache>
                <c:formatCode>0.0</c:formatCode>
                <c:ptCount val="25"/>
                <c:pt idx="0">
                  <c:v>78.742831858407072</c:v>
                </c:pt>
                <c:pt idx="1">
                  <c:v>71.415662650602414</c:v>
                </c:pt>
                <c:pt idx="2">
                  <c:v>67.946200667582957</c:v>
                </c:pt>
                <c:pt idx="3">
                  <c:v>60.087351502445841</c:v>
                </c:pt>
                <c:pt idx="4">
                  <c:v>58.526724137931041</c:v>
                </c:pt>
                <c:pt idx="5">
                  <c:v>58.143446820396647</c:v>
                </c:pt>
                <c:pt idx="6">
                  <c:v>56.338815789473685</c:v>
                </c:pt>
                <c:pt idx="7">
                  <c:v>55.430885692657078</c:v>
                </c:pt>
                <c:pt idx="8">
                  <c:v>51.958797703478552</c:v>
                </c:pt>
                <c:pt idx="9">
                  <c:v>46.056879989176025</c:v>
                </c:pt>
                <c:pt idx="10">
                  <c:v>44.746300353952471</c:v>
                </c:pt>
                <c:pt idx="11">
                  <c:v>36.632244777875847</c:v>
                </c:pt>
                <c:pt idx="12">
                  <c:v>36.601900196867241</c:v>
                </c:pt>
                <c:pt idx="13">
                  <c:v>33.109993944770679</c:v>
                </c:pt>
                <c:pt idx="14">
                  <c:v>28.402945056815764</c:v>
                </c:pt>
                <c:pt idx="15">
                  <c:v>27.203282828282827</c:v>
                </c:pt>
                <c:pt idx="16">
                  <c:v>25.820426304592328</c:v>
                </c:pt>
                <c:pt idx="17">
                  <c:v>25.729220222793487</c:v>
                </c:pt>
                <c:pt idx="18">
                  <c:v>23.014388489208631</c:v>
                </c:pt>
                <c:pt idx="19">
                  <c:v>21.028551771585828</c:v>
                </c:pt>
                <c:pt idx="20">
                  <c:v>19.718435636802983</c:v>
                </c:pt>
                <c:pt idx="21">
                  <c:v>18.022680940929455</c:v>
                </c:pt>
                <c:pt idx="22">
                  <c:v>15.697318554461413</c:v>
                </c:pt>
                <c:pt idx="23">
                  <c:v>8.6676765927977826</c:v>
                </c:pt>
                <c:pt idx="24">
                  <c:v>8.1134635227576712</c:v>
                </c:pt>
              </c:numCache>
            </c:numRef>
          </c:val>
          <c:extLst>
            <c:ext xmlns:c="http://schemas.openxmlformats.org/drawingml/2006/chart" xmlns:c16="http://schemas.microsoft.com/office/drawing/2014/chart" uri="{C3380CC4-5D6E-409C-BE32-E72D297353CC}">
              <c16:uniqueId val="{0000000B-4B6A-484C-92C9-6860ECADC755}"/>
            </c:ext>
          </c:extLst>
        </c:ser>
        <c:dLbls>
          <c:showLegendKey val="0"/>
          <c:showVal val="0"/>
          <c:showCatName val="0"/>
          <c:showSerName val="0"/>
          <c:showPercent val="0"/>
          <c:showBubbleSize val="0"/>
        </c:dLbls>
        <c:gapWidth val="20"/>
        <c:axId val="656423296"/>
        <c:axId val="656418592"/>
      </c:barChart>
      <c:catAx>
        <c:axId val="656423296"/>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56418592"/>
        <c:crosses val="autoZero"/>
        <c:auto val="1"/>
        <c:lblAlgn val="ctr"/>
        <c:lblOffset val="100"/>
        <c:tickLblSkip val="1"/>
        <c:noMultiLvlLbl val="0"/>
      </c:catAx>
      <c:valAx>
        <c:axId val="656418592"/>
        <c:scaling>
          <c:orientation val="minMax"/>
        </c:scaling>
        <c:delete val="0"/>
        <c:axPos val="l"/>
        <c:numFmt formatCode="0" sourceLinked="0"/>
        <c:majorTickMark val="out"/>
        <c:minorTickMark val="none"/>
        <c:tickLblPos val="nextTo"/>
        <c:txPr>
          <a:bodyPr/>
          <a:lstStyle/>
          <a:p>
            <a:pPr>
              <a:defRPr sz="600"/>
            </a:pPr>
            <a:endParaRPr lang="lv-LV"/>
          </a:p>
        </c:txPr>
        <c:crossAx val="656423296"/>
        <c:crosses val="autoZero"/>
        <c:crossBetween val="between"/>
      </c:valAx>
    </c:plotArea>
    <c:plotVisOnly val="1"/>
    <c:dispBlanksAs val="gap"/>
    <c:showDLblsOverMax val="0"/>
  </c:chart>
  <c:spPr>
    <a:ln w="9525">
      <a:noFill/>
    </a:ln>
  </c:spPr>
  <c:externalData r:id="rId1">
    <c:autoUpdate val="0"/>
  </c:externalData>
</c:chartSpace>
</file>

<file path=word/charts/chart29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0667416572928377"/>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D4D8-422F-B702-E18498ABBE23}"/>
              </c:ext>
            </c:extLst>
          </c:dPt>
          <c:dPt>
            <c:idx val="5"/>
            <c:bubble3D val="0"/>
            <c:extLst>
              <c:ext xmlns:c="http://schemas.openxmlformats.org/drawingml/2006/chart" xmlns:c16="http://schemas.microsoft.com/office/drawing/2014/chart" uri="{C3380CC4-5D6E-409C-BE32-E72D297353CC}">
                <c16:uniqueId val="{00000001-D4D8-422F-B702-E18498ABBE23}"/>
              </c:ext>
            </c:extLst>
          </c:dPt>
          <c:dPt>
            <c:idx val="11"/>
            <c:bubble3D val="0"/>
            <c:extLst>
              <c:ext xmlns:c="http://schemas.openxmlformats.org/drawingml/2006/chart" xmlns:c16="http://schemas.microsoft.com/office/drawing/2014/chart" uri="{C3380CC4-5D6E-409C-BE32-E72D297353CC}">
                <c16:uniqueId val="{00000002-D4D8-422F-B702-E18498ABBE23}"/>
              </c:ext>
            </c:extLst>
          </c:dPt>
          <c:dPt>
            <c:idx val="12"/>
            <c:bubble3D val="0"/>
            <c:extLst>
              <c:ext xmlns:c="http://schemas.openxmlformats.org/drawingml/2006/chart" xmlns:c16="http://schemas.microsoft.com/office/drawing/2014/chart" uri="{C3380CC4-5D6E-409C-BE32-E72D297353CC}">
                <c16:uniqueId val="{00000003-D4D8-422F-B702-E18498ABBE23}"/>
              </c:ext>
            </c:extLst>
          </c:dPt>
          <c:dPt>
            <c:idx val="13"/>
            <c:bubble3D val="0"/>
            <c:extLst>
              <c:ext xmlns:c="http://schemas.openxmlformats.org/drawingml/2006/chart" xmlns:c16="http://schemas.microsoft.com/office/drawing/2014/chart" uri="{C3380CC4-5D6E-409C-BE32-E72D297353CC}">
                <c16:uniqueId val="{00000004-D4D8-422F-B702-E18498ABBE23}"/>
              </c:ext>
            </c:extLst>
          </c:dPt>
          <c:dPt>
            <c:idx val="14"/>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5-D4D8-422F-B702-E18498ABBE23}"/>
              </c:ext>
            </c:extLst>
          </c:dPt>
          <c:dLbls>
            <c:dLbl>
              <c:idx val="0"/>
              <c:layout>
                <c:manualLayout>
                  <c:x val="-0.12045186395354435"/>
                  <c:y val="0.057194141029620185"/>
                </c:manualLayout>
              </c:layout>
              <c:tx>
                <c:rich>
                  <a:bodyPr vertOverflow="clip"/>
                  <a:lstStyle/>
                  <a:p>
                    <a:r>
                      <a:rPr lang="en-US"/>
                      <a:t>EU-28</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D4D8-422F-B702-E18498ABBE23}"/>
                </c:ext>
                <c:ext xmlns:c15="http://schemas.microsoft.com/office/drawing/2012/chart" uri="{CE6537A1-D6FC-4f65-9D91-7224C49458BB}"/>
              </c:extLst>
            </c:dLbl>
            <c:dLbl>
              <c:idx val="1"/>
              <c:layout>
                <c:manualLayout>
                  <c:x val="-0.0539978537870311"/>
                  <c:y val="-0.066743948634913744"/>
                </c:manualLayout>
              </c:layout>
              <c:tx>
                <c:rich>
                  <a:bodyPr vertOverflow="clip"/>
                  <a:lstStyle/>
                  <a:p>
                    <a:r>
                      <a:rPr lang="en-US"/>
                      <a:t>BE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D4D8-422F-B702-E18498ABBE23}"/>
                </c:ext>
                <c:ext xmlns:c15="http://schemas.microsoft.com/office/drawing/2012/chart" uri="{CE6537A1-D6FC-4f65-9D91-7224C49458BB}"/>
              </c:extLst>
            </c:dLbl>
            <c:dLbl>
              <c:idx val="2"/>
              <c:layout>
                <c:manualLayout>
                  <c:x val="-0.049905837116385715"/>
                  <c:y val="-0.066487422359667786"/>
                </c:manualLayout>
              </c:layout>
              <c:tx>
                <c:rich>
                  <a:bodyPr vertOverflow="clip"/>
                  <a:lstStyle/>
                  <a:p>
                    <a:r>
                      <a:rPr lang="en-US"/>
                      <a:t>BG</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D4D8-422F-B702-E18498ABBE23}"/>
                </c:ext>
                <c:ext xmlns:c15="http://schemas.microsoft.com/office/drawing/2012/chart" uri="{CE6537A1-D6FC-4f65-9D91-7224C49458BB}"/>
              </c:extLst>
            </c:dLbl>
            <c:dLbl>
              <c:idx val="3"/>
              <c:layout>
                <c:manualLayout>
                  <c:x val="-0.029091107952154579"/>
                  <c:y val="-0.047440159450151259"/>
                </c:manualLayout>
              </c:layout>
              <c:tx>
                <c:rich>
                  <a:bodyPr vertOverflow="clip"/>
                  <a:lstStyle/>
                  <a:p>
                    <a:r>
                      <a:rPr lang="en-US"/>
                      <a:t>CZ</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D4D8-422F-B702-E18498ABBE23}"/>
                </c:ext>
                <c:ext xmlns:c15="http://schemas.microsoft.com/office/drawing/2012/chart" uri="{CE6537A1-D6FC-4f65-9D91-7224C49458BB}"/>
              </c:extLst>
            </c:dLbl>
            <c:dLbl>
              <c:idx val="4"/>
              <c:layout>
                <c:manualLayout>
                  <c:x val="-0.03741922638748215"/>
                  <c:y val="-0.075960197293386031"/>
                </c:manualLayout>
              </c:layout>
              <c:tx>
                <c:rich>
                  <a:bodyPr vertOverflow="clip"/>
                  <a:lstStyle/>
                  <a:p>
                    <a:r>
                      <a:rPr lang="en-US"/>
                      <a:t>DK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D4D8-422F-B702-E18498ABBE23}"/>
                </c:ext>
                <c:ext xmlns:c15="http://schemas.microsoft.com/office/drawing/2012/chart" uri="{CE6537A1-D6FC-4f65-9D91-7224C49458BB}"/>
              </c:extLst>
            </c:dLbl>
            <c:dLbl>
              <c:idx val="5"/>
              <c:layout>
                <c:manualLayout>
                  <c:x val="-0.0373789480543764"/>
                  <c:y val="-0.066283996275507712"/>
                </c:manualLayout>
              </c:layout>
              <c:tx>
                <c:rich>
                  <a:bodyPr vertOverflow="clip"/>
                  <a:lstStyle/>
                  <a:p>
                    <a:r>
                      <a:rPr lang="en-US"/>
                      <a:t>DE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D4D8-422F-B702-E18498ABBE23}"/>
                </c:ext>
                <c:ext xmlns:c15="http://schemas.microsoft.com/office/drawing/2012/chart" uri="{CE6537A1-D6FC-4f65-9D91-7224C49458BB}"/>
              </c:extLst>
            </c:dLbl>
            <c:dLbl>
              <c:idx val="6"/>
              <c:layout>
                <c:manualLayout>
                  <c:x val="-0.045706084091335544"/>
                  <c:y val="-0.076139690897056675"/>
                </c:manualLayout>
              </c:layout>
              <c:tx>
                <c:rich>
                  <a:bodyPr vertOverflow="clip"/>
                  <a:lstStyle/>
                  <a:p>
                    <a:r>
                      <a:rPr lang="en-US"/>
                      <a:t>EE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D4D8-422F-B702-E18498ABBE23}"/>
                </c:ext>
                <c:ext xmlns:c15="http://schemas.microsoft.com/office/drawing/2012/chart" uri="{CE6537A1-D6FC-4f65-9D91-7224C49458BB}"/>
              </c:extLst>
            </c:dLbl>
            <c:dLbl>
              <c:idx val="7"/>
              <c:layout>
                <c:manualLayout>
                  <c:x val="-0.037429377837289286"/>
                  <c:y val="0.066486674469652493"/>
                </c:manualLayout>
              </c:layout>
              <c:tx>
                <c:rich>
                  <a:bodyPr vertOverflow="clip"/>
                  <a:lstStyle/>
                  <a:p>
                    <a:r>
                      <a:rPr lang="en-US"/>
                      <a:t>IE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D4D8-422F-B702-E18498ABBE23}"/>
                </c:ext>
                <c:ext xmlns:c15="http://schemas.microsoft.com/office/drawing/2012/chart" uri="{CE6537A1-D6FC-4f65-9D91-7224C49458BB}"/>
              </c:extLst>
            </c:dLbl>
            <c:dLbl>
              <c:idx val="8"/>
              <c:layout>
                <c:manualLayout>
                  <c:x val="-0.049849512943262238"/>
                  <c:y val="-0.076191295308111986"/>
                </c:manualLayout>
              </c:layout>
              <c:tx>
                <c:rich>
                  <a:bodyPr/>
                  <a:lstStyle/>
                  <a:p>
                    <a:r>
                      <a:rPr lang="en-US"/>
                      <a:t>EL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D4D8-422F-B702-E18498ABBE23}"/>
                </c:ext>
                <c:ext xmlns:c15="http://schemas.microsoft.com/office/drawing/2012/chart" uri="{CE6537A1-D6FC-4f65-9D91-7224C49458BB}"/>
              </c:extLst>
            </c:dLbl>
            <c:dLbl>
              <c:idx val="9"/>
              <c:layout>
                <c:manualLayout>
                  <c:x val="-0.01661464867305815"/>
                  <c:y val="-0.0082709156791402252"/>
                </c:manualLayout>
              </c:layout>
              <c:tx>
                <c:rich>
                  <a:bodyPr vertOverflow="clip"/>
                  <a:lstStyle/>
                  <a:p>
                    <a:r>
                      <a:rPr lang="en-US"/>
                      <a:t>ES</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D4D8-422F-B702-E18498ABBE23}"/>
                </c:ext>
                <c:ext xmlns:c15="http://schemas.microsoft.com/office/drawing/2012/chart" uri="{CE6537A1-D6FC-4f65-9D91-7224C49458BB}"/>
              </c:extLst>
            </c:dLbl>
            <c:dLbl>
              <c:idx val="10"/>
              <c:layout>
                <c:manualLayout>
                  <c:x val="-0.05401881161889107"/>
                  <c:y val="-0.0762159756786167"/>
                </c:manualLayout>
              </c:layout>
              <c:tx>
                <c:rich>
                  <a:bodyPr vertOverflow="clip"/>
                  <a:lstStyle/>
                  <a:p>
                    <a:r>
                      <a:rPr lang="en-US"/>
                      <a:t>FR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E-D4D8-422F-B702-E18498ABBE23}"/>
                </c:ext>
                <c:ext xmlns:c15="http://schemas.microsoft.com/office/drawing/2012/chart" uri="{CE6537A1-D6FC-4f65-9D91-7224C49458BB}"/>
              </c:extLst>
            </c:dLbl>
            <c:dLbl>
              <c:idx val="11"/>
              <c:layout>
                <c:manualLayout>
                  <c:x val="-0.049849840409385046"/>
                  <c:y val="-0.076165119157576691"/>
                </c:manualLayout>
              </c:layout>
              <c:tx>
                <c:rich>
                  <a:bodyPr/>
                  <a:lstStyle/>
                  <a:p>
                    <a:r>
                      <a:rPr lang="en-US"/>
                      <a:t>HR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D4D8-422F-B702-E18498ABBE23}"/>
                </c:ext>
                <c:ext xmlns:c15="http://schemas.microsoft.com/office/drawing/2012/chart" uri="{CE6537A1-D6FC-4f65-9D91-7224C49458BB}"/>
              </c:extLst>
            </c:dLbl>
            <c:dLbl>
              <c:idx val="12"/>
              <c:layout>
                <c:manualLayout>
                  <c:x val="-0.02489659438506938"/>
                  <c:y val="-0.038197734641143684"/>
                </c:manualLayout>
              </c:layout>
              <c:tx>
                <c:rich>
                  <a:bodyPr vertOverflow="clip"/>
                  <a:lstStyle/>
                  <a:p>
                    <a:r>
                      <a:rPr lang="en-US"/>
                      <a:t>IT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D4D8-422F-B702-E18498ABBE23}"/>
                </c:ext>
                <c:ext xmlns:c15="http://schemas.microsoft.com/office/drawing/2012/chart" uri="{CE6537A1-D6FC-4f65-9D91-7224C49458BB}"/>
              </c:extLst>
            </c:dLbl>
            <c:dLbl>
              <c:idx val="13"/>
              <c:layout>
                <c:manualLayout>
                  <c:x val="-0.079017575434277385"/>
                  <c:y val="-0.047491015971191278"/>
                </c:manualLayout>
              </c:layout>
              <c:tx>
                <c:rich>
                  <a:bodyPr vertOverflow="clip"/>
                  <a:lstStyle/>
                  <a:p>
                    <a:r>
                      <a:rPr lang="en-US"/>
                      <a:t>CY</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D4D8-422F-B702-E18498ABBE23}"/>
                </c:ext>
                <c:ext xmlns:c15="http://schemas.microsoft.com/office/drawing/2012/chart" uri="{CE6537A1-D6FC-4f65-9D91-7224C49458BB}"/>
              </c:extLst>
            </c:dLbl>
            <c:dLbl>
              <c:idx val="14"/>
              <c:layout>
                <c:manualLayout>
                  <c:x val="-0.099696348666254819"/>
                  <c:y val="-0.00949669889838592"/>
                </c:manualLayout>
              </c:layout>
              <c:tx>
                <c:rich>
                  <a:bodyPr vertOverflow="clip"/>
                  <a:lstStyle/>
                  <a:p>
                    <a:r>
                      <a:rPr lang="en-US"/>
                      <a:t>LV</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D4D8-422F-B702-E18498ABBE23}"/>
                </c:ext>
                <c:ext xmlns:c15="http://schemas.microsoft.com/office/drawing/2012/chart" uri="{CE6537A1-D6FC-4f65-9D91-7224C49458BB}"/>
              </c:extLst>
            </c:dLbl>
            <c:dLbl>
              <c:idx val="15"/>
              <c:layout>
                <c:manualLayout>
                  <c:x val="-0.049880294758806468"/>
                  <c:y val="-0.056835901712294232"/>
                </c:manualLayout>
              </c:layout>
              <c:tx>
                <c:rich>
                  <a:bodyPr vertOverflow="clip"/>
                  <a:lstStyle/>
                  <a:p>
                    <a:r>
                      <a:rPr lang="en-US"/>
                      <a:t>LT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F-D4D8-422F-B702-E18498ABBE23}"/>
                </c:ext>
                <c:ext xmlns:c15="http://schemas.microsoft.com/office/drawing/2012/chart" uri="{CE6537A1-D6FC-4f65-9D91-7224C49458BB}"/>
              </c:extLst>
            </c:dLbl>
            <c:dLbl>
              <c:idx val="16"/>
              <c:layout>
                <c:manualLayout>
                  <c:x val="-0.033270558077590405"/>
                  <c:y val="-0.066487422359667786"/>
                </c:manualLayout>
              </c:layout>
              <c:tx>
                <c:rich>
                  <a:bodyPr/>
                  <a:lstStyle/>
                  <a:p>
                    <a:r>
                      <a:rPr lang="en-US"/>
                      <a:t>LU</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0-D4D8-422F-B702-E18498ABBE23}"/>
                </c:ext>
                <c:ext xmlns:c15="http://schemas.microsoft.com/office/drawing/2012/chart" uri="{CE6537A1-D6FC-4f65-9D91-7224C49458BB}"/>
              </c:extLst>
            </c:dLbl>
            <c:dLbl>
              <c:idx val="17"/>
              <c:layout>
                <c:manualLayout>
                  <c:x val="-0.05812589173118568"/>
                  <c:y val="-0.066307928755997142"/>
                </c:manualLayout>
              </c:layout>
              <c:tx>
                <c:rich>
                  <a:bodyPr vertOverflow="clip"/>
                  <a:lstStyle/>
                  <a:p>
                    <a:r>
                      <a:rPr lang="en-US"/>
                      <a:t>HU</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1-D4D8-422F-B702-E18498ABBE23}"/>
                </c:ext>
                <c:ext xmlns:c15="http://schemas.microsoft.com/office/drawing/2012/chart" uri="{CE6537A1-D6FC-4f65-9D91-7224C49458BB}"/>
              </c:extLst>
            </c:dLbl>
            <c:dLbl>
              <c:idx val="18"/>
              <c:layout>
                <c:manualLayout>
                  <c:x val="-0.09143247108228536"/>
                  <c:y val="-0.0096784446879241946"/>
                </c:manualLayout>
              </c:layout>
              <c:tx>
                <c:rich>
                  <a:bodyPr vertOverflow="clip"/>
                  <a:lstStyle/>
                  <a:p>
                    <a:r>
                      <a:rPr lang="en-US"/>
                      <a:t>NL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2-D4D8-422F-B702-E18498ABBE23}"/>
                </c:ext>
                <c:ext xmlns:c15="http://schemas.microsoft.com/office/drawing/2012/chart" uri="{CE6537A1-D6FC-4f65-9D91-7224C49458BB}"/>
              </c:extLst>
            </c:dLbl>
            <c:dLbl>
              <c:idx val="19"/>
              <c:layout>
                <c:manualLayout>
                  <c:x val="-0.091386298358969012"/>
                  <c:y val="0.047618157273791317"/>
                </c:manualLayout>
              </c:layout>
              <c:tx>
                <c:rich>
                  <a:bodyPr vertOverflow="clip"/>
                  <a:lstStyle/>
                  <a:p>
                    <a:r>
                      <a:rPr lang="en-US"/>
                      <a:t>AT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3-D4D8-422F-B702-E18498ABBE23}"/>
                </c:ext>
                <c:ext xmlns:c15="http://schemas.microsoft.com/office/drawing/2012/chart" uri="{CE6537A1-D6FC-4f65-9D91-7224C49458BB}"/>
              </c:extLst>
            </c:dLbl>
            <c:dLbl>
              <c:idx val="20"/>
              <c:layout>
                <c:manualLayout>
                  <c:x val="-0.041532528356110238"/>
                  <c:y val="-0.057194888919635478"/>
                </c:manualLayout>
              </c:layout>
              <c:tx>
                <c:rich>
                  <a:bodyPr vertOverflow="clip"/>
                  <a:lstStyle/>
                  <a:p>
                    <a:r>
                      <a:rPr lang="en-US"/>
                      <a:t>PL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4-D4D8-422F-B702-E18498ABBE23}"/>
                </c:ext>
                <c:ext xmlns:c15="http://schemas.microsoft.com/office/drawing/2012/chart" uri="{CE6537A1-D6FC-4f65-9D91-7224C49458BB}"/>
              </c:extLst>
            </c:dLbl>
            <c:dLbl>
              <c:idx val="21"/>
              <c:layout>
                <c:manualLayout>
                  <c:x val="-0.020732535167405593"/>
                  <c:y val="0.05683590171229419"/>
                </c:manualLayout>
              </c:layout>
              <c:tx>
                <c:rich>
                  <a:bodyPr vertOverflow="clip"/>
                  <a:lstStyle/>
                  <a:p>
                    <a:r>
                      <a:rPr lang="en-US"/>
                      <a:t>PT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5-D4D8-422F-B702-E18498ABBE23}"/>
                </c:ext>
                <c:ext xmlns:c15="http://schemas.microsoft.com/office/drawing/2012/chart" uri="{CE6537A1-D6FC-4f65-9D91-7224C49458BB}"/>
              </c:extLst>
            </c:dLbl>
            <c:dLbl>
              <c:idx val="22"/>
              <c:layout>
                <c:manualLayout>
                  <c:x val="-0.0873198240459029"/>
                  <c:y val="0.047465587710671268"/>
                </c:manualLayout>
              </c:layout>
              <c:tx>
                <c:rich>
                  <a:bodyPr/>
                  <a:lstStyle/>
                  <a:p>
                    <a:r>
                      <a:rPr lang="en-US"/>
                      <a:t>RO</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6-D4D8-422F-B702-E18498ABBE23}"/>
                </c:ext>
                <c:ext xmlns:c15="http://schemas.microsoft.com/office/drawing/2012/chart" uri="{CE6537A1-D6FC-4f65-9D91-7224C49458BB}"/>
              </c:extLst>
            </c:dLbl>
            <c:dLbl>
              <c:idx val="23"/>
              <c:layout>
                <c:manualLayout>
                  <c:x val="-0.024891354927104405"/>
                  <c:y val="-0.0286741031863854"/>
                </c:manualLayout>
              </c:layout>
              <c:tx>
                <c:rich>
                  <a:bodyPr vertOverflow="clip"/>
                  <a:lstStyle/>
                  <a:p>
                    <a:r>
                      <a:rPr lang="en-US"/>
                      <a:t>SI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7-D4D8-422F-B702-E18498ABBE23}"/>
                </c:ext>
                <c:ext xmlns:c15="http://schemas.microsoft.com/office/drawing/2012/chart" uri="{CE6537A1-D6FC-4f65-9D91-7224C49458BB}"/>
              </c:extLst>
            </c:dLbl>
            <c:dLbl>
              <c:idx val="24"/>
              <c:layout>
                <c:manualLayout>
                  <c:x val="-0.045731626448914792"/>
                  <c:y val="-0.075857736361290659"/>
                </c:manualLayout>
              </c:layout>
              <c:tx>
                <c:rich>
                  <a:bodyPr vertOverflow="clip"/>
                  <a:lstStyle/>
                  <a:p>
                    <a:r>
                      <a:rPr lang="en-US"/>
                      <a:t>SK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8-D4D8-422F-B702-E18498ABBE23}"/>
                </c:ext>
                <c:ext xmlns:c15="http://schemas.microsoft.com/office/drawing/2012/chart" uri="{CE6537A1-D6FC-4f65-9D91-7224C49458BB}"/>
              </c:extLst>
            </c:dLbl>
            <c:dLbl>
              <c:idx val="25"/>
              <c:layout>
                <c:manualLayout>
                  <c:x val="-0.0166251275889881"/>
                  <c:y val="0.038095273709048347"/>
                </c:manualLayout>
              </c:layout>
              <c:tx>
                <c:rich>
                  <a:bodyPr vertOverflow="clip"/>
                  <a:lstStyle/>
                  <a:p>
                    <a:r>
                      <a:rPr lang="en-US"/>
                      <a:t>FI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9-D4D8-422F-B702-E18498ABBE23}"/>
                </c:ext>
                <c:ext xmlns:c15="http://schemas.microsoft.com/office/drawing/2012/chart" uri="{CE6537A1-D6FC-4f65-9D91-7224C49458BB}"/>
              </c:extLst>
            </c:dLbl>
            <c:dLbl>
              <c:idx val="26"/>
              <c:layout>
                <c:manualLayout>
                  <c:x val="-0.049844273485297262"/>
                  <c:y val="-0.06628250049547714"/>
                </c:manualLayout>
              </c:layout>
              <c:tx>
                <c:rich>
                  <a:bodyPr vertOverflow="clip"/>
                  <a:lstStyle/>
                  <a:p>
                    <a:r>
                      <a:rPr lang="en-US"/>
                      <a:t>SE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A-D4D8-422F-B702-E18498ABBE23}"/>
                </c:ext>
                <c:ext xmlns:c15="http://schemas.microsoft.com/office/drawing/2012/chart" uri="{CE6537A1-D6FC-4f65-9D91-7224C49458BB}"/>
              </c:extLst>
            </c:dLbl>
            <c:dLbl>
              <c:idx val="27"/>
              <c:layout>
                <c:manualLayout>
                  <c:x val="-0.024911985292841415"/>
                  <c:y val="0.03778789091276237"/>
                </c:manualLayout>
              </c:layout>
              <c:tx>
                <c:rich>
                  <a:bodyPr vertOverflow="clip"/>
                  <a:lstStyle/>
                  <a:p>
                    <a:r>
                      <a:rPr lang="en-US"/>
                      <a:t>UK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B-D4D8-422F-B702-E18498ABBE23}"/>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Sheet1!$B$3:$B$30</c:f>
              <c:numCache>
                <c:formatCode>0</c:formatCode>
                <c:ptCount val="28"/>
                <c:pt idx="0">
                  <c:v>38.34340856177166</c:v>
                </c:pt>
                <c:pt idx="1">
                  <c:v>70.930586425029929</c:v>
                </c:pt>
                <c:pt idx="2">
                  <c:v>6.8653179917069052</c:v>
                </c:pt>
                <c:pt idx="3">
                  <c:v>20.51516743632995</c:v>
                </c:pt>
                <c:pt idx="4">
                  <c:v>57.920449438202247</c:v>
                </c:pt>
                <c:pt idx="5">
                  <c:v>39.459143299501115</c:v>
                </c:pt>
                <c:pt idx="6">
                  <c:v>19.067924528301887</c:v>
                </c:pt>
                <c:pt idx="7">
                  <c:v>54.77035490605428</c:v>
                </c:pt>
                <c:pt idx="8">
                  <c:v>26.399345846961523</c:v>
                </c:pt>
                <c:pt idx="9">
                  <c:v>33.018247859552019</c:v>
                </c:pt>
                <c:pt idx="10">
                  <c:v>51.017973856209153</c:v>
                </c:pt>
                <c:pt idx="11">
                  <c:v>18.209391711229948</c:v>
                </c:pt>
                <c:pt idx="12">
                  <c:v>43.440815443681394</c:v>
                </c:pt>
                <c:pt idx="13">
                  <c:v>28.527291452111225</c:v>
                </c:pt>
                <c:pt idx="14">
                  <c:v>16.039373138194538</c:v>
                </c:pt>
                <c:pt idx="15">
                  <c:v>20.011191691288388</c:v>
                </c:pt>
                <c:pt idx="16">
                  <c:v>84.859123434704841</c:v>
                </c:pt>
                <c:pt idx="17">
                  <c:v>14.622946761674061</c:v>
                </c:pt>
                <c:pt idx="18">
                  <c:v>53.483524355300858</c:v>
                </c:pt>
                <c:pt idx="19">
                  <c:v>53.387990146082757</c:v>
                </c:pt>
                <c:pt idx="20">
                  <c:v>26.930235613558729</c:v>
                </c:pt>
                <c:pt idx="21">
                  <c:v>29.39311543420979</c:v>
                </c:pt>
                <c:pt idx="22">
                  <c:v>6.1842533936651591</c:v>
                </c:pt>
                <c:pt idx="23">
                  <c:v>31.900082576383156</c:v>
                </c:pt>
                <c:pt idx="24">
                  <c:v>24.226880329470152</c:v>
                </c:pt>
                <c:pt idx="25">
                  <c:v>52.102756039469213</c:v>
                </c:pt>
                <c:pt idx="26">
                  <c:v>65.645772058823539</c:v>
                </c:pt>
                <c:pt idx="27">
                  <c:v>40.674210813762976</c:v>
                </c:pt>
              </c:numCache>
            </c:numRef>
          </c:xVal>
          <c:yVal>
            <c:numRef>
              <c:f>Sheet1!$C$3:$C$30</c:f>
              <c:numCache>
                <c:formatCode>0.0</c:formatCode>
                <c:ptCount val="28"/>
                <c:pt idx="0">
                  <c:v>0.69108999665419668</c:v>
                </c:pt>
                <c:pt idx="1">
                  <c:v>0.66786986445586061</c:v>
                </c:pt>
                <c:pt idx="2">
                  <c:v>0.61792149088079118</c:v>
                </c:pt>
                <c:pt idx="3">
                  <c:v>0.63986771845064061</c:v>
                </c:pt>
                <c:pt idx="4">
                  <c:v>0.73441661446361328</c:v>
                </c:pt>
                <c:pt idx="5">
                  <c:v>0.72978186512362786</c:v>
                </c:pt>
                <c:pt idx="6">
                  <c:v>0.66288444186537954</c:v>
                </c:pt>
                <c:pt idx="7">
                  <c:v>0.552764205182936</c:v>
                </c:pt>
                <c:pt idx="8">
                  <c:v>0.814800516853608</c:v>
                </c:pt>
                <c:pt idx="9">
                  <c:v>0.79818149694062435</c:v>
                </c:pt>
                <c:pt idx="10">
                  <c:v>0.74301219509470129</c:v>
                </c:pt>
                <c:pt idx="11">
                  <c:v>0.82319234443917655</c:v>
                </c:pt>
                <c:pt idx="12">
                  <c:v>0.72712440817045887</c:v>
                </c:pt>
                <c:pt idx="13">
                  <c:v>0.729735888887677</c:v>
                </c:pt>
                <c:pt idx="14">
                  <c:v>0.51846665096855671</c:v>
                </c:pt>
                <c:pt idx="15" formatCode="0.00">
                  <c:v>0.51786791593227766</c:v>
                </c:pt>
                <c:pt idx="16">
                  <c:v>0.51016194860766206</c:v>
                </c:pt>
                <c:pt idx="17" formatCode="0.00">
                  <c:v>0.71422671677648486</c:v>
                </c:pt>
                <c:pt idx="18" formatCode="0.000">
                  <c:v>0.60414659729902109</c:v>
                </c:pt>
                <c:pt idx="19" formatCode="0.000">
                  <c:v>0.59571717613113739</c:v>
                </c:pt>
                <c:pt idx="20">
                  <c:v>0.35545125264437949</c:v>
                </c:pt>
                <c:pt idx="21">
                  <c:v>0.57868796884240925</c:v>
                </c:pt>
                <c:pt idx="22">
                  <c:v>0.84189518042363687</c:v>
                </c:pt>
                <c:pt idx="23">
                  <c:v>0.72630819318743023</c:v>
                </c:pt>
                <c:pt idx="24">
                  <c:v>0.55969824334523344</c:v>
                </c:pt>
                <c:pt idx="25">
                  <c:v>0.704573533070849</c:v>
                </c:pt>
                <c:pt idx="26">
                  <c:v>0.60864336818869336</c:v>
                </c:pt>
                <c:pt idx="27">
                  <c:v>0.682201292726248</c:v>
                </c:pt>
              </c:numCache>
            </c:numRef>
          </c:yVal>
          <c:smooth val="0"/>
          <c:extLst>
            <c:ext xmlns:c="http://schemas.openxmlformats.org/drawingml/2006/chart" xmlns:c16="http://schemas.microsoft.com/office/drawing/2014/chart" uri="{C3380CC4-5D6E-409C-BE32-E72D297353CC}">
              <c16:uniqueId val="{0000001C-D4D8-422F-B702-E18498ABBE23}"/>
            </c:ext>
          </c:extLst>
        </c:ser>
        <c:dLbls>
          <c:showLegendKey val="0"/>
          <c:showVal val="0"/>
          <c:showCatName val="0"/>
          <c:showSerName val="0"/>
          <c:showPercent val="0"/>
          <c:showBubbleSize val="0"/>
        </c:dLbls>
        <c:axId val="656416632"/>
        <c:axId val="656418984"/>
      </c:scatterChart>
      <c:valAx>
        <c:axId val="656416632"/>
        <c:scaling>
          <c:orientation val="minMax"/>
          <c:max val="75"/>
          <c:min val="0"/>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56418984"/>
        <c:crosses val="autoZero"/>
        <c:crossBetween val="midCat"/>
        <c:majorUnit val="15"/>
      </c:valAx>
      <c:valAx>
        <c:axId val="656418984"/>
        <c:scaling>
          <c:orientation val="minMax"/>
          <c:max val="0.8"/>
          <c:min val="0.30000000000000004"/>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56416632"/>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299.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1619797525309326"/>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631F-4241-A5A0-0A10863D2FC8}"/>
              </c:ext>
            </c:extLst>
          </c:dPt>
          <c:dPt>
            <c:idx val="5"/>
            <c:bubble3D val="0"/>
            <c:extLst>
              <c:ext xmlns:c="http://schemas.openxmlformats.org/drawingml/2006/chart" xmlns:c16="http://schemas.microsoft.com/office/drawing/2014/chart" uri="{C3380CC4-5D6E-409C-BE32-E72D297353CC}">
                <c16:uniqueId val="{00000001-631F-4241-A5A0-0A10863D2FC8}"/>
              </c:ext>
            </c:extLst>
          </c:dPt>
          <c:dPt>
            <c:idx val="11"/>
            <c:bubble3D val="0"/>
            <c:extLst>
              <c:ext xmlns:c="http://schemas.openxmlformats.org/drawingml/2006/chart" xmlns:c16="http://schemas.microsoft.com/office/drawing/2014/chart" uri="{C3380CC4-5D6E-409C-BE32-E72D297353CC}">
                <c16:uniqueId val="{00000002-631F-4241-A5A0-0A10863D2FC8}"/>
              </c:ext>
            </c:extLst>
          </c:dPt>
          <c:dPt>
            <c:idx val="12"/>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3-631F-4241-A5A0-0A10863D2FC8}"/>
              </c:ext>
            </c:extLst>
          </c:dPt>
          <c:dPt>
            <c:idx val="13"/>
            <c:bubble3D val="0"/>
            <c:extLst>
              <c:ext xmlns:c="http://schemas.openxmlformats.org/drawingml/2006/chart" xmlns:c16="http://schemas.microsoft.com/office/drawing/2014/chart" uri="{C3380CC4-5D6E-409C-BE32-E72D297353CC}">
                <c16:uniqueId val="{00000004-631F-4241-A5A0-0A10863D2FC8}"/>
              </c:ext>
            </c:extLst>
          </c:dPt>
          <c:dPt>
            <c:idx val="14"/>
            <c:bubble3D val="0"/>
            <c:extLst>
              <c:ext xmlns:c="http://schemas.openxmlformats.org/drawingml/2006/chart" xmlns:c16="http://schemas.microsoft.com/office/drawing/2014/chart" uri="{C3380CC4-5D6E-409C-BE32-E72D297353CC}">
                <c16:uniqueId val="{00000005-631F-4241-A5A0-0A10863D2FC8}"/>
              </c:ext>
            </c:extLst>
          </c:dPt>
          <c:dLbls>
            <c:dLbl>
              <c:idx val="0"/>
              <c:tx>
                <c:rich>
                  <a:bodyPr vertOverflow="clip"/>
                  <a:lstStyle/>
                  <a:p>
                    <a:fld id="{b89de92d-a1b0-45d8-b8b7-e3e6d2a16800}" type="CELLRANGE">
                      <a:rPr lang="en-US"/>
                      <a:t>BE</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0-631F-4241-A5A0-0A10863D2FC8}"/>
                </c:ext>
                <c:ext xmlns:c15="http://schemas.microsoft.com/office/drawing/2012/chart" uri="{CE6537A1-D6FC-4f65-9D91-7224C49458BB}">
                  <c15:showDataLabelsRange val="1"/>
                </c:ext>
              </c:extLst>
            </c:dLbl>
            <c:dLbl>
              <c:idx val="1"/>
              <c:layout>
                <c:manualLayout>
                  <c:x val="-0.05627878395648863"/>
                  <c:y val="0.076247404941365657"/>
                </c:manualLayout>
              </c:layout>
              <c:tx>
                <c:rich>
                  <a:bodyPr vertOverflow="clip"/>
                  <a:lstStyle/>
                  <a:p>
                    <a:fld id="{00f8db41-39c2-4ab8-8979-a90960ff06c1}" type="CELLRANGE">
                      <a:rPr lang="en-US"/>
                      <a:t>BG</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6-631F-4241-A5A0-0A10863D2FC8}"/>
                </c:ext>
                <c:ext xmlns:c15="http://schemas.microsoft.com/office/drawing/2012/chart" uri="{CE6537A1-D6FC-4f65-9D91-7224C49458BB}">
                  <c15:showDataLabelsRange val="1"/>
                </c:ext>
              </c:extLst>
            </c:dLbl>
            <c:dLbl>
              <c:idx val="2"/>
              <c:layout>
                <c:manualLayout>
                  <c:x val="-0.054649395475627811"/>
                  <c:y val="0.066746217292909554"/>
                </c:manualLayout>
              </c:layout>
              <c:tx>
                <c:rich>
                  <a:bodyPr vertOverflow="clip"/>
                  <a:lstStyle/>
                  <a:p>
                    <a:fld id="{b35999e8-b5b3-433f-95ee-eb2e56c1e2ea}" type="CELLRANGE">
                      <a:rPr lang="en-US"/>
                      <a:t>CZ</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7-631F-4241-A5A0-0A10863D2FC8}"/>
                </c:ext>
                <c:ext xmlns:c15="http://schemas.microsoft.com/office/drawing/2012/chart" uri="{CE6537A1-D6FC-4f65-9D91-7224C49458BB}">
                  <c15:showDataLabelsRange val="1"/>
                </c:ext>
              </c:extLst>
            </c:dLbl>
            <c:dLbl>
              <c:idx val="3"/>
              <c:layout>
                <c:manualLayout>
                  <c:x val="-0.034713655811703485"/>
                  <c:y val="-0.066745469167897975"/>
                </c:manualLayout>
              </c:layout>
              <c:tx>
                <c:rich>
                  <a:bodyPr vertOverflow="clip"/>
                  <a:lstStyle/>
                  <a:p>
                    <a:fld id="{4f79ee05-864a-4dbc-8e9f-e8b1e6026390}" type="CELLRANGE">
                      <a:rPr lang="en-US"/>
                      <a:t>DK</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8-631F-4241-A5A0-0A10863D2FC8}"/>
                </c:ext>
                <c:ext xmlns:c15="http://schemas.microsoft.com/office/drawing/2012/chart" uri="{CE6537A1-D6FC-4f65-9D91-7224C49458BB}">
                  <c15:showDataLabelsRange val="1"/>
                </c:ext>
              </c:extLst>
            </c:dLbl>
            <c:dLbl>
              <c:idx val="4"/>
              <c:layout>
                <c:manualLayout>
                  <c:x val="-0.055469156019258489"/>
                  <c:y val="-0.076246656816354036"/>
                </c:manualLayout>
              </c:layout>
              <c:tx>
                <c:rich>
                  <a:bodyPr vertOverflow="clip"/>
                  <a:lstStyle/>
                  <a:p>
                    <a:fld id="{7d57ddcb-ccbc-451b-a61a-46f2b41bce4c}" type="CELLRANGE">
                      <a:rPr lang="en-US"/>
                      <a:t>DE</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9-631F-4241-A5A0-0A10863D2FC8}"/>
                </c:ext>
                <c:ext xmlns:c15="http://schemas.microsoft.com/office/drawing/2012/chart" uri="{CE6537A1-D6FC-4f65-9D91-7224C49458BB}">
                  <c15:showDataLabelsRange val="1"/>
                </c:ext>
              </c:extLst>
            </c:dLbl>
            <c:dLbl>
              <c:idx val="5"/>
              <c:layout>
                <c:manualLayout>
                  <c:x val="-0.024906600249066"/>
                  <c:y val="-2.177330350065177E-17"/>
                </c:manualLayout>
              </c:layout>
              <c:tx>
                <c:rich>
                  <a:bodyPr vertOverflow="clip"/>
                  <a:lstStyle/>
                  <a:p>
                    <a:fld id="{a20b5b3d-121a-408e-858f-ebd7afe87e10}" type="CELLRANGE">
                      <a:rPr lang="en-US"/>
                      <a:t>EE</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1-631F-4241-A5A0-0A10863D2FC8}"/>
                </c:ext>
                <c:ext xmlns:c15="http://schemas.microsoft.com/office/drawing/2012/chart" uri="{CE6537A1-D6FC-4f65-9D91-7224C49458BB}">
                  <c15:showDataLabelsRange val="1"/>
                </c:ext>
              </c:extLst>
            </c:dLbl>
            <c:dLbl>
              <c:idx val="6"/>
              <c:layout>
                <c:manualLayout>
                  <c:x val="-0.06897069061884091"/>
                  <c:y val="0.0665083135391924"/>
                </c:manualLayout>
              </c:layout>
              <c:tx>
                <c:rich>
                  <a:bodyPr vertOverflow="clip"/>
                  <a:lstStyle/>
                  <a:p>
                    <a:fld id="{f311e9a3-2cd8-488b-8ff6-a86be250783d}" type="CELLRANGE">
                      <a:rPr lang="en-US"/>
                      <a:t>IE</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A-631F-4241-A5A0-0A10863D2FC8}"/>
                </c:ext>
                <c:ext xmlns:c15="http://schemas.microsoft.com/office/drawing/2012/chart" uri="{CE6537A1-D6FC-4f65-9D91-7224C49458BB}">
                  <c15:showDataLabelsRange val="1"/>
                </c:ext>
              </c:extLst>
            </c:dLbl>
            <c:dLbl>
              <c:idx val="7"/>
              <c:layout>
                <c:manualLayout>
                  <c:x val="-0.020755500207555"/>
                  <c:y val="0"/>
                </c:manualLayout>
              </c:layout>
              <c:tx>
                <c:rich>
                  <a:bodyPr vertOverflow="clip"/>
                  <a:lstStyle/>
                  <a:p>
                    <a:fld id="{fb3e2575-b293-4503-9209-990a51cc16cf}" type="CELLRANGE">
                      <a:rPr lang="en-US"/>
                      <a:t>EL</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B-631F-4241-A5A0-0A10863D2FC8}"/>
                </c:ext>
                <c:ext xmlns:c15="http://schemas.microsoft.com/office/drawing/2012/chart" uri="{CE6537A1-D6FC-4f65-9D91-7224C49458BB}">
                  <c15:showDataLabelsRange val="1"/>
                </c:ext>
              </c:extLst>
            </c:dLbl>
            <c:dLbl>
              <c:idx val="8"/>
              <c:layout>
                <c:manualLayout>
                  <c:x val="-0.054669987546699952"/>
                  <c:y val="-0.066745469167897975"/>
                </c:manualLayout>
              </c:layout>
              <c:tx>
                <c:rich>
                  <a:bodyPr vertOverflow="clip"/>
                  <a:lstStyle/>
                  <a:p>
                    <a:fld id="{1d1db431-629f-4008-b15a-8df74a707fee}" type="CELLRANGE">
                      <a:rPr lang="en-US"/>
                      <a:t>ES</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C-631F-4241-A5A0-0A10863D2FC8}"/>
                </c:ext>
                <c:ext xmlns:c15="http://schemas.microsoft.com/office/drawing/2012/chart" uri="{CE6537A1-D6FC-4f65-9D91-7224C49458BB}">
                  <c15:showDataLabelsRange val="1"/>
                </c:ext>
              </c:extLst>
            </c:dLbl>
            <c:dLbl>
              <c:idx val="9"/>
              <c:layout>
                <c:manualLayout>
                  <c:x val="-0.054649395475627811"/>
                  <c:y val="-0.076246656816354036"/>
                </c:manualLayout>
              </c:layout>
              <c:tx>
                <c:rich>
                  <a:bodyPr vertOverflow="clip"/>
                  <a:lstStyle/>
                  <a:p>
                    <a:fld id="{281ab85c-6e1e-42bb-a753-98f1f7a1b226}" type="CELLRANGE">
                      <a:rPr lang="en-US"/>
                      <a:t>FR</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D-631F-4241-A5A0-0A10863D2FC8}"/>
                </c:ext>
                <c:ext xmlns:c15="http://schemas.microsoft.com/office/drawing/2012/chart" uri="{CE6537A1-D6FC-4f65-9D91-7224C49458BB}">
                  <c15:showDataLabelsRange val="1"/>
                </c:ext>
              </c:extLst>
            </c:dLbl>
            <c:dLbl>
              <c:idx val="10"/>
              <c:layout>
                <c:manualLayout>
                  <c:x val="-0.048194271481942864"/>
                  <c:y val="0.076247404941365657"/>
                </c:manualLayout>
              </c:layout>
              <c:tx>
                <c:rich>
                  <a:bodyPr vertOverflow="clip"/>
                  <a:lstStyle/>
                  <a:p>
                    <a:fld id="{38cc0976-4f8d-4a46-ae69-8a071ff767d0}" type="CELLRANGE">
                      <a:rPr lang="en-US"/>
                      <a:t>IT</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E-631F-4241-A5A0-0A10863D2FC8}"/>
                </c:ext>
                <c:ext xmlns:c15="http://schemas.microsoft.com/office/drawing/2012/chart" uri="{CE6537A1-D6FC-4f65-9D91-7224C49458BB}">
                  <c15:showDataLabelsRange val="1"/>
                </c:ext>
              </c:extLst>
            </c:dLbl>
            <c:dLbl>
              <c:idx val="11"/>
              <c:layout>
                <c:manualLayout>
                  <c:x val="-0.024906600249066"/>
                  <c:y val="-4.3546607001303541E-17"/>
                </c:manualLayout>
              </c:layout>
              <c:tx>
                <c:rich>
                  <a:bodyPr vertOverflow="clip"/>
                  <a:lstStyle/>
                  <a:p>
                    <a:fld id="{279f7621-ba25-4223-a183-effeede636ca}" type="CELLRANGE">
                      <a:rPr lang="en-US"/>
                      <a:t>CY</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2-631F-4241-A5A0-0A10863D2FC8}"/>
                </c:ext>
                <c:ext xmlns:c15="http://schemas.microsoft.com/office/drawing/2012/chart" uri="{CE6537A1-D6FC-4f65-9D91-7224C49458BB}">
                  <c15:showDataLabelsRange val="1"/>
                </c:ext>
              </c:extLst>
            </c:dLbl>
            <c:dLbl>
              <c:idx val="12"/>
              <c:layout>
                <c:manualLayout>
                  <c:x val="-0.024906600249066"/>
                  <c:y val="-0.0095011876484560574"/>
                </c:manualLayout>
              </c:layout>
              <c:tx>
                <c:rich>
                  <a:bodyPr vertOverflow="clip"/>
                  <a:lstStyle/>
                  <a:p>
                    <a:fld id="{388c282e-a3f2-4b0a-a201-30e57c709367}" type="CELLRANGE">
                      <a:rPr lang="en-US"/>
                      <a:t>LV</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3-631F-4241-A5A0-0A10863D2FC8}"/>
                </c:ext>
                <c:ext xmlns:c15="http://schemas.microsoft.com/office/drawing/2012/chart" uri="{CE6537A1-D6FC-4f65-9D91-7224C49458BB}">
                  <c15:showDataLabelsRange val="1"/>
                </c:ext>
              </c:extLst>
            </c:dLbl>
            <c:dLbl>
              <c:idx val="13"/>
              <c:layout>
                <c:manualLayout>
                  <c:x val="-0.031486257243996507"/>
                  <c:y val="-0.028740718574073728"/>
                </c:manualLayout>
              </c:layout>
              <c:tx>
                <c:rich>
                  <a:bodyPr vertOverflow="clip"/>
                  <a:lstStyle/>
                  <a:p>
                    <a:fld id="{e3240538-c5dc-4012-b14a-9418a56a015d}" type="CELLRANGE">
                      <a:rPr lang="en-US"/>
                      <a:t>LT</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4-631F-4241-A5A0-0A10863D2FC8}"/>
                </c:ext>
                <c:ext xmlns:c15="http://schemas.microsoft.com/office/drawing/2012/chart" uri="{CE6537A1-D6FC-4f65-9D91-7224C49458BB}">
                  <c15:showDataLabelsRange val="1"/>
                </c:ext>
              </c:extLst>
            </c:dLbl>
            <c:dLbl>
              <c:idx val="14"/>
              <c:tx>
                <c:rich>
                  <a:bodyPr vertOverflow="clip"/>
                  <a:lstStyle/>
                  <a:p>
                    <a:fld id="{60c0af4d-8ab9-44d0-9604-492dc52b2197}" type="CELLRANGE">
                      <a:rPr lang="en-US"/>
                      <a:t>LU</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5-631F-4241-A5A0-0A10863D2FC8}"/>
                </c:ext>
                <c:ext xmlns:c15="http://schemas.microsoft.com/office/drawing/2012/chart" uri="{CE6537A1-D6FC-4f65-9D91-7224C49458BB}">
                  <c15:showDataLabelsRange val="1"/>
                </c:ext>
              </c:extLst>
            </c:dLbl>
            <c:dLbl>
              <c:idx val="15"/>
              <c:layout>
                <c:manualLayout>
                  <c:x val="-0.0562683244918171"/>
                  <c:y val="0.0762474049413657"/>
                </c:manualLayout>
              </c:layout>
              <c:tx>
                <c:rich>
                  <a:bodyPr vertOverflow="clip"/>
                  <a:lstStyle/>
                  <a:p>
                    <a:fld id="{9113fc4d-44bc-4f7c-948c-4f454f22fa7c}" type="CELLRANGE">
                      <a:rPr lang="en-US"/>
                      <a:t>HU</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F-631F-4241-A5A0-0A10863D2FC8}"/>
                </c:ext>
                <c:ext xmlns:c15="http://schemas.microsoft.com/office/drawing/2012/chart" uri="{CE6537A1-D6FC-4f65-9D91-7224C49458BB}">
                  <c15:showDataLabelsRange val="1"/>
                </c:ext>
              </c:extLst>
            </c:dLbl>
            <c:dLbl>
              <c:idx val="16"/>
              <c:tx>
                <c:rich>
                  <a:bodyPr vertOverflow="clip"/>
                  <a:lstStyle/>
                  <a:p>
                    <a:fld id="{ffaefab2-0edc-4ce6-a727-ee4682c9d9c4}" type="CELLRANGE">
                      <a:rPr lang="en-US"/>
                      <a:t>NL</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0-631F-4241-A5A0-0A10863D2FC8}"/>
                </c:ext>
                <c:ext xmlns:c15="http://schemas.microsoft.com/office/drawing/2012/chart" uri="{CE6537A1-D6FC-4f65-9D91-7224C49458BB}">
                  <c15:showDataLabelsRange val="1"/>
                </c:ext>
              </c:extLst>
            </c:dLbl>
            <c:dLbl>
              <c:idx val="17"/>
              <c:layout>
                <c:manualLayout>
                  <c:x val="-0.020755500207555"/>
                  <c:y val="0"/>
                </c:manualLayout>
              </c:layout>
              <c:tx>
                <c:rich>
                  <a:bodyPr vertOverflow="clip"/>
                  <a:lstStyle/>
                  <a:p>
                    <a:fld id="{ba22c8e5-9064-4083-a0aa-58d4fb21f2b2}" type="CELLRANGE">
                      <a:rPr lang="en-US"/>
                      <a:t>AT</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1-631F-4241-A5A0-0A10863D2FC8}"/>
                </c:ext>
                <c:ext xmlns:c15="http://schemas.microsoft.com/office/drawing/2012/chart" uri="{CE6537A1-D6FC-4f65-9D91-7224C49458BB}">
                  <c15:showDataLabelsRange val="1"/>
                </c:ext>
              </c:extLst>
            </c:dLbl>
            <c:dLbl>
              <c:idx val="18"/>
              <c:layout>
                <c:manualLayout>
                  <c:x val="-0.048910417953671112"/>
                  <c:y val="0.0762474049413657"/>
                </c:manualLayout>
              </c:layout>
              <c:tx>
                <c:rich>
                  <a:bodyPr vertOverflow="clip"/>
                  <a:lstStyle/>
                  <a:p>
                    <a:fld id="{ed58c102-613d-40e2-b1e2-a1b4ab835d5d}" type="CELLRANGE">
                      <a:rPr lang="en-US"/>
                      <a:t>PL</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2-631F-4241-A5A0-0A10863D2FC8}"/>
                </c:ext>
                <c:ext xmlns:c15="http://schemas.microsoft.com/office/drawing/2012/chart" uri="{CE6537A1-D6FC-4f65-9D91-7224C49458BB}">
                  <c15:showDataLabelsRange val="1"/>
                </c:ext>
              </c:extLst>
            </c:dLbl>
            <c:dLbl>
              <c:idx val="19"/>
              <c:layout>
                <c:manualLayout>
                  <c:x val="-0.020755500207555"/>
                  <c:y val="-8.7093214002607081E-17"/>
                </c:manualLayout>
              </c:layout>
              <c:tx>
                <c:rich>
                  <a:bodyPr vertOverflow="clip"/>
                  <a:lstStyle/>
                  <a:p>
                    <a:fld id="{b860ceea-80c6-4e50-aa40-55ab7032b3cc}" type="CELLRANGE">
                      <a:rPr lang="en-US"/>
                      <a:t>PT</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3-631F-4241-A5A0-0A10863D2FC8}"/>
                </c:ext>
                <c:ext xmlns:c15="http://schemas.microsoft.com/office/drawing/2012/chart" uri="{CE6537A1-D6FC-4f65-9D91-7224C49458BB}">
                  <c15:showDataLabelsRange val="1"/>
                </c:ext>
              </c:extLst>
            </c:dLbl>
            <c:dLbl>
              <c:idx val="20"/>
              <c:layout>
                <c:manualLayout>
                  <c:x val="-0.057077625570776294"/>
                  <c:y val="-0.064795107262423546"/>
                </c:manualLayout>
              </c:layout>
              <c:tx>
                <c:rich>
                  <a:bodyPr vertOverflow="clip"/>
                  <a:lstStyle/>
                  <a:p>
                    <a:fld id="{109e8ee8-1f92-40af-8356-06d0d438f91e}" type="CELLRANGE">
                      <a:rPr lang="en-US"/>
                      <a:t>RO</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4-631F-4241-A5A0-0A10863D2FC8}"/>
                </c:ext>
                <c:ext xmlns:c15="http://schemas.microsoft.com/office/drawing/2012/chart" uri="{CE6537A1-D6FC-4f65-9D91-7224C49458BB}">
                  <c15:showDataLabelsRange val="1"/>
                </c:ext>
              </c:extLst>
            </c:dLbl>
            <c:dLbl>
              <c:idx val="21"/>
              <c:layout>
                <c:manualLayout>
                  <c:x val="-0.020755500207555077"/>
                  <c:y val="-4.3546607001303541E-17"/>
                </c:manualLayout>
              </c:layout>
              <c:tx>
                <c:rich>
                  <a:bodyPr vertOverflow="clip"/>
                  <a:lstStyle/>
                  <a:p>
                    <a:fld id="{84d85373-a225-4cb8-971f-f4ce64874222}" type="CELLRANGE">
                      <a:rPr lang="en-US"/>
                      <a:t>SI</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5-631F-4241-A5A0-0A10863D2FC8}"/>
                </c:ext>
                <c:ext xmlns:c15="http://schemas.microsoft.com/office/drawing/2012/chart" uri="{CE6537A1-D6FC-4f65-9D91-7224C49458BB}">
                  <c15:showDataLabelsRange val="1"/>
                </c:ext>
              </c:extLst>
            </c:dLbl>
            <c:dLbl>
              <c:idx val="22"/>
              <c:layout>
                <c:manualLayout>
                  <c:x val="-0.088584474885844755"/>
                  <c:y val="0"/>
                </c:manualLayout>
              </c:layout>
              <c:tx>
                <c:rich>
                  <a:bodyPr vertOverflow="clip"/>
                  <a:lstStyle/>
                  <a:p>
                    <a:fld id="{092f482e-cc65-4b70-885b-7a5130e1a44d}" type="CELLRANGE">
                      <a:rPr lang="en-US"/>
                      <a:t>SK</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6-631F-4241-A5A0-0A10863D2FC8}"/>
                </c:ext>
                <c:ext xmlns:c15="http://schemas.microsoft.com/office/drawing/2012/chart" uri="{CE6537A1-D6FC-4f65-9D91-7224C49458BB}">
                  <c15:showDataLabelsRange val="1"/>
                </c:ext>
              </c:extLst>
            </c:dLbl>
            <c:dLbl>
              <c:idx val="23"/>
              <c:layout>
                <c:manualLayout>
                  <c:x val="-0.048194271481942712"/>
                  <c:y val="-0.076246656816354008"/>
                </c:manualLayout>
              </c:layout>
              <c:tx>
                <c:rich>
                  <a:bodyPr vertOverflow="clip"/>
                  <a:lstStyle/>
                  <a:p>
                    <a:fld id="{aa1c8118-2663-4b8e-b54c-513271dfa2ee}" type="CELLRANGE">
                      <a:rPr lang="en-US"/>
                      <a:t>FI</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7-631F-4241-A5A0-0A10863D2FC8}"/>
                </c:ext>
                <c:ext xmlns:c15="http://schemas.microsoft.com/office/drawing/2012/chart" uri="{CE6537A1-D6FC-4f65-9D91-7224C49458BB}">
                  <c15:showDataLabelsRange val="1"/>
                </c:ext>
              </c:extLst>
            </c:dLbl>
            <c:dLbl>
              <c:idx val="24"/>
              <c:tx>
                <c:rich>
                  <a:bodyPr/>
                  <a:lstStyle/>
                  <a:p>
                    <a:fld id="{8c591c22-16aa-4f7c-8035-86bd2d6113fc}" type="CELLRANGE">
                      <a:rPr lang="lv-LV"/>
                      <a:t>SE</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Sheet1!$B$3:$B$27</c:f>
              <c:numCache>
                <c:formatCode>0</c:formatCode>
                <c:ptCount val="25"/>
                <c:pt idx="0">
                  <c:v>71.415662650602414</c:v>
                </c:pt>
                <c:pt idx="1">
                  <c:v>8.1134635227576712</c:v>
                </c:pt>
                <c:pt idx="2">
                  <c:v>25.820426304592328</c:v>
                </c:pt>
                <c:pt idx="3">
                  <c:v>58.526724137931041</c:v>
                </c:pt>
                <c:pt idx="4">
                  <c:v>44.746300353952471</c:v>
                </c:pt>
                <c:pt idx="5">
                  <c:v>23.014388489208631</c:v>
                </c:pt>
                <c:pt idx="6">
                  <c:v>58.143446820396647</c:v>
                </c:pt>
                <c:pt idx="7">
                  <c:v>18.022680940929455</c:v>
                </c:pt>
                <c:pt idx="8">
                  <c:v>36.632244777875847</c:v>
                </c:pt>
                <c:pt idx="9">
                  <c:v>56.338815789473685</c:v>
                </c:pt>
                <c:pt idx="10">
                  <c:v>46.056879989176025</c:v>
                </c:pt>
                <c:pt idx="11">
                  <c:v>27.203282828282827</c:v>
                </c:pt>
                <c:pt idx="12">
                  <c:v>21.028551771585828</c:v>
                </c:pt>
                <c:pt idx="13">
                  <c:v>25.729220222793487</c:v>
                </c:pt>
                <c:pt idx="14">
                  <c:v>67.946200667582957</c:v>
                </c:pt>
                <c:pt idx="15">
                  <c:v>15.697318554461413</c:v>
                </c:pt>
                <c:pt idx="16">
                  <c:v>60.087351502445841</c:v>
                </c:pt>
                <c:pt idx="17">
                  <c:v>55.430885692657078</c:v>
                </c:pt>
                <c:pt idx="18">
                  <c:v>28.402945056815764</c:v>
                </c:pt>
                <c:pt idx="19">
                  <c:v>33.109993944770679</c:v>
                </c:pt>
                <c:pt idx="20">
                  <c:v>8.6676765927977826</c:v>
                </c:pt>
                <c:pt idx="21">
                  <c:v>36.601900196867241</c:v>
                </c:pt>
                <c:pt idx="22">
                  <c:v>19.718435636802983</c:v>
                </c:pt>
                <c:pt idx="23">
                  <c:v>51.958797703478552</c:v>
                </c:pt>
                <c:pt idx="24">
                  <c:v>78.742831858407072</c:v>
                </c:pt>
              </c:numCache>
            </c:numRef>
          </c:xVal>
          <c:yVal>
            <c:numRef>
              <c:f>Sheet1!$C$3:$C$27</c:f>
              <c:numCache>
                <c:formatCode>0.0</c:formatCode>
                <c:ptCount val="25"/>
                <c:pt idx="0">
                  <c:v>0.71344285391304807</c:v>
                </c:pt>
                <c:pt idx="1">
                  <c:v>0.82449628787230878</c:v>
                </c:pt>
                <c:pt idx="2">
                  <c:v>0.53810065153050368</c:v>
                </c:pt>
                <c:pt idx="3">
                  <c:v>0.79076856044438637</c:v>
                </c:pt>
                <c:pt idx="4">
                  <c:v>0.756310246502688</c:v>
                </c:pt>
                <c:pt idx="5">
                  <c:v>0.82527887280211321</c:v>
                </c:pt>
                <c:pt idx="6">
                  <c:v>0.59453090275682263</c:v>
                </c:pt>
                <c:pt idx="7">
                  <c:v>0.9390932433800051</c:v>
                </c:pt>
                <c:pt idx="8">
                  <c:v>0.74948270124231375</c:v>
                </c:pt>
                <c:pt idx="9">
                  <c:v>0.75915905478043755</c:v>
                </c:pt>
                <c:pt idx="10">
                  <c:v>0.71958607966463628</c:v>
                </c:pt>
                <c:pt idx="11">
                  <c:v>0.70464751822194371</c:v>
                </c:pt>
                <c:pt idx="12">
                  <c:v>0.63568423047654288</c:v>
                </c:pt>
                <c:pt idx="13" formatCode="0.00">
                  <c:v>0.56721428503124949</c:v>
                </c:pt>
                <c:pt idx="14">
                  <c:v>0.73713448897054434</c:v>
                </c:pt>
                <c:pt idx="15" formatCode="0.00">
                  <c:v>0.61576135946188193</c:v>
                </c:pt>
                <c:pt idx="16" formatCode="0.000">
                  <c:v>0.58493774891464256</c:v>
                </c:pt>
                <c:pt idx="17" formatCode="0.000">
                  <c:v>0.670976371882921</c:v>
                </c:pt>
                <c:pt idx="18">
                  <c:v>0.38622368070230895</c:v>
                </c:pt>
                <c:pt idx="19">
                  <c:v>0.52307605515414879</c:v>
                </c:pt>
                <c:pt idx="20">
                  <c:v>0.90190140639880623</c:v>
                </c:pt>
                <c:pt idx="21">
                  <c:v>0.67738774577660144</c:v>
                </c:pt>
                <c:pt idx="22">
                  <c:v>0.76281913418760161</c:v>
                </c:pt>
                <c:pt idx="23">
                  <c:v>0.80712899797642368</c:v>
                </c:pt>
                <c:pt idx="24">
                  <c:v>0.61978081752321634</c:v>
                </c:pt>
              </c:numCache>
            </c:numRef>
          </c:yVal>
          <c:smooth val="0"/>
          <c:extLst>
            <c:ext xmlns:c="http://schemas.openxmlformats.org/drawingml/2006/chart" xmlns:c16="http://schemas.microsoft.com/office/drawing/2014/chart" uri="{C3380CC4-5D6E-409C-BE32-E72D297353CC}">
              <c16:uniqueId val="{0000001C-631F-4241-A5A0-0A10863D2FC8}"/>
            </c:ext>
            <c:ext xmlns:c15="http://schemas.microsoft.com/office/drawing/2012/chart" uri="{02D57815-91ED-43cb-92C2-25804820EDAC}">
              <c15:datalabelsRange>
                <c15:f>Sheet1!$A$3:$A$27</c15:f>
                <c15:dlblRangeCache>
                  <c:ptCount val="25"/>
                  <c:pt idx="0">
                    <c:v>BE</c:v>
                  </c:pt>
                  <c:pt idx="1">
                    <c:v>BG</c:v>
                  </c:pt>
                  <c:pt idx="2">
                    <c:v>CZ</c:v>
                  </c:pt>
                  <c:pt idx="3">
                    <c:v>DK</c:v>
                  </c:pt>
                  <c:pt idx="4">
                    <c:v>DE</c:v>
                  </c:pt>
                  <c:pt idx="5">
                    <c:v>EE</c:v>
                  </c:pt>
                  <c:pt idx="6">
                    <c:v>IE</c:v>
                  </c:pt>
                  <c:pt idx="7">
                    <c:v>EL</c:v>
                  </c:pt>
                  <c:pt idx="8">
                    <c:v>ES</c:v>
                  </c:pt>
                  <c:pt idx="9">
                    <c:v>FR</c:v>
                  </c:pt>
                  <c:pt idx="10">
                    <c:v>IT</c:v>
                  </c:pt>
                  <c:pt idx="11">
                    <c:v>CY</c:v>
                  </c:pt>
                  <c:pt idx="12">
                    <c:v>LV</c:v>
                  </c:pt>
                  <c:pt idx="13">
                    <c:v>LT</c:v>
                  </c:pt>
                  <c:pt idx="14">
                    <c:v>LU</c:v>
                  </c:pt>
                  <c:pt idx="15">
                    <c:v>HU</c:v>
                  </c:pt>
                  <c:pt idx="16">
                    <c:v>NL</c:v>
                  </c:pt>
                  <c:pt idx="17">
                    <c:v>AT</c:v>
                  </c:pt>
                  <c:pt idx="18">
                    <c:v>PL</c:v>
                  </c:pt>
                  <c:pt idx="19">
                    <c:v>PT</c:v>
                  </c:pt>
                  <c:pt idx="20">
                    <c:v>RO</c:v>
                  </c:pt>
                  <c:pt idx="21">
                    <c:v>SI</c:v>
                  </c:pt>
                  <c:pt idx="22">
                    <c:v>SK</c:v>
                  </c:pt>
                  <c:pt idx="23">
                    <c:v>FI</c:v>
                  </c:pt>
                  <c:pt idx="24">
                    <c:v>SE</c:v>
                  </c:pt>
                </c15:dlblRangeCache>
              </c15:datalabelsRange>
            </c:ext>
          </c:extLst>
        </c:ser>
        <c:dLbls>
          <c:showLegendKey val="0"/>
          <c:showVal val="0"/>
          <c:showCatName val="0"/>
          <c:showSerName val="0"/>
          <c:showPercent val="0"/>
          <c:showBubbleSize val="0"/>
        </c:dLbls>
        <c:axId val="656422904"/>
        <c:axId val="656417808"/>
      </c:scatterChart>
      <c:valAx>
        <c:axId val="656422904"/>
        <c:scaling>
          <c:orientation val="minMax"/>
          <c:max val="75"/>
          <c:min val="0"/>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56417808"/>
        <c:crosses val="autoZero"/>
        <c:crossBetween val="midCat"/>
        <c:majorUnit val="15"/>
      </c:valAx>
      <c:valAx>
        <c:axId val="656417808"/>
        <c:scaling>
          <c:orientation val="minMax"/>
          <c:min val="0.2"/>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56422904"/>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30307899251493849"/>
          <c:y val="0.038493219843582546"/>
          <c:w val="0.94252315784843266"/>
          <c:h val="0.91449828613942941"/>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Sheet1!$A$2:$A$7</c:f>
              <c:strCache>
                <c:ptCount val="6"/>
                <c:pt idx="0">
                  <c:v>Transports un uzglabāšana</c:v>
                </c:pt>
                <c:pt idx="1">
                  <c:v>Metālapstrāde</c:v>
                </c:pt>
                <c:pt idx="2">
                  <c:v>Pārtikas rūpniecība</c:v>
                </c:pt>
                <c:pt idx="3">
                  <c:v>Būvniecība</c:v>
                </c:pt>
                <c:pt idx="4">
                  <c:v>Mašīnu un iekārtu ražošana</c:v>
                </c:pt>
                <c:pt idx="5">
                  <c:v>Izmitināšana un ēdināšanas pak.</c:v>
                </c:pt>
              </c:strCache>
            </c:strRef>
          </c:cat>
          <c:val>
            <c:numRef>
              <c:f>Sheet1!$B$2:$B$7</c:f>
              <c:numCache>
                <c:formatCode>0</c:formatCode>
                <c:ptCount val="6"/>
                <c:pt idx="0">
                  <c:v>8.7</c:v>
                </c:pt>
                <c:pt idx="1">
                  <c:v>9.1</c:v>
                </c:pt>
                <c:pt idx="2">
                  <c:v>9.3</c:v>
                </c:pt>
                <c:pt idx="3">
                  <c:v>9.5</c:v>
                </c:pt>
                <c:pt idx="4">
                  <c:v>9.5</c:v>
                </c:pt>
                <c:pt idx="5">
                  <c:v>10.9</c:v>
                </c:pt>
              </c:numCache>
            </c:numRef>
          </c:val>
          <c:extLst>
            <c:ext xmlns:c="http://schemas.openxmlformats.org/drawingml/2006/chart" xmlns:c16="http://schemas.microsoft.com/office/drawing/2014/chart" uri="{C3380CC4-5D6E-409C-BE32-E72D297353CC}">
              <c16:uniqueId val="{00000000-67D5-4334-A96C-D0679DB3BE8C}"/>
            </c:ext>
          </c:extLst>
        </c:ser>
        <c:dLbls>
          <c:showLegendKey val="0"/>
          <c:showVal val="0"/>
          <c:showCatName val="0"/>
          <c:showSerName val="0"/>
          <c:showPercent val="0"/>
          <c:showBubbleSize val="0"/>
        </c:dLbls>
        <c:gapWidth val="40"/>
        <c:axId val="629812624"/>
        <c:axId val="629814584"/>
      </c:barChart>
      <c:catAx>
        <c:axId val="629812624"/>
        <c:scaling>
          <c:orientation val="minMax"/>
        </c:scaling>
        <c:delete val="1"/>
        <c:axPos val="l"/>
        <c:numFmt formatCode="General" sourceLinked="1"/>
        <c:majorTickMark val="out"/>
        <c:minorTickMark val="none"/>
        <c:tickLblPos val="nextTo"/>
        <c:crossAx val="629814584"/>
        <c:crosses val="autoZero"/>
        <c:auto val="1"/>
        <c:lblAlgn val="ctr"/>
        <c:lblOffset val="100"/>
        <c:noMultiLvlLbl val="0"/>
      </c:catAx>
      <c:valAx>
        <c:axId val="629814584"/>
        <c:scaling>
          <c:orientation val="minMax"/>
          <c:max val="12"/>
          <c:min val="0"/>
        </c:scaling>
        <c:delete val="1"/>
        <c:axPos val="b"/>
        <c:numFmt formatCode="0" sourceLinked="1"/>
        <c:majorTickMark val="out"/>
        <c:minorTickMark val="none"/>
        <c:tickLblPos val="nextTo"/>
        <c:crossAx val="629812624"/>
        <c:crosses val="autoZero"/>
        <c:crossBetween val="between"/>
        <c:majorUnit val="4"/>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lv-LV"/>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5939056398438"/>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A23E-4C76-B826-FEB3A74D2D00}"/>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A23E-4C76-B826-FEB3A74D2D00}"/>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Sheet1!$B$2:$M$2</c:f>
              <c:numCache>
                <c:formatCode>0</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Sheet1!$B$3:$M$3</c:f>
              <c:numCache>
                <c:formatCode>0</c:formatCode>
                <c:ptCount val="12"/>
                <c:pt idx="0">
                  <c:v>20.258862445414845</c:v>
                </c:pt>
                <c:pt idx="1">
                  <c:v>22.454523931623932</c:v>
                </c:pt>
                <c:pt idx="2">
                  <c:v>25.694683695652177</c:v>
                </c:pt>
                <c:pt idx="3">
                  <c:v>29.43860996309963</c:v>
                </c:pt>
                <c:pt idx="4">
                  <c:v>34.470737398373991</c:v>
                </c:pt>
                <c:pt idx="5">
                  <c:v>39.752663953488366</c:v>
                </c:pt>
                <c:pt idx="6">
                  <c:v>39.4796704379562</c:v>
                </c:pt>
                <c:pt idx="7">
                  <c:v>39.876534507042258</c:v>
                </c:pt>
                <c:pt idx="8">
                  <c:v>43.920918309859154</c:v>
                </c:pt>
                <c:pt idx="9">
                  <c:v>50.705108429118773</c:v>
                </c:pt>
                <c:pt idx="10">
                  <c:v>50.62842743682311</c:v>
                </c:pt>
                <c:pt idx="11">
                  <c:v>59.767953816793892</c:v>
                </c:pt>
              </c:numCache>
            </c:numRef>
          </c:val>
          <c:extLst>
            <c:ext xmlns:c="http://schemas.openxmlformats.org/drawingml/2006/chart" xmlns:c16="http://schemas.microsoft.com/office/drawing/2014/chart" uri="{C3380CC4-5D6E-409C-BE32-E72D297353CC}">
              <c16:uniqueId val="{00000004-A23E-4C76-B826-FEB3A74D2D00}"/>
            </c:ext>
          </c:extLst>
        </c:ser>
        <c:dLbls>
          <c:showLegendKey val="0"/>
          <c:showVal val="0"/>
          <c:showCatName val="0"/>
          <c:showSerName val="0"/>
          <c:showPercent val="0"/>
          <c:showBubbleSize val="0"/>
        </c:dLbls>
        <c:gapWidth val="20"/>
        <c:axId val="629831440"/>
        <c:axId val="629832224"/>
      </c:barChart>
      <c:catAx>
        <c:axId val="629831440"/>
        <c:scaling>
          <c:orientation val="minMax"/>
        </c:scaling>
        <c:delete val="0"/>
        <c:axPos val="b"/>
        <c:numFmt formatCode="0" sourceLinked="1"/>
        <c:majorTickMark val="out"/>
        <c:minorTickMark val="none"/>
        <c:tickLblPos val="low"/>
        <c:txPr>
          <a:bodyPr rot="-5400000" vert="horz"/>
          <a:lstStyle/>
          <a:p>
            <a:pPr>
              <a:defRPr/>
            </a:pPr>
            <a:endParaRPr lang="lv-LV"/>
          </a:p>
        </c:txPr>
        <c:crossAx val="629832224"/>
        <c:crosses val="autoZero"/>
        <c:auto val="1"/>
        <c:lblAlgn val="ctr"/>
        <c:lblOffset val="100"/>
        <c:noMultiLvlLbl val="0"/>
      </c:catAx>
      <c:valAx>
        <c:axId val="629832224"/>
        <c:scaling>
          <c:orientation val="minMax"/>
        </c:scaling>
        <c:delete val="0"/>
        <c:axPos val="l"/>
        <c:numFmt formatCode="0" sourceLinked="0"/>
        <c:majorTickMark val="out"/>
        <c:minorTickMark val="none"/>
        <c:tickLblPos val="nextTo"/>
        <c:crossAx val="629831440"/>
        <c:crosses val="autoZero"/>
        <c:crossBetween val="between"/>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30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59412201441466"/>
          <c:y val="0.098301682877875565"/>
          <c:w val="0.77357359176256812"/>
          <c:h val="0.70149207614870923"/>
        </c:manualLayout>
      </c:layout>
      <c:barChart>
        <c:barDir val="col"/>
        <c:grouping val="clustered"/>
        <c:varyColors val="0"/>
        <c:ser>
          <c:idx val="4"/>
          <c:order val="0"/>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0F7D-460D-9903-DBF1D254D888}"/>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0F7D-460D-9903-DBF1D254D888}"/>
              </c:ext>
            </c:extLst>
          </c:dPt>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Sheet1!$A$3:$A$5</c:f>
              <c:strCache>
                <c:ptCount val="3"/>
                <c:pt idx="0">
                  <c:v>2005</c:v>
                </c:pt>
                <c:pt idx="1">
                  <c:v>2010</c:v>
                </c:pt>
                <c:pt idx="2">
                  <c:v>2016</c:v>
                </c:pt>
              </c:strCache>
            </c:strRef>
          </c:cat>
          <c:val>
            <c:numRef>
              <c:f>Sheet1!$B$3:$B$5</c:f>
              <c:numCache>
                <c:formatCode>General</c:formatCode>
                <c:ptCount val="3"/>
                <c:pt idx="0" formatCode="0.0">
                  <c:v>12.3</c:v>
                </c:pt>
                <c:pt idx="1">
                  <c:v>10.5</c:v>
                </c:pt>
                <c:pt idx="2">
                  <c:v>8.7</c:v>
                </c:pt>
              </c:numCache>
            </c:numRef>
          </c:val>
          <c:extLst>
            <c:ext xmlns:c="http://schemas.openxmlformats.org/drawingml/2006/chart" xmlns:c16="http://schemas.microsoft.com/office/drawing/2014/chart" uri="{C3380CC4-5D6E-409C-BE32-E72D297353CC}">
              <c16:uniqueId val="{00000004-0F7D-460D-9903-DBF1D254D888}"/>
            </c:ext>
          </c:extLst>
        </c:ser>
        <c:dLbls>
          <c:showLegendKey val="0"/>
          <c:showVal val="0"/>
          <c:showCatName val="0"/>
          <c:showSerName val="0"/>
          <c:showPercent val="0"/>
          <c:showBubbleSize val="0"/>
        </c:dLbls>
        <c:gapWidth val="20"/>
        <c:axId val="656415064"/>
        <c:axId val="656424080"/>
      </c:barChart>
      <c:catAx>
        <c:axId val="656415064"/>
        <c:scaling>
          <c:orientation val="minMax"/>
        </c:scaling>
        <c:delete val="0"/>
        <c:axPos val="b"/>
        <c:numFmt formatCode="General" sourceLinked="0"/>
        <c:majorTickMark val="out"/>
        <c:minorTickMark val="none"/>
        <c:tickLblPos val="nextTo"/>
        <c:crossAx val="656424080"/>
        <c:crosses val="autoZero"/>
        <c:auto val="1"/>
        <c:lblAlgn val="ctr"/>
        <c:lblOffset val="100"/>
        <c:noMultiLvlLbl val="0"/>
      </c:catAx>
      <c:valAx>
        <c:axId val="656424080"/>
        <c:scaling>
          <c:orientation val="minMax"/>
          <c:min val="0"/>
        </c:scaling>
        <c:delete val="0"/>
        <c:axPos val="l"/>
        <c:numFmt formatCode="0.0" sourceLinked="0"/>
        <c:majorTickMark val="out"/>
        <c:minorTickMark val="none"/>
        <c:tickLblPos val="nextTo"/>
        <c:crossAx val="656415064"/>
        <c:crosses val="autoZero"/>
        <c:crossBetween val="between"/>
        <c:minorUnit val="0.2"/>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mbria Math" panose="02040503050406030204" pitchFamily="18" charset="0"/>
          <a:ea typeface="Cambria Math" panose="02040503050406030204" pitchFamily="18" charset="0"/>
          <a:cs typeface="Arial"/>
        </a:defRPr>
      </a:pPr>
      <a:endParaRPr lang="lv-LV"/>
    </a:p>
  </c:txPr>
  <c:externalData r:id="rId1">
    <c:autoUpdate val="0"/>
  </c:externalData>
</c:chartSpace>
</file>

<file path=word/charts/chart30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73546128124922"/>
          <c:y val="0.048706240487062395"/>
          <c:w val="0.84631315184653555"/>
          <c:h val="0.73779794474843186"/>
        </c:manualLayout>
      </c:layout>
      <c:lineChart>
        <c:grouping val="standard"/>
        <c:varyColors val="0"/>
        <c:ser>
          <c:idx val="0"/>
          <c:order val="0"/>
          <c:tx>
            <c:strRef>
              <c:f>Sheet1!$A$2</c:f>
              <c:strCache>
                <c:ptCount val="1"/>
                <c:pt idx="0">
                  <c:v>Nodarbinātie</c:v>
                </c:pt>
              </c:strCache>
            </c:strRef>
          </c:tx>
          <c:spPr>
            <a:ln w="19050">
              <a:solidFill>
                <a:srgbClr val="0070C0"/>
              </a:solidFill>
              <a:prstDash val="dash"/>
            </a:ln>
          </c:spPr>
          <c:marker>
            <c:symbol val="none"/>
          </c:marker>
          <c:cat>
            <c:numRef>
              <c:f>Sheet1!$B$1:$L$1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Sheet1!$B$2:$L$2</c:f>
              <c:numCache>
                <c:formatCode>0.0</c:formatCode>
                <c:ptCount val="11"/>
                <c:pt idx="0">
                  <c:v>108.01509988830607</c:v>
                </c:pt>
                <c:pt idx="1">
                  <c:v>111.60061643738777</c:v>
                </c:pt>
                <c:pt idx="2">
                  <c:v>110.012866009699</c:v>
                </c:pt>
                <c:pt idx="3">
                  <c:v>95.643936716198453</c:v>
                </c:pt>
                <c:pt idx="4">
                  <c:v>94.377129607374641</c:v>
                </c:pt>
                <c:pt idx="5">
                  <c:v>97.274102560477331</c:v>
                </c:pt>
                <c:pt idx="6">
                  <c:v>102.73862206449972</c:v>
                </c:pt>
                <c:pt idx="7">
                  <c:v>106.38917558568622</c:v>
                </c:pt>
                <c:pt idx="8">
                  <c:v>107.2601054730026</c:v>
                </c:pt>
                <c:pt idx="9">
                  <c:v>108.44066790142656</c:v>
                </c:pt>
                <c:pt idx="10">
                  <c:v>108.55801722065912</c:v>
                </c:pt>
              </c:numCache>
            </c:numRef>
          </c:val>
          <c:smooth val="0"/>
          <c:extLst>
            <c:ext xmlns:c="http://schemas.openxmlformats.org/drawingml/2006/chart" xmlns:c16="http://schemas.microsoft.com/office/drawing/2014/chart" uri="{C3380CC4-5D6E-409C-BE32-E72D297353CC}">
              <c16:uniqueId val="{00000000-233E-47D6-B5C6-6CC0A1EB2303}"/>
            </c:ext>
          </c:extLst>
        </c:ser>
        <c:ser>
          <c:idx val="1"/>
          <c:order val="1"/>
          <c:tx>
            <c:strRef>
              <c:f>Sheet1!$A$3</c:f>
              <c:strCache>
                <c:ptCount val="1"/>
                <c:pt idx="0">
                  <c:v>Ražošanas apjomi</c:v>
                </c:pt>
              </c:strCache>
            </c:strRef>
          </c:tx>
          <c:marker>
            <c:symbol val="none"/>
          </c:marker>
          <c:cat>
            <c:numRef>
              <c:f>Sheet1!$B$1:$L$1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Sheet1!$B$3:$L$3</c:f>
              <c:numCache>
                <c:formatCode>0.0</c:formatCode>
                <c:ptCount val="11"/>
                <c:pt idx="0">
                  <c:v>106.89497484883898</c:v>
                </c:pt>
                <c:pt idx="1">
                  <c:v>109.57268431482139</c:v>
                </c:pt>
                <c:pt idx="2">
                  <c:v>114.70961841369848</c:v>
                </c:pt>
                <c:pt idx="3">
                  <c:v>88.999542706163282</c:v>
                </c:pt>
                <c:pt idx="4">
                  <c:v>84.594278745998665</c:v>
                </c:pt>
                <c:pt idx="5">
                  <c:v>99.700218484833073</c:v>
                </c:pt>
                <c:pt idx="6">
                  <c:v>105.14709618413698</c:v>
                </c:pt>
                <c:pt idx="7">
                  <c:v>105.35541893196483</c:v>
                </c:pt>
                <c:pt idx="8">
                  <c:v>106.69681418627101</c:v>
                </c:pt>
                <c:pt idx="9">
                  <c:v>98.475687211015682</c:v>
                </c:pt>
                <c:pt idx="10" formatCode="General">
                  <c:v>98.9583862608607</c:v>
                </c:pt>
              </c:numCache>
            </c:numRef>
          </c:val>
          <c:smooth val="0"/>
          <c:extLst>
            <c:ext xmlns:c="http://schemas.openxmlformats.org/drawingml/2006/chart" xmlns:c16="http://schemas.microsoft.com/office/drawing/2014/chart" uri="{C3380CC4-5D6E-409C-BE32-E72D297353CC}">
              <c16:uniqueId val="{00000001-233E-47D6-B5C6-6CC0A1EB2303}"/>
            </c:ext>
          </c:extLst>
        </c:ser>
        <c:dLbls>
          <c:showLegendKey val="0"/>
          <c:showVal val="0"/>
          <c:showCatName val="0"/>
          <c:showSerName val="0"/>
          <c:showPercent val="0"/>
          <c:showBubbleSize val="0"/>
        </c:dLbls>
        <c:smooth val="0"/>
        <c:axId val="656426432"/>
        <c:axId val="656430744"/>
      </c:lineChart>
      <c:catAx>
        <c:axId val="656426432"/>
        <c:scaling>
          <c:orientation val="minMax"/>
        </c:scaling>
        <c:delete val="0"/>
        <c:axPos val="b"/>
        <c:numFmt formatCode="General" sourceLinked="1"/>
        <c:majorTickMark val="cross"/>
        <c:minorTickMark val="none"/>
        <c:tickLblPos val="nextTo"/>
        <c:spPr>
          <a:ln w="6350">
            <a:solidFill>
              <a:srgbClr val="000000"/>
            </a:solidFill>
          </a:ln>
        </c:spPr>
        <c:txPr>
          <a:bodyPr rot="-5400000" vert="horz"/>
          <a:lstStyle/>
          <a:p>
            <a:pPr>
              <a:defRPr sz="700" b="0" i="0" u="none" strike="noStrike" baseline="0">
                <a:solidFill>
                  <a:srgbClr val="000000"/>
                </a:solidFill>
                <a:latin typeface="Arial Narrow" pitchFamily="34" charset="0"/>
                <a:ea typeface="Times New Roman"/>
                <a:cs typeface="Times New Roman" pitchFamily="18" charset="0"/>
              </a:defRPr>
            </a:pPr>
            <a:endParaRPr lang="lv-LV"/>
          </a:p>
        </c:txPr>
        <c:crossAx val="656430744"/>
        <c:crosses val="autoZero"/>
        <c:auto val="1"/>
        <c:lblAlgn val="ctr"/>
        <c:lblOffset val="0"/>
        <c:noMultiLvlLbl val="0"/>
      </c:catAx>
      <c:valAx>
        <c:axId val="656430744"/>
        <c:scaling>
          <c:orientation val="minMax"/>
          <c:max val="150"/>
          <c:min val="70"/>
        </c:scaling>
        <c:delete val="0"/>
        <c:axPos val="l"/>
        <c:numFmt formatCode="0" sourceLinked="0"/>
        <c:majorTickMark val="cross"/>
        <c:minorTickMark val="none"/>
        <c:tickLblPos val="nextTo"/>
        <c:spPr>
          <a:ln w="6350">
            <a:solidFill>
              <a:sysClr val="windowText" lastClr="000000"/>
            </a:solidFill>
          </a:ln>
        </c:spPr>
        <c:txPr>
          <a:bodyPr rot="0" vert="horz"/>
          <a:lstStyle/>
          <a:p>
            <a:pPr>
              <a:defRPr sz="700" b="0" i="0" u="none" strike="noStrike" baseline="0">
                <a:solidFill>
                  <a:srgbClr val="000000"/>
                </a:solidFill>
                <a:latin typeface="Arial Narrow" pitchFamily="34" charset="0"/>
                <a:ea typeface="Times New Roman"/>
                <a:cs typeface="Times New Roman"/>
              </a:defRPr>
            </a:pPr>
            <a:endParaRPr lang="lv-LV"/>
          </a:p>
        </c:txPr>
        <c:crossAx val="656426432"/>
        <c:crosses val="autoZero"/>
        <c:crossBetween val="between"/>
        <c:majorUnit val="20"/>
      </c:valAx>
      <c:spPr>
        <a:solidFill>
          <a:sysClr val="window" lastClr="FFFFFF"/>
        </a:solidFill>
        <a:ln w="6350">
          <a:noFill/>
        </a:ln>
      </c:spPr>
    </c:plotArea>
    <c:legend>
      <c:legendPos val="t"/>
      <c:layout>
        <c:manualLayout>
          <c:xMode val="edge"/>
          <c:yMode val="edge"/>
          <c:x val="0.33255931134540717"/>
          <c:y val="0.031112593976600381"/>
          <c:w val="0.65805884790716951"/>
          <c:h val="0.19964223582144541"/>
        </c:manualLayout>
      </c:layout>
      <c:overlay val="0"/>
      <c:txPr>
        <a:bodyPr/>
        <a:lstStyle/>
        <a:p>
          <a:pPr>
            <a:defRPr sz="700" b="0">
              <a:latin typeface="Arial Narrow" pitchFamily="34" charset="0"/>
            </a:defRPr>
          </a:pPr>
          <a:endParaRPr lang="lv-LV"/>
        </a:p>
      </c:txPr>
    </c:legend>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30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7354822834645707"/>
          <c:y val="0.054187037037040774"/>
          <c:w val="0.8789631193571017"/>
          <c:h val="0.62435537832449051"/>
        </c:manualLayout>
      </c:layout>
      <c:lineChart>
        <c:grouping val="standard"/>
        <c:varyColors val="0"/>
        <c:ser>
          <c:idx val="9"/>
          <c:order val="0"/>
          <c:tx>
            <c:strRef>
              <c:f>Sheet1!$A$3</c:f>
              <c:strCache>
                <c:ptCount val="1"/>
                <c:pt idx="0">
                  <c:v>Eksports, kopā</c:v>
                </c:pt>
              </c:strCache>
            </c:strRef>
          </c:tx>
          <c:spPr>
            <a:ln w="25400">
              <a:solidFill>
                <a:schemeClr val="accent5">
                  <a:lumMod val="75000"/>
                </a:schemeClr>
              </a:solidFill>
            </a:ln>
            <a:effectLst/>
          </c:spPr>
          <c:marker>
            <c:symbol val="none"/>
          </c:marker>
          <c:cat>
            <c:numRef>
              <c:f>Sheet1!$B$2:$M$2</c:f>
              <c:numCache>
                <c:formatCode>0</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Sheet1!$B$3:$M$3</c:f>
              <c:numCache>
                <c:formatCode>#,##0</c:formatCode>
                <c:ptCount val="12"/>
                <c:pt idx="0" formatCode="General">
                  <c:v>986</c:v>
                </c:pt>
                <c:pt idx="1">
                  <c:v>1133</c:v>
                </c:pt>
                <c:pt idx="2">
                  <c:v>1374</c:v>
                </c:pt>
                <c:pt idx="3">
                  <c:v>1579</c:v>
                </c:pt>
                <c:pt idx="4">
                  <c:v>1406</c:v>
                </c:pt>
                <c:pt idx="5">
                  <c:v>1381</c:v>
                </c:pt>
                <c:pt idx="6">
                  <c:v>1618</c:v>
                </c:pt>
                <c:pt idx="7">
                  <c:v>1789</c:v>
                </c:pt>
                <c:pt idx="8">
                  <c:v>1682</c:v>
                </c:pt>
                <c:pt idx="9">
                  <c:v>1864</c:v>
                </c:pt>
                <c:pt idx="10">
                  <c:v>1932</c:v>
                </c:pt>
                <c:pt idx="11">
                  <c:v>1908</c:v>
                </c:pt>
              </c:numCache>
            </c:numRef>
          </c:val>
          <c:smooth val="0"/>
          <c:extLst>
            <c:ext xmlns:c="http://schemas.openxmlformats.org/drawingml/2006/chart" xmlns:c16="http://schemas.microsoft.com/office/drawing/2014/chart" uri="{C3380CC4-5D6E-409C-BE32-E72D297353CC}">
              <c16:uniqueId val="{00000000-1EE8-4581-AB42-FE3DF146FD1B}"/>
            </c:ext>
          </c:extLst>
        </c:ser>
        <c:dLbls>
          <c:showLegendKey val="0"/>
          <c:showVal val="0"/>
          <c:showCatName val="0"/>
          <c:showSerName val="0"/>
          <c:showPercent val="0"/>
          <c:showBubbleSize val="0"/>
        </c:dLbls>
        <c:smooth val="0"/>
        <c:axId val="656431528"/>
        <c:axId val="656433096"/>
      </c:lineChart>
      <c:catAx>
        <c:axId val="656431528"/>
        <c:scaling>
          <c:orientation val="minMax"/>
        </c:scaling>
        <c:delete val="0"/>
        <c:axPos val="b"/>
        <c:numFmt formatCode="0" sourceLinked="1"/>
        <c:majorTickMark val="out"/>
        <c:minorTickMark val="none"/>
        <c:tickLblPos val="low"/>
        <c:spPr>
          <a:noFill/>
          <a:ln w="3175">
            <a:solidFill>
              <a:sysClr val="window" lastClr="FFFFFF">
                <a:lumMod val="50000"/>
              </a:sysClr>
            </a:solidFill>
            <a:round/>
          </a:ln>
          <a:effectLst/>
        </c:spPr>
        <c:txPr>
          <a:bodyPr rot="-5400000" vert="horz"/>
          <a:lstStyle/>
          <a:p>
            <a:pPr>
              <a:defRPr sz="700"/>
            </a:pPr>
            <a:endParaRPr lang="lv-LV"/>
          </a:p>
        </c:txPr>
        <c:crossAx val="656433096"/>
        <c:crosses val="autoZero"/>
        <c:lblAlgn val="ctr"/>
        <c:lblOffset val="100"/>
        <c:noMultiLvlLbl val="0"/>
      </c:catAx>
      <c:valAx>
        <c:axId val="656433096"/>
        <c:scaling>
          <c:orientation val="minMax"/>
          <c:max val="2000"/>
          <c:min val="800"/>
        </c:scaling>
        <c:delete val="0"/>
        <c:axPos val="l"/>
        <c:numFmt formatCode="0" sourceLinked="0"/>
        <c:majorTickMark val="out"/>
        <c:minorTickMark val="none"/>
        <c:tickLblPos val="nextTo"/>
        <c:spPr>
          <a:noFill/>
          <a:ln w="3175">
            <a:solidFill>
              <a:sysClr val="window" lastClr="FFFFFF">
                <a:lumMod val="50000"/>
              </a:sysClr>
            </a:solidFill>
            <a:round/>
          </a:ln>
          <a:effectLst/>
        </c:spPr>
        <c:txPr>
          <a:bodyPr rot="0"/>
          <a:lstStyle/>
          <a:p>
            <a:pPr>
              <a:defRPr/>
            </a:pPr>
            <a:endParaRPr lang="lv-LV"/>
          </a:p>
        </c:txPr>
        <c:crossAx val="656431528"/>
        <c:crosses val="autoZero"/>
        <c:crossBetween val="between"/>
        <c:majorUnit val="300"/>
      </c:valAx>
      <c:spPr>
        <a:noFill/>
        <a:ln w="24631">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Arial Narrow" panose="020B0606020202030204" pitchFamily="34" charset="0"/>
          <a:ea typeface="Arial"/>
          <a:cs typeface="Arial"/>
        </a:defRPr>
      </a:pPr>
      <a:endParaRPr lang="lv-LV"/>
    </a:p>
  </c:txPr>
  <c:externalData r:id="rId1">
    <c:autoUpdate val="0"/>
  </c:externalData>
</c:chartSpace>
</file>

<file path=word/charts/chart30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5939056398438"/>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A5B6-4AB0-BDC6-4158505F3B94}"/>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A5B6-4AB0-BDC6-4158505F3B94}"/>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Sheet1!$B$2:$M$2</c:f>
              <c:numCache>
                <c:formatCode>0</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formatCode="General">
                  <c:v>2016</c:v>
                </c:pt>
              </c:numCache>
            </c:numRef>
          </c:cat>
          <c:val>
            <c:numRef>
              <c:f>Sheet1!$B$3:$M$3</c:f>
              <c:numCache>
                <c:formatCode>0</c:formatCode>
                <c:ptCount val="12"/>
                <c:pt idx="0">
                  <c:v>13.420443718524568</c:v>
                </c:pt>
                <c:pt idx="1">
                  <c:v>14.678067107138231</c:v>
                </c:pt>
                <c:pt idx="2">
                  <c:v>16.856827383143173</c:v>
                </c:pt>
                <c:pt idx="3">
                  <c:v>19.341009309162175</c:v>
                </c:pt>
                <c:pt idx="4">
                  <c:v>18.8169164882227</c:v>
                </c:pt>
                <c:pt idx="5">
                  <c:v>18.04992811397203</c:v>
                </c:pt>
                <c:pt idx="6">
                  <c:v>20.97757033579671</c:v>
                </c:pt>
                <c:pt idx="7">
                  <c:v>25.347123831113631</c:v>
                </c:pt>
                <c:pt idx="8">
                  <c:v>23.573931324456904</c:v>
                </c:pt>
                <c:pt idx="9">
                  <c:v>25.950160100236669</c:v>
                </c:pt>
                <c:pt idx="10">
                  <c:v>26.549402226192115</c:v>
                </c:pt>
                <c:pt idx="11">
                  <c:v>26.85432793807178</c:v>
                </c:pt>
              </c:numCache>
            </c:numRef>
          </c:val>
          <c:extLst>
            <c:ext xmlns:c="http://schemas.openxmlformats.org/drawingml/2006/chart" xmlns:c16="http://schemas.microsoft.com/office/drawing/2014/chart" uri="{C3380CC4-5D6E-409C-BE32-E72D297353CC}">
              <c16:uniqueId val="{00000004-A5B6-4AB0-BDC6-4158505F3B94}"/>
            </c:ext>
          </c:extLst>
        </c:ser>
        <c:dLbls>
          <c:showLegendKey val="0"/>
          <c:showVal val="0"/>
          <c:showCatName val="0"/>
          <c:showSerName val="0"/>
          <c:showPercent val="0"/>
          <c:showBubbleSize val="0"/>
        </c:dLbls>
        <c:gapWidth val="20"/>
        <c:axId val="656426824"/>
        <c:axId val="656433488"/>
      </c:barChart>
      <c:catAx>
        <c:axId val="656426824"/>
        <c:scaling>
          <c:orientation val="minMax"/>
        </c:scaling>
        <c:delete val="0"/>
        <c:axPos val="b"/>
        <c:numFmt formatCode="0" sourceLinked="1"/>
        <c:majorTickMark val="out"/>
        <c:minorTickMark val="none"/>
        <c:tickLblPos val="low"/>
        <c:txPr>
          <a:bodyPr rot="-5400000" vert="horz"/>
          <a:lstStyle/>
          <a:p>
            <a:pPr>
              <a:defRPr/>
            </a:pPr>
            <a:endParaRPr lang="lv-LV"/>
          </a:p>
        </c:txPr>
        <c:crossAx val="656433488"/>
        <c:crosses val="autoZero"/>
        <c:auto val="1"/>
        <c:lblAlgn val="ctr"/>
        <c:lblOffset val="100"/>
        <c:noMultiLvlLbl val="0"/>
      </c:catAx>
      <c:valAx>
        <c:axId val="656433488"/>
        <c:scaling>
          <c:orientation val="minMax"/>
          <c:max val="30"/>
          <c:min val="0"/>
        </c:scaling>
        <c:delete val="0"/>
        <c:axPos val="l"/>
        <c:numFmt formatCode="0" sourceLinked="0"/>
        <c:majorTickMark val="out"/>
        <c:minorTickMark val="none"/>
        <c:tickLblPos val="nextTo"/>
        <c:crossAx val="656426824"/>
        <c:crosses val="autoZero"/>
        <c:crossBetween val="between"/>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30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572372897835"/>
          <c:y val="0.044057785459744363"/>
          <c:w val="0.9310540474739486"/>
          <c:h val="0.72250176045067538"/>
        </c:manualLayout>
      </c:layout>
      <c:barChart>
        <c:barDir val="col"/>
        <c:grouping val="clustered"/>
        <c:varyColors val="0"/>
        <c:ser>
          <c:idx val="1"/>
          <c:order val="0"/>
          <c:tx>
            <c:strRef>
              <c:f>Sheet1!$B$3</c:f>
              <c:strCache>
                <c:ptCount val="1"/>
              </c:strCache>
            </c:strRef>
          </c:tx>
          <c:spPr>
            <a:solidFill>
              <a:schemeClr val="accent3">
                <a:lumMod val="50000"/>
              </a:schemeClr>
            </a:solidFill>
            <a:ln w="19050"/>
          </c:spPr>
          <c:invertIfNegative val="0"/>
          <c:dPt>
            <c:idx val="8"/>
            <c:invertIfNegative val="0"/>
            <c:bubble3D val="0"/>
            <c:extLst>
              <c:ext xmlns:c="http://schemas.openxmlformats.org/drawingml/2006/chart" xmlns:c16="http://schemas.microsoft.com/office/drawing/2014/chart" uri="{C3380CC4-5D6E-409C-BE32-E72D297353CC}">
                <c16:uniqueId val="{00000000-98B4-4672-9037-F30A1E5C411E}"/>
              </c:ext>
            </c:extLst>
          </c:dPt>
          <c:dPt>
            <c:idx val="9"/>
            <c:invertIfNegative val="0"/>
            <c:bubble3D val="0"/>
            <c:extLst>
              <c:ext xmlns:c="http://schemas.openxmlformats.org/drawingml/2006/chart" xmlns:c16="http://schemas.microsoft.com/office/drawing/2014/chart" uri="{C3380CC4-5D6E-409C-BE32-E72D297353CC}">
                <c16:uniqueId val="{00000001-98B4-4672-9037-F30A1E5C411E}"/>
              </c:ext>
            </c:extLst>
          </c:dPt>
          <c:dPt>
            <c:idx val="12"/>
            <c:invertIfNegative val="0"/>
            <c:bubble3D val="0"/>
            <c:extLst>
              <c:ext xmlns:c="http://schemas.openxmlformats.org/drawingml/2006/chart" xmlns:c16="http://schemas.microsoft.com/office/drawing/2014/chart" uri="{C3380CC4-5D6E-409C-BE32-E72D297353CC}">
                <c16:uniqueId val="{00000002-98B4-4672-9037-F30A1E5C411E}"/>
              </c:ext>
            </c:extLst>
          </c:dPt>
          <c:dPt>
            <c:idx val="14"/>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4-98B4-4672-9037-F30A1E5C411E}"/>
              </c:ext>
            </c:extLst>
          </c:dPt>
          <c:dPt>
            <c:idx val="16"/>
            <c:invertIfNegative val="0"/>
            <c:bubble3D val="0"/>
            <c:spPr>
              <a:ln w="19050"/>
            </c:spPr>
            <c:extLst>
              <c:ext xmlns:c="http://schemas.openxmlformats.org/drawingml/2006/chart" xmlns:c16="http://schemas.microsoft.com/office/drawing/2014/chart" uri="{C3380CC4-5D6E-409C-BE32-E72D297353CC}">
                <c16:uniqueId val="{00000006-98B4-4672-9037-F30A1E5C411E}"/>
              </c:ext>
            </c:extLst>
          </c:dPt>
          <c:dPt>
            <c:idx val="18"/>
            <c:invertIfNegative val="0"/>
            <c:bubble3D val="0"/>
            <c:extLst>
              <c:ext xmlns:c="http://schemas.openxmlformats.org/drawingml/2006/chart" xmlns:c16="http://schemas.microsoft.com/office/drawing/2014/chart" uri="{C3380CC4-5D6E-409C-BE32-E72D297353CC}">
                <c16:uniqueId val="{00000007-98B4-4672-9037-F30A1E5C411E}"/>
              </c:ext>
            </c:extLst>
          </c:dPt>
          <c:dPt>
            <c:idx val="21"/>
            <c:invertIfNegative val="0"/>
            <c:bubble3D val="0"/>
            <c:extLst>
              <c:ext xmlns:c="http://schemas.openxmlformats.org/drawingml/2006/chart" xmlns:c16="http://schemas.microsoft.com/office/drawing/2014/chart" uri="{C3380CC4-5D6E-409C-BE32-E72D297353CC}">
                <c16:uniqueId val="{00000008-98B4-4672-9037-F30A1E5C411E}"/>
              </c:ext>
            </c:extLst>
          </c:dPt>
          <c:dPt>
            <c:idx val="25"/>
            <c:invertIfNegative val="0"/>
            <c:bubble3D val="0"/>
            <c:extLst>
              <c:ext xmlns:c="http://schemas.openxmlformats.org/drawingml/2006/chart" xmlns:c16="http://schemas.microsoft.com/office/drawing/2014/chart" uri="{C3380CC4-5D6E-409C-BE32-E72D297353CC}">
                <c16:uniqueId val="{00000009-98B4-4672-9037-F30A1E5C411E}"/>
              </c:ext>
            </c:extLst>
          </c:dPt>
          <c:dLbls>
            <c:dLbl>
              <c:idx val="0"/>
              <c:layout>
                <c:manualLayout>
                  <c:x val="0"/>
                  <c:y val="0.025244727145263168"/>
                </c:manualLayout>
              </c:layout>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98B4-4672-9037-F30A1E5C411E}"/>
                </c:ext>
                <c:ext xmlns:c15="http://schemas.microsoft.com/office/drawing/2012/chart" uri="{CE6537A1-D6FC-4f65-9D91-7224C49458BB}"/>
              </c:extLst>
            </c:dLbl>
            <c:dLbl>
              <c:idx val="16"/>
              <c:spPr>
                <a:noFill/>
                <a:ln>
                  <a:noFill/>
                </a:ln>
                <a:effectLst/>
              </c:spPr>
              <c:txPr>
                <a:bodyPr wrap="square" lIns="38100" tIns="19050" rIns="38100" bIns="19050" anchor="ctr">
                  <a:spAutoFit/>
                </a:bodyPr>
                <a:lstStyle/>
                <a:p>
                  <a:pPr>
                    <a:defRPr sz="600" b="1">
                      <a:solidFill>
                        <a:schemeClr val="tx1"/>
                      </a:solidFill>
                    </a:defRPr>
                  </a:pPr>
                  <a:endParaRPr lang="lv-LV"/>
                </a:p>
              </c:txPr>
              <c:dLblPos val="outEnd"/>
              <c:showLegendKey val="0"/>
              <c:showVal val="1"/>
              <c:showCatName val="0"/>
              <c:showSerName val="0"/>
              <c:showPercent val="0"/>
              <c:showBubbleSize val="0"/>
            </c:dLbl>
            <c:dLbl>
              <c:idx val="18"/>
              <c:spPr>
                <a:noFill/>
                <a:ln>
                  <a:noFill/>
                </a:ln>
                <a:effectLst/>
              </c:spPr>
              <c:txPr>
                <a:bodyPr wrap="square" lIns="38100" tIns="19050" rIns="38100" bIns="19050" anchor="ctr">
                  <a:spAutoFit/>
                </a:bodyPr>
                <a:lstStyle/>
                <a:p>
                  <a:pPr>
                    <a:defRPr sz="600" b="0">
                      <a:solidFill>
                        <a:schemeClr val="tx1"/>
                      </a:solidFill>
                    </a:defRPr>
                  </a:pPr>
                  <a:endParaRPr lang="lv-LV"/>
                </a:p>
              </c:txPr>
              <c:dLblPos val="outEnd"/>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600">
                    <a:solidFill>
                      <a:schemeClr val="tx1"/>
                    </a:solidFill>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Sheet1!$A$4:$A$32</c:f>
              <c:strCache>
                <c:ptCount val="29"/>
                <c:pt idx="0">
                  <c:v>DK</c:v>
                </c:pt>
                <c:pt idx="1">
                  <c:v>CY</c:v>
                </c:pt>
                <c:pt idx="2">
                  <c:v>LU</c:v>
                </c:pt>
                <c:pt idx="3">
                  <c:v>BE</c:v>
                </c:pt>
                <c:pt idx="4">
                  <c:v>NL</c:v>
                </c:pt>
                <c:pt idx="5">
                  <c:v>IE</c:v>
                </c:pt>
                <c:pt idx="6">
                  <c:v>MT</c:v>
                </c:pt>
                <c:pt idx="7">
                  <c:v>AT</c:v>
                </c:pt>
                <c:pt idx="8">
                  <c:v>EL</c:v>
                </c:pt>
                <c:pt idx="9">
                  <c:v>LT</c:v>
                </c:pt>
                <c:pt idx="10">
                  <c:v>SE</c:v>
                </c:pt>
                <c:pt idx="11">
                  <c:v>SI</c:v>
                </c:pt>
                <c:pt idx="12">
                  <c:v>EE</c:v>
                </c:pt>
                <c:pt idx="13">
                  <c:v>PT</c:v>
                </c:pt>
                <c:pt idx="14">
                  <c:v>EU-28</c:v>
                </c:pt>
                <c:pt idx="15">
                  <c:v>FR</c:v>
                </c:pt>
                <c:pt idx="16">
                  <c:v>LV</c:v>
                </c:pt>
                <c:pt idx="17">
                  <c:v>FI</c:v>
                </c:pt>
                <c:pt idx="18">
                  <c:v>DE</c:v>
                </c:pt>
                <c:pt idx="19">
                  <c:v>UK</c:v>
                </c:pt>
                <c:pt idx="20">
                  <c:v>HU</c:v>
                </c:pt>
                <c:pt idx="21">
                  <c:v>ES</c:v>
                </c:pt>
                <c:pt idx="22">
                  <c:v>SK</c:v>
                </c:pt>
                <c:pt idx="23">
                  <c:v>CZ</c:v>
                </c:pt>
                <c:pt idx="24">
                  <c:v>PL</c:v>
                </c:pt>
                <c:pt idx="25">
                  <c:v>RO</c:v>
                </c:pt>
                <c:pt idx="26">
                  <c:v>HR</c:v>
                </c:pt>
                <c:pt idx="27">
                  <c:v>IT</c:v>
                </c:pt>
                <c:pt idx="28">
                  <c:v>BG</c:v>
                </c:pt>
              </c:strCache>
            </c:strRef>
          </c:cat>
          <c:val>
            <c:numRef>
              <c:f>Sheet1!$B$4:$B$32</c:f>
              <c:numCache>
                <c:formatCode>0</c:formatCode>
                <c:ptCount val="29"/>
                <c:pt idx="0">
                  <c:v>197.61597222222224</c:v>
                </c:pt>
                <c:pt idx="1">
                  <c:v>166.84245220830587</c:v>
                </c:pt>
                <c:pt idx="2">
                  <c:v>152.22353404171585</c:v>
                </c:pt>
                <c:pt idx="3">
                  <c:v>87.3069146785281</c:v>
                </c:pt>
                <c:pt idx="4">
                  <c:v>81.797368421052639</c:v>
                </c:pt>
                <c:pt idx="5">
                  <c:v>81.427774679308413</c:v>
                </c:pt>
                <c:pt idx="6">
                  <c:v>69.821428571428569</c:v>
                </c:pt>
                <c:pt idx="7">
                  <c:v>61.660097820409327</c:v>
                </c:pt>
                <c:pt idx="8">
                  <c:v>40.256555561279683</c:v>
                </c:pt>
                <c:pt idx="9">
                  <c:v>39.760682004930153</c:v>
                </c:pt>
                <c:pt idx="10">
                  <c:v>38.998373983739839</c:v>
                </c:pt>
                <c:pt idx="11">
                  <c:v>36.601500789889414</c:v>
                </c:pt>
                <c:pt idx="12">
                  <c:v>33.719148936170214</c:v>
                </c:pt>
                <c:pt idx="13">
                  <c:v>32.852789498359122</c:v>
                </c:pt>
                <c:pt idx="14">
                  <c:v>27.666137671948317</c:v>
                </c:pt>
                <c:pt idx="15">
                  <c:v>27.238478419897586</c:v>
                </c:pt>
                <c:pt idx="16">
                  <c:v>26.85432793807178</c:v>
                </c:pt>
                <c:pt idx="17">
                  <c:v>22.900552486187845</c:v>
                </c:pt>
                <c:pt idx="18">
                  <c:v>22.857931034482757</c:v>
                </c:pt>
                <c:pt idx="19">
                  <c:v>20.863354855712217</c:v>
                </c:pt>
                <c:pt idx="20">
                  <c:v>19.958765226602104</c:v>
                </c:pt>
                <c:pt idx="21">
                  <c:v>17.255041518386715</c:v>
                </c:pt>
                <c:pt idx="22">
                  <c:v>15.428426322281069</c:v>
                </c:pt>
                <c:pt idx="23">
                  <c:v>15.33943982303642</c:v>
                </c:pt>
                <c:pt idx="24">
                  <c:v>12.836086270384008</c:v>
                </c:pt>
                <c:pt idx="25">
                  <c:v>11.1686163775716</c:v>
                </c:pt>
                <c:pt idx="26">
                  <c:v>10.895280534737696</c:v>
                </c:pt>
                <c:pt idx="27">
                  <c:v>10.709153197470132</c:v>
                </c:pt>
                <c:pt idx="28">
                  <c:v>8.2490178008439639</c:v>
                </c:pt>
              </c:numCache>
            </c:numRef>
          </c:val>
          <c:extLst>
            <c:ext xmlns:c="http://schemas.openxmlformats.org/drawingml/2006/chart" xmlns:c16="http://schemas.microsoft.com/office/drawing/2014/chart" uri="{C3380CC4-5D6E-409C-BE32-E72D297353CC}">
              <c16:uniqueId val="{0000000B-98B4-4672-9037-F30A1E5C411E}"/>
            </c:ext>
          </c:extLst>
        </c:ser>
        <c:dLbls>
          <c:showLegendKey val="0"/>
          <c:showVal val="0"/>
          <c:showCatName val="0"/>
          <c:showSerName val="0"/>
          <c:showPercent val="0"/>
          <c:showBubbleSize val="0"/>
        </c:dLbls>
        <c:gapWidth val="20"/>
        <c:axId val="656429960"/>
        <c:axId val="656426040"/>
      </c:barChart>
      <c:catAx>
        <c:axId val="656429960"/>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56426040"/>
        <c:crosses val="autoZero"/>
        <c:auto val="1"/>
        <c:lblAlgn val="ctr"/>
        <c:lblOffset val="100"/>
        <c:tickLblSkip val="1"/>
        <c:noMultiLvlLbl val="0"/>
      </c:catAx>
      <c:valAx>
        <c:axId val="656426040"/>
        <c:scaling>
          <c:orientation val="minMax"/>
          <c:min val="0"/>
        </c:scaling>
        <c:delete val="0"/>
        <c:axPos val="l"/>
        <c:numFmt formatCode="0" sourceLinked="0"/>
        <c:majorTickMark val="out"/>
        <c:minorTickMark val="none"/>
        <c:tickLblPos val="nextTo"/>
        <c:txPr>
          <a:bodyPr/>
          <a:lstStyle/>
          <a:p>
            <a:pPr>
              <a:defRPr sz="600"/>
            </a:pPr>
            <a:endParaRPr lang="lv-LV"/>
          </a:p>
        </c:txPr>
        <c:crossAx val="656429960"/>
        <c:crosses val="autoZero"/>
        <c:crossBetween val="between"/>
      </c:valAx>
    </c:plotArea>
    <c:plotVisOnly val="1"/>
    <c:dispBlanksAs val="gap"/>
    <c:showDLblsOverMax val="0"/>
  </c:chart>
  <c:spPr>
    <a:ln w="9525">
      <a:noFill/>
    </a:ln>
  </c:spPr>
  <c:externalData r:id="rId1">
    <c:autoUpdate val="0"/>
  </c:externalData>
</c:chartSpace>
</file>

<file path=word/charts/chart30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52508522641565"/>
          <c:y val="0.1442940802316145"/>
          <c:w val="0.52181675566416263"/>
          <c:h val="0.709344652230971"/>
        </c:manualLayout>
      </c:layout>
      <c:pieChart>
        <c:varyColors val="1"/>
        <c:ser>
          <c:idx val="0"/>
          <c:order val="0"/>
          <c:tx>
            <c:strRef>
              <c:f>Sheet1!$B$1</c:f>
              <c:strCache>
                <c:ptCount val="1"/>
                <c:pt idx="0">
                  <c:v>Column1</c:v>
                </c:pt>
              </c:strCache>
            </c:strRef>
          </c:tx>
          <c:dPt>
            <c:idx val="0"/>
            <c:bubble3D val="0"/>
            <c:spPr>
              <a:solidFill>
                <a:schemeClr val="accent1"/>
              </a:solidFill>
              <a:ln>
                <a:noFill/>
              </a:ln>
              <a:effectLst/>
            </c:spPr>
            <c:extLst>
              <c:ext xmlns:c="http://schemas.openxmlformats.org/drawingml/2006/chart" xmlns:c16="http://schemas.microsoft.com/office/drawing/2014/chart" uri="{C3380CC4-5D6E-409C-BE32-E72D297353CC}">
                <c16:uniqueId val="{00000001-0B53-4525-8043-FDBFAB6F71A7}"/>
              </c:ext>
            </c:extLst>
          </c:dPt>
          <c:dPt>
            <c:idx val="1"/>
            <c:bubble3D val="0"/>
            <c:spPr>
              <a:solidFill>
                <a:schemeClr val="accent2"/>
              </a:solidFill>
              <a:ln>
                <a:noFill/>
              </a:ln>
              <a:effectLst/>
            </c:spPr>
            <c:extLst>
              <c:ext xmlns:c="http://schemas.openxmlformats.org/drawingml/2006/chart" xmlns:c16="http://schemas.microsoft.com/office/drawing/2014/chart" uri="{C3380CC4-5D6E-409C-BE32-E72D297353CC}">
                <c16:uniqueId val="{00000003-0B53-4525-8043-FDBFAB6F71A7}"/>
              </c:ext>
            </c:extLst>
          </c:dPt>
          <c:dPt>
            <c:idx val="2"/>
            <c:bubble3D val="0"/>
            <c:spPr>
              <a:solidFill>
                <a:schemeClr val="accent3"/>
              </a:solidFill>
              <a:ln>
                <a:noFill/>
              </a:ln>
              <a:effectLst/>
            </c:spPr>
            <c:extLst>
              <c:ext xmlns:c="http://schemas.openxmlformats.org/drawingml/2006/chart" xmlns:c16="http://schemas.microsoft.com/office/drawing/2014/chart" uri="{C3380CC4-5D6E-409C-BE32-E72D297353CC}">
                <c16:uniqueId val="{00000005-0B53-4525-8043-FDBFAB6F71A7}"/>
              </c:ext>
            </c:extLst>
          </c:dPt>
          <c:dPt>
            <c:idx val="3"/>
            <c:bubble3D val="0"/>
            <c:spPr>
              <a:solidFill>
                <a:schemeClr val="accent4"/>
              </a:solidFill>
              <a:ln>
                <a:noFill/>
              </a:ln>
              <a:effectLst/>
            </c:spPr>
            <c:extLst>
              <c:ext xmlns:c="http://schemas.openxmlformats.org/drawingml/2006/chart" xmlns:c16="http://schemas.microsoft.com/office/drawing/2014/chart" uri="{C3380CC4-5D6E-409C-BE32-E72D297353CC}">
                <c16:uniqueId val="{00000007-0B53-4525-8043-FDBFAB6F71A7}"/>
              </c:ext>
            </c:extLst>
          </c:dPt>
          <c:dPt>
            <c:idx val="4"/>
            <c:bubble3D val="0"/>
            <c:spPr>
              <a:solidFill>
                <a:schemeClr val="accent5"/>
              </a:solidFill>
              <a:ln>
                <a:noFill/>
              </a:ln>
              <a:effectLst/>
            </c:spPr>
            <c:extLst>
              <c:ext xmlns:c="http://schemas.openxmlformats.org/drawingml/2006/chart" xmlns:c16="http://schemas.microsoft.com/office/drawing/2014/chart" uri="{C3380CC4-5D6E-409C-BE32-E72D297353CC}">
                <c16:uniqueId val="{00000009-0B53-4525-8043-FDBFAB6F71A7}"/>
              </c:ext>
            </c:extLst>
          </c:dPt>
          <c:dPt>
            <c:idx val="5"/>
            <c:bubble3D val="0"/>
            <c:spPr>
              <a:solidFill>
                <a:schemeClr val="accent6"/>
              </a:solidFill>
              <a:ln>
                <a:noFill/>
              </a:ln>
              <a:effectLst/>
            </c:spPr>
            <c:extLst>
              <c:ext xmlns:c="http://schemas.openxmlformats.org/drawingml/2006/chart" xmlns:c16="http://schemas.microsoft.com/office/drawing/2014/chart" uri="{C3380CC4-5D6E-409C-BE32-E72D297353CC}">
                <c16:uniqueId val="{0000000B-0B53-4525-8043-FDBFAB6F71A7}"/>
              </c:ext>
            </c:extLst>
          </c:dPt>
          <c:dPt>
            <c:idx val="6"/>
            <c:bubble3D val="0"/>
            <c:spPr>
              <a:solidFill>
                <a:schemeClr val="accent1">
                  <a:lumMod val="60000"/>
                </a:schemeClr>
              </a:solidFill>
              <a:ln>
                <a:noFill/>
              </a:ln>
              <a:effectLst/>
            </c:spPr>
            <c:extLst>
              <c:ext xmlns:c="http://schemas.openxmlformats.org/drawingml/2006/chart" xmlns:c16="http://schemas.microsoft.com/office/drawing/2014/chart" uri="{C3380CC4-5D6E-409C-BE32-E72D297353CC}">
                <c16:uniqueId val="{0000000D-0B53-4525-8043-FDBFAB6F71A7}"/>
              </c:ext>
            </c:extLst>
          </c:dPt>
          <c:dLbls>
            <c:dLbl>
              <c:idx val="0"/>
              <c:spPr>
                <a:noFill/>
                <a:ln>
                  <a:noFill/>
                </a:ln>
                <a:effectLst/>
              </c:spPr>
              <c:txPr>
                <a:bodyPr wrap="square" lIns="38100" tIns="19050" rIns="38100" bIns="19050" anchor="ctr"/>
                <a:lstStyle/>
                <a:p>
                  <a:pPr>
                    <a:defRPr sz="700"/>
                  </a:pPr>
                  <a:endParaRPr lang="lv-LV"/>
                </a:p>
              </c:txPr>
              <c:dLblPos val="outEnd"/>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1-0B53-4525-8043-FDBFAB6F71A7}"/>
                </c:ext>
                <c:ext xmlns:c15="http://schemas.microsoft.com/office/drawing/2012/chart" uri="{CE6537A1-D6FC-4f65-9D91-7224C49458BB}"/>
              </c:extLst>
            </c:dLbl>
            <c:dLbl>
              <c:idx val="1"/>
              <c:layout>
                <c:manualLayout>
                  <c:x val="0.030222041210365931"/>
                  <c:y val="-0.10213556174558965"/>
                </c:manualLayout>
              </c:layout>
              <c:dLblPos val="bestFit"/>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3-0B53-4525-8043-FDBFAB6F71A7}"/>
                </c:ext>
                <c:ext xmlns:c15="http://schemas.microsoft.com/office/drawing/2012/chart" uri="{CE6537A1-D6FC-4f65-9D91-7224C49458BB}">
                  <c15:layout>
                    <c:manualLayout>
                      <c:w val="0.28695749238241769"/>
                      <c:h val="0.42455932562747206"/>
                    </c:manualLayout>
                  </c15:layout>
                </c:ext>
              </c:extLst>
            </c:dLbl>
            <c:dLbl>
              <c:idx val="2"/>
              <c:layout>
                <c:manualLayout>
                  <c:x val="0.038314176245210725"/>
                  <c:y val="-0.046425255338904362"/>
                </c:manualLayout>
              </c:layout>
              <c:dLblPos val="bestFit"/>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5-0B53-4525-8043-FDBFAB6F71A7}"/>
                </c:ext>
                <c:ext xmlns:c15="http://schemas.microsoft.com/office/drawing/2012/chart" uri="{CE6537A1-D6FC-4f65-9D91-7224C49458BB}">
                  <c15:layout>
                    <c:manualLayout>
                      <c:w val="0.23107309862129302"/>
                      <c:h val="0.26587780287909696"/>
                    </c:manualLayout>
                  </c15:layout>
                </c:ext>
              </c:extLst>
            </c:dLbl>
            <c:dLbl>
              <c:idx val="3"/>
              <c:layout>
                <c:manualLayout>
                  <c:x val="0.099616858237547887"/>
                  <c:y val="0.009285051067780872"/>
                </c:manualLayout>
              </c:layout>
              <c:dLblPos val="bestFit"/>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7-0B53-4525-8043-FDBFAB6F71A7}"/>
                </c:ext>
                <c:ext xmlns:c15="http://schemas.microsoft.com/office/drawing/2012/chart" uri="{CE6537A1-D6FC-4f65-9D91-7224C49458BB}"/>
              </c:extLst>
            </c:dLbl>
            <c:dLbl>
              <c:idx val="4"/>
              <c:layout>
                <c:manualLayout>
                  <c:x val="0.084291489425890737"/>
                  <c:y val="0"/>
                </c:manualLayout>
              </c:layout>
              <c:spPr>
                <a:noFill/>
                <a:ln>
                  <a:noFill/>
                </a:ln>
                <a:effectLst/>
              </c:spPr>
              <c:txPr>
                <a:bodyPr wrap="square" lIns="38100" tIns="19050" rIns="38100" bIns="19050" anchor="ctr"/>
                <a:lstStyle/>
                <a:p>
                  <a:pPr>
                    <a:defRPr sz="700"/>
                  </a:pPr>
                  <a:endParaRPr lang="lv-LV"/>
                </a:p>
              </c:txPr>
              <c:dLblPos val="bestFit"/>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9-0B53-4525-8043-FDBFAB6F71A7}"/>
                </c:ext>
                <c:ext xmlns:c15="http://schemas.microsoft.com/office/drawing/2012/chart" uri="{CE6537A1-D6FC-4f65-9D91-7224C49458BB}">
                  <c15:layout>
                    <c:manualLayout>
                      <c:w val="0.34455908528675294"/>
                      <c:h val="0.20088244540463082"/>
                    </c:manualLayout>
                  </c15:layout>
                </c:ext>
              </c:extLst>
            </c:dLbl>
            <c:dLbl>
              <c:idx val="5"/>
              <c:layout>
                <c:manualLayout>
                  <c:x val="-0.068965517241379309"/>
                  <c:y val="-0.055710306406685235"/>
                </c:manualLayout>
              </c:layout>
              <c:spPr>
                <a:noFill/>
                <a:ln>
                  <a:noFill/>
                </a:ln>
                <a:effectLst/>
              </c:spPr>
              <c:txPr>
                <a:bodyPr wrap="square" lIns="38100" tIns="19050" rIns="38100" bIns="19050" anchor="ctr"/>
                <a:lstStyle/>
                <a:p>
                  <a:pPr>
                    <a:defRPr sz="700"/>
                  </a:pPr>
                  <a:endParaRPr lang="lv-LV"/>
                </a:p>
              </c:txPr>
              <c:dLblPos val="bestFit"/>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B-0B53-4525-8043-FDBFAB6F71A7}"/>
                </c:ext>
                <c:ext xmlns:c15="http://schemas.microsoft.com/office/drawing/2012/chart" uri="{CE6537A1-D6FC-4f65-9D91-7224C49458BB}">
                  <c15:layout>
                    <c:manualLayout>
                      <c:w val="0.24318037831477962"/>
                      <c:h val="0.26587780287909696"/>
                    </c:manualLayout>
                  </c15:layout>
                </c:ext>
              </c:extLst>
            </c:dLbl>
            <c:dLbl>
              <c:idx val="6"/>
              <c:layout>
                <c:manualLayout>
                  <c:x val="0.068965517241379309"/>
                  <c:y val="-0.18570102135561745"/>
                </c:manualLayout>
              </c:layout>
              <c:dLblPos val="bestFit"/>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D-0B53-4525-8043-FDBFAB6F71A7}"/>
                </c:ext>
                <c:ext xmlns:c15="http://schemas.microsoft.com/office/drawing/2012/chart" uri="{CE6537A1-D6FC-4f65-9D91-7224C49458BB}"/>
              </c:extLst>
            </c:dLbl>
            <c:dLbl>
              <c:idx val="7"/>
              <c:layout>
                <c:manualLayout>
                  <c:x val="-0.053639846743295021"/>
                  <c:y val="-0.22284122562674094"/>
                </c:manualLayout>
              </c:layout>
              <c:dLblPos val="bestFit"/>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E-0B53-4525-8043-FDBFAB6F71A7}"/>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700"/>
                </a:pPr>
                <a:endParaRPr lang="lv-LV"/>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Sheet1!$A$2:$A$8</c:f>
              <c:strCache>
                <c:ptCount val="7"/>
                <c:pt idx="0">
                  <c:v>Šveice</c:v>
                </c:pt>
                <c:pt idx="1">
                  <c:v>Apvienotā Karaliste</c:v>
                </c:pt>
                <c:pt idx="2">
                  <c:v>Krievija</c:v>
                </c:pt>
                <c:pt idx="3">
                  <c:v>Vācija</c:v>
                </c:pt>
                <c:pt idx="4">
                  <c:v>Nīderlande</c:v>
                </c:pt>
                <c:pt idx="5">
                  <c:v>Igaunija</c:v>
                </c:pt>
                <c:pt idx="6">
                  <c:v>Citas valstis</c:v>
                </c:pt>
              </c:strCache>
            </c:strRef>
          </c:cat>
          <c:val>
            <c:numRef>
              <c:f>Sheet1!$B$2:$B$8</c:f>
              <c:numCache>
                <c:formatCode>0.00</c:formatCode>
                <c:ptCount val="7"/>
                <c:pt idx="0">
                  <c:v>0.20491803278688525</c:v>
                </c:pt>
                <c:pt idx="1">
                  <c:v>0.15006305170239598</c:v>
                </c:pt>
                <c:pt idx="2">
                  <c:v>0.097099621689785628</c:v>
                </c:pt>
                <c:pt idx="3">
                  <c:v>0.053593947036569986</c:v>
                </c:pt>
                <c:pt idx="4">
                  <c:v>0.0510718789407314</c:v>
                </c:pt>
                <c:pt idx="5">
                  <c:v>0.047919293820933163</c:v>
                </c:pt>
                <c:pt idx="6">
                  <c:v>0.39533417402269855</c:v>
                </c:pt>
              </c:numCache>
            </c:numRef>
          </c:val>
          <c:extLst>
            <c:ext xmlns:c="http://schemas.openxmlformats.org/drawingml/2006/chart" xmlns:c16="http://schemas.microsoft.com/office/drawing/2014/chart" uri="{C3380CC4-5D6E-409C-BE32-E72D297353CC}">
              <c16:uniqueId val="{0000000F-0B53-4525-8043-FDBFAB6F71A7}"/>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noFill/>
    <a:ln w="9525">
      <a:noFill/>
      <a:round/>
    </a:ln>
    <a:effectLst/>
  </c:spPr>
  <c:txPr>
    <a:bodyPr/>
    <a:lstStyle/>
    <a:p>
      <a:pPr>
        <a:defRPr sz="800">
          <a:latin typeface="Candara" panose="020E0502030303020204" pitchFamily="34" charset="0"/>
        </a:defRPr>
      </a:pPr>
      <a:endParaRPr lang="lv-LV"/>
    </a:p>
  </c:txPr>
  <c:externalData r:id="rId1">
    <c:autoUpdate val="0"/>
  </c:externalData>
</c:chartSpace>
</file>

<file path=word/charts/chart30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12744869155507"/>
          <c:y val="0.051150895140664961"/>
          <c:w val="0.40811403720332567"/>
          <c:h val="0.80063072678575031"/>
        </c:manualLayout>
      </c:layout>
      <c:barChart>
        <c:barDir val="col"/>
        <c:grouping val="percentStacked"/>
        <c:varyColors val="0"/>
        <c:ser>
          <c:idx val="0"/>
          <c:order val="0"/>
          <c:tx>
            <c:strRef>
              <c:f>Sheet1!$A$2</c:f>
              <c:strCache>
                <c:ptCount val="1"/>
                <c:pt idx="0">
                  <c:v>Autotransports</c:v>
                </c:pt>
              </c:strCache>
            </c:strRef>
          </c:tx>
          <c:spPr>
            <a:solidFill>
              <a:schemeClr val="accent1"/>
            </a:solidFill>
            <a:ln>
              <a:noFill/>
            </a:ln>
            <a:effectLst/>
          </c:spPr>
          <c:invertIfNegative val="0"/>
          <c:cat>
            <c:strRef>
              <c:f>Sheet1!$B$1:$E$1</c:f>
              <c:strCache>
                <c:ptCount val="4"/>
                <c:pt idx="0">
                  <c:v>2005</c:v>
                </c:pt>
                <c:pt idx="1">
                  <c:v>2010</c:v>
                </c:pt>
                <c:pt idx="2">
                  <c:v>2015</c:v>
                </c:pt>
                <c:pt idx="3">
                  <c:v>2016</c:v>
                </c:pt>
              </c:strCache>
            </c:strRef>
          </c:cat>
          <c:val>
            <c:numRef>
              <c:f>Sheet1!$B$2:$E$2</c:f>
              <c:numCache>
                <c:formatCode>0.00</c:formatCode>
                <c:ptCount val="4"/>
                <c:pt idx="0">
                  <c:v>0.21196754563894524</c:v>
                </c:pt>
                <c:pt idx="1">
                  <c:v>0.25488776249094858</c:v>
                </c:pt>
                <c:pt idx="2">
                  <c:v>0.35196687370600416</c:v>
                </c:pt>
                <c:pt idx="3">
                  <c:v>0.3869952805453592</c:v>
                </c:pt>
              </c:numCache>
            </c:numRef>
          </c:val>
          <c:extLst>
            <c:ext xmlns:c="http://schemas.openxmlformats.org/drawingml/2006/chart" xmlns:c16="http://schemas.microsoft.com/office/drawing/2014/chart" uri="{C3380CC4-5D6E-409C-BE32-E72D297353CC}">
              <c16:uniqueId val="{00000000-0F18-47F4-9D0D-415A64D8A8DE}"/>
            </c:ext>
          </c:extLst>
        </c:ser>
        <c:ser>
          <c:idx val="1"/>
          <c:order val="1"/>
          <c:tx>
            <c:strRef>
              <c:f>Sheet1!$A$3</c:f>
              <c:strCache>
                <c:ptCount val="1"/>
                <c:pt idx="0">
                  <c:v>Jūras transports</c:v>
                </c:pt>
              </c:strCache>
            </c:strRef>
          </c:tx>
          <c:spPr>
            <a:solidFill>
              <a:schemeClr val="accent2"/>
            </a:solidFill>
            <a:ln>
              <a:noFill/>
            </a:ln>
            <a:effectLst/>
          </c:spPr>
          <c:invertIfNegative val="0"/>
          <c:cat>
            <c:strRef>
              <c:f>Sheet1!$B$1:$E$1</c:f>
              <c:strCache>
                <c:ptCount val="4"/>
                <c:pt idx="0">
                  <c:v>2005</c:v>
                </c:pt>
                <c:pt idx="1">
                  <c:v>2010</c:v>
                </c:pt>
                <c:pt idx="2">
                  <c:v>2015</c:v>
                </c:pt>
                <c:pt idx="3">
                  <c:v>2016</c:v>
                </c:pt>
              </c:strCache>
            </c:strRef>
          </c:cat>
          <c:val>
            <c:numRef>
              <c:f>Sheet1!$B$3:$E$3</c:f>
              <c:numCache>
                <c:formatCode>0.00</c:formatCode>
                <c:ptCount val="4"/>
                <c:pt idx="0">
                  <c:v>0.44219066937119678</c:v>
                </c:pt>
                <c:pt idx="1">
                  <c:v>0.29254163649529324</c:v>
                </c:pt>
                <c:pt idx="2">
                  <c:v>0.22308488612836438</c:v>
                </c:pt>
                <c:pt idx="3">
                  <c:v>0.21027792343995805</c:v>
                </c:pt>
              </c:numCache>
            </c:numRef>
          </c:val>
          <c:extLst>
            <c:ext xmlns:c="http://schemas.openxmlformats.org/drawingml/2006/chart" xmlns:c16="http://schemas.microsoft.com/office/drawing/2014/chart" uri="{C3380CC4-5D6E-409C-BE32-E72D297353CC}">
              <c16:uniqueId val="{00000001-0F18-47F4-9D0D-415A64D8A8DE}"/>
            </c:ext>
          </c:extLst>
        </c:ser>
        <c:ser>
          <c:idx val="2"/>
          <c:order val="2"/>
          <c:tx>
            <c:strRef>
              <c:f>Sheet1!$A$4</c:f>
              <c:strCache>
                <c:ptCount val="1"/>
                <c:pt idx="0">
                  <c:v>Gaisa transports</c:v>
                </c:pt>
              </c:strCache>
            </c:strRef>
          </c:tx>
          <c:spPr>
            <a:solidFill>
              <a:schemeClr val="accent3"/>
            </a:solidFill>
            <a:ln>
              <a:noFill/>
            </a:ln>
            <a:effectLst/>
          </c:spPr>
          <c:invertIfNegative val="0"/>
          <c:cat>
            <c:strRef>
              <c:f>Sheet1!$B$1:$E$1</c:f>
              <c:strCache>
                <c:ptCount val="4"/>
                <c:pt idx="0">
                  <c:v>2005</c:v>
                </c:pt>
                <c:pt idx="1">
                  <c:v>2010</c:v>
                </c:pt>
                <c:pt idx="2">
                  <c:v>2015</c:v>
                </c:pt>
                <c:pt idx="3">
                  <c:v>2016</c:v>
                </c:pt>
              </c:strCache>
            </c:strRef>
          </c:cat>
          <c:val>
            <c:numRef>
              <c:f>Sheet1!$B$4:$E$4</c:f>
              <c:numCache>
                <c:formatCode>0.00</c:formatCode>
                <c:ptCount val="4"/>
                <c:pt idx="0">
                  <c:v>0.19371196754563894</c:v>
                </c:pt>
                <c:pt idx="1">
                  <c:v>0.23461259956553221</c:v>
                </c:pt>
                <c:pt idx="2">
                  <c:v>0.20082815734989648</c:v>
                </c:pt>
                <c:pt idx="3">
                  <c:v>0.16570529627687466</c:v>
                </c:pt>
              </c:numCache>
            </c:numRef>
          </c:val>
          <c:extLst>
            <c:ext xmlns:c="http://schemas.openxmlformats.org/drawingml/2006/chart" xmlns:c16="http://schemas.microsoft.com/office/drawing/2014/chart" uri="{C3380CC4-5D6E-409C-BE32-E72D297353CC}">
              <c16:uniqueId val="{00000002-0F18-47F4-9D0D-415A64D8A8DE}"/>
            </c:ext>
          </c:extLst>
        </c:ser>
        <c:ser>
          <c:idx val="3"/>
          <c:order val="3"/>
          <c:tx>
            <c:strRef>
              <c:f>Sheet1!$A$5</c:f>
              <c:strCache>
                <c:ptCount val="1"/>
                <c:pt idx="0">
                  <c:v>Dzelzceļa transports</c:v>
                </c:pt>
              </c:strCache>
            </c:strRef>
          </c:tx>
          <c:spPr>
            <a:solidFill>
              <a:schemeClr val="accent4"/>
            </a:solidFill>
            <a:ln>
              <a:noFill/>
            </a:ln>
            <a:effectLst/>
          </c:spPr>
          <c:invertIfNegative val="0"/>
          <c:cat>
            <c:strRef>
              <c:f>Sheet1!$B$1:$E$1</c:f>
              <c:strCache>
                <c:ptCount val="4"/>
                <c:pt idx="0">
                  <c:v>2005</c:v>
                </c:pt>
                <c:pt idx="1">
                  <c:v>2010</c:v>
                </c:pt>
                <c:pt idx="2">
                  <c:v>2015</c:v>
                </c:pt>
                <c:pt idx="3">
                  <c:v>2016</c:v>
                </c:pt>
              </c:strCache>
            </c:strRef>
          </c:cat>
          <c:val>
            <c:numRef>
              <c:f>Sheet1!$B$5:$E$5</c:f>
              <c:numCache>
                <c:formatCode>0.00</c:formatCode>
                <c:ptCount val="4"/>
                <c:pt idx="0">
                  <c:v>0.11156186612576065</c:v>
                </c:pt>
                <c:pt idx="1">
                  <c:v>0.18754525706010139</c:v>
                </c:pt>
                <c:pt idx="2">
                  <c:v>0.19979296066252589</c:v>
                </c:pt>
                <c:pt idx="3">
                  <c:v>0.21814368117461982</c:v>
                </c:pt>
              </c:numCache>
            </c:numRef>
          </c:val>
          <c:extLst>
            <c:ext xmlns:c="http://schemas.openxmlformats.org/drawingml/2006/chart" xmlns:c16="http://schemas.microsoft.com/office/drawing/2014/chart" uri="{C3380CC4-5D6E-409C-BE32-E72D297353CC}">
              <c16:uniqueId val="{00000003-0F18-47F4-9D0D-415A64D8A8DE}"/>
            </c:ext>
          </c:extLst>
        </c:ser>
        <c:ser>
          <c:idx val="4"/>
          <c:order val="4"/>
          <c:tx>
            <c:strRef>
              <c:f>Sheet1!$A$6</c:f>
              <c:strCache>
                <c:ptCount val="1"/>
                <c:pt idx="0">
                  <c:v>Pārējais transports</c:v>
                </c:pt>
              </c:strCache>
            </c:strRef>
          </c:tx>
          <c:spPr>
            <a:solidFill>
              <a:schemeClr val="accent5"/>
            </a:solidFill>
            <a:ln>
              <a:noFill/>
            </a:ln>
            <a:effectLst/>
          </c:spPr>
          <c:invertIfNegative val="0"/>
          <c:cat>
            <c:strRef>
              <c:f>Sheet1!$B$1:$E$1</c:f>
              <c:strCache>
                <c:ptCount val="4"/>
                <c:pt idx="0">
                  <c:v>2005</c:v>
                </c:pt>
                <c:pt idx="1">
                  <c:v>2010</c:v>
                </c:pt>
                <c:pt idx="2">
                  <c:v>2015</c:v>
                </c:pt>
                <c:pt idx="3">
                  <c:v>2016</c:v>
                </c:pt>
              </c:strCache>
            </c:strRef>
          </c:cat>
          <c:val>
            <c:numRef>
              <c:f>Sheet1!$B$6:$E$6</c:f>
              <c:numCache>
                <c:formatCode>0.00</c:formatCode>
                <c:ptCount val="4"/>
                <c:pt idx="0">
                  <c:v>0.040567951318458417</c:v>
                </c:pt>
                <c:pt idx="1">
                  <c:v>0.030412744388124548</c:v>
                </c:pt>
                <c:pt idx="2">
                  <c:v>0.024327122153209108</c:v>
                </c:pt>
                <c:pt idx="3">
                  <c:v>0.018877818563188254</c:v>
                </c:pt>
              </c:numCache>
            </c:numRef>
          </c:val>
          <c:extLst>
            <c:ext xmlns:c="http://schemas.openxmlformats.org/drawingml/2006/chart" xmlns:c16="http://schemas.microsoft.com/office/drawing/2014/chart" uri="{C3380CC4-5D6E-409C-BE32-E72D297353CC}">
              <c16:uniqueId val="{00000004-0F18-47F4-9D0D-415A64D8A8DE}"/>
            </c:ext>
          </c:extLst>
        </c:ser>
        <c:dLbls>
          <c:showLegendKey val="0"/>
          <c:showVal val="0"/>
          <c:showCatName val="0"/>
          <c:showSerName val="0"/>
          <c:showPercent val="0"/>
          <c:showBubbleSize val="0"/>
        </c:dLbls>
        <c:gapWidth val="40"/>
        <c:overlap val="100"/>
        <c:axId val="656434664"/>
        <c:axId val="656425256"/>
      </c:barChart>
      <c:catAx>
        <c:axId val="656434664"/>
        <c:scaling>
          <c:orientation val="minMax"/>
        </c:scaling>
        <c:delete val="0"/>
        <c:axPos val="b"/>
        <c:numFmt formatCode="General" sourceLinked="1"/>
        <c:majorTickMark val="out"/>
        <c:minorTickMark val="none"/>
        <c:tickLblPos val="nextTo"/>
        <c:spPr>
          <a:noFill/>
          <a:ln w="9525">
            <a:solidFill>
              <a:schemeClr val="bg1">
                <a:lumMod val="50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lv-LV"/>
          </a:p>
        </c:txPr>
        <c:crossAx val="656425256"/>
        <c:crosses val="autoZero"/>
        <c:auto val="1"/>
        <c:lblAlgn val="ctr"/>
        <c:lblOffset val="100"/>
        <c:noMultiLvlLbl val="0"/>
      </c:catAx>
      <c:valAx>
        <c:axId val="656425256"/>
        <c:scaling>
          <c:orientation val="minMax"/>
        </c:scaling>
        <c:delete val="0"/>
        <c:axPos val="l"/>
        <c:numFmt formatCode="0%" sourceLinked="1"/>
        <c:majorTickMark val="out"/>
        <c:minorTickMark val="none"/>
        <c:tickLblPos val="nextTo"/>
        <c:spPr>
          <a:noFill/>
          <a:ln w="9525">
            <a:solidFill>
              <a:schemeClr val="bg1">
                <a:lumMod val="50000"/>
              </a:schemeClr>
            </a:solidFill>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lv-LV"/>
          </a:p>
        </c:txPr>
        <c:crossAx val="656434664"/>
        <c:crosses val="autoZero"/>
        <c:crossBetween val="between"/>
      </c:valAx>
      <c:spPr>
        <a:noFill/>
        <a:ln>
          <a:noFill/>
        </a:ln>
        <a:effectLst/>
      </c:spPr>
    </c:plotArea>
    <c:legend>
      <c:legendPos val="r"/>
      <c:layout/>
      <c:overlay val="0"/>
    </c:legend>
    <c:plotVisOnly val="1"/>
    <c:dispBlanksAs val="gap"/>
    <c:showDLblsOverMax val="0"/>
  </c:chart>
  <c:spPr>
    <a:solidFill>
      <a:schemeClr val="bg1"/>
    </a:solidFill>
    <a:ln w="9525">
      <a:noFill/>
      <a:round/>
    </a:ln>
    <a:effectLst/>
  </c:spPr>
  <c:txPr>
    <a:bodyPr/>
    <a:lstStyle/>
    <a:p>
      <a:pPr>
        <a:defRPr sz="700">
          <a:solidFill>
            <a:schemeClr val="tx1"/>
          </a:solidFill>
        </a:defRPr>
      </a:pPr>
      <a:endParaRPr lang="lv-LV"/>
    </a:p>
  </c:txPr>
  <c:externalData r:id="rId1">
    <c:autoUpdate val="0"/>
  </c:externalData>
</c:chartSpace>
</file>

<file path=word/charts/chart30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863884074481867"/>
          <c:y val="0.051150895140664961"/>
          <c:w val="0.7119610710328611"/>
          <c:h val="0.80063072678575031"/>
        </c:manualLayout>
      </c:layout>
      <c:barChart>
        <c:barDir val="col"/>
        <c:grouping val="percentStacked"/>
        <c:varyColors val="0"/>
        <c:ser>
          <c:idx val="0"/>
          <c:order val="0"/>
          <c:tx>
            <c:strRef>
              <c:f>Sheet1!$A$2</c:f>
              <c:strCache>
                <c:ptCount val="1"/>
                <c:pt idx="0">
                  <c:v>Category 1</c:v>
                </c:pt>
              </c:strCache>
            </c:strRef>
          </c:tx>
          <c:spPr>
            <a:solidFill>
              <a:schemeClr val="accent1"/>
            </a:solidFill>
            <a:ln>
              <a:noFill/>
            </a:ln>
            <a:effectLst/>
          </c:spPr>
          <c:invertIfNegative val="0"/>
          <c:cat>
            <c:strRef>
              <c:f>Sheet1!$B$1:$D$1</c:f>
              <c:strCache>
                <c:ptCount val="3"/>
                <c:pt idx="0">
                  <c:v>2010</c:v>
                </c:pt>
                <c:pt idx="1">
                  <c:v>2015</c:v>
                </c:pt>
                <c:pt idx="2">
                  <c:v>2016</c:v>
                </c:pt>
              </c:strCache>
            </c:strRef>
          </c:cat>
          <c:val>
            <c:numRef>
              <c:f>Sheet1!$B$2:$D$2</c:f>
              <c:numCache>
                <c:formatCode>0.00</c:formatCode>
                <c:ptCount val="3"/>
                <c:pt idx="0">
                  <c:v>0.19535000387315243</c:v>
                </c:pt>
                <c:pt idx="1">
                  <c:v>0.2272788538839717</c:v>
                </c:pt>
                <c:pt idx="2">
                  <c:v>0.23048013230814154</c:v>
                </c:pt>
              </c:numCache>
            </c:numRef>
          </c:val>
          <c:extLst>
            <c:ext xmlns:c="http://schemas.openxmlformats.org/drawingml/2006/chart" xmlns:c16="http://schemas.microsoft.com/office/drawing/2014/chart" uri="{C3380CC4-5D6E-409C-BE32-E72D297353CC}">
              <c16:uniqueId val="{00000000-8D7B-4D11-8548-1B58FF44A1B3}"/>
            </c:ext>
          </c:extLst>
        </c:ser>
        <c:ser>
          <c:idx val="1"/>
          <c:order val="1"/>
          <c:tx>
            <c:strRef>
              <c:f>Sheet1!$A$3</c:f>
              <c:strCache>
                <c:ptCount val="1"/>
                <c:pt idx="0">
                  <c:v>Category 2</c:v>
                </c:pt>
              </c:strCache>
            </c:strRef>
          </c:tx>
          <c:spPr>
            <a:solidFill>
              <a:schemeClr val="accent2"/>
            </a:solidFill>
            <a:ln>
              <a:noFill/>
            </a:ln>
            <a:effectLst/>
          </c:spPr>
          <c:invertIfNegative val="0"/>
          <c:cat>
            <c:strRef>
              <c:f>Sheet1!$B$1:$D$1</c:f>
              <c:strCache>
                <c:ptCount val="3"/>
                <c:pt idx="0">
                  <c:v>2010</c:v>
                </c:pt>
                <c:pt idx="1">
                  <c:v>2015</c:v>
                </c:pt>
                <c:pt idx="2">
                  <c:v>2016</c:v>
                </c:pt>
              </c:strCache>
            </c:strRef>
          </c:cat>
          <c:val>
            <c:numRef>
              <c:f>Sheet1!$B$3:$D$3</c:f>
              <c:numCache>
                <c:formatCode>0.00</c:formatCode>
                <c:ptCount val="3"/>
                <c:pt idx="0">
                  <c:v>0.423901039111462</c:v>
                </c:pt>
                <c:pt idx="1">
                  <c:v>0.37404491127580641</c:v>
                </c:pt>
                <c:pt idx="2">
                  <c:v>0.36333148072489746</c:v>
                </c:pt>
              </c:numCache>
            </c:numRef>
          </c:val>
          <c:extLst>
            <c:ext xmlns:c="http://schemas.openxmlformats.org/drawingml/2006/chart" xmlns:c16="http://schemas.microsoft.com/office/drawing/2014/chart" uri="{C3380CC4-5D6E-409C-BE32-E72D297353CC}">
              <c16:uniqueId val="{00000001-8D7B-4D11-8548-1B58FF44A1B3}"/>
            </c:ext>
          </c:extLst>
        </c:ser>
        <c:ser>
          <c:idx val="2"/>
          <c:order val="2"/>
          <c:tx>
            <c:strRef>
              <c:f>Sheet1!$A$4</c:f>
              <c:strCache>
                <c:ptCount val="1"/>
                <c:pt idx="0">
                  <c:v>Category 3</c:v>
                </c:pt>
              </c:strCache>
            </c:strRef>
          </c:tx>
          <c:spPr>
            <a:solidFill>
              <a:schemeClr val="accent3"/>
            </a:solidFill>
            <a:ln>
              <a:noFill/>
            </a:ln>
            <a:effectLst/>
          </c:spPr>
          <c:invertIfNegative val="0"/>
          <c:cat>
            <c:strRef>
              <c:f>Sheet1!$B$1:$D$1</c:f>
              <c:strCache>
                <c:ptCount val="3"/>
                <c:pt idx="0">
                  <c:v>2010</c:v>
                </c:pt>
                <c:pt idx="1">
                  <c:v>2015</c:v>
                </c:pt>
                <c:pt idx="2">
                  <c:v>2016</c:v>
                </c:pt>
              </c:strCache>
            </c:strRef>
          </c:cat>
          <c:val>
            <c:numRef>
              <c:f>Sheet1!$B$4:$D$4</c:f>
              <c:numCache>
                <c:formatCode>0.00</c:formatCode>
                <c:ptCount val="3"/>
                <c:pt idx="0">
                  <c:v>0.28202672844037374</c:v>
                </c:pt>
                <c:pt idx="1">
                  <c:v>0.29045562898122917</c:v>
                </c:pt>
                <c:pt idx="2">
                  <c:v>0.30001214624073852</c:v>
                </c:pt>
              </c:numCache>
            </c:numRef>
          </c:val>
          <c:extLst>
            <c:ext xmlns:c="http://schemas.openxmlformats.org/drawingml/2006/chart" xmlns:c16="http://schemas.microsoft.com/office/drawing/2014/chart" uri="{C3380CC4-5D6E-409C-BE32-E72D297353CC}">
              <c16:uniqueId val="{00000002-8D7B-4D11-8548-1B58FF44A1B3}"/>
            </c:ext>
          </c:extLst>
        </c:ser>
        <c:ser>
          <c:idx val="3"/>
          <c:order val="3"/>
          <c:tx>
            <c:strRef>
              <c:f>Sheet1!$A$5</c:f>
              <c:strCache>
                <c:ptCount val="1"/>
                <c:pt idx="0">
                  <c:v>Category 4</c:v>
                </c:pt>
              </c:strCache>
            </c:strRef>
          </c:tx>
          <c:spPr>
            <a:solidFill>
              <a:schemeClr val="accent4"/>
            </a:solidFill>
            <a:ln>
              <a:noFill/>
            </a:ln>
            <a:effectLst/>
          </c:spPr>
          <c:invertIfNegative val="0"/>
          <c:cat>
            <c:strRef>
              <c:f>Sheet1!$B$1:$D$1</c:f>
              <c:strCache>
                <c:ptCount val="3"/>
                <c:pt idx="0">
                  <c:v>2010</c:v>
                </c:pt>
                <c:pt idx="1">
                  <c:v>2015</c:v>
                </c:pt>
                <c:pt idx="2">
                  <c:v>2016</c:v>
                </c:pt>
              </c:strCache>
            </c:strRef>
          </c:cat>
          <c:val>
            <c:numRef>
              <c:f>Sheet1!$B$5:$D$5</c:f>
              <c:numCache>
                <c:formatCode>0.00</c:formatCode>
                <c:ptCount val="3"/>
                <c:pt idx="0">
                  <c:v>0.025068886782221862</c:v>
                </c:pt>
                <c:pt idx="1">
                  <c:v>0.025788311648171108</c:v>
                </c:pt>
                <c:pt idx="2">
                  <c:v>0.02511603340584271</c:v>
                </c:pt>
              </c:numCache>
            </c:numRef>
          </c:val>
          <c:extLst>
            <c:ext xmlns:c="http://schemas.openxmlformats.org/drawingml/2006/chart" xmlns:c16="http://schemas.microsoft.com/office/drawing/2014/chart" uri="{C3380CC4-5D6E-409C-BE32-E72D297353CC}">
              <c16:uniqueId val="{00000003-8D7B-4D11-8548-1B58FF44A1B3}"/>
            </c:ext>
          </c:extLst>
        </c:ser>
        <c:ser>
          <c:idx val="4"/>
          <c:order val="4"/>
          <c:tx>
            <c:strRef>
              <c:f>Sheet1!$A$6</c:f>
              <c:strCache>
                <c:ptCount val="1"/>
              </c:strCache>
            </c:strRef>
          </c:tx>
          <c:spPr>
            <a:solidFill>
              <a:schemeClr val="accent5"/>
            </a:solidFill>
            <a:ln>
              <a:noFill/>
            </a:ln>
            <a:effectLst/>
          </c:spPr>
          <c:invertIfNegative val="0"/>
          <c:cat>
            <c:strRef>
              <c:f>Sheet1!$B$1:$D$1</c:f>
              <c:strCache>
                <c:ptCount val="3"/>
                <c:pt idx="0">
                  <c:v>2010</c:v>
                </c:pt>
                <c:pt idx="1">
                  <c:v>2015</c:v>
                </c:pt>
                <c:pt idx="2">
                  <c:v>2016</c:v>
                </c:pt>
              </c:strCache>
            </c:strRef>
          </c:cat>
          <c:val>
            <c:numRef>
              <c:f>Sheet1!$B$6:$D$6</c:f>
              <c:numCache>
                <c:formatCode>0.00</c:formatCode>
                <c:ptCount val="3"/>
                <c:pt idx="0">
                  <c:v>0.073653341792790025</c:v>
                </c:pt>
                <c:pt idx="1">
                  <c:v>0.082432294210821586</c:v>
                </c:pt>
                <c:pt idx="2">
                  <c:v>0.08106020732037976</c:v>
                </c:pt>
              </c:numCache>
            </c:numRef>
          </c:val>
          <c:extLst>
            <c:ext xmlns:c="http://schemas.openxmlformats.org/drawingml/2006/chart" xmlns:c16="http://schemas.microsoft.com/office/drawing/2014/chart" uri="{C3380CC4-5D6E-409C-BE32-E72D297353CC}">
              <c16:uniqueId val="{00000004-8D7B-4D11-8548-1B58FF44A1B3}"/>
            </c:ext>
          </c:extLst>
        </c:ser>
        <c:dLbls>
          <c:showLegendKey val="0"/>
          <c:showVal val="0"/>
          <c:showCatName val="0"/>
          <c:showSerName val="0"/>
          <c:showPercent val="0"/>
          <c:showBubbleSize val="0"/>
        </c:dLbls>
        <c:gapWidth val="40"/>
        <c:overlap val="100"/>
        <c:axId val="656435448"/>
        <c:axId val="656436232"/>
      </c:barChart>
      <c:catAx>
        <c:axId val="656435448"/>
        <c:scaling>
          <c:orientation val="minMax"/>
        </c:scaling>
        <c:delete val="0"/>
        <c:axPos val="b"/>
        <c:numFmt formatCode="General" sourceLinked="1"/>
        <c:majorTickMark val="out"/>
        <c:minorTickMark val="none"/>
        <c:tickLblPos val="nextTo"/>
        <c:spPr>
          <a:noFill/>
          <a:ln w="9525">
            <a:solidFill>
              <a:schemeClr val="bg1">
                <a:lumMod val="50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lv-LV"/>
          </a:p>
        </c:txPr>
        <c:crossAx val="656436232"/>
        <c:crosses val="autoZero"/>
        <c:auto val="1"/>
        <c:lblAlgn val="ctr"/>
        <c:lblOffset val="100"/>
        <c:noMultiLvlLbl val="0"/>
      </c:catAx>
      <c:valAx>
        <c:axId val="656436232"/>
        <c:scaling>
          <c:orientation val="minMax"/>
        </c:scaling>
        <c:delete val="0"/>
        <c:axPos val="l"/>
        <c:numFmt formatCode="0%" sourceLinked="1"/>
        <c:majorTickMark val="out"/>
        <c:minorTickMark val="none"/>
        <c:tickLblPos val="nextTo"/>
        <c:spPr>
          <a:noFill/>
          <a:ln w="9525">
            <a:solidFill>
              <a:schemeClr val="bg1">
                <a:lumMod val="50000"/>
              </a:schemeClr>
            </a:solidFill>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lv-LV"/>
          </a:p>
        </c:txPr>
        <c:crossAx val="656435448"/>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sz="700">
          <a:solidFill>
            <a:schemeClr val="tx1"/>
          </a:solidFill>
        </a:defRPr>
      </a:pPr>
      <a:endParaRPr lang="lv-LV"/>
    </a:p>
  </c:txPr>
  <c:externalData r:id="rId1">
    <c:autoUpdate val="0"/>
  </c:externalData>
</c:chartSpace>
</file>

<file path=word/charts/chart30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E1F0-4290-9A13-3BF67C226F0B}"/>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E1F0-4290-9A13-3BF67C226F0B}"/>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Sheet1!$B$2:$M$2</c:f>
              <c:numCache>
                <c:formatCode>0</c:formatCode>
                <c:ptCount val="12"/>
                <c:pt idx="0">
                  <c:v>2005</c:v>
                </c:pt>
                <c:pt idx="1">
                  <c:v>2006</c:v>
                </c:pt>
                <c:pt idx="2">
                  <c:v>2007</c:v>
                </c:pt>
                <c:pt idx="3">
                  <c:v>2008</c:v>
                </c:pt>
                <c:pt idx="4">
                  <c:v>2009</c:v>
                </c:pt>
                <c:pt idx="5">
                  <c:v>2010</c:v>
                </c:pt>
                <c:pt idx="6">
                  <c:v>2011</c:v>
                </c:pt>
                <c:pt idx="7">
                  <c:v>2012</c:v>
                </c:pt>
                <c:pt idx="8">
                  <c:v>2013</c:v>
                </c:pt>
                <c:pt idx="9" formatCode="General">
                  <c:v>2014</c:v>
                </c:pt>
                <c:pt idx="10" formatCode="General">
                  <c:v>2015</c:v>
                </c:pt>
                <c:pt idx="11" formatCode="General">
                  <c:v>2016</c:v>
                </c:pt>
              </c:numCache>
            </c:numRef>
          </c:cat>
          <c:val>
            <c:numRef>
              <c:f>Sheet1!$B$3:$M$3</c:f>
              <c:numCache>
                <c:formatCode>0.0</c:formatCode>
                <c:ptCount val="12"/>
                <c:pt idx="0">
                  <c:v>8.6273105029373838</c:v>
                </c:pt>
                <c:pt idx="1">
                  <c:v>8.9537780238029328</c:v>
                </c:pt>
                <c:pt idx="2">
                  <c:v>9.81362467866324</c:v>
                </c:pt>
                <c:pt idx="3">
                  <c:v>12.880819838056679</c:v>
                </c:pt>
                <c:pt idx="4">
                  <c:v>11.924633635729238</c:v>
                </c:pt>
                <c:pt idx="5">
                  <c:v>11.047381546134662</c:v>
                </c:pt>
                <c:pt idx="6">
                  <c:v>10.805885529157667</c:v>
                </c:pt>
                <c:pt idx="7">
                  <c:v>13.472466315172817</c:v>
                </c:pt>
                <c:pt idx="8">
                  <c:v>13.880945433323605</c:v>
                </c:pt>
                <c:pt idx="9">
                  <c:v>14.637915808065941</c:v>
                </c:pt>
                <c:pt idx="10">
                  <c:v>15.467351430667643</c:v>
                </c:pt>
                <c:pt idx="11" formatCode="General">
                  <c:v>16.386466165413534</c:v>
                </c:pt>
              </c:numCache>
            </c:numRef>
          </c:val>
          <c:extLst>
            <c:ext xmlns:c="http://schemas.openxmlformats.org/drawingml/2006/chart" xmlns:c16="http://schemas.microsoft.com/office/drawing/2014/chart" uri="{C3380CC4-5D6E-409C-BE32-E72D297353CC}">
              <c16:uniqueId val="{00000004-E1F0-4290-9A13-3BF67C226F0B}"/>
            </c:ext>
          </c:extLst>
        </c:ser>
        <c:dLbls>
          <c:showLegendKey val="0"/>
          <c:showVal val="0"/>
          <c:showCatName val="0"/>
          <c:showSerName val="0"/>
          <c:showPercent val="0"/>
          <c:showBubbleSize val="0"/>
        </c:dLbls>
        <c:gapWidth val="20"/>
        <c:axId val="656434272"/>
        <c:axId val="656429568"/>
      </c:barChart>
      <c:catAx>
        <c:axId val="656434272"/>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56429568"/>
        <c:crosses val="autoZero"/>
        <c:auto val="1"/>
        <c:lblAlgn val="ctr"/>
        <c:lblOffset val="100"/>
        <c:noMultiLvlLbl val="0"/>
      </c:catAx>
      <c:valAx>
        <c:axId val="656429568"/>
        <c:scaling>
          <c:orientation val="minMax"/>
          <c:max val="25"/>
          <c:min val="0"/>
        </c:scaling>
        <c:delete val="0"/>
        <c:axPos val="l"/>
        <c:numFmt formatCode="0" sourceLinked="0"/>
        <c:majorTickMark val="out"/>
        <c:minorTickMark val="none"/>
        <c:tickLblPos val="nextTo"/>
        <c:crossAx val="656434272"/>
        <c:crosses val="autoZero"/>
        <c:crossBetween val="between"/>
        <c:majorUnit val="5"/>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30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C1D1-4779-B505-9E25384FD44E}"/>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C1D1-4779-B505-9E25384FD44E}"/>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Sheet1!$B$2:$M$2</c:f>
              <c:numCache>
                <c:formatCode>0</c:formatCode>
                <c:ptCount val="12"/>
                <c:pt idx="0">
                  <c:v>2005</c:v>
                </c:pt>
                <c:pt idx="1">
                  <c:v>2006</c:v>
                </c:pt>
                <c:pt idx="2">
                  <c:v>2007</c:v>
                </c:pt>
                <c:pt idx="3">
                  <c:v>2008</c:v>
                </c:pt>
                <c:pt idx="4">
                  <c:v>2009</c:v>
                </c:pt>
                <c:pt idx="5">
                  <c:v>2010</c:v>
                </c:pt>
                <c:pt idx="6">
                  <c:v>2011</c:v>
                </c:pt>
                <c:pt idx="7">
                  <c:v>2012</c:v>
                </c:pt>
                <c:pt idx="8">
                  <c:v>2013</c:v>
                </c:pt>
                <c:pt idx="9" formatCode="General">
                  <c:v>2014</c:v>
                </c:pt>
                <c:pt idx="10" formatCode="General">
                  <c:v>2015</c:v>
                </c:pt>
                <c:pt idx="11" formatCode="General">
                  <c:v>2016</c:v>
                </c:pt>
              </c:numCache>
            </c:numRef>
          </c:cat>
          <c:val>
            <c:numRef>
              <c:f>Sheet1!$B$3:$M$3</c:f>
              <c:numCache>
                <c:formatCode>General</c:formatCode>
                <c:ptCount val="12"/>
                <c:pt idx="0">
                  <c:v>26.787804546073225</c:v>
                </c:pt>
                <c:pt idx="1">
                  <c:v>27.254825754631433</c:v>
                </c:pt>
                <c:pt idx="2">
                  <c:v>26.456876456876454</c:v>
                </c:pt>
                <c:pt idx="3">
                  <c:v>27.6531112199902</c:v>
                </c:pt>
                <c:pt idx="4">
                  <c:v>23.442184154175589</c:v>
                </c:pt>
                <c:pt idx="5">
                  <c:v>21.760554175924714</c:v>
                </c:pt>
                <c:pt idx="6">
                  <c:v>25.440165953584859</c:v>
                </c:pt>
                <c:pt idx="7">
                  <c:v>29.319920657410034</c:v>
                </c:pt>
                <c:pt idx="8">
                  <c:v>29.06096706377015</c:v>
                </c:pt>
                <c:pt idx="9">
                  <c:v>29.234303215926495</c:v>
                </c:pt>
                <c:pt idx="10">
                  <c:v>26.633227978562594</c:v>
                </c:pt>
                <c:pt idx="11">
                  <c:v>27.411681914144967</c:v>
                </c:pt>
              </c:numCache>
            </c:numRef>
          </c:val>
          <c:extLst>
            <c:ext xmlns:c="http://schemas.openxmlformats.org/drawingml/2006/chart" xmlns:c16="http://schemas.microsoft.com/office/drawing/2014/chart" uri="{C3380CC4-5D6E-409C-BE32-E72D297353CC}">
              <c16:uniqueId val="{00000004-C1D1-4779-B505-9E25384FD44E}"/>
            </c:ext>
          </c:extLst>
        </c:ser>
        <c:dLbls>
          <c:showLegendKey val="0"/>
          <c:showVal val="0"/>
          <c:showCatName val="0"/>
          <c:showSerName val="0"/>
          <c:showPercent val="0"/>
          <c:showBubbleSize val="0"/>
        </c:dLbls>
        <c:gapWidth val="20"/>
        <c:axId val="656431920"/>
        <c:axId val="656428000"/>
      </c:barChart>
      <c:catAx>
        <c:axId val="656431920"/>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56428000"/>
        <c:crosses val="autoZero"/>
        <c:auto val="1"/>
        <c:lblAlgn val="ctr"/>
        <c:lblOffset val="100"/>
        <c:noMultiLvlLbl val="0"/>
      </c:catAx>
      <c:valAx>
        <c:axId val="656428000"/>
        <c:scaling>
          <c:orientation val="minMax"/>
        </c:scaling>
        <c:delete val="0"/>
        <c:axPos val="l"/>
        <c:numFmt formatCode="0" sourceLinked="0"/>
        <c:majorTickMark val="out"/>
        <c:minorTickMark val="none"/>
        <c:tickLblPos val="nextTo"/>
        <c:crossAx val="656431920"/>
        <c:crosses val="autoZero"/>
        <c:crossBetween val="between"/>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572372897835"/>
          <c:y val="0.044057785459744363"/>
          <c:w val="0.9310540474739486"/>
          <c:h val="0.73908627275249128"/>
        </c:manualLayout>
      </c:layout>
      <c:barChart>
        <c:barDir val="col"/>
        <c:grouping val="clustered"/>
        <c:varyColors val="0"/>
        <c:ser>
          <c:idx val="1"/>
          <c:order val="0"/>
          <c:tx>
            <c:strRef>
              <c:f>Sheet1!$B$3</c:f>
              <c:strCache>
                <c:ptCount val="1"/>
              </c:strCache>
            </c:strRef>
          </c:tx>
          <c:spPr>
            <a:solidFill>
              <a:schemeClr val="accent3">
                <a:lumMod val="50000"/>
              </a:schemeClr>
            </a:solidFill>
            <a:ln w="19050"/>
          </c:spPr>
          <c:invertIfNegative val="0"/>
          <c:dPt>
            <c:idx val="1"/>
            <c:invertIfNegative val="0"/>
            <c:bubble3D val="0"/>
            <c:spPr>
              <a:ln w="19050"/>
            </c:spPr>
            <c:extLst>
              <c:ext xmlns:c="http://schemas.openxmlformats.org/drawingml/2006/chart" xmlns:c16="http://schemas.microsoft.com/office/drawing/2014/chart" uri="{C3380CC4-5D6E-409C-BE32-E72D297353CC}">
                <c16:uniqueId val="{00000001-3EA0-4D2A-99B4-409490642B6F}"/>
              </c:ext>
            </c:extLst>
          </c:dPt>
          <c:dPt>
            <c:idx val="5"/>
            <c:invertIfNegative val="0"/>
            <c:bubble3D val="0"/>
            <c:extLst>
              <c:ext xmlns:c="http://schemas.openxmlformats.org/drawingml/2006/chart" xmlns:c16="http://schemas.microsoft.com/office/drawing/2014/chart" uri="{C3380CC4-5D6E-409C-BE32-E72D297353CC}">
                <c16:uniqueId val="{00000002-3EA0-4D2A-99B4-409490642B6F}"/>
              </c:ext>
            </c:extLst>
          </c:dPt>
          <c:dPt>
            <c:idx val="8"/>
            <c:invertIfNegative val="0"/>
            <c:bubble3D val="0"/>
            <c:extLst>
              <c:ext xmlns:c="http://schemas.openxmlformats.org/drawingml/2006/chart" xmlns:c16="http://schemas.microsoft.com/office/drawing/2014/chart" uri="{C3380CC4-5D6E-409C-BE32-E72D297353CC}">
                <c16:uniqueId val="{00000003-3EA0-4D2A-99B4-409490642B6F}"/>
              </c:ext>
            </c:extLst>
          </c:dPt>
          <c:dPt>
            <c:idx val="9"/>
            <c:invertIfNegative val="0"/>
            <c:bubble3D val="0"/>
            <c:extLst>
              <c:ext xmlns:c="http://schemas.openxmlformats.org/drawingml/2006/chart" xmlns:c16="http://schemas.microsoft.com/office/drawing/2014/chart" uri="{C3380CC4-5D6E-409C-BE32-E72D297353CC}">
                <c16:uniqueId val="{00000004-3EA0-4D2A-99B4-409490642B6F}"/>
              </c:ext>
            </c:extLst>
          </c:dPt>
          <c:dPt>
            <c:idx val="12"/>
            <c:invertIfNegative val="0"/>
            <c:bubble3D val="0"/>
            <c:extLst>
              <c:ext xmlns:c="http://schemas.openxmlformats.org/drawingml/2006/chart" xmlns:c16="http://schemas.microsoft.com/office/drawing/2014/chart" uri="{C3380CC4-5D6E-409C-BE32-E72D297353CC}">
                <c16:uniqueId val="{00000005-3EA0-4D2A-99B4-409490642B6F}"/>
              </c:ext>
            </c:extLst>
          </c:dPt>
          <c:dPt>
            <c:idx val="13"/>
            <c:invertIfNegative val="0"/>
            <c:bubble3D val="0"/>
            <c:extLst>
              <c:ext xmlns:c="http://schemas.openxmlformats.org/drawingml/2006/chart" xmlns:c16="http://schemas.microsoft.com/office/drawing/2014/chart" uri="{C3380CC4-5D6E-409C-BE32-E72D297353CC}">
                <c16:uniqueId val="{00000006-3EA0-4D2A-99B4-409490642B6F}"/>
              </c:ext>
            </c:extLst>
          </c:dPt>
          <c:dPt>
            <c:idx val="15"/>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8-3EA0-4D2A-99B4-409490642B6F}"/>
              </c:ext>
            </c:extLst>
          </c:dPt>
          <c:dPt>
            <c:idx val="21"/>
            <c:invertIfNegative val="0"/>
            <c:bubble3D val="0"/>
            <c:extLst>
              <c:ext xmlns:c="http://schemas.openxmlformats.org/drawingml/2006/chart" xmlns:c16="http://schemas.microsoft.com/office/drawing/2014/chart" uri="{C3380CC4-5D6E-409C-BE32-E72D297353CC}">
                <c16:uniqueId val="{00000009-3EA0-4D2A-99B4-409490642B6F}"/>
              </c:ext>
            </c:extLst>
          </c:dPt>
          <c:dPt>
            <c:idx val="25"/>
            <c:invertIfNegative val="0"/>
            <c:bubble3D val="0"/>
            <c:extLst>
              <c:ext xmlns:c="http://schemas.openxmlformats.org/drawingml/2006/chart" xmlns:c16="http://schemas.microsoft.com/office/drawing/2014/chart" uri="{C3380CC4-5D6E-409C-BE32-E72D297353CC}">
                <c16:uniqueId val="{0000000A-3EA0-4D2A-99B4-409490642B6F}"/>
              </c:ext>
            </c:extLst>
          </c:dPt>
          <c:dLbls>
            <c:dLbl>
              <c:idx val="0"/>
              <c:spPr>
                <a:noFill/>
                <a:ln>
                  <a:noFill/>
                </a:ln>
                <a:effectLst/>
              </c:spPr>
              <c:txPr>
                <a:bodyPr wrap="square" lIns="38100" tIns="19050" rIns="38100" bIns="19050" anchor="ctr">
                  <a:spAutoFit/>
                </a:bodyPr>
                <a:lstStyle/>
                <a:p>
                  <a:pPr>
                    <a:defRPr sz="800">
                      <a:solidFill>
                        <a:schemeClr val="bg1"/>
                      </a:solidFill>
                      <a:latin typeface="Candara" panose="020E0502030303020204" pitchFamily="34" charset="0"/>
                    </a:defRPr>
                  </a:pPr>
                  <a:endParaRPr lang="lv-LV"/>
                </a:p>
              </c:txPr>
              <c:dLblPos val="in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3EA0-4D2A-99B4-409490642B6F}"/>
                </c:ext>
                <c:ext xmlns:c15="http://schemas.microsoft.com/office/drawing/2012/chart" uri="{CE6537A1-D6FC-4f65-9D91-7224C49458BB}"/>
              </c:extLst>
            </c:dLbl>
            <c:dLbl>
              <c:idx val="1"/>
              <c:spPr>
                <a:noFill/>
                <a:ln>
                  <a:noFill/>
                </a:ln>
                <a:effectLst/>
              </c:spPr>
              <c:txPr>
                <a:bodyPr wrap="square" lIns="38100" tIns="19050" rIns="38100" bIns="19050" anchor="ctr">
                  <a:spAutoFit/>
                </a:bodyPr>
                <a:lstStyle/>
                <a:p>
                  <a:pPr>
                    <a:defRPr sz="800" b="1">
                      <a:latin typeface="Candara" panose="020E0502030303020204" pitchFamily="34" charset="0"/>
                    </a:defRPr>
                  </a:pPr>
                  <a:endParaRPr lang="lv-LV"/>
                </a:p>
              </c:txPr>
              <c:showLegendKey val="0"/>
              <c:showVal val="1"/>
              <c:showCatName val="0"/>
              <c:showSerName val="0"/>
              <c:showPercent val="0"/>
              <c:showBubbleSize val="0"/>
            </c:dLbl>
            <c:dLbl>
              <c:idx val="15"/>
              <c:spPr>
                <a:noFill/>
                <a:ln>
                  <a:noFill/>
                </a:ln>
                <a:effectLst/>
              </c:spPr>
              <c:txPr>
                <a:bodyPr wrap="square" lIns="38100" tIns="19050" rIns="38100" bIns="19050" anchor="ctr">
                  <a:spAutoFit/>
                </a:bodyPr>
                <a:lstStyle/>
                <a:p>
                  <a:pPr>
                    <a:defRPr sz="800" b="0">
                      <a:latin typeface="Candara" panose="020E0502030303020204" pitchFamily="34" charset="0"/>
                    </a:defRPr>
                  </a:pPr>
                  <a:endParaRPr lang="lv-LV"/>
                </a:p>
              </c:txPr>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800">
                    <a:latin typeface="Candara" panose="020E0502030303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Sheet1!$A$4:$A$30</c:f>
              <c:strCache>
                <c:ptCount val="27"/>
                <c:pt idx="0">
                  <c:v>BE</c:v>
                </c:pt>
                <c:pt idx="1">
                  <c:v>LV</c:v>
                </c:pt>
                <c:pt idx="2">
                  <c:v>NL</c:v>
                </c:pt>
                <c:pt idx="3">
                  <c:v>CY</c:v>
                </c:pt>
                <c:pt idx="4">
                  <c:v>SI</c:v>
                </c:pt>
                <c:pt idx="5">
                  <c:v>EE</c:v>
                </c:pt>
                <c:pt idx="6">
                  <c:v>IE</c:v>
                </c:pt>
                <c:pt idx="7">
                  <c:v>LT</c:v>
                </c:pt>
                <c:pt idx="8">
                  <c:v>AT</c:v>
                </c:pt>
                <c:pt idx="9">
                  <c:v>DE</c:v>
                </c:pt>
                <c:pt idx="10">
                  <c:v>DK</c:v>
                </c:pt>
                <c:pt idx="11">
                  <c:v>ES</c:v>
                </c:pt>
                <c:pt idx="12">
                  <c:v>FI</c:v>
                </c:pt>
                <c:pt idx="13">
                  <c:v>LU</c:v>
                </c:pt>
                <c:pt idx="14">
                  <c:v>IT</c:v>
                </c:pt>
                <c:pt idx="15">
                  <c:v>EU-28</c:v>
                </c:pt>
                <c:pt idx="16">
                  <c:v>SE</c:v>
                </c:pt>
                <c:pt idx="17">
                  <c:v>HU</c:v>
                </c:pt>
                <c:pt idx="18">
                  <c:v>HR</c:v>
                </c:pt>
                <c:pt idx="19">
                  <c:v>SK</c:v>
                </c:pt>
                <c:pt idx="20">
                  <c:v>PT</c:v>
                </c:pt>
                <c:pt idx="21">
                  <c:v>EL</c:v>
                </c:pt>
                <c:pt idx="22">
                  <c:v>UK</c:v>
                </c:pt>
                <c:pt idx="23">
                  <c:v>CZ</c:v>
                </c:pt>
                <c:pt idx="24">
                  <c:v>BG</c:v>
                </c:pt>
                <c:pt idx="25">
                  <c:v>PL</c:v>
                </c:pt>
                <c:pt idx="26">
                  <c:v>RO</c:v>
                </c:pt>
              </c:strCache>
            </c:strRef>
          </c:cat>
          <c:val>
            <c:numRef>
              <c:f>Sheet1!$B$4:$B$30</c:f>
              <c:numCache>
                <c:formatCode>0</c:formatCode>
                <c:ptCount val="27"/>
                <c:pt idx="0">
                  <c:v>138.38470125</c:v>
                </c:pt>
                <c:pt idx="1">
                  <c:v>60.437708396946562</c:v>
                </c:pt>
                <c:pt idx="2">
                  <c:v>35.272259111111111</c:v>
                </c:pt>
                <c:pt idx="3">
                  <c:v>25.59086</c:v>
                </c:pt>
                <c:pt idx="4">
                  <c:v>23.307983333333333</c:v>
                </c:pt>
                <c:pt idx="5">
                  <c:v>21.440930909090909</c:v>
                </c:pt>
                <c:pt idx="6">
                  <c:v>21.293487912087915</c:v>
                </c:pt>
                <c:pt idx="7">
                  <c:v>20.831253979238753</c:v>
                </c:pt>
                <c:pt idx="8">
                  <c:v>18.924504299363058</c:v>
                </c:pt>
                <c:pt idx="9">
                  <c:v>14.343684035714286</c:v>
                </c:pt>
                <c:pt idx="10">
                  <c:v>12.218996</c:v>
                </c:pt>
                <c:pt idx="11">
                  <c:v>7.0568948239436624</c:v>
                </c:pt>
                <c:pt idx="12">
                  <c:v>6.0988456923076919</c:v>
                </c:pt>
                <c:pt idx="13">
                  <c:v>5.46185</c:v>
                </c:pt>
                <c:pt idx="14">
                  <c:v>5.1840063755458523</c:v>
                </c:pt>
                <c:pt idx="15">
                  <c:v>4.8702569589702325</c:v>
                </c:pt>
                <c:pt idx="16">
                  <c:v>4.8136045</c:v>
                </c:pt>
                <c:pt idx="17">
                  <c:v>4.6109970802919706</c:v>
                </c:pt>
                <c:pt idx="18">
                  <c:v>3.7251496240601503</c:v>
                </c:pt>
                <c:pt idx="19">
                  <c:v>3.0403</c:v>
                </c:pt>
                <c:pt idx="20">
                  <c:v>2.4577112860892387</c:v>
                </c:pt>
                <c:pt idx="21">
                  <c:v>1.9935534883720931</c:v>
                </c:pt>
                <c:pt idx="22">
                  <c:v>1.9798966790813162</c:v>
                </c:pt>
                <c:pt idx="23">
                  <c:v>1.8874911419753089</c:v>
                </c:pt>
                <c:pt idx="24">
                  <c:v>1.122121358393849</c:v>
                </c:pt>
                <c:pt idx="25" formatCode="0.0">
                  <c:v>0.21121571113074203</c:v>
                </c:pt>
                <c:pt idx="26" formatCode="0.0">
                  <c:v>0.078548271604938269</c:v>
                </c:pt>
              </c:numCache>
            </c:numRef>
          </c:val>
          <c:extLst>
            <c:ext xmlns:c="http://schemas.openxmlformats.org/drawingml/2006/chart" xmlns:c16="http://schemas.microsoft.com/office/drawing/2014/chart" uri="{C3380CC4-5D6E-409C-BE32-E72D297353CC}">
              <c16:uniqueId val="{0000000C-3EA0-4D2A-99B4-409490642B6F}"/>
            </c:ext>
          </c:extLst>
        </c:ser>
        <c:dLbls>
          <c:showLegendKey val="0"/>
          <c:showVal val="0"/>
          <c:showCatName val="0"/>
          <c:showSerName val="0"/>
          <c:showPercent val="0"/>
          <c:showBubbleSize val="0"/>
        </c:dLbls>
        <c:gapWidth val="20"/>
        <c:axId val="629840848"/>
        <c:axId val="629841632"/>
      </c:barChart>
      <c:catAx>
        <c:axId val="629840848"/>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29841632"/>
        <c:crosses val="autoZero"/>
        <c:auto val="1"/>
        <c:lblAlgn val="ctr"/>
        <c:lblOffset val="100"/>
        <c:tickLblSkip val="1"/>
        <c:noMultiLvlLbl val="0"/>
      </c:catAx>
      <c:valAx>
        <c:axId val="629841632"/>
        <c:scaling>
          <c:orientation val="minMax"/>
          <c:min val="0"/>
        </c:scaling>
        <c:delete val="0"/>
        <c:axPos val="l"/>
        <c:numFmt formatCode="0" sourceLinked="0"/>
        <c:majorTickMark val="out"/>
        <c:minorTickMark val="none"/>
        <c:tickLblPos val="nextTo"/>
        <c:txPr>
          <a:bodyPr/>
          <a:lstStyle/>
          <a:p>
            <a:pPr>
              <a:defRPr sz="600"/>
            </a:pPr>
            <a:endParaRPr lang="lv-LV"/>
          </a:p>
        </c:txPr>
        <c:crossAx val="629840848"/>
        <c:crosses val="autoZero"/>
        <c:crossBetween val="between"/>
      </c:valAx>
    </c:plotArea>
    <c:plotVisOnly val="1"/>
    <c:dispBlanksAs val="gap"/>
    <c:showDLblsOverMax val="0"/>
  </c:chart>
  <c:spPr>
    <a:ln w="9525">
      <a:noFill/>
    </a:ln>
  </c:spPr>
  <c:externalData r:id="rId1">
    <c:autoUpdate val="0"/>
  </c:externalData>
  <c:userShapes r:id="rId2"/>
</c:chartSpace>
</file>

<file path=word/charts/chart310.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72841410287632"/>
          <c:y val="0.057971014492753624"/>
          <c:w val="0.69294856184214082"/>
          <c:h val="0.726718711443121"/>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extLst>
              <c:ext xmlns:c="http://schemas.openxmlformats.org/drawingml/2006/chart" xmlns:c16="http://schemas.microsoft.com/office/drawing/2014/chart" uri="{C3380CC4-5D6E-409C-BE32-E72D297353CC}">
                <c16:uniqueId val="{00000000-94FA-47C1-A1BB-6E4F8711CFE8}"/>
              </c:ext>
            </c:extLst>
          </c:dPt>
          <c:dLbls>
            <c:dLbl>
              <c:idx val="0"/>
              <c:layout>
                <c:manualLayout>
                  <c:x val="-0.2296245015717317"/>
                  <c:y val="0.0052569739150751587"/>
                </c:manualLayout>
              </c:layout>
              <c:tx>
                <c:rich>
                  <a:bodyPr vertOverflow="clip"/>
                  <a:lstStyle/>
                  <a:p>
                    <a:r>
                      <a:rPr lang="en-US"/>
                      <a:t>2005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94FA-47C1-A1BB-6E4F8711CFE8}"/>
                </c:ext>
                <c:ext xmlns:c15="http://schemas.microsoft.com/office/drawing/2012/chart" uri="{CE6537A1-D6FC-4f65-9D91-7224C49458BB}"/>
              </c:extLst>
            </c:dLbl>
            <c:dLbl>
              <c:idx val="1"/>
              <c:layout>
                <c:manualLayout>
                  <c:x val="-0.034198909782113512"/>
                  <c:y val="-0.10279720436823081"/>
                </c:manualLayout>
              </c:layout>
              <c:tx>
                <c:rich>
                  <a:bodyPr vertOverflow="clip"/>
                  <a:lstStyle/>
                  <a:p>
                    <a:r>
                      <a:rPr lang="en-US"/>
                      <a:t>2007</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94FA-47C1-A1BB-6E4F8711CFE8}"/>
                </c:ext>
                <c:ext xmlns:c15="http://schemas.microsoft.com/office/drawing/2012/chart" uri="{CE6537A1-D6FC-4f65-9D91-7224C49458BB}"/>
              </c:extLst>
            </c:dLbl>
            <c:dLbl>
              <c:idx val="2"/>
              <c:layout>
                <c:manualLayout>
                  <c:x val="0.23308810743786879"/>
                  <c:y val="0.53749862397584491"/>
                </c:manualLayout>
              </c:layout>
              <c:tx>
                <c:rich>
                  <a:bodyPr vertOverflow="clip"/>
                  <a:lstStyle/>
                  <a:p>
                    <a:r>
                      <a:rPr lang="en-US"/>
                      <a:t>2009</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94FA-47C1-A1BB-6E4F8711CFE8}"/>
                </c:ext>
                <c:ext xmlns:c15="http://schemas.microsoft.com/office/drawing/2012/chart" uri="{CE6537A1-D6FC-4f65-9D91-7224C49458BB}"/>
              </c:extLst>
            </c:dLbl>
            <c:dLbl>
              <c:idx val="3"/>
              <c:delete val="1"/>
              <c:extLst>
                <c:ext xmlns:c="http://schemas.openxmlformats.org/drawingml/2006/chart" xmlns:c16="http://schemas.microsoft.com/office/drawing/2014/chart" uri="{C3380CC4-5D6E-409C-BE32-E72D297353CC}">
                  <c16:uniqueId val="{00000004-94FA-47C1-A1BB-6E4F8711CFE8}"/>
                </c:ext>
                <c:ext xmlns:c15="http://schemas.microsoft.com/office/drawing/2012/chart" uri="{CE6537A1-D6FC-4f65-9D91-7224C49458BB}"/>
              </c:extLst>
            </c:dLbl>
            <c:dLbl>
              <c:idx val="4"/>
              <c:delete val="1"/>
              <c:extLst>
                <c:ext xmlns:c="http://schemas.openxmlformats.org/drawingml/2006/chart" xmlns:c16="http://schemas.microsoft.com/office/drawing/2014/chart" uri="{C3380CC4-5D6E-409C-BE32-E72D297353CC}">
                  <c16:uniqueId val="{00000005-94FA-47C1-A1BB-6E4F8711CFE8}"/>
                </c:ext>
                <c:ext xmlns:c15="http://schemas.microsoft.com/office/drawing/2012/chart" uri="{CE6537A1-D6FC-4f65-9D91-7224C49458BB}"/>
              </c:extLst>
            </c:dLbl>
            <c:dLbl>
              <c:idx val="5"/>
              <c:layout>
                <c:manualLayout>
                  <c:x val="-0.22014535877355634"/>
                  <c:y val="0.0057062879249106429"/>
                </c:manualLayout>
              </c:layout>
              <c:tx>
                <c:rich>
                  <a:bodyPr vertOverflow="clip"/>
                  <a:lstStyle/>
                  <a:p>
                    <a:r>
                      <a:rPr lang="en-US"/>
                      <a:t>2010</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94FA-47C1-A1BB-6E4F8711CFE8}"/>
                </c:ext>
                <c:ext xmlns:c15="http://schemas.microsoft.com/office/drawing/2012/chart" uri="{CE6537A1-D6FC-4f65-9D91-7224C49458BB}"/>
              </c:extLst>
            </c:dLbl>
            <c:dLbl>
              <c:idx val="6"/>
              <c:layout>
                <c:manualLayout>
                  <c:x val="-0.18574764646518815"/>
                  <c:y val="0.051356591324195781"/>
                </c:manualLayout>
              </c:layout>
              <c:tx>
                <c:rich>
                  <a:bodyPr vertOverflow="clip"/>
                  <a:lstStyle/>
                  <a:p>
                    <a:r>
                      <a:rPr lang="en-US"/>
                      <a:t>2011</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94FA-47C1-A1BB-6E4F8711CFE8}"/>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7-94FA-47C1-A1BB-6E4F8711CFE8}"/>
                </c:ext>
                <c:ext xmlns:c15="http://schemas.microsoft.com/office/drawing/2012/chart" uri="{CE6537A1-D6FC-4f65-9D91-7224C49458BB}"/>
              </c:extLst>
            </c:dLbl>
            <c:dLbl>
              <c:idx val="8"/>
              <c:layout>
                <c:manualLayout>
                  <c:x val="0"/>
                  <c:y val="0.057062879249106427"/>
                </c:manualLayout>
              </c:layout>
              <c:tx>
                <c:rich>
                  <a:bodyPr vertOverflow="clip"/>
                  <a:lstStyle/>
                  <a:p>
                    <a:r>
                      <a:rPr lang="en-US"/>
                      <a:t>2012</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94FA-47C1-A1BB-6E4F8711CFE8}"/>
                </c:ext>
                <c:ext xmlns:c15="http://schemas.microsoft.com/office/drawing/2012/chart" uri="{CE6537A1-D6FC-4f65-9D91-7224C49458BB}"/>
              </c:extLst>
            </c:dLbl>
            <c:dLbl>
              <c:idx val="9"/>
              <c:delete val="1"/>
              <c:extLst>
                <c:ext xmlns:c="http://schemas.openxmlformats.org/drawingml/2006/chart" xmlns:c16="http://schemas.microsoft.com/office/drawing/2014/chart" uri="{C3380CC4-5D6E-409C-BE32-E72D297353CC}">
                  <c16:uniqueId val="{00000009-94FA-47C1-A1BB-6E4F8711CFE8}"/>
                </c:ext>
                <c:ext xmlns:c15="http://schemas.microsoft.com/office/drawing/2012/chart" uri="{CE6537A1-D6FC-4f65-9D91-7224C49458BB}"/>
              </c:extLst>
            </c:dLbl>
            <c:dLbl>
              <c:idx val="10"/>
              <c:delete val="1"/>
              <c:extLst>
                <c:ext xmlns:c="http://schemas.openxmlformats.org/drawingml/2006/chart" xmlns:c16="http://schemas.microsoft.com/office/drawing/2014/chart" uri="{C3380CC4-5D6E-409C-BE32-E72D297353CC}">
                  <c16:uniqueId val="{0000000A-94FA-47C1-A1BB-6E4F8711CFE8}"/>
                </c:ext>
                <c:ext xmlns:c15="http://schemas.microsoft.com/office/drawing/2012/chart" uri="{CE6537A1-D6FC-4f65-9D91-7224C49458BB}"/>
              </c:extLst>
            </c:dLbl>
            <c:dLbl>
              <c:idx val="11"/>
              <c:layout>
                <c:manualLayout>
                  <c:x val="-0.045473776802943768"/>
                  <c:y val="-0.029435967255112244"/>
                </c:manualLayout>
              </c:layout>
              <c:tx>
                <c:rich>
                  <a:bodyPr vertOverflow="clip"/>
                  <a:lstStyle/>
                  <a:p>
                    <a:r>
                      <a:rPr lang="en-US"/>
                      <a:t>2016</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94FA-47C1-A1BB-6E4F8711CFE8}"/>
                </c:ext>
                <c:ext xmlns:c15="http://schemas.microsoft.com/office/drawing/2012/chart" uri="{CE6537A1-D6FC-4f65-9D91-7224C49458BB}"/>
              </c:extLst>
            </c:dLbl>
            <c:dLbl>
              <c:idx val="12"/>
              <c:tx>
                <c:rich>
                  <a:bodyPr/>
                  <a:lstStyle/>
                  <a:p>
                    <a:r>
                      <a:rPr lang="lv-LV"/>
                      <a:t>FI</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94FA-47C1-A1BB-6E4F8711CFE8}"/>
                </c:ext>
                <c:ext xmlns:c15="http://schemas.microsoft.com/office/drawing/2012/chart" uri="{CE6537A1-D6FC-4f65-9D91-7224C49458BB}"/>
              </c:extLst>
            </c:dLbl>
            <c:dLbl>
              <c:idx val="13"/>
              <c:tx>
                <c:rich>
                  <a:bodyPr/>
                  <a:lstStyle/>
                  <a:p>
                    <a:r>
                      <a:rPr lang="lv-LV" b="0"/>
                      <a:t>SE</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94FA-47C1-A1BB-6E4F8711CFE8}"/>
                </c:ext>
                <c:ext xmlns:c15="http://schemas.microsoft.com/office/drawing/2012/chart" uri="{CE6537A1-D6FC-4f65-9D91-7224C49458BB}"/>
              </c:extLst>
            </c:dLbl>
            <c:spPr>
              <a:noFill/>
              <a:ln>
                <a:noFill/>
              </a:ln>
              <a:effectLst/>
            </c:spPr>
            <c:txPr>
              <a:bodyPr/>
              <a:lstStyle/>
              <a:p>
                <a:pPr>
                  <a:defRPr b="0"/>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Sheet1!$B$3:$B$14</c:f>
              <c:numCache>
                <c:formatCode>0.0</c:formatCode>
                <c:ptCount val="12"/>
                <c:pt idx="0">
                  <c:v>26.787804546073225</c:v>
                </c:pt>
                <c:pt idx="1">
                  <c:v>27.254825754631433</c:v>
                </c:pt>
                <c:pt idx="2">
                  <c:v>26.456876456876454</c:v>
                </c:pt>
                <c:pt idx="3">
                  <c:v>27.6531112199902</c:v>
                </c:pt>
                <c:pt idx="4">
                  <c:v>23.442184154175589</c:v>
                </c:pt>
                <c:pt idx="5">
                  <c:v>21.760554175924714</c:v>
                </c:pt>
                <c:pt idx="6">
                  <c:v>25.440165953584859</c:v>
                </c:pt>
                <c:pt idx="7">
                  <c:v>29.319920657410034</c:v>
                </c:pt>
                <c:pt idx="8">
                  <c:v>29.06096706377015</c:v>
                </c:pt>
                <c:pt idx="9">
                  <c:v>29.234303215926495</c:v>
                </c:pt>
                <c:pt idx="10">
                  <c:v>26.633227978562594</c:v>
                </c:pt>
                <c:pt idx="11">
                  <c:v>27.411681914144967</c:v>
                </c:pt>
              </c:numCache>
            </c:numRef>
          </c:xVal>
          <c:yVal>
            <c:numRef>
              <c:f>Sheet1!$C$3:$C$14</c:f>
              <c:numCache>
                <c:formatCode>0.0</c:formatCode>
                <c:ptCount val="12"/>
                <c:pt idx="0">
                  <c:v>0.32206112628972594</c:v>
                </c:pt>
                <c:pt idx="1">
                  <c:v>0.32852083166524776</c:v>
                </c:pt>
                <c:pt idx="2">
                  <c:v>0.37092907375740358</c:v>
                </c:pt>
                <c:pt idx="3">
                  <c:v>0.46580002284680511</c:v>
                </c:pt>
                <c:pt idx="4">
                  <c:v>0.50868270453396247</c:v>
                </c:pt>
                <c:pt idx="5">
                  <c:v>0.50767923724834108</c:v>
                </c:pt>
                <c:pt idx="6">
                  <c:v>0.42475688047290328</c:v>
                </c:pt>
                <c:pt idx="7">
                  <c:v>0.45949873032033312</c:v>
                </c:pt>
                <c:pt idx="8">
                  <c:v>0.47764912306131618</c:v>
                </c:pt>
                <c:pt idx="9">
                  <c:v>0.50071026834295751</c:v>
                </c:pt>
                <c:pt idx="10">
                  <c:v>0.58075391548923394</c:v>
                </c:pt>
                <c:pt idx="11">
                  <c:v>0.59779134373209675</c:v>
                </c:pt>
              </c:numCache>
            </c:numRef>
          </c:yVal>
          <c:smooth val="1"/>
          <c:extLst>
            <c:ext xmlns:c="http://schemas.openxmlformats.org/drawingml/2006/chart" xmlns:c16="http://schemas.microsoft.com/office/drawing/2014/chart" uri="{C3380CC4-5D6E-409C-BE32-E72D297353CC}">
              <c16:uniqueId val="{0000000E-94FA-47C1-A1BB-6E4F8711CFE8}"/>
            </c:ext>
          </c:extLst>
        </c:ser>
        <c:dLbls>
          <c:showLegendKey val="0"/>
          <c:showVal val="0"/>
          <c:showCatName val="0"/>
          <c:showSerName val="0"/>
          <c:showPercent val="0"/>
          <c:showBubbleSize val="0"/>
        </c:dLbls>
        <c:axId val="656436624"/>
        <c:axId val="656425648"/>
      </c:scatterChart>
      <c:valAx>
        <c:axId val="656436624"/>
        <c:scaling>
          <c:orientation val="minMax"/>
          <c:max val="40"/>
          <c:min val="10"/>
        </c:scaling>
        <c:delete val="0"/>
        <c:axPos val="b"/>
        <c:title>
          <c:tx>
            <c:rich>
              <a:bodyPr vertOverflow="clip"/>
              <a:lstStyle/>
              <a:p>
                <a:pPr>
                  <a:defRPr sz="700" b="0">
                    <a:latin typeface="Arial Narrow" pitchFamily="34" charset="0"/>
                  </a:defRPr>
                </a:pPr>
                <a:r>
                  <a:rPr lang="lv-LV" sz="700" b="0">
                    <a:latin typeface="Arial Narrow" pitchFamily="34" charset="0"/>
                  </a:rPr>
                  <a:t>Produktivitāte (pievienotā vērtība </a:t>
                </a:r>
                <a:br>
                  <a:rPr lang="lv-LV" sz="700" b="0">
                    <a:latin typeface="Arial Narrow" pitchFamily="34" charset="0"/>
                  </a:rPr>
                </a:br>
                <a:r>
                  <a:rPr lang="lv-LV" sz="700" b="0">
                    <a:latin typeface="Arial Narrow" pitchFamily="34" charset="0"/>
                  </a:rPr>
                  <a:t>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56425648"/>
        <c:crosses val="autoZero"/>
        <c:crossBetween val="midCat"/>
      </c:valAx>
      <c:valAx>
        <c:axId val="656425648"/>
        <c:scaling>
          <c:orientation val="minMax"/>
          <c:max val="0.60000000000000009"/>
          <c:min val="0.30000000000000004"/>
        </c:scaling>
        <c:delete val="0"/>
        <c:axPos val="l"/>
        <c:title>
          <c:tx>
            <c:rich>
              <a:bodyPr vertOverflow="clip"/>
              <a:lstStyle/>
              <a:p>
                <a:pPr>
                  <a:defRPr sz="700" b="0"/>
                </a:pPr>
                <a:r>
                  <a:rPr lang="lv-LV" sz="700" b="0">
                    <a:latin typeface="Arial Narrow" pitchFamily="34" charset="0"/>
                  </a:rPr>
                  <a:t>Darbaspēka izmaksas </a:t>
                </a:r>
                <a:br>
                  <a:rPr lang="lv-LV" sz="700" b="0">
                    <a:latin typeface="Arial Narrow" pitchFamily="34" charset="0"/>
                  </a:rPr>
                </a:br>
                <a:r>
                  <a:rPr lang="lv-LV" sz="700" b="0">
                    <a:latin typeface="Arial Narrow" pitchFamily="34" charset="0"/>
                  </a:rPr>
                  <a:t>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56436624"/>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3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8"/>
          <c:y val="0.046005165816941182"/>
          <c:w val="0.85762258292899962"/>
          <c:h val="0.831279863372076"/>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Sheet1!$B$1:$K$1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Sheet1!$B$2:$K$2</c:f>
              <c:numCache>
                <c:formatCode>0</c:formatCode>
                <c:ptCount val="10"/>
                <c:pt idx="0">
                  <c:v>33.721439159401655</c:v>
                </c:pt>
                <c:pt idx="1">
                  <c:v>39.357747157592392</c:v>
                </c:pt>
                <c:pt idx="2">
                  <c:v>35.257643303741311</c:v>
                </c:pt>
                <c:pt idx="3">
                  <c:v>31.604252389710798</c:v>
                </c:pt>
                <c:pt idx="4">
                  <c:v>31.875002820972814</c:v>
                </c:pt>
                <c:pt idx="5">
                  <c:v>33.804118310790848</c:v>
                </c:pt>
                <c:pt idx="6">
                  <c:v>35.156533977007385</c:v>
                </c:pt>
                <c:pt idx="7">
                  <c:v>37.421947439091205</c:v>
                </c:pt>
                <c:pt idx="8">
                  <c:v>38.817831590130616</c:v>
                </c:pt>
                <c:pt idx="9">
                  <c:v>41.722712558717859</c:v>
                </c:pt>
              </c:numCache>
            </c:numRef>
          </c:val>
          <c:extLst>
            <c:ext xmlns:c="http://schemas.openxmlformats.org/drawingml/2006/chart" xmlns:c16="http://schemas.microsoft.com/office/drawing/2014/chart" uri="{C3380CC4-5D6E-409C-BE32-E72D297353CC}">
              <c16:uniqueId val="{00000000-E06F-4041-86DA-3EF4641D0922}"/>
            </c:ext>
          </c:extLst>
        </c:ser>
        <c:ser>
          <c:idx val="1"/>
          <c:order val="1"/>
          <c:tx>
            <c:strRef>
              <c:f>Sheet1!$A$3</c:f>
              <c:strCache>
                <c:ptCount val="1"/>
                <c:pt idx="0">
                  <c:v>Transports un uzglabāšana</c:v>
                </c:pt>
              </c:strCache>
            </c:strRef>
          </c:tx>
          <c:spPr>
            <a:ln>
              <a:solidFill>
                <a:sysClr val="windowText" lastClr="000000"/>
              </a:solidFill>
            </a:ln>
          </c:spPr>
          <c:invertIfNegative val="0"/>
          <c:dLbls>
            <c:numFmt formatCode="#,##0" sourceLinked="0"/>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Sheet1!$B$3:$K$3</c:f>
              <c:numCache>
                <c:formatCode>0</c:formatCode>
                <c:ptCount val="10"/>
                <c:pt idx="0">
                  <c:v>30.211607281913928</c:v>
                </c:pt>
                <c:pt idx="1">
                  <c:v>39.184566355587066</c:v>
                </c:pt>
                <c:pt idx="2">
                  <c:v>37.0448173731435</c:v>
                </c:pt>
                <c:pt idx="3">
                  <c:v>33.230510248580984</c:v>
                </c:pt>
                <c:pt idx="4">
                  <c:v>32.225233359025673</c:v>
                </c:pt>
                <c:pt idx="5">
                  <c:v>39.252502247879789</c:v>
                </c:pt>
                <c:pt idx="6">
                  <c:v>40.497831705964963</c:v>
                </c:pt>
                <c:pt idx="7">
                  <c:v>41.599844996267549</c:v>
                </c:pt>
                <c:pt idx="8">
                  <c:v>42.825446946280543</c:v>
                </c:pt>
                <c:pt idx="9">
                  <c:v>45.475744150197322</c:v>
                </c:pt>
              </c:numCache>
            </c:numRef>
          </c:val>
          <c:extLst>
            <c:ext xmlns:c="http://schemas.openxmlformats.org/drawingml/2006/chart" xmlns:c16="http://schemas.microsoft.com/office/drawing/2014/chart" uri="{C3380CC4-5D6E-409C-BE32-E72D297353CC}">
              <c16:uniqueId val="{00000001-E06F-4041-86DA-3EF4641D0922}"/>
            </c:ext>
          </c:extLst>
        </c:ser>
        <c:dLbls>
          <c:showLegendKey val="0"/>
          <c:showVal val="0"/>
          <c:showCatName val="0"/>
          <c:showSerName val="0"/>
          <c:showPercent val="0"/>
          <c:showBubbleSize val="0"/>
        </c:dLbls>
        <c:gapWidth val="50"/>
        <c:overlap val="52"/>
        <c:axId val="656432704"/>
        <c:axId val="656433880"/>
      </c:barChart>
      <c:catAx>
        <c:axId val="656432704"/>
        <c:scaling>
          <c:orientation val="minMax"/>
        </c:scaling>
        <c:delete val="0"/>
        <c:axPos val="b"/>
        <c:numFmt formatCode="General" sourceLinked="0"/>
        <c:majorTickMark val="out"/>
        <c:minorTickMark val="none"/>
        <c:tickLblPos val="nextTo"/>
        <c:txPr>
          <a:bodyPr rot="-2700000"/>
          <a:lstStyle/>
          <a:p>
            <a:pPr>
              <a:defRPr sz="700"/>
            </a:pPr>
            <a:endParaRPr lang="lv-LV"/>
          </a:p>
        </c:txPr>
        <c:crossAx val="656433880"/>
        <c:crosses val="autoZero"/>
        <c:auto val="1"/>
        <c:lblAlgn val="ctr"/>
        <c:lblOffset val="100"/>
        <c:noMultiLvlLbl val="0"/>
      </c:catAx>
      <c:valAx>
        <c:axId val="656433880"/>
        <c:scaling>
          <c:orientation val="minMax"/>
          <c:max val="80"/>
        </c:scaling>
        <c:delete val="0"/>
        <c:axPos val="l"/>
        <c:numFmt formatCode="0" sourceLinked="0"/>
        <c:majorTickMark val="out"/>
        <c:minorTickMark val="none"/>
        <c:tickLblPos val="nextTo"/>
        <c:txPr>
          <a:bodyPr/>
          <a:lstStyle/>
          <a:p>
            <a:pPr>
              <a:defRPr sz="800"/>
            </a:pPr>
            <a:endParaRPr lang="lv-LV"/>
          </a:p>
        </c:txPr>
        <c:crossAx val="656432704"/>
        <c:crosses val="autoZero"/>
        <c:crossBetween val="between"/>
        <c:majorUnit val="20"/>
      </c:valAx>
      <c:spPr>
        <a:ln>
          <a:noFill/>
        </a:ln>
      </c:spPr>
    </c:plotArea>
    <c:legend>
      <c:legendPos val="r"/>
      <c:layout>
        <c:manualLayout>
          <c:xMode val="edge"/>
          <c:yMode val="edge"/>
          <c:x val="0.10158586678907289"/>
          <c:y val="0.037516256413894208"/>
          <c:w val="0.87848263361698631"/>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3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738"/>
          <c:y val="0.046005165816941182"/>
          <c:w val="0.85762258292899962"/>
          <c:h val="0.83127986337207582"/>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Sheet1!$B$1:$K$1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Sheet1!$B$2:$K$2</c:f>
              <c:numCache>
                <c:formatCode>0</c:formatCode>
                <c:ptCount val="10"/>
                <c:pt idx="0">
                  <c:v>37.571008081742491</c:v>
                </c:pt>
                <c:pt idx="1">
                  <c:v>40.886874357448278</c:v>
                </c:pt>
                <c:pt idx="2">
                  <c:v>38.340696631750923</c:v>
                </c:pt>
                <c:pt idx="3">
                  <c:v>37.13786218879887</c:v>
                </c:pt>
                <c:pt idx="4">
                  <c:v>40.358416265069444</c:v>
                </c:pt>
                <c:pt idx="5">
                  <c:v>42.444824679460964</c:v>
                </c:pt>
                <c:pt idx="6">
                  <c:v>42.534590211759</c:v>
                </c:pt>
                <c:pt idx="7">
                  <c:v>43.637999214462909</c:v>
                </c:pt>
                <c:pt idx="8">
                  <c:v>42.77599222315655</c:v>
                </c:pt>
                <c:pt idx="9">
                  <c:v>43.3164068323518</c:v>
                </c:pt>
              </c:numCache>
            </c:numRef>
          </c:val>
          <c:extLst>
            <c:ext xmlns:c="http://schemas.openxmlformats.org/drawingml/2006/chart" xmlns:c16="http://schemas.microsoft.com/office/drawing/2014/chart" uri="{C3380CC4-5D6E-409C-BE32-E72D297353CC}">
              <c16:uniqueId val="{00000000-0E61-4DA5-A138-B3759067EE5E}"/>
            </c:ext>
          </c:extLst>
        </c:ser>
        <c:ser>
          <c:idx val="1"/>
          <c:order val="1"/>
          <c:tx>
            <c:strRef>
              <c:f>Sheet1!$A$3</c:f>
              <c:strCache>
                <c:ptCount val="1"/>
                <c:pt idx="0">
                  <c:v>Transports un uzglabāšana</c:v>
                </c:pt>
              </c:strCache>
            </c:strRef>
          </c:tx>
          <c:spPr>
            <a:ln>
              <a:solidFill>
                <a:sysClr val="windowText" lastClr="000000"/>
              </a:solidFill>
            </a:ln>
          </c:spPr>
          <c:invertIfNegative val="0"/>
          <c:dLbls>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Sheet1!$B$3:$K$3</c:f>
              <c:numCache>
                <c:formatCode>0</c:formatCode>
                <c:ptCount val="10"/>
                <c:pt idx="0">
                  <c:v>41.606173248517379</c:v>
                </c:pt>
                <c:pt idx="1">
                  <c:v>49.708542089561988</c:v>
                </c:pt>
                <c:pt idx="2">
                  <c:v>49.617213700996821</c:v>
                </c:pt>
                <c:pt idx="3">
                  <c:v>42.939508840094028</c:v>
                </c:pt>
                <c:pt idx="4">
                  <c:v>47.881040784965748</c:v>
                </c:pt>
                <c:pt idx="5">
                  <c:v>55.171540793355319</c:v>
                </c:pt>
                <c:pt idx="6">
                  <c:v>53.7548722992493</c:v>
                </c:pt>
                <c:pt idx="7">
                  <c:v>51.958338694723793</c:v>
                </c:pt>
                <c:pt idx="8">
                  <c:v>45.697505361268114</c:v>
                </c:pt>
                <c:pt idx="9">
                  <c:v>46.740135701644313</c:v>
                </c:pt>
              </c:numCache>
            </c:numRef>
          </c:val>
          <c:extLst>
            <c:ext xmlns:c="http://schemas.openxmlformats.org/drawingml/2006/chart" xmlns:c16="http://schemas.microsoft.com/office/drawing/2014/chart" uri="{C3380CC4-5D6E-409C-BE32-E72D297353CC}">
              <c16:uniqueId val="{00000001-0E61-4DA5-A138-B3759067EE5E}"/>
            </c:ext>
          </c:extLst>
        </c:ser>
        <c:dLbls>
          <c:showLegendKey val="0"/>
          <c:showVal val="0"/>
          <c:showCatName val="0"/>
          <c:showSerName val="0"/>
          <c:showPercent val="0"/>
          <c:showBubbleSize val="0"/>
        </c:dLbls>
        <c:gapWidth val="50"/>
        <c:overlap val="52"/>
        <c:axId val="656449560"/>
        <c:axId val="656447992"/>
      </c:barChart>
      <c:catAx>
        <c:axId val="656449560"/>
        <c:scaling>
          <c:orientation val="minMax"/>
        </c:scaling>
        <c:delete val="0"/>
        <c:axPos val="b"/>
        <c:numFmt formatCode="General" sourceLinked="0"/>
        <c:majorTickMark val="out"/>
        <c:minorTickMark val="none"/>
        <c:tickLblPos val="nextTo"/>
        <c:txPr>
          <a:bodyPr rot="-2700000"/>
          <a:lstStyle/>
          <a:p>
            <a:pPr>
              <a:defRPr sz="700"/>
            </a:pPr>
            <a:endParaRPr lang="lv-LV"/>
          </a:p>
        </c:txPr>
        <c:crossAx val="656447992"/>
        <c:crosses val="autoZero"/>
        <c:auto val="1"/>
        <c:lblAlgn val="ctr"/>
        <c:lblOffset val="100"/>
        <c:noMultiLvlLbl val="0"/>
      </c:catAx>
      <c:valAx>
        <c:axId val="656447992"/>
        <c:scaling>
          <c:orientation val="minMax"/>
          <c:max val="80"/>
        </c:scaling>
        <c:delete val="0"/>
        <c:axPos val="l"/>
        <c:numFmt formatCode="0" sourceLinked="1"/>
        <c:majorTickMark val="out"/>
        <c:minorTickMark val="none"/>
        <c:tickLblPos val="nextTo"/>
        <c:txPr>
          <a:bodyPr/>
          <a:lstStyle/>
          <a:p>
            <a:pPr>
              <a:defRPr sz="800"/>
            </a:pPr>
            <a:endParaRPr lang="lv-LV"/>
          </a:p>
        </c:txPr>
        <c:crossAx val="656449560"/>
        <c:crosses val="autoZero"/>
        <c:crossBetween val="between"/>
        <c:majorUnit val="20"/>
      </c:valAx>
      <c:spPr>
        <a:ln>
          <a:noFill/>
        </a:ln>
      </c:spPr>
    </c:plotArea>
    <c:legend>
      <c:legendPos val="r"/>
      <c:layout>
        <c:manualLayout>
          <c:xMode val="edge"/>
          <c:yMode val="edge"/>
          <c:x val="0.19725118052443219"/>
          <c:y val="0.0495283177904099"/>
          <c:w val="0.74818569553805769"/>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3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46717244654"/>
          <c:y val="0.044057617797775277"/>
          <c:w val="0.9310540474739486"/>
          <c:h val="0.70521675963625274"/>
        </c:manualLayout>
      </c:layout>
      <c:barChart>
        <c:barDir val="col"/>
        <c:grouping val="clustered"/>
        <c:varyColors val="0"/>
        <c:ser>
          <c:idx val="1"/>
          <c:order val="0"/>
          <c:tx>
            <c:strRef>
              <c:f>Sheet1!$B$3</c:f>
              <c:strCache>
                <c:ptCount val="1"/>
                <c:pt idx="0">
                  <c:v>Compensation per employees 1000 of euro</c:v>
                </c:pt>
              </c:strCache>
            </c:strRef>
          </c:tx>
          <c:spPr>
            <a:solidFill>
              <a:schemeClr val="accent3">
                <a:lumMod val="50000"/>
              </a:schemeClr>
            </a:solidFill>
            <a:ln w="19050"/>
          </c:spPr>
          <c:invertIfNegative val="0"/>
          <c:dPt>
            <c:idx val="10"/>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1-D481-4A78-B2C7-0C96D773C6A7}"/>
              </c:ext>
            </c:extLst>
          </c:dPt>
          <c:dPt>
            <c:idx val="19"/>
            <c:invertIfNegative val="0"/>
            <c:bubble3D val="0"/>
            <c:extLst>
              <c:ext xmlns:c="http://schemas.openxmlformats.org/drawingml/2006/chart" xmlns:c16="http://schemas.microsoft.com/office/drawing/2014/chart" uri="{C3380CC4-5D6E-409C-BE32-E72D297353CC}">
                <c16:uniqueId val="{00000002-D481-4A78-B2C7-0C96D773C6A7}"/>
              </c:ext>
            </c:extLst>
          </c:dPt>
          <c:dPt>
            <c:idx val="20"/>
            <c:invertIfNegative val="0"/>
            <c:bubble3D val="0"/>
            <c:spPr>
              <a:solidFill>
                <a:schemeClr val="accent2"/>
              </a:solidFill>
              <a:ln w="19050"/>
            </c:spPr>
            <c:extLst>
              <c:ext xmlns:c="http://schemas.openxmlformats.org/drawingml/2006/chart" xmlns:c16="http://schemas.microsoft.com/office/drawing/2014/chart" uri="{C3380CC4-5D6E-409C-BE32-E72D297353CC}">
                <c16:uniqueId val="{00000004-D481-4A78-B2C7-0C96D773C6A7}"/>
              </c:ext>
            </c:extLst>
          </c:dPt>
          <c:dPt>
            <c:idx val="21"/>
            <c:invertIfNegative val="0"/>
            <c:bubble3D val="0"/>
            <c:extLst>
              <c:ext xmlns:c="http://schemas.openxmlformats.org/drawingml/2006/chart" xmlns:c16="http://schemas.microsoft.com/office/drawing/2014/chart" uri="{C3380CC4-5D6E-409C-BE32-E72D297353CC}">
                <c16:uniqueId val="{00000005-D481-4A78-B2C7-0C96D773C6A7}"/>
              </c:ext>
            </c:extLst>
          </c:dPt>
          <c:dPt>
            <c:idx val="22"/>
            <c:invertIfNegative val="0"/>
            <c:bubble3D val="0"/>
            <c:extLst>
              <c:ext xmlns:c="http://schemas.openxmlformats.org/drawingml/2006/chart" xmlns:c16="http://schemas.microsoft.com/office/drawing/2014/chart" uri="{C3380CC4-5D6E-409C-BE32-E72D297353CC}">
                <c16:uniqueId val="{00000006-D481-4A78-B2C7-0C96D773C6A7}"/>
              </c:ext>
            </c:extLst>
          </c:dPt>
          <c:dPt>
            <c:idx val="24"/>
            <c:invertIfNegative val="0"/>
            <c:bubble3D val="0"/>
            <c:extLst>
              <c:ext xmlns:c="http://schemas.openxmlformats.org/drawingml/2006/chart" xmlns:c16="http://schemas.microsoft.com/office/drawing/2014/chart" uri="{C3380CC4-5D6E-409C-BE32-E72D297353CC}">
                <c16:uniqueId val="{00000007-D481-4A78-B2C7-0C96D773C6A7}"/>
              </c:ext>
            </c:extLst>
          </c:dPt>
          <c:dPt>
            <c:idx val="25"/>
            <c:invertIfNegative val="0"/>
            <c:bubble3D val="0"/>
            <c:extLst>
              <c:ext xmlns:c="http://schemas.openxmlformats.org/drawingml/2006/chart" xmlns:c16="http://schemas.microsoft.com/office/drawing/2014/chart" uri="{C3380CC4-5D6E-409C-BE32-E72D297353CC}">
                <c16:uniqueId val="{00000008-D481-4A78-B2C7-0C96D773C6A7}"/>
              </c:ext>
            </c:extLst>
          </c:dPt>
          <c:dLbls>
            <c:dLbl>
              <c:idx val="19"/>
              <c:layout>
                <c:manualLayout>
                  <c:x val="0"/>
                  <c:y val="5.9748628982352812E-05"/>
                </c:manualLayout>
              </c:layout>
              <c:numFmt formatCode="#,##0" sourceLinked="0"/>
              <c:spPr>
                <a:noFill/>
                <a:ln>
                  <a:noFill/>
                </a:ln>
                <a:effectLst/>
              </c:spPr>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D481-4A78-B2C7-0C96D773C6A7}"/>
                </c:ext>
                <c:ext xmlns:c15="http://schemas.microsoft.com/office/drawing/2012/chart" uri="{CE6537A1-D6FC-4f65-9D91-7224C49458BB}"/>
              </c:extLst>
            </c:dLbl>
            <c:dLbl>
              <c:idx val="20"/>
              <c:numFmt formatCode="#,##0" sourceLinked="0"/>
              <c:spPr>
                <a:noFill/>
                <a:ln>
                  <a:noFill/>
                </a:ln>
                <a:effectLst/>
              </c:spPr>
              <c:txPr>
                <a:bodyPr/>
                <a:lstStyle/>
                <a:p>
                  <a:pPr>
                    <a:defRPr sz="600" b="1"/>
                  </a:pPr>
                  <a:endParaRPr lang="lv-LV"/>
                </a:p>
              </c:txPr>
              <c:showLegendKey val="0"/>
              <c:showVal val="1"/>
              <c:showCatName val="0"/>
              <c:showSerName val="0"/>
              <c:showPercent val="0"/>
              <c:showBubbleSize val="0"/>
            </c:dLbl>
            <c:dLbl>
              <c:idx val="21"/>
              <c:layout>
                <c:manualLayout>
                  <c:x val="0"/>
                  <c:y val="0.010825167577003643"/>
                </c:manualLayout>
              </c:layout>
              <c:numFmt formatCode="#,##0" sourceLinked="0"/>
              <c:spPr>
                <a:noFill/>
                <a:ln>
                  <a:noFill/>
                </a:ln>
                <a:effectLst/>
              </c:spPr>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D481-4A78-B2C7-0C96D773C6A7}"/>
                </c:ext>
                <c:ext xmlns:c15="http://schemas.microsoft.com/office/drawing/2012/chart" uri="{CE6537A1-D6FC-4f65-9D91-7224C49458BB}"/>
              </c:extLst>
            </c:dLbl>
            <c:dLbl>
              <c:idx val="22"/>
              <c:layout>
                <c:manualLayout>
                  <c:x val="0"/>
                  <c:y val="0.010957285763967024"/>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D481-4A78-B2C7-0C96D773C6A7}"/>
                </c:ext>
                <c:ext xmlns:c15="http://schemas.microsoft.com/office/drawing/2012/chart" uri="{CE6537A1-D6FC-4f65-9D91-7224C49458BB}"/>
              </c:extLst>
            </c:dLbl>
            <c:dLbl>
              <c:idx val="24"/>
              <c:layout>
                <c:manualLayout>
                  <c:x val="0.0040334849119080547"/>
                  <c:y val="0.010795334438011851"/>
                </c:manualLayout>
              </c:layout>
              <c:numFmt formatCode="#,##0" sourceLinked="0"/>
              <c:spPr>
                <a:noFill/>
                <a:ln>
                  <a:noFill/>
                </a:ln>
                <a:effectLst/>
              </c:spPr>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D481-4A78-B2C7-0C96D773C6A7}"/>
                </c:ext>
                <c:ext xmlns:c15="http://schemas.microsoft.com/office/drawing/2012/chart" uri="{CE6537A1-D6FC-4f65-9D91-7224C49458BB}"/>
              </c:extLst>
            </c:dLbl>
            <c:dLbl>
              <c:idx val="25"/>
              <c:layout>
                <c:manualLayout>
                  <c:x val="0"/>
                  <c:y val="0.0047350290403144375"/>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D481-4A78-B2C7-0C96D773C6A7}"/>
                </c:ext>
                <c:ext xmlns:c15="http://schemas.microsoft.com/office/drawing/2012/chart" uri="{CE6537A1-D6FC-4f65-9D91-7224C49458BB}"/>
              </c:extLst>
            </c:dLbl>
            <c:numFmt formatCode="#,##0" sourceLinked="0"/>
            <c:spPr>
              <a:noFill/>
              <a:ln>
                <a:noFill/>
              </a:ln>
              <a:effectLst/>
            </c:spPr>
            <c:txPr>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Sheet1!$A$4:$A$30</c:f>
              <c:strCache>
                <c:ptCount val="27"/>
                <c:pt idx="0">
                  <c:v>LU</c:v>
                </c:pt>
                <c:pt idx="1">
                  <c:v>DK</c:v>
                </c:pt>
                <c:pt idx="2">
                  <c:v>BE</c:v>
                </c:pt>
                <c:pt idx="3">
                  <c:v>NL</c:v>
                </c:pt>
                <c:pt idx="4">
                  <c:v>IE</c:v>
                </c:pt>
                <c:pt idx="5">
                  <c:v>FR</c:v>
                </c:pt>
                <c:pt idx="6">
                  <c:v>AT</c:v>
                </c:pt>
                <c:pt idx="7">
                  <c:v>FI</c:v>
                </c:pt>
                <c:pt idx="8">
                  <c:v>SE</c:v>
                </c:pt>
                <c:pt idx="9">
                  <c:v>IT</c:v>
                </c:pt>
                <c:pt idx="10">
                  <c:v>DE</c:v>
                </c:pt>
                <c:pt idx="11">
                  <c:v>ES</c:v>
                </c:pt>
                <c:pt idx="12">
                  <c:v>EU-28</c:v>
                </c:pt>
                <c:pt idx="13">
                  <c:v>CY</c:v>
                </c:pt>
                <c:pt idx="14">
                  <c:v>MT</c:v>
                </c:pt>
                <c:pt idx="15">
                  <c:v>EL</c:v>
                </c:pt>
                <c:pt idx="16">
                  <c:v>PT</c:v>
                </c:pt>
                <c:pt idx="17">
                  <c:v>SI</c:v>
                </c:pt>
                <c:pt idx="18">
                  <c:v>EE</c:v>
                </c:pt>
                <c:pt idx="19">
                  <c:v>LT</c:v>
                </c:pt>
                <c:pt idx="20">
                  <c:v>LV</c:v>
                </c:pt>
                <c:pt idx="21">
                  <c:v>SK</c:v>
                </c:pt>
                <c:pt idx="22">
                  <c:v>CZ</c:v>
                </c:pt>
                <c:pt idx="23">
                  <c:v>HU</c:v>
                </c:pt>
                <c:pt idx="24">
                  <c:v>PL</c:v>
                </c:pt>
                <c:pt idx="25">
                  <c:v>BG</c:v>
                </c:pt>
                <c:pt idx="26">
                  <c:v>RO</c:v>
                </c:pt>
              </c:strCache>
            </c:strRef>
          </c:cat>
          <c:val>
            <c:numRef>
              <c:f>Sheet1!$B$4:$B$30</c:f>
              <c:numCache>
                <c:formatCode>0.0</c:formatCode>
                <c:ptCount val="27"/>
                <c:pt idx="0">
                  <c:v>63.959248901318418</c:v>
                </c:pt>
                <c:pt idx="1">
                  <c:v>56.015328467153289</c:v>
                </c:pt>
                <c:pt idx="2">
                  <c:v>54.536207618250316</c:v>
                </c:pt>
                <c:pt idx="3">
                  <c:v>50.551724137931032</c:v>
                </c:pt>
                <c:pt idx="4">
                  <c:v>48.676140613313393</c:v>
                </c:pt>
                <c:pt idx="5">
                  <c:v>47.372128637059724</c:v>
                </c:pt>
                <c:pt idx="6">
                  <c:v>46.419796596515958</c:v>
                </c:pt>
                <c:pt idx="7">
                  <c:v>45.9771986970684</c:v>
                </c:pt>
                <c:pt idx="8">
                  <c:v>45.470416666666665</c:v>
                </c:pt>
                <c:pt idx="9">
                  <c:v>39.533127572016461</c:v>
                </c:pt>
                <c:pt idx="10">
                  <c:v>36.667645619187468</c:v>
                </c:pt>
                <c:pt idx="11">
                  <c:v>36.134501271545638</c:v>
                </c:pt>
                <c:pt idx="12">
                  <c:v>36.033420610539764</c:v>
                </c:pt>
                <c:pt idx="13">
                  <c:v>28.555472822040208</c:v>
                </c:pt>
                <c:pt idx="14">
                  <c:v>27.242798353909464</c:v>
                </c:pt>
                <c:pt idx="15">
                  <c:v>26.493584775682425</c:v>
                </c:pt>
                <c:pt idx="16">
                  <c:v>26.129581231386375</c:v>
                </c:pt>
                <c:pt idx="17">
                  <c:v>25.311599024173873</c:v>
                </c:pt>
                <c:pt idx="18">
                  <c:v>17.572446555819475</c:v>
                </c:pt>
                <c:pt idx="19">
                  <c:v>16.992694362664924</c:v>
                </c:pt>
                <c:pt idx="20">
                  <c:v>16.386466165413534</c:v>
                </c:pt>
                <c:pt idx="21">
                  <c:v>15.314347961406783</c:v>
                </c:pt>
                <c:pt idx="22">
                  <c:v>15.152289452166803</c:v>
                </c:pt>
                <c:pt idx="23">
                  <c:v>13.025546568431167</c:v>
                </c:pt>
                <c:pt idx="24">
                  <c:v>11.646523797657613</c:v>
                </c:pt>
                <c:pt idx="25">
                  <c:v>8.6983050847457619</c:v>
                </c:pt>
                <c:pt idx="26">
                  <c:v>8.1362772026199028</c:v>
                </c:pt>
              </c:numCache>
            </c:numRef>
          </c:val>
          <c:extLst>
            <c:ext xmlns:c="http://schemas.openxmlformats.org/drawingml/2006/chart" xmlns:c16="http://schemas.microsoft.com/office/drawing/2014/chart" uri="{C3380CC4-5D6E-409C-BE32-E72D297353CC}">
              <c16:uniqueId val="{00000009-D481-4A78-B2C7-0C96D773C6A7}"/>
            </c:ext>
          </c:extLst>
        </c:ser>
        <c:dLbls>
          <c:showLegendKey val="0"/>
          <c:showVal val="0"/>
          <c:showCatName val="0"/>
          <c:showSerName val="0"/>
          <c:showPercent val="0"/>
          <c:showBubbleSize val="0"/>
        </c:dLbls>
        <c:gapWidth val="20"/>
        <c:axId val="656447208"/>
        <c:axId val="656439760"/>
      </c:barChart>
      <c:catAx>
        <c:axId val="656447208"/>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56439760"/>
        <c:crosses val="autoZero"/>
        <c:auto val="1"/>
        <c:lblAlgn val="ctr"/>
        <c:lblOffset val="100"/>
        <c:tickLblSkip val="1"/>
        <c:noMultiLvlLbl val="0"/>
      </c:catAx>
      <c:valAx>
        <c:axId val="656439760"/>
        <c:scaling>
          <c:orientation val="minMax"/>
        </c:scaling>
        <c:delete val="0"/>
        <c:axPos val="l"/>
        <c:numFmt formatCode="0" sourceLinked="0"/>
        <c:majorTickMark val="out"/>
        <c:minorTickMark val="none"/>
        <c:tickLblPos val="nextTo"/>
        <c:txPr>
          <a:bodyPr/>
          <a:lstStyle/>
          <a:p>
            <a:pPr>
              <a:defRPr sz="600"/>
            </a:pPr>
            <a:endParaRPr lang="lv-LV"/>
          </a:p>
        </c:txPr>
        <c:crossAx val="656447208"/>
        <c:crosses val="autoZero"/>
        <c:crossBetween val="between"/>
      </c:valAx>
    </c:plotArea>
    <c:plotVisOnly val="1"/>
    <c:dispBlanksAs val="gap"/>
    <c:showDLblsOverMax val="0"/>
  </c:chart>
  <c:spPr>
    <a:ln w="9525">
      <a:noFill/>
    </a:ln>
  </c:spPr>
  <c:externalData r:id="rId1">
    <c:autoUpdate val="0"/>
  </c:externalData>
</c:chartSpace>
</file>

<file path=word/charts/chart3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46717244654"/>
          <c:y val="0.044057617797775277"/>
          <c:w val="0.9310540474739486"/>
          <c:h val="0.77585665743255228"/>
        </c:manualLayout>
      </c:layout>
      <c:barChart>
        <c:barDir val="col"/>
        <c:grouping val="clustered"/>
        <c:varyColors val="0"/>
        <c:ser>
          <c:idx val="1"/>
          <c:order val="0"/>
          <c:tx>
            <c:strRef>
              <c:f>Sheet1!$B$3</c:f>
              <c:strCache>
                <c:ptCount val="1"/>
                <c:pt idx="0">
                  <c:v>Resource productivity</c:v>
                </c:pt>
              </c:strCache>
            </c:strRef>
          </c:tx>
          <c:spPr>
            <a:solidFill>
              <a:schemeClr val="accent3">
                <a:lumMod val="50000"/>
              </a:schemeClr>
            </a:solidFill>
            <a:ln w="19050"/>
          </c:spPr>
          <c:invertIfNegative val="0"/>
          <c:dPt>
            <c:idx val="13"/>
            <c:invertIfNegative val="0"/>
            <c:bubble3D val="0"/>
            <c:extLst>
              <c:ext xmlns:c="http://schemas.openxmlformats.org/drawingml/2006/chart" xmlns:c16="http://schemas.microsoft.com/office/drawing/2014/chart" uri="{C3380CC4-5D6E-409C-BE32-E72D297353CC}">
                <c16:uniqueId val="{00000000-1946-4F57-8013-1CEDC63ED0B9}"/>
              </c:ext>
            </c:extLst>
          </c:dPt>
          <c:dPt>
            <c:idx val="16"/>
            <c:invertIfNegative val="0"/>
            <c:bubble3D val="0"/>
            <c:extLst>
              <c:ext xmlns:c="http://schemas.openxmlformats.org/drawingml/2006/chart" xmlns:c16="http://schemas.microsoft.com/office/drawing/2014/chart" uri="{C3380CC4-5D6E-409C-BE32-E72D297353CC}">
                <c16:uniqueId val="{00000001-1946-4F57-8013-1CEDC63ED0B9}"/>
              </c:ext>
            </c:extLst>
          </c:dPt>
          <c:dPt>
            <c:idx val="17"/>
            <c:invertIfNegative val="0"/>
            <c:bubble3D val="0"/>
            <c:extLst>
              <c:ext xmlns:c="http://schemas.openxmlformats.org/drawingml/2006/chart" xmlns:c16="http://schemas.microsoft.com/office/drawing/2014/chart" uri="{C3380CC4-5D6E-409C-BE32-E72D297353CC}">
                <c16:uniqueId val="{00000002-1946-4F57-8013-1CEDC63ED0B9}"/>
              </c:ext>
            </c:extLst>
          </c:dPt>
          <c:dPt>
            <c:idx val="18"/>
            <c:invertIfNegative val="0"/>
            <c:bubble3D val="0"/>
            <c:spPr>
              <a:ln w="19050"/>
            </c:spPr>
            <c:extLst>
              <c:ext xmlns:c="http://schemas.openxmlformats.org/drawingml/2006/chart" xmlns:c16="http://schemas.microsoft.com/office/drawing/2014/chart" uri="{C3380CC4-5D6E-409C-BE32-E72D297353CC}">
                <c16:uniqueId val="{00000004-1946-4F57-8013-1CEDC63ED0B9}"/>
              </c:ext>
            </c:extLst>
          </c:dPt>
          <c:dPt>
            <c:idx val="19"/>
            <c:invertIfNegative val="0"/>
            <c:bubble3D val="0"/>
            <c:extLst>
              <c:ext xmlns:c="http://schemas.openxmlformats.org/drawingml/2006/chart" xmlns:c16="http://schemas.microsoft.com/office/drawing/2014/chart" uri="{C3380CC4-5D6E-409C-BE32-E72D297353CC}">
                <c16:uniqueId val="{00000005-1946-4F57-8013-1CEDC63ED0B9}"/>
              </c:ext>
            </c:extLst>
          </c:dPt>
          <c:dPt>
            <c:idx val="20"/>
            <c:invertIfNegative val="0"/>
            <c:bubble3D val="0"/>
            <c:extLst>
              <c:ext xmlns:c="http://schemas.openxmlformats.org/drawingml/2006/chart" xmlns:c16="http://schemas.microsoft.com/office/drawing/2014/chart" uri="{C3380CC4-5D6E-409C-BE32-E72D297353CC}">
                <c16:uniqueId val="{00000006-1946-4F57-8013-1CEDC63ED0B9}"/>
              </c:ext>
            </c:extLst>
          </c:dPt>
          <c:dPt>
            <c:idx val="22"/>
            <c:invertIfNegative val="0"/>
            <c:bubble3D val="0"/>
            <c:extLst>
              <c:ext xmlns:c="http://schemas.openxmlformats.org/drawingml/2006/chart" xmlns:c16="http://schemas.microsoft.com/office/drawing/2014/chart" uri="{C3380CC4-5D6E-409C-BE32-E72D297353CC}">
                <c16:uniqueId val="{00000007-1946-4F57-8013-1CEDC63ED0B9}"/>
              </c:ext>
            </c:extLst>
          </c:dPt>
          <c:dPt>
            <c:idx val="23"/>
            <c:invertIfNegative val="0"/>
            <c:bubble3D val="0"/>
            <c:extLst>
              <c:ext xmlns:c="http://schemas.openxmlformats.org/drawingml/2006/chart" xmlns:c16="http://schemas.microsoft.com/office/drawing/2014/chart" uri="{C3380CC4-5D6E-409C-BE32-E72D297353CC}">
                <c16:uniqueId val="{00000008-1946-4F57-8013-1CEDC63ED0B9}"/>
              </c:ext>
            </c:extLst>
          </c:dPt>
          <c:dPt>
            <c:idx val="24"/>
            <c:invertIfNegative val="0"/>
            <c:bubble3D val="0"/>
            <c:extLst>
              <c:ext xmlns:c="http://schemas.openxmlformats.org/drawingml/2006/chart" xmlns:c16="http://schemas.microsoft.com/office/drawing/2014/chart" uri="{C3380CC4-5D6E-409C-BE32-E72D297353CC}">
                <c16:uniqueId val="{00000009-1946-4F57-8013-1CEDC63ED0B9}"/>
              </c:ext>
            </c:extLst>
          </c:dPt>
          <c:dPt>
            <c:idx val="25"/>
            <c:invertIfNegative val="0"/>
            <c:bubble3D val="0"/>
            <c:extLst>
              <c:ext xmlns:c="http://schemas.openxmlformats.org/drawingml/2006/chart" xmlns:c16="http://schemas.microsoft.com/office/drawing/2014/chart" uri="{C3380CC4-5D6E-409C-BE32-E72D297353CC}">
                <c16:uniqueId val="{0000000A-1946-4F57-8013-1CEDC63ED0B9}"/>
              </c:ext>
            </c:extLst>
          </c:dPt>
          <c:dPt>
            <c:idx val="26"/>
            <c:invertIfNegative val="0"/>
            <c:bubble3D val="0"/>
            <c:extLst>
              <c:ext xmlns:c="http://schemas.openxmlformats.org/drawingml/2006/chart" xmlns:c16="http://schemas.microsoft.com/office/drawing/2014/chart" uri="{C3380CC4-5D6E-409C-BE32-E72D297353CC}">
                <c16:uniqueId val="{0000000B-1946-4F57-8013-1CEDC63ED0B9}"/>
              </c:ext>
            </c:extLst>
          </c:dPt>
          <c:dLbls>
            <c:dLbl>
              <c:idx val="18"/>
              <c:numFmt formatCode="#,##0" sourceLinked="0"/>
              <c:spPr>
                <a:noFill/>
                <a:ln>
                  <a:noFill/>
                </a:ln>
                <a:effectLst/>
              </c:spPr>
              <c:txPr>
                <a:bodyPr/>
                <a:lstStyle/>
                <a:p>
                  <a:pPr>
                    <a:defRPr sz="600" b="1"/>
                  </a:pPr>
                  <a:endParaRPr lang="lv-LV"/>
                </a:p>
              </c:txPr>
              <c:showLegendKey val="0"/>
              <c:showVal val="1"/>
              <c:showCatName val="0"/>
              <c:showSerName val="0"/>
              <c:showPercent val="0"/>
              <c:showBubbleSize val="0"/>
            </c:dLbl>
            <c:dLbl>
              <c:idx val="19"/>
              <c:layout>
                <c:manualLayout/>
              </c:layout>
              <c:numFmt formatCode="#,##0" sourceLinked="0"/>
              <c:spPr>
                <a:noFill/>
                <a:ln>
                  <a:noFill/>
                </a:ln>
                <a:effectLst/>
              </c:spPr>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1946-4F57-8013-1CEDC63ED0B9}"/>
                </c:ext>
                <c:ext xmlns:c15="http://schemas.microsoft.com/office/drawing/2012/chart" uri="{CE6537A1-D6FC-4f65-9D91-7224C49458BB}"/>
              </c:extLst>
            </c:dLbl>
            <c:dLbl>
              <c:idx val="20"/>
              <c:layout>
                <c:manualLayout>
                  <c:x val="0"/>
                  <c:y val="-0.010780359772101658"/>
                </c:manualLayout>
              </c:layout>
              <c:numFmt formatCode="#,##0" sourceLinked="0"/>
              <c:spPr>
                <a:noFill/>
                <a:ln>
                  <a:noFill/>
                </a:ln>
                <a:effectLst/>
              </c:spPr>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1946-4F57-8013-1CEDC63ED0B9}"/>
                </c:ext>
                <c:ext xmlns:c15="http://schemas.microsoft.com/office/drawing/2012/chart" uri="{CE6537A1-D6FC-4f65-9D91-7224C49458BB}"/>
              </c:extLst>
            </c:dLbl>
            <c:dLbl>
              <c:idx val="22"/>
              <c:layout>
                <c:manualLayout/>
              </c:layout>
              <c:numFmt formatCode="#,##0" sourceLinked="0"/>
              <c:spPr>
                <a:noFill/>
                <a:ln>
                  <a:noFill/>
                </a:ln>
                <a:effectLst/>
              </c:spPr>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1946-4F57-8013-1CEDC63ED0B9}"/>
                </c:ext>
                <c:ext xmlns:c15="http://schemas.microsoft.com/office/drawing/2012/chart" uri="{CE6537A1-D6FC-4f65-9D91-7224C49458BB}"/>
              </c:extLst>
            </c:dLbl>
            <c:dLbl>
              <c:idx val="23"/>
              <c:layout>
                <c:manualLayout>
                  <c:x val="-5.399154746444577E-06"/>
                  <c:y val="0.010809824819807841"/>
                </c:manualLayout>
              </c:layout>
              <c:numFmt formatCode="#,##0" sourceLinked="0"/>
              <c:spPr>
                <a:noFill/>
                <a:ln>
                  <a:noFill/>
                </a:ln>
                <a:effectLst/>
              </c:spPr>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1946-4F57-8013-1CEDC63ED0B9}"/>
                </c:ext>
                <c:ext xmlns:c15="http://schemas.microsoft.com/office/drawing/2012/chart" uri="{CE6537A1-D6FC-4f65-9D91-7224C49458BB}"/>
              </c:extLst>
            </c:dLbl>
            <c:dLbl>
              <c:idx val="24"/>
              <c:layout>
                <c:manualLayout>
                  <c:x val="0.0040334861929321253"/>
                  <c:y val="0.010825167577003594"/>
                </c:manualLayout>
              </c:layout>
              <c:numFmt formatCode="#,##0" sourceLinked="0"/>
              <c:spPr>
                <a:noFill/>
                <a:ln>
                  <a:noFill/>
                </a:ln>
                <a:effectLst/>
              </c:spPr>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1946-4F57-8013-1CEDC63ED0B9}"/>
                </c:ext>
                <c:ext xmlns:c15="http://schemas.microsoft.com/office/drawing/2012/chart" uri="{CE6537A1-D6FC-4f65-9D91-7224C49458BB}"/>
              </c:extLst>
            </c:dLbl>
            <c:dLbl>
              <c:idx val="25"/>
              <c:layout>
                <c:manualLayout>
                  <c:x val="0"/>
                  <c:y val="0.0045439455203234733"/>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1946-4F57-8013-1CEDC63ED0B9}"/>
                </c:ext>
                <c:ext xmlns:c15="http://schemas.microsoft.com/office/drawing/2012/chart" uri="{CE6537A1-D6FC-4f65-9D91-7224C49458BB}"/>
              </c:extLst>
            </c:dLbl>
            <c:dLbl>
              <c:idx val="26"/>
              <c:layout>
                <c:manualLayout>
                  <c:x val="0"/>
                  <c:y val="-0.010781696431615627"/>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1946-4F57-8013-1CEDC63ED0B9}"/>
                </c:ext>
                <c:ext xmlns:c15="http://schemas.microsoft.com/office/drawing/2012/chart" uri="{CE6537A1-D6FC-4f65-9D91-7224C49458BB}"/>
              </c:extLst>
            </c:dLbl>
            <c:numFmt formatCode="#,##0" sourceLinked="0"/>
            <c:spPr>
              <a:noFill/>
              <a:ln>
                <a:noFill/>
              </a:ln>
              <a:effectLst/>
            </c:spPr>
            <c:txPr>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Sheet1!$A$4:$A$28</c:f>
              <c:strCache>
                <c:ptCount val="25"/>
                <c:pt idx="0">
                  <c:v>DK</c:v>
                </c:pt>
                <c:pt idx="1">
                  <c:v>LU</c:v>
                </c:pt>
                <c:pt idx="2">
                  <c:v>SE</c:v>
                </c:pt>
                <c:pt idx="3">
                  <c:v>BE</c:v>
                </c:pt>
                <c:pt idx="4">
                  <c:v>NL</c:v>
                </c:pt>
                <c:pt idx="5">
                  <c:v>CY</c:v>
                </c:pt>
                <c:pt idx="6">
                  <c:v>AT</c:v>
                </c:pt>
                <c:pt idx="7">
                  <c:v>IE</c:v>
                </c:pt>
                <c:pt idx="8">
                  <c:v>FR</c:v>
                </c:pt>
                <c:pt idx="9">
                  <c:v>IT</c:v>
                </c:pt>
                <c:pt idx="10">
                  <c:v>FI</c:v>
                </c:pt>
                <c:pt idx="11">
                  <c:v>ES</c:v>
                </c:pt>
                <c:pt idx="12">
                  <c:v>DE</c:v>
                </c:pt>
                <c:pt idx="13">
                  <c:v>EL</c:v>
                </c:pt>
                <c:pt idx="14">
                  <c:v>PT</c:v>
                </c:pt>
                <c:pt idx="15">
                  <c:v>LT</c:v>
                </c:pt>
                <c:pt idx="16">
                  <c:v>SI</c:v>
                </c:pt>
                <c:pt idx="17">
                  <c:v>SK</c:v>
                </c:pt>
                <c:pt idx="18">
                  <c:v>LV</c:v>
                </c:pt>
                <c:pt idx="19">
                  <c:v>RO</c:v>
                </c:pt>
                <c:pt idx="20">
                  <c:v>EE</c:v>
                </c:pt>
                <c:pt idx="21">
                  <c:v>CZ</c:v>
                </c:pt>
                <c:pt idx="22">
                  <c:v>PL</c:v>
                </c:pt>
                <c:pt idx="23">
                  <c:v>HU</c:v>
                </c:pt>
                <c:pt idx="24">
                  <c:v>BG</c:v>
                </c:pt>
              </c:strCache>
            </c:strRef>
          </c:cat>
          <c:val>
            <c:numRef>
              <c:f>Sheet1!$B$4:$B$28</c:f>
              <c:numCache>
                <c:formatCode>0.0</c:formatCode>
                <c:ptCount val="25"/>
                <c:pt idx="0">
                  <c:v>105.54930555555556</c:v>
                </c:pt>
                <c:pt idx="1">
                  <c:v>86.674537583628492</c:v>
                </c:pt>
                <c:pt idx="2">
                  <c:v>83.6170731707317</c:v>
                </c:pt>
                <c:pt idx="3">
                  <c:v>75.919935301253531</c:v>
                </c:pt>
                <c:pt idx="4">
                  <c:v>75.6921052631579</c:v>
                </c:pt>
                <c:pt idx="5">
                  <c:v>75.596572181938029</c:v>
                </c:pt>
                <c:pt idx="6">
                  <c:v>72.216154613229492</c:v>
                </c:pt>
                <c:pt idx="7">
                  <c:v>69.968767428890118</c:v>
                </c:pt>
                <c:pt idx="8">
                  <c:v>64.92318946598391</c:v>
                </c:pt>
                <c:pt idx="9">
                  <c:v>60.354356992269842</c:v>
                </c:pt>
                <c:pt idx="10">
                  <c:v>59.31629834254143</c:v>
                </c:pt>
                <c:pt idx="11">
                  <c:v>55.623962040332145</c:v>
                </c:pt>
                <c:pt idx="12">
                  <c:v>50.032505747126436</c:v>
                </c:pt>
                <c:pt idx="13">
                  <c:v>46.460254494874036</c:v>
                </c:pt>
                <c:pt idx="14">
                  <c:v>41.8875996249414</c:v>
                </c:pt>
                <c:pt idx="15">
                  <c:v>39.625102711585868</c:v>
                </c:pt>
                <c:pt idx="16">
                  <c:v>39.227883096366511</c:v>
                </c:pt>
                <c:pt idx="17">
                  <c:v>34.171805847783496</c:v>
                </c:pt>
                <c:pt idx="18">
                  <c:v>27.411681914144967</c:v>
                </c:pt>
                <c:pt idx="19">
                  <c:v>25.626663977410246</c:v>
                </c:pt>
                <c:pt idx="20">
                  <c:v>25.491489361702126</c:v>
                </c:pt>
                <c:pt idx="21">
                  <c:v>23.96205252827367</c:v>
                </c:pt>
                <c:pt idx="22">
                  <c:v>23.177695949500265</c:v>
                </c:pt>
                <c:pt idx="23">
                  <c:v>21.112203979723088</c:v>
                </c:pt>
                <c:pt idx="24">
                  <c:v>11.195130232332541</c:v>
                </c:pt>
              </c:numCache>
            </c:numRef>
          </c:val>
          <c:extLst>
            <c:ext xmlns:c="http://schemas.openxmlformats.org/drawingml/2006/chart" xmlns:c16="http://schemas.microsoft.com/office/drawing/2014/chart" uri="{C3380CC4-5D6E-409C-BE32-E72D297353CC}">
              <c16:uniqueId val="{0000000C-1946-4F57-8013-1CEDC63ED0B9}"/>
            </c:ext>
          </c:extLst>
        </c:ser>
        <c:dLbls>
          <c:showLegendKey val="0"/>
          <c:showVal val="0"/>
          <c:showCatName val="0"/>
          <c:showSerName val="0"/>
          <c:showPercent val="0"/>
          <c:showBubbleSize val="0"/>
        </c:dLbls>
        <c:gapWidth val="20"/>
        <c:axId val="656446816"/>
        <c:axId val="656447600"/>
      </c:barChart>
      <c:catAx>
        <c:axId val="656446816"/>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56447600"/>
        <c:crosses val="autoZero"/>
        <c:auto val="1"/>
        <c:lblAlgn val="ctr"/>
        <c:lblOffset val="100"/>
        <c:tickLblSkip val="1"/>
        <c:noMultiLvlLbl val="0"/>
      </c:catAx>
      <c:valAx>
        <c:axId val="656447600"/>
        <c:scaling>
          <c:orientation val="minMax"/>
        </c:scaling>
        <c:delete val="0"/>
        <c:axPos val="l"/>
        <c:numFmt formatCode="0" sourceLinked="0"/>
        <c:majorTickMark val="out"/>
        <c:minorTickMark val="none"/>
        <c:tickLblPos val="nextTo"/>
        <c:txPr>
          <a:bodyPr/>
          <a:lstStyle/>
          <a:p>
            <a:pPr>
              <a:defRPr sz="600"/>
            </a:pPr>
            <a:endParaRPr lang="lv-LV"/>
          </a:p>
        </c:txPr>
        <c:crossAx val="656446816"/>
        <c:crosses val="autoZero"/>
        <c:crossBetween val="between"/>
      </c:valAx>
    </c:plotArea>
    <c:plotVisOnly val="1"/>
    <c:dispBlanksAs val="gap"/>
    <c:showDLblsOverMax val="0"/>
  </c:chart>
  <c:spPr>
    <a:ln w="9525">
      <a:noFill/>
    </a:ln>
  </c:spPr>
  <c:externalData r:id="rId1">
    <c:autoUpdate val="0"/>
  </c:externalData>
</c:chartSpace>
</file>

<file path=word/charts/chart31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44769403824522"/>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828B-45FF-AFBC-57E8FF608F1B}"/>
              </c:ext>
            </c:extLst>
          </c:dPt>
          <c:dPt>
            <c:idx val="5"/>
            <c:bubble3D val="0"/>
            <c:extLst>
              <c:ext xmlns:c="http://schemas.openxmlformats.org/drawingml/2006/chart" xmlns:c16="http://schemas.microsoft.com/office/drawing/2014/chart" uri="{C3380CC4-5D6E-409C-BE32-E72D297353CC}">
                <c16:uniqueId val="{00000001-828B-45FF-AFBC-57E8FF608F1B}"/>
              </c:ext>
            </c:extLst>
          </c:dPt>
          <c:dPt>
            <c:idx val="11"/>
            <c:bubble3D val="0"/>
            <c:extLst>
              <c:ext xmlns:c="http://schemas.openxmlformats.org/drawingml/2006/chart" xmlns:c16="http://schemas.microsoft.com/office/drawing/2014/chart" uri="{C3380CC4-5D6E-409C-BE32-E72D297353CC}">
                <c16:uniqueId val="{00000002-828B-45FF-AFBC-57E8FF608F1B}"/>
              </c:ext>
            </c:extLst>
          </c:dPt>
          <c:dPt>
            <c:idx val="12"/>
            <c:bubble3D val="0"/>
            <c:extLst>
              <c:ext xmlns:c="http://schemas.openxmlformats.org/drawingml/2006/chart" xmlns:c16="http://schemas.microsoft.com/office/drawing/2014/chart" uri="{C3380CC4-5D6E-409C-BE32-E72D297353CC}">
                <c16:uniqueId val="{00000003-828B-45FF-AFBC-57E8FF608F1B}"/>
              </c:ext>
            </c:extLst>
          </c:dPt>
          <c:dPt>
            <c:idx val="13"/>
            <c:bubble3D val="0"/>
            <c:extLst>
              <c:ext xmlns:c="http://schemas.openxmlformats.org/drawingml/2006/chart" xmlns:c16="http://schemas.microsoft.com/office/drawing/2014/chart" uri="{C3380CC4-5D6E-409C-BE32-E72D297353CC}">
                <c16:uniqueId val="{00000004-828B-45FF-AFBC-57E8FF608F1B}"/>
              </c:ext>
            </c:extLst>
          </c:dPt>
          <c:dPt>
            <c:idx val="14"/>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5-828B-45FF-AFBC-57E8FF608F1B}"/>
              </c:ext>
            </c:extLst>
          </c:dPt>
          <c:dLbls>
            <c:dLbl>
              <c:idx val="0"/>
              <c:layout>
                <c:manualLayout>
                  <c:x val="-0.045593108278965767"/>
                  <c:y val="-0.056784297301238879"/>
                </c:manualLayout>
              </c:layout>
              <c:tx>
                <c:rich>
                  <a:bodyPr vertOverflow="clip"/>
                  <a:lstStyle/>
                  <a:p>
                    <a:r>
                      <a:rPr lang="en-US"/>
                      <a:t>EU-28</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828B-45FF-AFBC-57E8FF608F1B}"/>
                </c:ext>
                <c:ext xmlns:c15="http://schemas.microsoft.com/office/drawing/2012/chart" uri="{CE6537A1-D6FC-4f65-9D91-7224C49458BB}"/>
              </c:extLst>
            </c:dLbl>
            <c:dLbl>
              <c:idx val="1"/>
              <c:layout>
                <c:manualLayout>
                  <c:x val="-0.029044935228838237"/>
                  <c:y val="-0.066743948634913744"/>
                </c:manualLayout>
              </c:layout>
              <c:tx>
                <c:rich>
                  <a:bodyPr vertOverflow="clip"/>
                  <a:lstStyle/>
                  <a:p>
                    <a:r>
                      <a:rPr lang="en-US"/>
                      <a:t>BE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828B-45FF-AFBC-57E8FF608F1B}"/>
                </c:ext>
                <c:ext xmlns:c15="http://schemas.microsoft.com/office/drawing/2012/chart" uri="{CE6537A1-D6FC-4f65-9D91-7224C49458BB}"/>
              </c:extLst>
            </c:dLbl>
            <c:dLbl>
              <c:idx val="2"/>
              <c:layout>
                <c:manualLayout>
                  <c:x val="-0.049905837116385715"/>
                  <c:y val="-0.066487422359667786"/>
                </c:manualLayout>
              </c:layout>
              <c:tx>
                <c:rich>
                  <a:bodyPr vertOverflow="clip"/>
                  <a:lstStyle/>
                  <a:p>
                    <a:r>
                      <a:rPr lang="en-US"/>
                      <a:t>BG</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828B-45FF-AFBC-57E8FF608F1B}"/>
                </c:ext>
                <c:ext xmlns:c15="http://schemas.microsoft.com/office/drawing/2012/chart" uri="{CE6537A1-D6FC-4f65-9D91-7224C49458BB}"/>
              </c:extLst>
            </c:dLbl>
            <c:dLbl>
              <c:idx val="3"/>
              <c:layout>
                <c:manualLayout>
                  <c:x val="-0.029091107952154579"/>
                  <c:y val="-0.047440159450151259"/>
                </c:manualLayout>
              </c:layout>
              <c:tx>
                <c:rich>
                  <a:bodyPr vertOverflow="clip"/>
                  <a:lstStyle/>
                  <a:p>
                    <a:r>
                      <a:rPr lang="en-US"/>
                      <a:t>CZ</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828B-45FF-AFBC-57E8FF608F1B}"/>
                </c:ext>
                <c:ext xmlns:c15="http://schemas.microsoft.com/office/drawing/2012/chart" uri="{CE6537A1-D6FC-4f65-9D91-7224C49458BB}"/>
              </c:extLst>
            </c:dLbl>
            <c:dLbl>
              <c:idx val="4"/>
              <c:layout>
                <c:manualLayout>
                  <c:x val="-0.02910158686808453"/>
                  <c:y val="-0.056963790904909523"/>
                </c:manualLayout>
              </c:layout>
              <c:tx>
                <c:rich>
                  <a:bodyPr vertOverflow="clip"/>
                  <a:lstStyle/>
                  <a:p>
                    <a:r>
                      <a:rPr lang="en-US"/>
                      <a:t>DK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828B-45FF-AFBC-57E8FF608F1B}"/>
                </c:ext>
                <c:ext xmlns:c15="http://schemas.microsoft.com/office/drawing/2012/chart" uri="{CE6537A1-D6FC-4f65-9D91-7224C49458BB}"/>
              </c:extLst>
            </c:dLbl>
            <c:dLbl>
              <c:idx val="5"/>
              <c:layout>
                <c:manualLayout>
                  <c:x val="-0.020743669015581164"/>
                  <c:y val="-0.037790134582808249"/>
                </c:manualLayout>
              </c:layout>
              <c:tx>
                <c:rich>
                  <a:bodyPr vertOverflow="clip"/>
                  <a:lstStyle/>
                  <a:p>
                    <a:r>
                      <a:rPr lang="en-US"/>
                      <a:t>DE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828B-45FF-AFBC-57E8FF608F1B}"/>
                </c:ext>
                <c:ext xmlns:c15="http://schemas.microsoft.com/office/drawing/2012/chart" uri="{CE6537A1-D6FC-4f65-9D91-7224C49458BB}"/>
              </c:extLst>
            </c:dLbl>
            <c:dLbl>
              <c:idx val="6"/>
              <c:layout>
                <c:manualLayout>
                  <c:x val="-0.020753165533142683"/>
                  <c:y val="-0.0096522685373888924"/>
                </c:manualLayout>
              </c:layout>
              <c:tx>
                <c:rich>
                  <a:bodyPr vertOverflow="clip"/>
                  <a:lstStyle/>
                  <a:p>
                    <a:r>
                      <a:rPr lang="en-US"/>
                      <a:t>EE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828B-45FF-AFBC-57E8FF608F1B}"/>
                </c:ext>
                <c:ext xmlns:c15="http://schemas.microsoft.com/office/drawing/2012/chart" uri="{CE6537A1-D6FC-4f65-9D91-7224C49458BB}"/>
              </c:extLst>
            </c:dLbl>
            <c:dLbl>
              <c:idx val="7"/>
              <c:layout>
                <c:manualLayout>
                  <c:x val="-0.037429377837289286"/>
                  <c:y val="0.094981284052367262"/>
                </c:manualLayout>
              </c:layout>
              <c:tx>
                <c:rich>
                  <a:bodyPr vertOverflow="clip"/>
                  <a:lstStyle/>
                  <a:p>
                    <a:r>
                      <a:rPr lang="en-US"/>
                      <a:t>IE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828B-45FF-AFBC-57E8FF608F1B}"/>
                </c:ext>
                <c:ext xmlns:c15="http://schemas.microsoft.com/office/drawing/2012/chart" uri="{CE6537A1-D6FC-4f65-9D91-7224C49458BB}"/>
              </c:extLst>
            </c:dLbl>
            <c:dLbl>
              <c:idx val="8"/>
              <c:layout>
                <c:manualLayout>
                  <c:x val="-0.045690693183563426"/>
                  <c:y val="-0.057194888919635478"/>
                </c:manualLayout>
              </c:layout>
              <c:tx>
                <c:rich>
                  <a:bodyPr vertOverflow="clip"/>
                  <a:lstStyle/>
                  <a:p>
                    <a:r>
                      <a:rPr lang="en-US"/>
                      <a:t>EL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828B-45FF-AFBC-57E8FF608F1B}"/>
                </c:ext>
                <c:ext xmlns:c15="http://schemas.microsoft.com/office/drawing/2012/chart" uri="{CE6537A1-D6FC-4f65-9D91-7224C49458BB}"/>
              </c:extLst>
            </c:dLbl>
            <c:dLbl>
              <c:idx val="9"/>
              <c:layout>
                <c:manualLayout>
                  <c:x val="-0.033249927711853311"/>
                  <c:y val="-0.065260882734585079"/>
                </c:manualLayout>
              </c:layout>
              <c:tx>
                <c:rich>
                  <a:bodyPr vertOverflow="clip"/>
                  <a:lstStyle/>
                  <a:p>
                    <a:r>
                      <a:rPr lang="en-US"/>
                      <a:t>ES</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828B-45FF-AFBC-57E8FF608F1B}"/>
                </c:ext>
                <c:ext xmlns:c15="http://schemas.microsoft.com/office/drawing/2012/chart" uri="{CE6537A1-D6FC-4f65-9D91-7224C49458BB}"/>
              </c:extLst>
            </c:dLbl>
            <c:dLbl>
              <c:idx val="10"/>
              <c:layout>
                <c:manualLayout>
                  <c:x val="-0.041542352339794565"/>
                  <c:y val="-0.19019441400947579"/>
                </c:manualLayout>
              </c:layout>
              <c:tx>
                <c:rich>
                  <a:bodyPr vertOverflow="clip"/>
                  <a:lstStyle/>
                  <a:p>
                    <a:r>
                      <a:rPr lang="en-US"/>
                      <a:t>FR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E-828B-45FF-AFBC-57E8FF608F1B}"/>
                </c:ext>
                <c:ext xmlns:c15="http://schemas.microsoft.com/office/drawing/2012/chart" uri="{CE6537A1-D6FC-4f65-9D91-7224C49458BB}"/>
              </c:extLst>
            </c:dLbl>
            <c:dLbl>
              <c:idx val="11"/>
              <c:layout>
                <c:manualLayout>
                  <c:x val="-0.049849840409385046"/>
                  <c:y val="-0.076165119157576691"/>
                </c:manualLayout>
              </c:layout>
              <c:tx>
                <c:rich>
                  <a:bodyPr vertOverflow="clip"/>
                  <a:lstStyle/>
                  <a:p>
                    <a:r>
                      <a:rPr lang="en-US"/>
                      <a:t>HR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828B-45FF-AFBC-57E8FF608F1B}"/>
                </c:ext>
                <c:ext xmlns:c15="http://schemas.microsoft.com/office/drawing/2012/chart" uri="{CE6537A1-D6FC-4f65-9D91-7224C49458BB}"/>
              </c:extLst>
            </c:dLbl>
            <c:dLbl>
              <c:idx val="12"/>
              <c:layout>
                <c:manualLayout>
                  <c:x val="-0.041531873423864621"/>
                  <c:y val="0.056784297301238879"/>
                </c:manualLayout>
              </c:layout>
              <c:tx>
                <c:rich>
                  <a:bodyPr vertOverflow="clip"/>
                  <a:lstStyle/>
                  <a:p>
                    <a:r>
                      <a:rPr lang="en-US"/>
                      <a:t>IT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828B-45FF-AFBC-57E8FF608F1B}"/>
                </c:ext>
                <c:ext xmlns:c15="http://schemas.microsoft.com/office/drawing/2012/chart" uri="{CE6537A1-D6FC-4f65-9D91-7224C49458BB}"/>
              </c:extLst>
            </c:dLbl>
            <c:dLbl>
              <c:idx val="13"/>
              <c:layout>
                <c:manualLayout>
                  <c:x val="-0.024952918558192858"/>
                  <c:y val="-0.028494609582714766"/>
                </c:manualLayout>
              </c:layout>
              <c:tx>
                <c:rich>
                  <a:bodyPr vertOverflow="clip"/>
                  <a:lstStyle/>
                  <a:p>
                    <a:r>
                      <a:rPr lang="en-US"/>
                      <a:t>CY</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828B-45FF-AFBC-57E8FF608F1B}"/>
                </c:ext>
                <c:ext xmlns:c15="http://schemas.microsoft.com/office/drawing/2012/chart" uri="{CE6537A1-D6FC-4f65-9D91-7224C49458BB}"/>
              </c:extLst>
            </c:dLbl>
            <c:dLbl>
              <c:idx val="14"/>
              <c:layout>
                <c:manualLayout>
                  <c:x val="-0.095545118118667824"/>
                  <c:y val="0.066512850620187788"/>
                </c:manualLayout>
              </c:layout>
              <c:tx>
                <c:rich>
                  <a:bodyPr vertOverflow="clip"/>
                  <a:lstStyle/>
                  <a:p>
                    <a:r>
                      <a:rPr lang="en-US"/>
                      <a:t>LV</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828B-45FF-AFBC-57E8FF608F1B}"/>
                </c:ext>
                <c:ext xmlns:c15="http://schemas.microsoft.com/office/drawing/2012/chart" uri="{CE6537A1-D6FC-4f65-9D91-7224C49458BB}"/>
              </c:extLst>
            </c:dLbl>
            <c:dLbl>
              <c:idx val="15"/>
              <c:layout>
                <c:manualLayout>
                  <c:x val="-0.016609736681215986"/>
                  <c:y val="-0.037839495323817592"/>
                </c:manualLayout>
              </c:layout>
              <c:tx>
                <c:rich>
                  <a:bodyPr vertOverflow="clip"/>
                  <a:lstStyle/>
                  <a:p>
                    <a:r>
                      <a:rPr lang="en-US"/>
                      <a:t>LT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F-828B-45FF-AFBC-57E8FF608F1B}"/>
                </c:ext>
                <c:ext xmlns:c15="http://schemas.microsoft.com/office/drawing/2012/chart" uri="{CE6537A1-D6FC-4f65-9D91-7224C49458BB}"/>
              </c:extLst>
            </c:dLbl>
            <c:dLbl>
              <c:idx val="16"/>
              <c:layout>
                <c:manualLayout>
                  <c:x val="-0.033270558077590405"/>
                  <c:y val="-0.066487422359667786"/>
                </c:manualLayout>
              </c:layout>
              <c:tx>
                <c:rich>
                  <a:bodyPr vertOverflow="clip"/>
                  <a:lstStyle/>
                  <a:p>
                    <a:r>
                      <a:rPr lang="en-US"/>
                      <a:t>LU</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0-828B-45FF-AFBC-57E8FF608F1B}"/>
                </c:ext>
                <c:ext xmlns:c15="http://schemas.microsoft.com/office/drawing/2012/chart" uri="{CE6537A1-D6FC-4f65-9D91-7224C49458BB}"/>
              </c:extLst>
            </c:dLbl>
            <c:dLbl>
              <c:idx val="17"/>
              <c:layout>
                <c:manualLayout>
                  <c:x val="-0.05812589173118568"/>
                  <c:y val="-0.066307928755997142"/>
                </c:manualLayout>
              </c:layout>
              <c:tx>
                <c:rich>
                  <a:bodyPr vertOverflow="clip"/>
                  <a:lstStyle/>
                  <a:p>
                    <a:r>
                      <a:rPr lang="en-US"/>
                      <a:t>HU</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1-828B-45FF-AFBC-57E8FF608F1B}"/>
                </c:ext>
                <c:ext xmlns:c15="http://schemas.microsoft.com/office/drawing/2012/chart" uri="{CE6537A1-D6FC-4f65-9D91-7224C49458BB}"/>
              </c:extLst>
            </c:dLbl>
            <c:dLbl>
              <c:idx val="18"/>
              <c:layout>
                <c:manualLayout>
                  <c:x val="-0.049844273485297262"/>
                  <c:y val="-0.066667663853353723"/>
                </c:manualLayout>
              </c:layout>
              <c:tx>
                <c:rich>
                  <a:bodyPr vertOverflow="clip"/>
                  <a:lstStyle/>
                  <a:p>
                    <a:r>
                      <a:rPr lang="en-US"/>
                      <a:t>NL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2-828B-45FF-AFBC-57E8FF608F1B}"/>
                </c:ext>
                <c:ext xmlns:c15="http://schemas.microsoft.com/office/drawing/2012/chart" uri="{CE6537A1-D6FC-4f65-9D91-7224C49458BB}"/>
              </c:extLst>
            </c:dLbl>
            <c:dLbl>
              <c:idx val="19"/>
              <c:layout>
                <c:manualLayout>
                  <c:x val="-0.020686689910212063"/>
                  <c:y val="-0.028367468280114772"/>
                </c:manualLayout>
              </c:layout>
              <c:tx>
                <c:rich>
                  <a:bodyPr vertOverflow="clip"/>
                  <a:lstStyle/>
                  <a:p>
                    <a:r>
                      <a:rPr lang="en-US"/>
                      <a:t>AT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3-828B-45FF-AFBC-57E8FF608F1B}"/>
                </c:ext>
                <c:ext xmlns:c15="http://schemas.microsoft.com/office/drawing/2012/chart" uri="{CE6537A1-D6FC-4f65-9D91-7224C49458BB}"/>
              </c:extLst>
            </c:dLbl>
            <c:dLbl>
              <c:idx val="20"/>
              <c:layout>
                <c:manualLayout>
                  <c:x val="-0.087279545712797113"/>
                  <c:y val="-0.00020566975420594646"/>
                </c:manualLayout>
              </c:layout>
              <c:tx>
                <c:rich>
                  <a:bodyPr vertOverflow="clip"/>
                  <a:lstStyle/>
                  <a:p>
                    <a:r>
                      <a:rPr lang="en-US"/>
                      <a:t>PL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4-828B-45FF-AFBC-57E8FF608F1B}"/>
                </c:ext>
                <c:ext xmlns:c15="http://schemas.microsoft.com/office/drawing/2012/chart" uri="{CE6537A1-D6FC-4f65-9D91-7224C49458BB}"/>
              </c:extLst>
            </c:dLbl>
            <c:dLbl>
              <c:idx val="21"/>
              <c:layout>
                <c:manualLayout>
                  <c:x val="-0.020732862633528405"/>
                  <c:y val="-0.019149723841611808"/>
                </c:manualLayout>
              </c:layout>
              <c:tx>
                <c:rich>
                  <a:bodyPr vertOverflow="clip"/>
                  <a:lstStyle/>
                  <a:p>
                    <a:r>
                      <a:rPr lang="en-US"/>
                      <a:t>PT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5-828B-45FF-AFBC-57E8FF608F1B}"/>
                </c:ext>
                <c:ext xmlns:c15="http://schemas.microsoft.com/office/drawing/2012/chart" uri="{CE6537A1-D6FC-4f65-9D91-7224C49458BB}"/>
              </c:extLst>
            </c:dLbl>
            <c:dLbl>
              <c:idx val="22"/>
              <c:layout>
                <c:manualLayout>
                  <c:x val="-0.020778707890721934"/>
                  <c:y val="-0.019021834648996518"/>
                </c:manualLayout>
              </c:layout>
              <c:tx>
                <c:rich>
                  <a:bodyPr vertOverflow="clip"/>
                  <a:lstStyle/>
                  <a:p>
                    <a:r>
                      <a:rPr lang="en-US"/>
                      <a:t>RO</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6-828B-45FF-AFBC-57E8FF608F1B}"/>
                </c:ext>
                <c:ext xmlns:c15="http://schemas.microsoft.com/office/drawing/2012/chart" uri="{CE6537A1-D6FC-4f65-9D91-7224C49458BB}"/>
              </c:extLst>
            </c:dLbl>
            <c:dLbl>
              <c:idx val="23"/>
              <c:layout>
                <c:manualLayout>
                  <c:x val="-0.024891354927104405"/>
                  <c:y val="-0.0286741031863854"/>
                </c:manualLayout>
              </c:layout>
              <c:tx>
                <c:rich>
                  <a:bodyPr vertOverflow="clip"/>
                  <a:lstStyle/>
                  <a:p>
                    <a:r>
                      <a:rPr lang="en-US"/>
                      <a:t>SI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7-828B-45FF-AFBC-57E8FF608F1B}"/>
                </c:ext>
                <c:ext xmlns:c15="http://schemas.microsoft.com/office/drawing/2012/chart" uri="{CE6537A1-D6FC-4f65-9D91-7224C49458BB}"/>
              </c:extLst>
            </c:dLbl>
            <c:dLbl>
              <c:idx val="24"/>
              <c:layout>
                <c:manualLayout>
                  <c:x val="-0.045731626448914792"/>
                  <c:y val="-0.075857736361290659"/>
                </c:manualLayout>
              </c:layout>
              <c:tx>
                <c:rich>
                  <a:bodyPr vertOverflow="clip"/>
                  <a:lstStyle/>
                  <a:p>
                    <a:r>
                      <a:rPr lang="en-US"/>
                      <a:t>SK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8-828B-45FF-AFBC-57E8FF608F1B}"/>
                </c:ext>
                <c:ext xmlns:c15="http://schemas.microsoft.com/office/drawing/2012/chart" uri="{CE6537A1-D6FC-4f65-9D91-7224C49458BB}"/>
              </c:extLst>
            </c:dLbl>
            <c:dLbl>
              <c:idx val="25"/>
              <c:layout>
                <c:manualLayout>
                  <c:x val="-0.024942767108385718"/>
                  <c:y val="-0.037890351844857693"/>
                </c:manualLayout>
              </c:layout>
              <c:tx>
                <c:rich>
                  <a:bodyPr vertOverflow="clip"/>
                  <a:lstStyle/>
                  <a:p>
                    <a:r>
                      <a:rPr lang="en-US"/>
                      <a:t>FI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9-828B-45FF-AFBC-57E8FF608F1B}"/>
                </c:ext>
                <c:ext xmlns:c15="http://schemas.microsoft.com/office/drawing/2012/chart" uri="{CE6537A1-D6FC-4f65-9D91-7224C49458BB}"/>
              </c:extLst>
            </c:dLbl>
            <c:dLbl>
              <c:idx val="26"/>
              <c:layout>
                <c:manualLayout>
                  <c:x val="-0.012414895648007974"/>
                  <c:y val="0.0097031250584289075"/>
                </c:manualLayout>
              </c:layout>
              <c:tx>
                <c:rich>
                  <a:bodyPr vertOverflow="clip"/>
                  <a:lstStyle/>
                  <a:p>
                    <a:r>
                      <a:rPr lang="en-US"/>
                      <a:t>SE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A-828B-45FF-AFBC-57E8FF608F1B}"/>
                </c:ext>
                <c:ext xmlns:c15="http://schemas.microsoft.com/office/drawing/2012/chart" uri="{CE6537A1-D6FC-4f65-9D91-7224C49458BB}"/>
              </c:extLst>
            </c:dLbl>
            <c:dLbl>
              <c:idx val="27"/>
              <c:layout>
                <c:manualLayout>
                  <c:x val="-0.016594345773443795"/>
                  <c:y val="-0.0097031250584289075"/>
                </c:manualLayout>
              </c:layout>
              <c:tx>
                <c:rich>
                  <a:bodyPr/>
                  <a:lstStyle/>
                  <a:p>
                    <a:r>
                      <a:rPr lang="en-US"/>
                      <a:t>UK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B-828B-45FF-AFBC-57E8FF608F1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Sheet1!$B$3:$B$30</c:f>
              <c:numCache>
                <c:formatCode>0</c:formatCode>
                <c:ptCount val="28"/>
                <c:pt idx="0">
                  <c:v>50.606025550212323</c:v>
                </c:pt>
                <c:pt idx="1">
                  <c:v>74.235519754507109</c:v>
                </c:pt>
                <c:pt idx="2">
                  <c:v>10.943573177721044</c:v>
                </c:pt>
                <c:pt idx="3">
                  <c:v>28.047058068243832</c:v>
                </c:pt>
                <c:pt idx="4">
                  <c:v>84.742758620689656</c:v>
                </c:pt>
                <c:pt idx="5">
                  <c:v>54.387291981845685</c:v>
                </c:pt>
                <c:pt idx="6">
                  <c:v>28.760598503740646</c:v>
                </c:pt>
                <c:pt idx="7">
                  <c:v>64.478057094162764</c:v>
                </c:pt>
                <c:pt idx="8">
                  <c:v>64.04289761230271</c:v>
                </c:pt>
                <c:pt idx="9">
                  <c:v>47.182458040064972</c:v>
                </c:pt>
                <c:pt idx="10">
                  <c:v>62.865737344093908</c:v>
                </c:pt>
                <c:pt idx="11">
                  <c:v>17.769337016574585</c:v>
                </c:pt>
                <c:pt idx="12">
                  <c:v>68.671985190409018</c:v>
                </c:pt>
                <c:pt idx="13">
                  <c:v>66.813428728673628</c:v>
                </c:pt>
                <c:pt idx="14">
                  <c:v>21.760554175924714</c:v>
                </c:pt>
                <c:pt idx="15">
                  <c:v>35.187309763521419</c:v>
                </c:pt>
                <c:pt idx="16">
                  <c:v>69.789430222956241</c:v>
                </c:pt>
                <c:pt idx="17">
                  <c:v>18.823281315900463</c:v>
                </c:pt>
                <c:pt idx="18">
                  <c:v>70.1064935064935</c:v>
                </c:pt>
                <c:pt idx="19">
                  <c:v>70.401157184185152</c:v>
                </c:pt>
                <c:pt idx="20">
                  <c:v>19.7896531452087</c:v>
                </c:pt>
                <c:pt idx="21">
                  <c:v>43.771630370806356</c:v>
                </c:pt>
                <c:pt idx="22">
                  <c:v>20.96433439345752</c:v>
                </c:pt>
                <c:pt idx="23">
                  <c:v>33.825750242013555</c:v>
                </c:pt>
                <c:pt idx="24">
                  <c:v>24.078563411896745</c:v>
                </c:pt>
                <c:pt idx="25">
                  <c:v>54.533678756476682</c:v>
                </c:pt>
                <c:pt idx="26">
                  <c:v>73.077510040160647</c:v>
                </c:pt>
                <c:pt idx="27">
                  <c:v>51.004142223650859</c:v>
                </c:pt>
              </c:numCache>
            </c:numRef>
          </c:xVal>
          <c:yVal>
            <c:numRef>
              <c:f>Sheet1!$C$3:$C$30</c:f>
              <c:numCache>
                <c:formatCode>0.0</c:formatCode>
                <c:ptCount val="28"/>
                <c:pt idx="0">
                  <c:v>0.65318484546432432</c:v>
                </c:pt>
                <c:pt idx="1">
                  <c:v>0.67533168185973336</c:v>
                </c:pt>
                <c:pt idx="2">
                  <c:v>0.59308391544153938</c:v>
                </c:pt>
                <c:pt idx="3">
                  <c:v>0.53213520049941387</c:v>
                </c:pt>
                <c:pt idx="4">
                  <c:v>0.62362607705744966</c:v>
                </c:pt>
                <c:pt idx="5">
                  <c:v>0.59715248896577988</c:v>
                </c:pt>
                <c:pt idx="6">
                  <c:v>0.48371196893618729</c:v>
                </c:pt>
                <c:pt idx="7">
                  <c:v>0.792176600254561</c:v>
                </c:pt>
                <c:pt idx="8">
                  <c:v>0.5450911027918276</c:v>
                </c:pt>
                <c:pt idx="9">
                  <c:v>0.72941119363719864</c:v>
                </c:pt>
                <c:pt idx="10">
                  <c:v>0.69522579706205012</c:v>
                </c:pt>
                <c:pt idx="11">
                  <c:v>0.77720462761341436</c:v>
                </c:pt>
                <c:pt idx="12">
                  <c:v>0.54642004065757188</c:v>
                </c:pt>
                <c:pt idx="13">
                  <c:v>0.41222101552649265</c:v>
                </c:pt>
                <c:pt idx="14">
                  <c:v>0.50767923724834108</c:v>
                </c:pt>
                <c:pt idx="15" formatCode="0.00">
                  <c:v>0.3231439016427663</c:v>
                </c:pt>
                <c:pt idx="16">
                  <c:v>0.81790665647549887</c:v>
                </c:pt>
                <c:pt idx="17" formatCode="0.00">
                  <c:v>0.60382697214316339</c:v>
                </c:pt>
                <c:pt idx="18" formatCode="0.000">
                  <c:v>0.6470092610978524</c:v>
                </c:pt>
                <c:pt idx="19" formatCode="0.000">
                  <c:v>0.57909999431924386</c:v>
                </c:pt>
                <c:pt idx="20">
                  <c:v>0.5340030269789956</c:v>
                </c:pt>
                <c:pt idx="21">
                  <c:v>0.58616148895162867</c:v>
                </c:pt>
                <c:pt idx="22">
                  <c:v>0.373980810632618</c:v>
                </c:pt>
                <c:pt idx="23">
                  <c:v>0.69363034602490226</c:v>
                </c:pt>
                <c:pt idx="24">
                  <c:v>0.56439796936687869</c:v>
                </c:pt>
                <c:pt idx="25">
                  <c:v>0.75816571872707328</c:v>
                </c:pt>
                <c:pt idx="26">
                  <c:v>0.53656623423812677</c:v>
                </c:pt>
                <c:pt idx="27">
                  <c:v>0.92444504277557538</c:v>
                </c:pt>
              </c:numCache>
            </c:numRef>
          </c:yVal>
          <c:smooth val="0"/>
          <c:extLst>
            <c:ext xmlns:c="http://schemas.openxmlformats.org/drawingml/2006/chart" xmlns:c16="http://schemas.microsoft.com/office/drawing/2014/chart" uri="{C3380CC4-5D6E-409C-BE32-E72D297353CC}">
              <c16:uniqueId val="{0000001C-828B-45FF-AFBC-57E8FF608F1B}"/>
            </c:ext>
          </c:extLst>
        </c:ser>
        <c:dLbls>
          <c:showLegendKey val="0"/>
          <c:showVal val="0"/>
          <c:showCatName val="0"/>
          <c:showSerName val="0"/>
          <c:showPercent val="0"/>
          <c:showBubbleSize val="0"/>
        </c:dLbls>
        <c:axId val="656448384"/>
        <c:axId val="656443680"/>
      </c:scatterChart>
      <c:valAx>
        <c:axId val="656448384"/>
        <c:scaling>
          <c:orientation val="minMax"/>
          <c:max val="90"/>
          <c:min val="0"/>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56443680"/>
        <c:crosses val="autoZero"/>
        <c:crossBetween val="midCat"/>
        <c:majorUnit val="15"/>
      </c:valAx>
      <c:valAx>
        <c:axId val="656443680"/>
        <c:scaling>
          <c:orientation val="minMax"/>
          <c:max val="0.9"/>
          <c:min val="0.30000000000000004"/>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56448384"/>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31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3524559430071246"/>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20E7-425D-8BA2-D46DF3A2729F}"/>
              </c:ext>
            </c:extLst>
          </c:dPt>
          <c:dPt>
            <c:idx val="5"/>
            <c:bubble3D val="0"/>
            <c:extLst>
              <c:ext xmlns:c="http://schemas.openxmlformats.org/drawingml/2006/chart" xmlns:c16="http://schemas.microsoft.com/office/drawing/2014/chart" uri="{C3380CC4-5D6E-409C-BE32-E72D297353CC}">
                <c16:uniqueId val="{00000001-20E7-425D-8BA2-D46DF3A2729F}"/>
              </c:ext>
            </c:extLst>
          </c:dPt>
          <c:dPt>
            <c:idx val="11"/>
            <c:bubble3D val="0"/>
            <c:extLst>
              <c:ext xmlns:c="http://schemas.openxmlformats.org/drawingml/2006/chart" xmlns:c16="http://schemas.microsoft.com/office/drawing/2014/chart" uri="{C3380CC4-5D6E-409C-BE32-E72D297353CC}">
                <c16:uniqueId val="{00000002-20E7-425D-8BA2-D46DF3A2729F}"/>
              </c:ext>
            </c:extLst>
          </c:dPt>
          <c:dPt>
            <c:idx val="12"/>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3-20E7-425D-8BA2-D46DF3A2729F}"/>
              </c:ext>
            </c:extLst>
          </c:dPt>
          <c:dPt>
            <c:idx val="13"/>
            <c:bubble3D val="0"/>
            <c:extLst>
              <c:ext xmlns:c="http://schemas.openxmlformats.org/drawingml/2006/chart" xmlns:c16="http://schemas.microsoft.com/office/drawing/2014/chart" uri="{C3380CC4-5D6E-409C-BE32-E72D297353CC}">
                <c16:uniqueId val="{00000004-20E7-425D-8BA2-D46DF3A2729F}"/>
              </c:ext>
            </c:extLst>
          </c:dPt>
          <c:dPt>
            <c:idx val="14"/>
            <c:bubble3D val="0"/>
            <c:extLst>
              <c:ext xmlns:c="http://schemas.openxmlformats.org/drawingml/2006/chart" xmlns:c16="http://schemas.microsoft.com/office/drawing/2014/chart" uri="{C3380CC4-5D6E-409C-BE32-E72D297353CC}">
                <c16:uniqueId val="{00000005-20E7-425D-8BA2-D46DF3A2729F}"/>
              </c:ext>
            </c:extLst>
          </c:dPt>
          <c:dLbls>
            <c:dLbl>
              <c:idx val="0"/>
              <c:layout>
                <c:manualLayout>
                  <c:x val="-0.054669987546700029"/>
                  <c:y val="-0.085747844464810069"/>
                </c:manualLayout>
              </c:layout>
              <c:tx>
                <c:rich>
                  <a:bodyPr vertOverflow="clip"/>
                  <a:lstStyle/>
                  <a:p>
                    <a:fld id="{4c2ff9cb-9b10-4948-acf5-964c5cabfe73}" type="CELLRANGE">
                      <a:rPr lang="en-US"/>
                      <a:t>BE</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0-20E7-425D-8BA2-D46DF3A2729F}"/>
                </c:ext>
                <c:ext xmlns:c15="http://schemas.microsoft.com/office/drawing/2012/chart" uri="{CE6537A1-D6FC-4f65-9D91-7224C49458BB}">
                  <c15:showDataLabelsRange val="1"/>
                </c:ext>
              </c:extLst>
            </c:dLbl>
            <c:dLbl>
              <c:idx val="1"/>
              <c:tx>
                <c:rich>
                  <a:bodyPr vertOverflow="clip"/>
                  <a:lstStyle/>
                  <a:p>
                    <a:fld id="{6afab439-1d82-4138-a18b-8d23286e9283}" type="CELLRANGE">
                      <a:rPr lang="lv-LV"/>
                      <a:t>BG</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2"/>
              <c:layout>
                <c:manualLayout>
                  <c:x val="-0.0760896637608966"/>
                  <c:y val="-0.047505938242280284"/>
                </c:manualLayout>
              </c:layout>
              <c:tx>
                <c:rich>
                  <a:bodyPr vertOverflow="clip"/>
                  <a:lstStyle/>
                  <a:p>
                    <a:fld id="{2a924164-2d79-41a1-84de-f818ba2176d9}" type="CELLRANGE">
                      <a:rPr lang="en-US"/>
                      <a:t>CZ</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7-20E7-425D-8BA2-D46DF3A2729F}"/>
                </c:ext>
                <c:ext xmlns:c15="http://schemas.microsoft.com/office/drawing/2012/chart" uri="{CE6537A1-D6FC-4f65-9D91-7224C49458BB}">
                  <c15:showDataLabelsRange val="1"/>
                </c:ext>
              </c:extLst>
            </c:dLbl>
            <c:dLbl>
              <c:idx val="3"/>
              <c:tx>
                <c:rich>
                  <a:bodyPr/>
                  <a:lstStyle/>
                  <a:p>
                    <a:fld id="{22b48087-d4e4-43d2-a102-edaae4825524}" type="CELLRANGE">
                      <a:rPr lang="lv-LV"/>
                      <a:t>DK</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4"/>
              <c:layout>
                <c:manualLayout>
                  <c:x val="-0.059620256060769566"/>
                  <c:y val="-0.076246656816354008"/>
                </c:manualLayout>
              </c:layout>
              <c:tx>
                <c:rich>
                  <a:bodyPr vertOverflow="clip"/>
                  <a:lstStyle/>
                  <a:p>
                    <a:fld id="{4b32ebbb-32db-40f4-bcb4-7194dd93a6e9}" type="CELLRANGE">
                      <a:rPr lang="en-US"/>
                      <a:t>DE</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9-20E7-425D-8BA2-D46DF3A2729F}"/>
                </c:ext>
                <c:ext xmlns:c15="http://schemas.microsoft.com/office/drawing/2012/chart" uri="{CE6537A1-D6FC-4f65-9D91-7224C49458BB}">
                  <c15:showDataLabelsRange val="1"/>
                </c:ext>
              </c:extLst>
            </c:dLbl>
            <c:dLbl>
              <c:idx val="5"/>
              <c:layout>
                <c:manualLayout>
                  <c:x val="-0.050518887505188875"/>
                  <c:y val="-0.085747844464810069"/>
                </c:manualLayout>
              </c:layout>
              <c:tx>
                <c:rich>
                  <a:bodyPr vertOverflow="clip"/>
                  <a:lstStyle/>
                  <a:p>
                    <a:fld id="{c599cd03-4bb0-4e37-8956-194cec9cf5c5}" type="CELLRANGE">
                      <a:rPr lang="en-US"/>
                      <a:t>EE</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1-20E7-425D-8BA2-D46DF3A2729F}"/>
                </c:ext>
                <c:ext xmlns:c15="http://schemas.microsoft.com/office/drawing/2012/chart" uri="{CE6537A1-D6FC-4f65-9D91-7224C49458BB}">
                  <c15:showDataLabelsRange val="1"/>
                </c:ext>
              </c:extLst>
            </c:dLbl>
            <c:dLbl>
              <c:idx val="6"/>
              <c:layout>
                <c:manualLayout>
                  <c:x val="-0.049014358883844526"/>
                  <c:y val="-0.076246656816354008"/>
                </c:manualLayout>
              </c:layout>
              <c:tx>
                <c:rich>
                  <a:bodyPr vertOverflow="clip"/>
                  <a:lstStyle/>
                  <a:p>
                    <a:fld id="{aea6792b-4e06-4128-828b-25122fdb7440}" type="CELLRANGE">
                      <a:rPr lang="en-US"/>
                      <a:t>IE</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A-20E7-425D-8BA2-D46DF3A2729F}"/>
                </c:ext>
                <c:ext xmlns:c15="http://schemas.microsoft.com/office/drawing/2012/chart" uri="{CE6537A1-D6FC-4f65-9D91-7224C49458BB}">
                  <c15:showDataLabelsRange val="1"/>
                </c:ext>
              </c:extLst>
            </c:dLbl>
            <c:dLbl>
              <c:idx val="7"/>
              <c:layout>
                <c:manualLayout>
                  <c:x val="-0.05306151799518203"/>
                  <c:y val="0.085748592589821759"/>
                </c:manualLayout>
              </c:layout>
              <c:tx>
                <c:rich>
                  <a:bodyPr vertOverflow="clip"/>
                  <a:lstStyle/>
                  <a:p>
                    <a:fld id="{01db0269-e3ed-4e76-8b66-b04cd66d660a}" type="CELLRANGE">
                      <a:rPr lang="en-US"/>
                      <a:t>EL</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B-20E7-425D-8BA2-D46DF3A2729F}"/>
                </c:ext>
                <c:ext xmlns:c15="http://schemas.microsoft.com/office/drawing/2012/chart" uri="{CE6537A1-D6FC-4f65-9D91-7224C49458BB}">
                  <c15:showDataLabelsRange val="1"/>
                </c:ext>
              </c:extLst>
            </c:dLbl>
            <c:dLbl>
              <c:idx val="8"/>
              <c:tx>
                <c:rich>
                  <a:bodyPr vertOverflow="clip"/>
                  <a:lstStyle/>
                  <a:p>
                    <a:fld id="{3ac0d26d-1ab3-48bc-b65c-0c9685c62ed2}" type="CELLRANGE">
                      <a:rPr lang="en-US"/>
                      <a:t>ES</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C-20E7-425D-8BA2-D46DF3A2729F}"/>
                </c:ext>
                <c:ext xmlns:c15="http://schemas.microsoft.com/office/drawing/2012/chart" uri="{CE6537A1-D6FC-4f65-9D91-7224C49458BB}">
                  <c15:showDataLabelsRange val="1"/>
                </c:ext>
              </c:extLst>
            </c:dLbl>
            <c:dLbl>
              <c:idx val="9"/>
              <c:layout>
                <c:manualLayout>
                  <c:x val="-0.054649395475627964"/>
                  <c:y val="-0.076246656816354008"/>
                </c:manualLayout>
              </c:layout>
              <c:tx>
                <c:rich>
                  <a:bodyPr vertOverflow="clip"/>
                  <a:lstStyle/>
                  <a:p>
                    <a:fld id="{1244bbb0-de70-4ac1-b639-8bede1d1156e}" type="CELLRANGE">
                      <a:rPr lang="en-US"/>
                      <a:t>FR</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D-20E7-425D-8BA2-D46DF3A2729F}"/>
                </c:ext>
                <c:ext xmlns:c15="http://schemas.microsoft.com/office/drawing/2012/chart" uri="{CE6537A1-D6FC-4f65-9D91-7224C49458BB}">
                  <c15:showDataLabelsRange val="1"/>
                </c:ext>
              </c:extLst>
            </c:dLbl>
            <c:dLbl>
              <c:idx val="10"/>
              <c:tx>
                <c:rich>
                  <a:bodyPr vertOverflow="clip"/>
                  <a:lstStyle/>
                  <a:p>
                    <a:fld id="{cdce82a4-3640-498c-b97a-9a5894f948bb}" type="CELLRANGE">
                      <a:rPr lang="en-US"/>
                      <a:t>IT</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E-20E7-425D-8BA2-D46DF3A2729F}"/>
                </c:ext>
                <c:ext xmlns:c15="http://schemas.microsoft.com/office/drawing/2012/chart" uri="{CE6537A1-D6FC-4f65-9D91-7224C49458BB}">
                  <c15:showDataLabelsRange val="1"/>
                </c:ext>
              </c:extLst>
            </c:dLbl>
            <c:dLbl>
              <c:idx val="11"/>
              <c:tx>
                <c:rich>
                  <a:bodyPr vertOverflow="clip"/>
                  <a:lstStyle/>
                  <a:p>
                    <a:fld id="{51bc59d7-2737-4888-90f4-45880665ed3f}" type="CELLRANGE">
                      <a:rPr lang="lv-LV"/>
                      <a:t>CY</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2"/>
              <c:layout>
                <c:manualLayout>
                  <c:x val="-0.016604400166044003"/>
                  <c:y val="-4.3546607001303541E-17"/>
                </c:manualLayout>
              </c:layout>
              <c:tx>
                <c:rich>
                  <a:bodyPr vertOverflow="clip"/>
                  <a:lstStyle/>
                  <a:p>
                    <a:fld id="{ba615db1-2fd2-4ee3-b284-b0fd33ba8908}" type="CELLRANGE">
                      <a:rPr lang="en-US"/>
                      <a:t>LV</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3-20E7-425D-8BA2-D46DF3A2729F}"/>
                </c:ext>
                <c:ext xmlns:c15="http://schemas.microsoft.com/office/drawing/2012/chart" uri="{CE6537A1-D6FC-4f65-9D91-7224C49458BB}">
                  <c15:showDataLabelsRange val="1"/>
                </c:ext>
              </c:extLst>
            </c:dLbl>
            <c:dLbl>
              <c:idx val="13"/>
              <c:tx>
                <c:rich>
                  <a:bodyPr vertOverflow="clip"/>
                  <a:lstStyle/>
                  <a:p>
                    <a:fld id="{e0381693-046a-43d8-a706-95bf6750f3b3}" type="CELLRANGE">
                      <a:rPr lang="en-US"/>
                      <a:t>LT</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4-20E7-425D-8BA2-D46DF3A2729F}"/>
                </c:ext>
                <c:ext xmlns:c15="http://schemas.microsoft.com/office/drawing/2012/chart" uri="{CE6537A1-D6FC-4f65-9D91-7224C49458BB}">
                  <c15:showDataLabelsRange val="1"/>
                </c:ext>
              </c:extLst>
            </c:dLbl>
            <c:dLbl>
              <c:idx val="14"/>
              <c:tx>
                <c:rich>
                  <a:bodyPr vertOverflow="clip"/>
                  <a:lstStyle/>
                  <a:p>
                    <a:fld id="{573cbf69-94a0-4aef-809c-7364a208eb7c}" type="CELLRANGE">
                      <a:rPr lang="lv-LV"/>
                      <a:t>LU</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5"/>
              <c:layout>
                <c:manualLayout>
                  <c:x val="-0.10008302200083026"/>
                  <c:y val="0.01900237529691207"/>
                </c:manualLayout>
              </c:layout>
              <c:tx>
                <c:rich>
                  <a:bodyPr vertOverflow="clip"/>
                  <a:lstStyle/>
                  <a:p>
                    <a:fld id="{5b09d70b-ba44-4deb-b674-91fbdeae2c28}" type="CELLRANGE">
                      <a:rPr lang="en-US"/>
                      <a:t>HU</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F-20E7-425D-8BA2-D46DF3A2729F}"/>
                </c:ext>
                <c:ext xmlns:c15="http://schemas.microsoft.com/office/drawing/2012/chart" uri="{CE6537A1-D6FC-4f65-9D91-7224C49458BB}">
                  <c15:showDataLabelsRange val="1"/>
                </c:ext>
              </c:extLst>
            </c:dLbl>
            <c:dLbl>
              <c:idx val="16"/>
              <c:tx>
                <c:rich>
                  <a:bodyPr vertOverflow="clip"/>
                  <a:lstStyle/>
                  <a:p>
                    <a:fld id="{2934de09-19cf-4366-8174-3adb9469db18}" type="CELLRANGE">
                      <a:rPr lang="lv-LV"/>
                      <a:t>NL</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7"/>
              <c:layout>
                <c:manualLayout>
                  <c:x val="-0.0538502270030692"/>
                  <c:y val="0.0762474049413657"/>
                </c:manualLayout>
              </c:layout>
              <c:tx>
                <c:rich>
                  <a:bodyPr vertOverflow="clip"/>
                  <a:lstStyle/>
                  <a:p>
                    <a:fld id="{e90c3f04-4f99-43ab-8d9a-03d4c0c706f0}" type="CELLRANGE">
                      <a:rPr lang="en-US"/>
                      <a:t>AT</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1-20E7-425D-8BA2-D46DF3A2729F}"/>
                </c:ext>
                <c:ext xmlns:c15="http://schemas.microsoft.com/office/drawing/2012/chart" uri="{CE6537A1-D6FC-4f65-9D91-7224C49458BB}">
                  <c15:showDataLabelsRange val="1"/>
                </c:ext>
              </c:extLst>
            </c:dLbl>
            <c:dLbl>
              <c:idx val="18"/>
              <c:layout>
                <c:manualLayout>
                  <c:x val="-0.053061517995182106"/>
                  <c:y val="0.066746217292909651"/>
                </c:manualLayout>
              </c:layout>
              <c:tx>
                <c:rich>
                  <a:bodyPr vertOverflow="clip"/>
                  <a:lstStyle/>
                  <a:p>
                    <a:fld id="{38f5184c-7933-4b74-9103-afb7850c005c}" type="CELLRANGE">
                      <a:rPr lang="en-US"/>
                      <a:t>PL</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2-20E7-425D-8BA2-D46DF3A2729F}"/>
                </c:ext>
                <c:ext xmlns:c15="http://schemas.microsoft.com/office/drawing/2012/chart" uri="{CE6537A1-D6FC-4f65-9D91-7224C49458BB}">
                  <c15:showDataLabelsRange val="1"/>
                </c:ext>
              </c:extLst>
            </c:dLbl>
            <c:dLbl>
              <c:idx val="19"/>
              <c:layout>
                <c:manualLayout>
                  <c:x val="-0.0538502270030692"/>
                  <c:y val="0.085748592589821718"/>
                </c:manualLayout>
              </c:layout>
              <c:tx>
                <c:rich>
                  <a:bodyPr vertOverflow="clip"/>
                  <a:lstStyle/>
                  <a:p>
                    <a:fld id="{2679f7c0-0595-4210-92be-d09fe7325bcb}" type="CELLRANGE">
                      <a:rPr lang="en-US"/>
                      <a:t>PT</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3-20E7-425D-8BA2-D46DF3A2729F}"/>
                </c:ext>
                <c:ext xmlns:c15="http://schemas.microsoft.com/office/drawing/2012/chart" uri="{CE6537A1-D6FC-4f65-9D91-7224C49458BB}">
                  <c15:showDataLabelsRange val="1"/>
                </c:ext>
              </c:extLst>
            </c:dLbl>
            <c:dLbl>
              <c:idx val="20"/>
              <c:layout>
                <c:manualLayout>
                  <c:x val="-0.057077625570776253"/>
                  <c:y val="0.066746217292909554"/>
                </c:manualLayout>
              </c:layout>
              <c:tx>
                <c:rich>
                  <a:bodyPr vertOverflow="clip"/>
                  <a:lstStyle/>
                  <a:p>
                    <a:fld id="{2b4b0d8a-8595-40ec-9644-a07c8170b89a}" type="CELLRANGE">
                      <a:rPr lang="en-US"/>
                      <a:t>RO</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4-20E7-425D-8BA2-D46DF3A2729F}"/>
                </c:ext>
                <c:ext xmlns:c15="http://schemas.microsoft.com/office/drawing/2012/chart" uri="{CE6537A1-D6FC-4f65-9D91-7224C49458BB}">
                  <c15:showDataLabelsRange val="1"/>
                </c:ext>
              </c:extLst>
            </c:dLbl>
            <c:dLbl>
              <c:idx val="21"/>
              <c:layout>
                <c:manualLayout>
                  <c:x val="-0.049014358883844374"/>
                  <c:y val="-0.085747844464810041"/>
                </c:manualLayout>
              </c:layout>
              <c:tx>
                <c:rich>
                  <a:bodyPr vertOverflow="clip"/>
                  <a:lstStyle/>
                  <a:p>
                    <a:fld id="{4d759c4f-08a6-4066-b6ff-173e79abd0b9}" type="CELLRANGE">
                      <a:rPr lang="en-US"/>
                      <a:t>SI</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5-20E7-425D-8BA2-D46DF3A2729F}"/>
                </c:ext>
                <c:ext xmlns:c15="http://schemas.microsoft.com/office/drawing/2012/chart" uri="{CE6537A1-D6FC-4f65-9D91-7224C49458BB}">
                  <c15:showDataLabelsRange val="1"/>
                </c:ext>
              </c:extLst>
            </c:dLbl>
            <c:dLbl>
              <c:idx val="22"/>
              <c:layout>
                <c:manualLayout>
                  <c:x val="-0.054669987546699876"/>
                  <c:y val="0.076247404941365615"/>
                </c:manualLayout>
              </c:layout>
              <c:tx>
                <c:rich>
                  <a:bodyPr vertOverflow="clip"/>
                  <a:lstStyle/>
                  <a:p>
                    <a:fld id="{7d131801-697a-4e7d-a0bf-83140d716523}" type="CELLRANGE">
                      <a:rPr lang="en-US"/>
                      <a:t>SK</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6-20E7-425D-8BA2-D46DF3A2729F}"/>
                </c:ext>
                <c:ext xmlns:c15="http://schemas.microsoft.com/office/drawing/2012/chart" uri="{CE6537A1-D6FC-4f65-9D91-7224C49458BB}">
                  <c15:showDataLabelsRange val="1"/>
                </c:ext>
              </c:extLst>
            </c:dLbl>
            <c:dLbl>
              <c:idx val="23"/>
              <c:layout>
                <c:manualLayout>
                  <c:x val="-0.048194271481942788"/>
                  <c:y val="-0.076246656816354008"/>
                </c:manualLayout>
              </c:layout>
              <c:tx>
                <c:rich>
                  <a:bodyPr vertOverflow="clip"/>
                  <a:lstStyle/>
                  <a:p>
                    <a:fld id="{0371d3ae-315e-48c5-90b0-db1a09711eb6}" type="CELLRANGE">
                      <a:rPr lang="en-US"/>
                      <a:t>FI</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7-20E7-425D-8BA2-D46DF3A2729F}"/>
                </c:ext>
                <c:ext xmlns:c15="http://schemas.microsoft.com/office/drawing/2012/chart" uri="{CE6537A1-D6FC-4f65-9D91-7224C49458BB}">
                  <c15:showDataLabelsRange val="1"/>
                </c:ext>
              </c:extLst>
            </c:dLbl>
            <c:dLbl>
              <c:idx val="24"/>
              <c:tx>
                <c:rich>
                  <a:bodyPr vertOverflow="clip"/>
                  <a:lstStyle/>
                  <a:p>
                    <a:fld id="{5254d869-24bd-4836-b6b7-74e6159f22d7}" type="CELLRANGE">
                      <a:rPr lang="lv-LV"/>
                      <a:t>SE</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Sheet1!$B$3:$B$27</c:f>
              <c:numCache>
                <c:formatCode>0</c:formatCode>
                <c:ptCount val="25"/>
                <c:pt idx="0">
                  <c:v>75.919935301253531</c:v>
                </c:pt>
                <c:pt idx="1">
                  <c:v>11.195130232332541</c:v>
                </c:pt>
                <c:pt idx="2">
                  <c:v>23.96205252827367</c:v>
                </c:pt>
                <c:pt idx="3">
                  <c:v>105.54930555555556</c:v>
                </c:pt>
                <c:pt idx="4">
                  <c:v>50.032505747126436</c:v>
                </c:pt>
                <c:pt idx="5">
                  <c:v>25.491489361702126</c:v>
                </c:pt>
                <c:pt idx="6">
                  <c:v>69.968767428890118</c:v>
                </c:pt>
                <c:pt idx="7">
                  <c:v>46.460254494874036</c:v>
                </c:pt>
                <c:pt idx="8">
                  <c:v>55.623962040332145</c:v>
                </c:pt>
                <c:pt idx="9">
                  <c:v>64.92318946598391</c:v>
                </c:pt>
                <c:pt idx="10">
                  <c:v>60.354356992269842</c:v>
                </c:pt>
                <c:pt idx="11">
                  <c:v>75.596572181938029</c:v>
                </c:pt>
                <c:pt idx="12">
                  <c:v>27.411681914144967</c:v>
                </c:pt>
                <c:pt idx="13">
                  <c:v>39.625102711585868</c:v>
                </c:pt>
                <c:pt idx="14">
                  <c:v>86.674537583628492</c:v>
                </c:pt>
                <c:pt idx="15">
                  <c:v>21.112203979723088</c:v>
                </c:pt>
                <c:pt idx="16">
                  <c:v>75.6921052631579</c:v>
                </c:pt>
                <c:pt idx="17">
                  <c:v>72.216154613229492</c:v>
                </c:pt>
                <c:pt idx="18">
                  <c:v>23.177695949500265</c:v>
                </c:pt>
                <c:pt idx="19">
                  <c:v>41.8875996249414</c:v>
                </c:pt>
                <c:pt idx="20">
                  <c:v>25.626663977410246</c:v>
                </c:pt>
                <c:pt idx="21">
                  <c:v>39.227883096366511</c:v>
                </c:pt>
                <c:pt idx="22">
                  <c:v>34.171805847783496</c:v>
                </c:pt>
                <c:pt idx="23">
                  <c:v>59.31629834254143</c:v>
                </c:pt>
                <c:pt idx="24">
                  <c:v>83.6170731707317</c:v>
                </c:pt>
              </c:numCache>
            </c:numRef>
          </c:xVal>
          <c:yVal>
            <c:numRef>
              <c:f>Sheet1!$C$3:$C$27</c:f>
              <c:numCache>
                <c:formatCode>0.0</c:formatCode>
                <c:ptCount val="25"/>
                <c:pt idx="0">
                  <c:v>0.71833843643106809</c:v>
                </c:pt>
                <c:pt idx="1">
                  <c:v>0.77697221061567245</c:v>
                </c:pt>
                <c:pt idx="2">
                  <c:v>0.63234522311008556</c:v>
                </c:pt>
                <c:pt idx="3">
                  <c:v>0.53070295604806028</c:v>
                </c:pt>
                <c:pt idx="4">
                  <c:v>0.73287645844708538</c:v>
                </c:pt>
                <c:pt idx="5">
                  <c:v>0.68934562066898875</c:v>
                </c:pt>
                <c:pt idx="6">
                  <c:v>0.69568383726043748</c:v>
                </c:pt>
                <c:pt idx="7">
                  <c:v>0.57024192105115279</c:v>
                </c:pt>
                <c:pt idx="8">
                  <c:v>0.64962113352056838</c:v>
                </c:pt>
                <c:pt idx="9">
                  <c:v>0.72966422362659877</c:v>
                </c:pt>
                <c:pt idx="10">
                  <c:v>0.65501696219015049</c:v>
                </c:pt>
                <c:pt idx="11">
                  <c:v>0.37773502154721833</c:v>
                </c:pt>
                <c:pt idx="12">
                  <c:v>0.59779134373209675</c:v>
                </c:pt>
                <c:pt idx="13" formatCode="0.00">
                  <c:v>0.42883660103918114</c:v>
                </c:pt>
                <c:pt idx="14">
                  <c:v>0.73792431646499324</c:v>
                </c:pt>
                <c:pt idx="15" formatCode="0.00">
                  <c:v>0.61696763544636868</c:v>
                </c:pt>
                <c:pt idx="16" formatCode="0.000">
                  <c:v>0.66785993020247514</c:v>
                </c:pt>
                <c:pt idx="17" formatCode="0.000">
                  <c:v>0.64278964789980908</c:v>
                </c:pt>
                <c:pt idx="18">
                  <c:v>0.50248841916958209</c:v>
                </c:pt>
                <c:pt idx="19">
                  <c:v>0.6238023058219806</c:v>
                </c:pt>
                <c:pt idx="20">
                  <c:v>0.31749264007956646</c:v>
                </c:pt>
                <c:pt idx="21">
                  <c:v>0.6452450916607928</c:v>
                </c:pt>
                <c:pt idx="22">
                  <c:v>0.448157408760419</c:v>
                </c:pt>
                <c:pt idx="23">
                  <c:v>0.7751191490668885</c:v>
                </c:pt>
                <c:pt idx="24">
                  <c:v>0.54379344962031717</c:v>
                </c:pt>
              </c:numCache>
            </c:numRef>
          </c:yVal>
          <c:smooth val="0"/>
          <c:extLst>
            <c:ext xmlns:c="http://schemas.openxmlformats.org/drawingml/2006/chart" xmlns:c16="http://schemas.microsoft.com/office/drawing/2014/chart" uri="{C3380CC4-5D6E-409C-BE32-E72D297353CC}">
              <c16:uniqueId val="{0000001C-20E7-425D-8BA2-D46DF3A2729F}"/>
            </c:ext>
            <c:ext xmlns:c15="http://schemas.microsoft.com/office/drawing/2012/chart" uri="{02D57815-91ED-43cb-92C2-25804820EDAC}">
              <c15:datalabelsRange>
                <c15:f>Sheet1!$A$3:$A$27</c15:f>
                <c15:dlblRangeCache>
                  <c:ptCount val="25"/>
                  <c:pt idx="0">
                    <c:v>BE</c:v>
                  </c:pt>
                  <c:pt idx="1">
                    <c:v>BG</c:v>
                  </c:pt>
                  <c:pt idx="2">
                    <c:v>CZ</c:v>
                  </c:pt>
                  <c:pt idx="3">
                    <c:v>DK</c:v>
                  </c:pt>
                  <c:pt idx="4">
                    <c:v>DE</c:v>
                  </c:pt>
                  <c:pt idx="5">
                    <c:v>EE</c:v>
                  </c:pt>
                  <c:pt idx="6">
                    <c:v>IE</c:v>
                  </c:pt>
                  <c:pt idx="7">
                    <c:v>EL</c:v>
                  </c:pt>
                  <c:pt idx="8">
                    <c:v>ES</c:v>
                  </c:pt>
                  <c:pt idx="9">
                    <c:v>FR</c:v>
                  </c:pt>
                  <c:pt idx="10">
                    <c:v>IT</c:v>
                  </c:pt>
                  <c:pt idx="11">
                    <c:v>CY</c:v>
                  </c:pt>
                  <c:pt idx="12">
                    <c:v>LV</c:v>
                  </c:pt>
                  <c:pt idx="13">
                    <c:v>LT</c:v>
                  </c:pt>
                  <c:pt idx="14">
                    <c:v>LU</c:v>
                  </c:pt>
                  <c:pt idx="15">
                    <c:v>HU</c:v>
                  </c:pt>
                  <c:pt idx="16">
                    <c:v>NL</c:v>
                  </c:pt>
                  <c:pt idx="17">
                    <c:v>AT</c:v>
                  </c:pt>
                  <c:pt idx="18">
                    <c:v>PL</c:v>
                  </c:pt>
                  <c:pt idx="19">
                    <c:v>PT</c:v>
                  </c:pt>
                  <c:pt idx="20">
                    <c:v>RO</c:v>
                  </c:pt>
                  <c:pt idx="21">
                    <c:v>SI</c:v>
                  </c:pt>
                  <c:pt idx="22">
                    <c:v>SK</c:v>
                  </c:pt>
                  <c:pt idx="23">
                    <c:v>FI</c:v>
                  </c:pt>
                  <c:pt idx="24">
                    <c:v>SE</c:v>
                  </c:pt>
                </c15:dlblRangeCache>
              </c15:datalabelsRange>
            </c:ext>
          </c:extLst>
        </c:ser>
        <c:dLbls>
          <c:showLegendKey val="0"/>
          <c:showVal val="0"/>
          <c:showCatName val="0"/>
          <c:showSerName val="0"/>
          <c:showPercent val="0"/>
          <c:showBubbleSize val="0"/>
        </c:dLbls>
        <c:axId val="656449952"/>
        <c:axId val="656439368"/>
      </c:scatterChart>
      <c:valAx>
        <c:axId val="656449952"/>
        <c:scaling>
          <c:orientation val="minMax"/>
          <c:max val="90"/>
          <c:min val="0"/>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56439368"/>
        <c:crosses val="autoZero"/>
        <c:crossBetween val="midCat"/>
        <c:majorUnit val="15"/>
      </c:valAx>
      <c:valAx>
        <c:axId val="656439368"/>
        <c:scaling>
          <c:orientation val="minMax"/>
          <c:min val="0.2"/>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56449952"/>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3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659412201441466"/>
          <c:y val="0.098301682877875565"/>
          <c:w val="0.77357359176256812"/>
          <c:h val="0.70692735441968058"/>
        </c:manualLayout>
      </c:layout>
      <c:barChart>
        <c:barDir val="col"/>
        <c:grouping val="clustered"/>
        <c:varyColors val="0"/>
        <c:ser>
          <c:idx val="4"/>
          <c:order val="0"/>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4D66-4C04-B182-A1F3DF9FCED4}"/>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4D66-4C04-B182-A1F3DF9FCED4}"/>
              </c:ext>
            </c:extLst>
          </c:dPt>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Sheet1!$A$3:$A$5</c:f>
              <c:strCache>
                <c:ptCount val="3"/>
                <c:pt idx="0">
                  <c:v>2005</c:v>
                </c:pt>
                <c:pt idx="1">
                  <c:v>2010</c:v>
                </c:pt>
                <c:pt idx="2">
                  <c:v>2016</c:v>
                </c:pt>
              </c:strCache>
            </c:strRef>
          </c:cat>
          <c:val>
            <c:numRef>
              <c:f>Sheet1!$B$3:$B$5</c:f>
              <c:numCache>
                <c:formatCode>General</c:formatCode>
                <c:ptCount val="3"/>
                <c:pt idx="0" formatCode="0.0">
                  <c:v>1.5</c:v>
                </c:pt>
                <c:pt idx="1">
                  <c:v>1.6</c:v>
                </c:pt>
                <c:pt idx="2">
                  <c:v>2</c:v>
                </c:pt>
              </c:numCache>
            </c:numRef>
          </c:val>
          <c:extLst>
            <c:ext xmlns:c="http://schemas.openxmlformats.org/drawingml/2006/chart" xmlns:c16="http://schemas.microsoft.com/office/drawing/2014/chart" uri="{C3380CC4-5D6E-409C-BE32-E72D297353CC}">
              <c16:uniqueId val="{00000004-4D66-4C04-B182-A1F3DF9FCED4}"/>
            </c:ext>
          </c:extLst>
        </c:ser>
        <c:dLbls>
          <c:showLegendKey val="0"/>
          <c:showVal val="0"/>
          <c:showCatName val="0"/>
          <c:showSerName val="0"/>
          <c:showPercent val="0"/>
          <c:showBubbleSize val="0"/>
        </c:dLbls>
        <c:gapWidth val="20"/>
        <c:axId val="656438584"/>
        <c:axId val="656444072"/>
      </c:barChart>
      <c:catAx>
        <c:axId val="656438584"/>
        <c:scaling>
          <c:orientation val="minMax"/>
        </c:scaling>
        <c:delete val="0"/>
        <c:axPos val="b"/>
        <c:numFmt formatCode="General" sourceLinked="0"/>
        <c:majorTickMark val="out"/>
        <c:minorTickMark val="none"/>
        <c:tickLblPos val="nextTo"/>
        <c:crossAx val="656444072"/>
        <c:crosses val="autoZero"/>
        <c:auto val="1"/>
        <c:lblAlgn val="ctr"/>
        <c:lblOffset val="100"/>
        <c:noMultiLvlLbl val="0"/>
      </c:catAx>
      <c:valAx>
        <c:axId val="656444072"/>
        <c:scaling>
          <c:orientation val="minMax"/>
          <c:min val="0"/>
        </c:scaling>
        <c:delete val="0"/>
        <c:axPos val="l"/>
        <c:numFmt formatCode="0.0" sourceLinked="0"/>
        <c:majorTickMark val="out"/>
        <c:minorTickMark val="none"/>
        <c:tickLblPos val="nextTo"/>
        <c:crossAx val="656438584"/>
        <c:crosses val="autoZero"/>
        <c:crossBetween val="between"/>
        <c:minorUnit val="0.2"/>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mbria Math" panose="02040503050406030204" pitchFamily="18" charset="0"/>
          <a:ea typeface="Cambria Math" panose="02040503050406030204" pitchFamily="18" charset="0"/>
          <a:cs typeface="Arial"/>
        </a:defRPr>
      </a:pPr>
      <a:endParaRPr lang="lv-LV"/>
    </a:p>
  </c:txPr>
  <c:externalData r:id="rId1">
    <c:autoUpdate val="0"/>
  </c:externalData>
</c:chartSpace>
</file>

<file path=word/charts/chart31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73546128124922"/>
          <c:y val="0.048706240487062395"/>
          <c:w val="0.84631315184653555"/>
          <c:h val="0.73779794474843186"/>
        </c:manualLayout>
      </c:layout>
      <c:lineChart>
        <c:grouping val="standard"/>
        <c:varyColors val="0"/>
        <c:ser>
          <c:idx val="0"/>
          <c:order val="0"/>
          <c:tx>
            <c:strRef>
              <c:f>Sheet1!$A$2</c:f>
              <c:strCache>
                <c:ptCount val="1"/>
                <c:pt idx="0">
                  <c:v>Nodarbinātie</c:v>
                </c:pt>
              </c:strCache>
            </c:strRef>
          </c:tx>
          <c:spPr>
            <a:ln w="19050">
              <a:solidFill>
                <a:srgbClr val="0070C0"/>
              </a:solidFill>
              <a:prstDash val="dash"/>
            </a:ln>
          </c:spPr>
          <c:marker>
            <c:symbol val="none"/>
          </c:marker>
          <c:cat>
            <c:numRef>
              <c:f>Sheet1!$B$1:$L$1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Sheet1!$B$2:$L$2</c:f>
              <c:numCache>
                <c:formatCode>0.0</c:formatCode>
                <c:ptCount val="11"/>
                <c:pt idx="0">
                  <c:v>119.51219512195121</c:v>
                </c:pt>
                <c:pt idx="1">
                  <c:v>123.83864915572231</c:v>
                </c:pt>
                <c:pt idx="2">
                  <c:v>122.06754221388366</c:v>
                </c:pt>
                <c:pt idx="3">
                  <c:v>92.393996247654769</c:v>
                </c:pt>
                <c:pt idx="4">
                  <c:v>85.6435272045028</c:v>
                </c:pt>
                <c:pt idx="5">
                  <c:v>92.7279549718574</c:v>
                </c:pt>
                <c:pt idx="6">
                  <c:v>102.83302063789867</c:v>
                </c:pt>
                <c:pt idx="7">
                  <c:v>107.6998123827392</c:v>
                </c:pt>
                <c:pt idx="8">
                  <c:v>112.62288930581612</c:v>
                </c:pt>
                <c:pt idx="9">
                  <c:v>119.57973733583488</c:v>
                </c:pt>
                <c:pt idx="10">
                  <c:v>121.84990619136957</c:v>
                </c:pt>
              </c:numCache>
            </c:numRef>
          </c:val>
          <c:smooth val="0"/>
          <c:extLst>
            <c:ext xmlns:c="http://schemas.openxmlformats.org/drawingml/2006/chart" xmlns:c16="http://schemas.microsoft.com/office/drawing/2014/chart" uri="{C3380CC4-5D6E-409C-BE32-E72D297353CC}">
              <c16:uniqueId val="{00000000-6962-4609-B26F-F05434230230}"/>
            </c:ext>
          </c:extLst>
        </c:ser>
        <c:ser>
          <c:idx val="1"/>
          <c:order val="1"/>
          <c:tx>
            <c:strRef>
              <c:f>Sheet1!$A$3</c:f>
              <c:strCache>
                <c:ptCount val="1"/>
                <c:pt idx="0">
                  <c:v>Ražošanas apjomi</c:v>
                </c:pt>
              </c:strCache>
            </c:strRef>
          </c:tx>
          <c:marker>
            <c:symbol val="none"/>
          </c:marker>
          <c:cat>
            <c:numRef>
              <c:f>Sheet1!$B$1:$L$1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Sheet1!$B$3:$L$3</c:f>
              <c:numCache>
                <c:formatCode>0.0</c:formatCode>
                <c:ptCount val="11"/>
                <c:pt idx="0">
                  <c:v>112.75295914471172</c:v>
                </c:pt>
                <c:pt idx="1">
                  <c:v>134.135166093929</c:v>
                </c:pt>
                <c:pt idx="2">
                  <c:v>131.19511263841164</c:v>
                </c:pt>
                <c:pt idx="3">
                  <c:v>95.532646048109982</c:v>
                </c:pt>
                <c:pt idx="4">
                  <c:v>98.625429553264624</c:v>
                </c:pt>
                <c:pt idx="5">
                  <c:v>113.86025200458191</c:v>
                </c:pt>
                <c:pt idx="6">
                  <c:v>111.30202367315771</c:v>
                </c:pt>
                <c:pt idx="7">
                  <c:v>121.61130202367318</c:v>
                </c:pt>
                <c:pt idx="8">
                  <c:v>125.92592592592595</c:v>
                </c:pt>
                <c:pt idx="9">
                  <c:v>133.56242840778927</c:v>
                </c:pt>
                <c:pt idx="10">
                  <c:v>144.74990454371903</c:v>
                </c:pt>
              </c:numCache>
            </c:numRef>
          </c:val>
          <c:smooth val="0"/>
          <c:extLst>
            <c:ext xmlns:c="http://schemas.openxmlformats.org/drawingml/2006/chart" xmlns:c16="http://schemas.microsoft.com/office/drawing/2014/chart" uri="{C3380CC4-5D6E-409C-BE32-E72D297353CC}">
              <c16:uniqueId val="{00000001-6962-4609-B26F-F05434230230}"/>
            </c:ext>
          </c:extLst>
        </c:ser>
        <c:dLbls>
          <c:showLegendKey val="0"/>
          <c:showVal val="0"/>
          <c:showCatName val="0"/>
          <c:showSerName val="0"/>
          <c:showPercent val="0"/>
          <c:showBubbleSize val="0"/>
        </c:dLbls>
        <c:smooth val="0"/>
        <c:axId val="656438192"/>
        <c:axId val="656442896"/>
      </c:lineChart>
      <c:catAx>
        <c:axId val="656438192"/>
        <c:scaling>
          <c:orientation val="minMax"/>
        </c:scaling>
        <c:delete val="0"/>
        <c:axPos val="b"/>
        <c:numFmt formatCode="General" sourceLinked="1"/>
        <c:majorTickMark val="cross"/>
        <c:minorTickMark val="none"/>
        <c:tickLblPos val="nextTo"/>
        <c:spPr>
          <a:ln w="6350">
            <a:solidFill>
              <a:srgbClr val="000000"/>
            </a:solidFill>
          </a:ln>
        </c:spPr>
        <c:txPr>
          <a:bodyPr rot="-5400000" vert="horz"/>
          <a:lstStyle/>
          <a:p>
            <a:pPr>
              <a:defRPr sz="700" b="0" i="0" u="none" strike="noStrike" baseline="0">
                <a:solidFill>
                  <a:srgbClr val="000000"/>
                </a:solidFill>
                <a:latin typeface="Arial Narrow" pitchFamily="34" charset="0"/>
                <a:ea typeface="Times New Roman"/>
                <a:cs typeface="Times New Roman" pitchFamily="18" charset="0"/>
              </a:defRPr>
            </a:pPr>
            <a:endParaRPr lang="lv-LV"/>
          </a:p>
        </c:txPr>
        <c:crossAx val="656442896"/>
        <c:crosses val="autoZero"/>
        <c:auto val="1"/>
        <c:lblAlgn val="ctr"/>
        <c:lblOffset val="0"/>
        <c:noMultiLvlLbl val="0"/>
      </c:catAx>
      <c:valAx>
        <c:axId val="656442896"/>
        <c:scaling>
          <c:orientation val="minMax"/>
          <c:max val="150"/>
          <c:min val="70"/>
        </c:scaling>
        <c:delete val="0"/>
        <c:axPos val="l"/>
        <c:numFmt formatCode="0" sourceLinked="0"/>
        <c:majorTickMark val="cross"/>
        <c:minorTickMark val="none"/>
        <c:tickLblPos val="nextTo"/>
        <c:spPr>
          <a:ln w="6350">
            <a:solidFill>
              <a:sysClr val="windowText" lastClr="000000"/>
            </a:solidFill>
          </a:ln>
        </c:spPr>
        <c:txPr>
          <a:bodyPr rot="0" vert="horz"/>
          <a:lstStyle/>
          <a:p>
            <a:pPr>
              <a:defRPr sz="700" b="0" i="0" u="none" strike="noStrike" baseline="0">
                <a:solidFill>
                  <a:srgbClr val="000000"/>
                </a:solidFill>
                <a:latin typeface="Arial Narrow" pitchFamily="34" charset="0"/>
                <a:ea typeface="Times New Roman"/>
                <a:cs typeface="Times New Roman"/>
              </a:defRPr>
            </a:pPr>
            <a:endParaRPr lang="lv-LV"/>
          </a:p>
        </c:txPr>
        <c:crossAx val="656438192"/>
        <c:crosses val="autoZero"/>
        <c:crossBetween val="between"/>
        <c:majorUnit val="20"/>
      </c:valAx>
      <c:spPr>
        <a:solidFill>
          <a:sysClr val="window" lastClr="FFFFFF"/>
        </a:solidFill>
        <a:ln w="6350">
          <a:noFill/>
        </a:ln>
      </c:spPr>
    </c:plotArea>
    <c:legend>
      <c:legendPos val="t"/>
      <c:layout>
        <c:manualLayout>
          <c:xMode val="edge"/>
          <c:yMode val="edge"/>
          <c:x val="0.24101229993309659"/>
          <c:y val="0.0084443258152053034"/>
          <c:w val="0.61230713807832848"/>
          <c:h val="0.19964223582144541"/>
        </c:manualLayout>
      </c:layout>
      <c:overlay val="0"/>
      <c:txPr>
        <a:bodyPr/>
        <a:lstStyle/>
        <a:p>
          <a:pPr>
            <a:defRPr sz="700" b="0">
              <a:latin typeface="Arial Narrow" pitchFamily="34" charset="0"/>
            </a:defRPr>
          </a:pPr>
          <a:endParaRPr lang="lv-LV"/>
        </a:p>
      </c:txPr>
    </c:legend>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3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A405-4B81-9F19-ACF8C087C5DA}"/>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A405-4B81-9F19-ACF8C087C5DA}"/>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Sheet1!$B$2:$M$2</c:f>
              <c:numCache>
                <c:formatCode>0</c:formatCode>
                <c:ptCount val="12"/>
                <c:pt idx="0">
                  <c:v>2005</c:v>
                </c:pt>
                <c:pt idx="1">
                  <c:v>2006</c:v>
                </c:pt>
                <c:pt idx="2">
                  <c:v>2007</c:v>
                </c:pt>
                <c:pt idx="3">
                  <c:v>2008</c:v>
                </c:pt>
                <c:pt idx="4">
                  <c:v>2009</c:v>
                </c:pt>
                <c:pt idx="5">
                  <c:v>2010</c:v>
                </c:pt>
                <c:pt idx="6">
                  <c:v>2011</c:v>
                </c:pt>
                <c:pt idx="7">
                  <c:v>2012</c:v>
                </c:pt>
                <c:pt idx="8">
                  <c:v>2013</c:v>
                </c:pt>
                <c:pt idx="9" formatCode="General">
                  <c:v>2014</c:v>
                </c:pt>
                <c:pt idx="10" formatCode="General">
                  <c:v>2015</c:v>
                </c:pt>
                <c:pt idx="11" formatCode="General">
                  <c:v>2016</c:v>
                </c:pt>
              </c:numCache>
            </c:numRef>
          </c:cat>
          <c:val>
            <c:numRef>
              <c:f>Sheet1!$B$3:$M$3</c:f>
              <c:numCache>
                <c:formatCode>0.0</c:formatCode>
                <c:ptCount val="12"/>
                <c:pt idx="0">
                  <c:v>4.3565147881694646</c:v>
                </c:pt>
                <c:pt idx="1">
                  <c:v>5.934105720492397</c:v>
                </c:pt>
                <c:pt idx="2">
                  <c:v>8.2573913043478271</c:v>
                </c:pt>
                <c:pt idx="3">
                  <c:v>8.6929884275017031</c:v>
                </c:pt>
                <c:pt idx="4">
                  <c:v>6.881950384944397</c:v>
                </c:pt>
                <c:pt idx="5">
                  <c:v>6.7449209932279919</c:v>
                </c:pt>
                <c:pt idx="6">
                  <c:v>6.941021126760563</c:v>
                </c:pt>
                <c:pt idx="7">
                  <c:v>8.0608695652173914</c:v>
                </c:pt>
                <c:pt idx="8">
                  <c:v>8.61344537815126</c:v>
                </c:pt>
                <c:pt idx="9">
                  <c:v>9.26791277258567</c:v>
                </c:pt>
                <c:pt idx="10">
                  <c:v>10.454204204204204</c:v>
                </c:pt>
                <c:pt idx="11" formatCode="General">
                  <c:v>11.661585365853659</c:v>
                </c:pt>
              </c:numCache>
            </c:numRef>
          </c:val>
          <c:extLst>
            <c:ext xmlns:c="http://schemas.openxmlformats.org/drawingml/2006/chart" xmlns:c16="http://schemas.microsoft.com/office/drawing/2014/chart" uri="{C3380CC4-5D6E-409C-BE32-E72D297353CC}">
              <c16:uniqueId val="{00000004-A405-4B81-9F19-ACF8C087C5DA}"/>
            </c:ext>
          </c:extLst>
        </c:ser>
        <c:dLbls>
          <c:showLegendKey val="0"/>
          <c:showVal val="0"/>
          <c:showCatName val="0"/>
          <c:showSerName val="0"/>
          <c:showPercent val="0"/>
          <c:showBubbleSize val="0"/>
        </c:dLbls>
        <c:gapWidth val="20"/>
        <c:axId val="656442112"/>
        <c:axId val="656444856"/>
      </c:barChart>
      <c:catAx>
        <c:axId val="656442112"/>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56444856"/>
        <c:crosses val="autoZero"/>
        <c:auto val="1"/>
        <c:lblAlgn val="ctr"/>
        <c:lblOffset val="100"/>
        <c:noMultiLvlLbl val="0"/>
      </c:catAx>
      <c:valAx>
        <c:axId val="656444856"/>
        <c:scaling>
          <c:orientation val="minMax"/>
          <c:max val="25"/>
          <c:min val="0"/>
        </c:scaling>
        <c:delete val="0"/>
        <c:axPos val="l"/>
        <c:numFmt formatCode="0" sourceLinked="0"/>
        <c:majorTickMark val="out"/>
        <c:minorTickMark val="none"/>
        <c:tickLblPos val="nextTo"/>
        <c:crossAx val="656442112"/>
        <c:crosses val="autoZero"/>
        <c:crossBetween val="between"/>
        <c:majorUnit val="5"/>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449060246779496"/>
          <c:y val="0.12711381133068675"/>
          <c:w val="0.52181675566416263"/>
          <c:h val="0.709344652230971"/>
        </c:manualLayout>
      </c:layout>
      <c:pieChart>
        <c:varyColors val="1"/>
        <c:ser>
          <c:idx val="0"/>
          <c:order val="0"/>
          <c:tx>
            <c:strRef>
              <c:f>Sheet1!$B$1</c:f>
              <c:strCache>
                <c:ptCount val="1"/>
                <c:pt idx="0">
                  <c:v>Column1</c:v>
                </c:pt>
              </c:strCache>
            </c:strRef>
          </c:tx>
          <c:dPt>
            <c:idx val="0"/>
            <c:bubble3D val="0"/>
            <c:spPr>
              <a:solidFill>
                <a:schemeClr val="accent1"/>
              </a:solidFill>
              <a:ln>
                <a:noFill/>
              </a:ln>
              <a:effectLst/>
            </c:spPr>
            <c:extLst>
              <c:ext xmlns:c="http://schemas.openxmlformats.org/drawingml/2006/chart" xmlns:c16="http://schemas.microsoft.com/office/drawing/2014/chart" uri="{C3380CC4-5D6E-409C-BE32-E72D297353CC}">
                <c16:uniqueId val="{00000001-1E89-4EA4-AFC6-A40CA3A19689}"/>
              </c:ext>
            </c:extLst>
          </c:dPt>
          <c:dPt>
            <c:idx val="1"/>
            <c:bubble3D val="0"/>
            <c:spPr>
              <a:solidFill>
                <a:schemeClr val="accent2"/>
              </a:solidFill>
              <a:ln>
                <a:noFill/>
              </a:ln>
              <a:effectLst/>
            </c:spPr>
            <c:extLst>
              <c:ext xmlns:c="http://schemas.openxmlformats.org/drawingml/2006/chart" xmlns:c16="http://schemas.microsoft.com/office/drawing/2014/chart" uri="{C3380CC4-5D6E-409C-BE32-E72D297353CC}">
                <c16:uniqueId val="{00000003-1E89-4EA4-AFC6-A40CA3A19689}"/>
              </c:ext>
            </c:extLst>
          </c:dPt>
          <c:dPt>
            <c:idx val="2"/>
            <c:bubble3D val="0"/>
            <c:spPr>
              <a:solidFill>
                <a:schemeClr val="accent3"/>
              </a:solidFill>
              <a:ln>
                <a:noFill/>
              </a:ln>
              <a:effectLst/>
            </c:spPr>
            <c:extLst>
              <c:ext xmlns:c="http://schemas.openxmlformats.org/drawingml/2006/chart" xmlns:c16="http://schemas.microsoft.com/office/drawing/2014/chart" uri="{C3380CC4-5D6E-409C-BE32-E72D297353CC}">
                <c16:uniqueId val="{00000005-1E89-4EA4-AFC6-A40CA3A19689}"/>
              </c:ext>
            </c:extLst>
          </c:dPt>
          <c:dPt>
            <c:idx val="3"/>
            <c:bubble3D val="0"/>
            <c:spPr>
              <a:solidFill>
                <a:schemeClr val="accent4"/>
              </a:solidFill>
              <a:ln>
                <a:noFill/>
              </a:ln>
              <a:effectLst/>
            </c:spPr>
            <c:extLst>
              <c:ext xmlns:c="http://schemas.openxmlformats.org/drawingml/2006/chart" xmlns:c16="http://schemas.microsoft.com/office/drawing/2014/chart" uri="{C3380CC4-5D6E-409C-BE32-E72D297353CC}">
                <c16:uniqueId val="{00000007-1E89-4EA4-AFC6-A40CA3A19689}"/>
              </c:ext>
            </c:extLst>
          </c:dPt>
          <c:dPt>
            <c:idx val="4"/>
            <c:bubble3D val="0"/>
            <c:spPr>
              <a:solidFill>
                <a:schemeClr val="accent5"/>
              </a:solidFill>
              <a:ln>
                <a:noFill/>
              </a:ln>
              <a:effectLst/>
            </c:spPr>
            <c:extLst>
              <c:ext xmlns:c="http://schemas.openxmlformats.org/drawingml/2006/chart" xmlns:c16="http://schemas.microsoft.com/office/drawing/2014/chart" uri="{C3380CC4-5D6E-409C-BE32-E72D297353CC}">
                <c16:uniqueId val="{00000009-1E89-4EA4-AFC6-A40CA3A19689}"/>
              </c:ext>
            </c:extLst>
          </c:dPt>
          <c:dPt>
            <c:idx val="5"/>
            <c:bubble3D val="0"/>
            <c:spPr>
              <a:solidFill>
                <a:schemeClr val="accent6"/>
              </a:solidFill>
              <a:ln>
                <a:noFill/>
              </a:ln>
              <a:effectLst/>
            </c:spPr>
            <c:extLst>
              <c:ext xmlns:c="http://schemas.openxmlformats.org/drawingml/2006/chart" xmlns:c16="http://schemas.microsoft.com/office/drawing/2014/chart" uri="{C3380CC4-5D6E-409C-BE32-E72D297353CC}">
                <c16:uniqueId val="{0000000B-1E89-4EA4-AFC6-A40CA3A19689}"/>
              </c:ext>
            </c:extLst>
          </c:dPt>
          <c:dPt>
            <c:idx val="6"/>
            <c:bubble3D val="0"/>
            <c:spPr>
              <a:solidFill>
                <a:schemeClr val="accent1">
                  <a:lumMod val="60000"/>
                </a:schemeClr>
              </a:solidFill>
              <a:ln>
                <a:noFill/>
              </a:ln>
              <a:effectLst/>
            </c:spPr>
            <c:extLst>
              <c:ext xmlns:c="http://schemas.openxmlformats.org/drawingml/2006/chart" xmlns:c16="http://schemas.microsoft.com/office/drawing/2014/chart" uri="{C3380CC4-5D6E-409C-BE32-E72D297353CC}">
                <c16:uniqueId val="{0000000D-1E89-4EA4-AFC6-A40CA3A19689}"/>
              </c:ext>
            </c:extLst>
          </c:dPt>
          <c:dLbls>
            <c:dLbl>
              <c:idx val="0"/>
              <c:spPr>
                <a:noFill/>
                <a:ln>
                  <a:noFill/>
                </a:ln>
                <a:effectLst/>
              </c:spPr>
              <c:txPr>
                <a:bodyPr wrap="square" lIns="38100" tIns="19050" rIns="38100" bIns="19050" anchor="ctr"/>
                <a:lstStyle/>
                <a:p>
                  <a:pPr>
                    <a:defRPr sz="700"/>
                  </a:pPr>
                  <a:endParaRPr lang="lv-LV"/>
                </a:p>
              </c:txPr>
              <c:dLblPos val="outEnd"/>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1-1E89-4EA4-AFC6-A40CA3A19689}"/>
                </c:ext>
                <c:ext xmlns:c15="http://schemas.microsoft.com/office/drawing/2012/chart" uri="{CE6537A1-D6FC-4f65-9D91-7224C49458BB}"/>
              </c:extLst>
            </c:dLbl>
            <c:dLbl>
              <c:idx val="2"/>
              <c:layout>
                <c:manualLayout>
                  <c:x val="0.022988505747126436"/>
                  <c:y val="-0.10213556174558969"/>
                </c:manualLayout>
              </c:layout>
              <c:dLblPos val="bestFit"/>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5-1E89-4EA4-AFC6-A40CA3A19689}"/>
                </c:ext>
                <c:ext xmlns:c15="http://schemas.microsoft.com/office/drawing/2012/chart" uri="{CE6537A1-D6FC-4f65-9D91-7224C49458BB}">
                  <c15:layout>
                    <c:manualLayout>
                      <c:w val="0.23107309862129302"/>
                      <c:h val="0.26587780287909696"/>
                    </c:manualLayout>
                  </c15:layout>
                </c:ext>
              </c:extLst>
            </c:dLbl>
            <c:dLbl>
              <c:idx val="3"/>
              <c:layout>
                <c:manualLayout>
                  <c:x val="0.12670467915648476"/>
                  <c:y val="-8.5111984900412207E-17"/>
                </c:manualLayout>
              </c:layout>
              <c:dLblPos val="bestFit"/>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7-1E89-4EA4-AFC6-A40CA3A19689}"/>
                </c:ext>
                <c:ext xmlns:c15="http://schemas.microsoft.com/office/drawing/2012/chart" uri="{CE6537A1-D6FC-4f65-9D91-7224C49458BB}">
                  <c15:layout>
                    <c:manualLayout>
                      <c:w val="0.24651340996168583"/>
                      <c:h val="0.26587780287909696"/>
                    </c:manualLayout>
                  </c15:layout>
                </c:ext>
              </c:extLst>
            </c:dLbl>
            <c:dLbl>
              <c:idx val="4"/>
              <c:layout>
                <c:manualLayout>
                  <c:x val="0.053640148429722145"/>
                  <c:y val="0"/>
                </c:manualLayout>
              </c:layout>
              <c:spPr>
                <a:noFill/>
                <a:ln>
                  <a:noFill/>
                </a:ln>
                <a:effectLst/>
              </c:spPr>
              <c:txPr>
                <a:bodyPr wrap="square" lIns="38100" tIns="19050" rIns="38100" bIns="19050" anchor="ctr"/>
                <a:lstStyle/>
                <a:p>
                  <a:pPr>
                    <a:defRPr sz="700"/>
                  </a:pPr>
                  <a:endParaRPr lang="lv-LV"/>
                </a:p>
              </c:txPr>
              <c:dLblPos val="bestFit"/>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9-1E89-4EA4-AFC6-A40CA3A19689}"/>
                </c:ext>
                <c:ext xmlns:c15="http://schemas.microsoft.com/office/drawing/2012/chart" uri="{CE6537A1-D6FC-4f65-9D91-7224C49458BB}">
                  <c15:layout>
                    <c:manualLayout>
                      <c:w val="0.28325640329441576"/>
                      <c:h val="0.20088244540463082"/>
                    </c:manualLayout>
                  </c15:layout>
                </c:ext>
              </c:extLst>
            </c:dLbl>
            <c:dLbl>
              <c:idx val="5"/>
              <c:spPr>
                <a:noFill/>
                <a:ln>
                  <a:noFill/>
                </a:ln>
                <a:effectLst/>
              </c:spPr>
              <c:txPr>
                <a:bodyPr wrap="square" lIns="38100" tIns="19050" rIns="38100" bIns="19050" anchor="ctr"/>
                <a:lstStyle/>
                <a:p>
                  <a:pPr>
                    <a:defRPr sz="700"/>
                  </a:pPr>
                  <a:endParaRPr lang="lv-LV"/>
                </a:p>
              </c:txPr>
              <c:dLblPos val="outEnd"/>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B-1E89-4EA4-AFC6-A40CA3A19689}"/>
                </c:ext>
                <c:ext xmlns:c15="http://schemas.microsoft.com/office/drawing/2012/chart" uri="{CE6537A1-D6FC-4f65-9D91-7224C49458BB}"/>
              </c:extLst>
            </c:dLbl>
            <c:dLbl>
              <c:idx val="6"/>
              <c:layout>
                <c:manualLayout>
                  <c:x val="-0.053639846743295021"/>
                  <c:y val="-0.027855153203342618"/>
                </c:manualLayout>
              </c:layout>
              <c:dLblPos val="bestFit"/>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D-1E89-4EA4-AFC6-A40CA3A19689}"/>
                </c:ext>
                <c:ext xmlns:c15="http://schemas.microsoft.com/office/drawing/2012/chart" uri="{CE6537A1-D6FC-4f65-9D91-7224C49458BB}">
                  <c15:layout>
                    <c:manualLayout>
                      <c:w val="0.21260506229824719"/>
                      <c:h val="0.26587780287909696"/>
                    </c:manualLayout>
                  </c15:layout>
                </c:ext>
              </c:extLst>
            </c:dLbl>
            <c:dLbl>
              <c:idx val="7"/>
              <c:layout>
                <c:manualLayout>
                  <c:x val="0.031804989893504693"/>
                  <c:y val="-0.16713091922005571"/>
                </c:manualLayout>
              </c:layout>
              <c:dLblPos val="bestFit"/>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E-1E89-4EA4-AFC6-A40CA3A19689}"/>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700"/>
                </a:pPr>
                <a:endParaRPr lang="lv-LV"/>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Sheet1!$A$2:$A$9</c:f>
              <c:strCache>
                <c:ptCount val="8"/>
                <c:pt idx="0">
                  <c:v>Vācija</c:v>
                </c:pt>
                <c:pt idx="1">
                  <c:v>Itālija</c:v>
                </c:pt>
                <c:pt idx="2">
                  <c:v>Ķīna</c:v>
                </c:pt>
                <c:pt idx="3">
                  <c:v>Lietuva</c:v>
                </c:pt>
                <c:pt idx="4">
                  <c:v>Beļģija</c:v>
                </c:pt>
                <c:pt idx="5">
                  <c:v>Nīder-lande</c:v>
                </c:pt>
                <c:pt idx="6">
                  <c:v>Spānija</c:v>
                </c:pt>
                <c:pt idx="7">
                  <c:v>Citas valstis</c:v>
                </c:pt>
              </c:strCache>
            </c:strRef>
          </c:cat>
          <c:val>
            <c:numRef>
              <c:f>Sheet1!$B$2:$B$9</c:f>
              <c:numCache>
                <c:formatCode>0.00</c:formatCode>
                <c:ptCount val="8"/>
                <c:pt idx="0">
                  <c:v>0.16072354835767272</c:v>
                </c:pt>
                <c:pt idx="1">
                  <c:v>0.14294655339250054</c:v>
                </c:pt>
                <c:pt idx="2">
                  <c:v>0.090070215257842617</c:v>
                </c:pt>
                <c:pt idx="3">
                  <c:v>0.056694878914789554</c:v>
                </c:pt>
                <c:pt idx="4">
                  <c:v>0.052213192765149623</c:v>
                </c:pt>
                <c:pt idx="5">
                  <c:v>0.04970915584988625</c:v>
                </c:pt>
                <c:pt idx="6">
                  <c:v>0.041091239504547981</c:v>
                </c:pt>
                <c:pt idx="7">
                  <c:v>0.40655121595761079</c:v>
                </c:pt>
              </c:numCache>
            </c:numRef>
          </c:val>
          <c:extLst>
            <c:ext xmlns:c="http://schemas.openxmlformats.org/drawingml/2006/chart" xmlns:c16="http://schemas.microsoft.com/office/drawing/2014/chart" uri="{C3380CC4-5D6E-409C-BE32-E72D297353CC}">
              <c16:uniqueId val="{0000000F-1E89-4EA4-AFC6-A40CA3A19689}"/>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noFill/>
    <a:ln w="9525">
      <a:noFill/>
      <a:round/>
    </a:ln>
    <a:effectLst/>
  </c:spPr>
  <c:txPr>
    <a:bodyPr/>
    <a:lstStyle/>
    <a:p>
      <a:pPr>
        <a:defRPr sz="800">
          <a:latin typeface="Candara" panose="020E0502030303020204" pitchFamily="34" charset="0"/>
        </a:defRPr>
      </a:pPr>
      <a:endParaRPr lang="lv-LV"/>
    </a:p>
  </c:txPr>
  <c:externalData r:id="rId1">
    <c:autoUpdate val="0"/>
  </c:externalData>
</c:chartSpace>
</file>

<file path=word/charts/chart3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C3E9-4788-9171-BE7AC8198FC4}"/>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C3E9-4788-9171-BE7AC8198FC4}"/>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Sheet1!$B$2:$M$2</c:f>
              <c:numCache>
                <c:formatCode>0</c:formatCode>
                <c:ptCount val="12"/>
                <c:pt idx="0">
                  <c:v>2005</c:v>
                </c:pt>
                <c:pt idx="1">
                  <c:v>2006</c:v>
                </c:pt>
                <c:pt idx="2">
                  <c:v>2007</c:v>
                </c:pt>
                <c:pt idx="3">
                  <c:v>2008</c:v>
                </c:pt>
                <c:pt idx="4">
                  <c:v>2009</c:v>
                </c:pt>
                <c:pt idx="5">
                  <c:v>2010</c:v>
                </c:pt>
                <c:pt idx="6">
                  <c:v>2011</c:v>
                </c:pt>
                <c:pt idx="7">
                  <c:v>2012</c:v>
                </c:pt>
                <c:pt idx="8">
                  <c:v>2013</c:v>
                </c:pt>
                <c:pt idx="9" formatCode="General">
                  <c:v>2014</c:v>
                </c:pt>
                <c:pt idx="10" formatCode="General">
                  <c:v>2015</c:v>
                </c:pt>
                <c:pt idx="11" formatCode="General">
                  <c:v>2016</c:v>
                </c:pt>
              </c:numCache>
            </c:numRef>
          </c:cat>
          <c:val>
            <c:numRef>
              <c:f>Sheet1!$B$3:$M$3</c:f>
              <c:numCache>
                <c:formatCode>General</c:formatCode>
                <c:ptCount val="12"/>
                <c:pt idx="0">
                  <c:v>9.6216017634092577</c:v>
                </c:pt>
                <c:pt idx="1">
                  <c:v>10.535140920442384</c:v>
                </c:pt>
                <c:pt idx="2">
                  <c:v>11.741310160427807</c:v>
                </c:pt>
                <c:pt idx="3">
                  <c:v>11.163092917478883</c:v>
                </c:pt>
                <c:pt idx="4">
                  <c:v>10.275154004106776</c:v>
                </c:pt>
                <c:pt idx="5">
                  <c:v>11.181818181818182</c:v>
                </c:pt>
                <c:pt idx="6">
                  <c:v>12.710997442455241</c:v>
                </c:pt>
                <c:pt idx="7">
                  <c:v>11.2984496124031</c:v>
                </c:pt>
                <c:pt idx="8">
                  <c:v>11.731123388581953</c:v>
                </c:pt>
                <c:pt idx="9">
                  <c:v>11.893256401009737</c:v>
                </c:pt>
                <c:pt idx="10">
                  <c:v>12.171189979123174</c:v>
                </c:pt>
                <c:pt idx="11">
                  <c:v>13.117647058823531</c:v>
                </c:pt>
              </c:numCache>
            </c:numRef>
          </c:val>
          <c:extLst>
            <c:ext xmlns:c="http://schemas.openxmlformats.org/drawingml/2006/chart" xmlns:c16="http://schemas.microsoft.com/office/drawing/2014/chart" uri="{C3380CC4-5D6E-409C-BE32-E72D297353CC}">
              <c16:uniqueId val="{00000004-C3E9-4788-9171-BE7AC8198FC4}"/>
            </c:ext>
          </c:extLst>
        </c:ser>
        <c:dLbls>
          <c:showLegendKey val="0"/>
          <c:showVal val="0"/>
          <c:showCatName val="0"/>
          <c:showSerName val="0"/>
          <c:showPercent val="0"/>
          <c:showBubbleSize val="0"/>
        </c:dLbls>
        <c:gapWidth val="20"/>
        <c:axId val="656440936"/>
        <c:axId val="656441328"/>
      </c:barChart>
      <c:catAx>
        <c:axId val="656440936"/>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56441328"/>
        <c:crosses val="autoZero"/>
        <c:auto val="1"/>
        <c:lblAlgn val="ctr"/>
        <c:lblOffset val="100"/>
        <c:noMultiLvlLbl val="0"/>
      </c:catAx>
      <c:valAx>
        <c:axId val="656441328"/>
        <c:scaling>
          <c:orientation val="minMax"/>
        </c:scaling>
        <c:delete val="0"/>
        <c:axPos val="l"/>
        <c:numFmt formatCode="0" sourceLinked="0"/>
        <c:majorTickMark val="out"/>
        <c:minorTickMark val="none"/>
        <c:tickLblPos val="nextTo"/>
        <c:crossAx val="656440936"/>
        <c:crosses val="autoZero"/>
        <c:crossBetween val="between"/>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32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72841410287632"/>
          <c:y val="0.057971014492753624"/>
          <c:w val="0.69294856184214082"/>
          <c:h val="0.726718711443121"/>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extLst>
              <c:ext xmlns:c="http://schemas.openxmlformats.org/drawingml/2006/chart" xmlns:c16="http://schemas.microsoft.com/office/drawing/2014/chart" uri="{C3380CC4-5D6E-409C-BE32-E72D297353CC}">
                <c16:uniqueId val="{00000000-152C-4B52-A229-BDF72EAF22C4}"/>
              </c:ext>
            </c:extLst>
          </c:dPt>
          <c:dLbls>
            <c:dLbl>
              <c:idx val="0"/>
              <c:layout>
                <c:manualLayout>
                  <c:x val="-0.2296245015717317"/>
                  <c:y val="0.0052569739150751587"/>
                </c:manualLayout>
              </c:layout>
              <c:tx>
                <c:rich>
                  <a:bodyPr vertOverflow="clip"/>
                  <a:lstStyle/>
                  <a:p>
                    <a:r>
                      <a:rPr lang="en-US"/>
                      <a:t>2005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152C-4B52-A229-BDF72EAF22C4}"/>
                </c:ext>
                <c:ext xmlns:c15="http://schemas.microsoft.com/office/drawing/2012/chart" uri="{CE6537A1-D6FC-4f65-9D91-7224C49458BB}"/>
              </c:extLst>
            </c:dLbl>
            <c:dLbl>
              <c:idx val="1"/>
              <c:delete val="1"/>
              <c:extLst>
                <c:ext xmlns:c="http://schemas.openxmlformats.org/drawingml/2006/chart" xmlns:c16="http://schemas.microsoft.com/office/drawing/2014/chart" uri="{C3380CC4-5D6E-409C-BE32-E72D297353CC}">
                  <c16:uniqueId val="{00000002-152C-4B52-A229-BDF72EAF22C4}"/>
                </c:ext>
                <c:ext xmlns:c15="http://schemas.microsoft.com/office/drawing/2012/chart" uri="{CE6537A1-D6FC-4f65-9D91-7224C49458BB}"/>
              </c:extLst>
            </c:dLbl>
            <c:dLbl>
              <c:idx val="2"/>
              <c:delete val="1"/>
              <c:extLst>
                <c:ext xmlns:c="http://schemas.openxmlformats.org/drawingml/2006/chart" xmlns:c16="http://schemas.microsoft.com/office/drawing/2014/chart" uri="{C3380CC4-5D6E-409C-BE32-E72D297353CC}">
                  <c16:uniqueId val="{00000003-152C-4B52-A229-BDF72EAF22C4}"/>
                </c:ext>
                <c:ext xmlns:c15="http://schemas.microsoft.com/office/drawing/2012/chart" uri="{CE6537A1-D6FC-4f65-9D91-7224C49458BB}"/>
              </c:extLst>
            </c:dLbl>
            <c:dLbl>
              <c:idx val="3"/>
              <c:layout>
                <c:manualLayout>
                  <c:x val="-0.13071130677179915"/>
                  <c:y val="-0.045650303399285171"/>
                </c:manualLayout>
              </c:layout>
              <c:tx>
                <c:rich>
                  <a:bodyPr vertOverflow="clip"/>
                  <a:lstStyle/>
                  <a:p>
                    <a:r>
                      <a:rPr lang="en-US"/>
                      <a:t>2008</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152C-4B52-A229-BDF72EAF22C4}"/>
                </c:ext>
                <c:ext xmlns:c15="http://schemas.microsoft.com/office/drawing/2012/chart" uri="{CE6537A1-D6FC-4f65-9D91-7224C49458BB}"/>
              </c:extLst>
            </c:dLbl>
            <c:dLbl>
              <c:idx val="4"/>
              <c:layout>
                <c:manualLayout>
                  <c:x val="-0.22014535877355634"/>
                  <c:y val="0.0057062879249106429"/>
                </c:manualLayout>
              </c:layout>
              <c:tx>
                <c:rich>
                  <a:bodyPr vertOverflow="clip"/>
                  <a:lstStyle/>
                  <a:p>
                    <a:r>
                      <a:rPr lang="en-US"/>
                      <a:t>2009</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152C-4B52-A229-BDF72EAF22C4}"/>
                </c:ext>
                <c:ext xmlns:c15="http://schemas.microsoft.com/office/drawing/2012/chart" uri="{CE6537A1-D6FC-4f65-9D91-7224C49458BB}"/>
              </c:extLst>
            </c:dLbl>
            <c:dLbl>
              <c:idx val="5"/>
              <c:delete val="1"/>
              <c:extLst>
                <c:ext xmlns:c="http://schemas.openxmlformats.org/drawingml/2006/chart" xmlns:c16="http://schemas.microsoft.com/office/drawing/2014/chart" uri="{C3380CC4-5D6E-409C-BE32-E72D297353CC}">
                  <c16:uniqueId val="{00000000-152C-4B52-A229-BDF72EAF22C4}"/>
                </c:ext>
                <c:ext xmlns:c15="http://schemas.microsoft.com/office/drawing/2012/chart" uri="{CE6537A1-D6FC-4f65-9D91-7224C49458BB}"/>
              </c:extLst>
            </c:dLbl>
            <c:dLbl>
              <c:idx val="6"/>
              <c:layout>
                <c:manualLayout>
                  <c:x val="-0.089434052001757261"/>
                  <c:y val="0.062769167174017065"/>
                </c:manualLayout>
              </c:layout>
              <c:tx>
                <c:rich>
                  <a:bodyPr vertOverflow="clip"/>
                  <a:lstStyle/>
                  <a:p>
                    <a:r>
                      <a:rPr lang="en-US"/>
                      <a:t>2011</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152C-4B52-A229-BDF72EAF22C4}"/>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7-152C-4B52-A229-BDF72EAF22C4}"/>
                </c:ext>
                <c:ext xmlns:c15="http://schemas.microsoft.com/office/drawing/2012/chart" uri="{CE6537A1-D6FC-4f65-9D91-7224C49458BB}"/>
              </c:extLst>
            </c:dLbl>
            <c:dLbl>
              <c:idx val="8"/>
              <c:layout>
                <c:manualLayout>
                  <c:x val="-0.027518169846694543"/>
                  <c:y val="0.011412575849821286"/>
                </c:manualLayout>
              </c:layout>
              <c:tx>
                <c:rich>
                  <a:bodyPr vertOverflow="clip"/>
                  <a:lstStyle/>
                  <a:p>
                    <a:r>
                      <a:rPr lang="en-US"/>
                      <a:t>2013</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152C-4B52-A229-BDF72EAF22C4}"/>
                </c:ext>
                <c:ext xmlns:c15="http://schemas.microsoft.com/office/drawing/2012/chart" uri="{CE6537A1-D6FC-4f65-9D91-7224C49458BB}"/>
              </c:extLst>
            </c:dLbl>
            <c:dLbl>
              <c:idx val="9"/>
              <c:delete val="1"/>
              <c:extLst>
                <c:ext xmlns:c="http://schemas.openxmlformats.org/drawingml/2006/chart" xmlns:c16="http://schemas.microsoft.com/office/drawing/2014/chart" uri="{C3380CC4-5D6E-409C-BE32-E72D297353CC}">
                  <c16:uniqueId val="{00000009-152C-4B52-A229-BDF72EAF22C4}"/>
                </c:ext>
                <c:ext xmlns:c15="http://schemas.microsoft.com/office/drawing/2012/chart" uri="{CE6537A1-D6FC-4f65-9D91-7224C49458BB}"/>
              </c:extLst>
            </c:dLbl>
            <c:dLbl>
              <c:idx val="10"/>
              <c:delete val="1"/>
              <c:extLst>
                <c:ext xmlns:c="http://schemas.openxmlformats.org/drawingml/2006/chart" xmlns:c16="http://schemas.microsoft.com/office/drawing/2014/chart" uri="{C3380CC4-5D6E-409C-BE32-E72D297353CC}">
                  <c16:uniqueId val="{0000000A-152C-4B52-A229-BDF72EAF22C4}"/>
                </c:ext>
                <c:ext xmlns:c15="http://schemas.microsoft.com/office/drawing/2012/chart" uri="{CE6537A1-D6FC-4f65-9D91-7224C49458BB}"/>
              </c:extLst>
            </c:dLbl>
            <c:dLbl>
              <c:idx val="11"/>
              <c:layout>
                <c:manualLayout>
                  <c:x val="-0.045473776802943768"/>
                  <c:y val="-0.029435967255112244"/>
                </c:manualLayout>
              </c:layout>
              <c:tx>
                <c:rich>
                  <a:bodyPr vertOverflow="clip"/>
                  <a:lstStyle/>
                  <a:p>
                    <a:r>
                      <a:rPr lang="en-US"/>
                      <a:t>2016</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152C-4B52-A229-BDF72EAF22C4}"/>
                </c:ext>
                <c:ext xmlns:c15="http://schemas.microsoft.com/office/drawing/2012/chart" uri="{CE6537A1-D6FC-4f65-9D91-7224C49458BB}"/>
              </c:extLst>
            </c:dLbl>
            <c:dLbl>
              <c:idx val="12"/>
              <c:tx>
                <c:rich>
                  <a:bodyPr/>
                  <a:lstStyle/>
                  <a:p>
                    <a:r>
                      <a:rPr lang="lv-LV"/>
                      <a:t>FI</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152C-4B52-A229-BDF72EAF22C4}"/>
                </c:ext>
                <c:ext xmlns:c15="http://schemas.microsoft.com/office/drawing/2012/chart" uri="{CE6537A1-D6FC-4f65-9D91-7224C49458BB}"/>
              </c:extLst>
            </c:dLbl>
            <c:dLbl>
              <c:idx val="13"/>
              <c:tx>
                <c:rich>
                  <a:bodyPr/>
                  <a:lstStyle/>
                  <a:p>
                    <a:r>
                      <a:rPr lang="lv-LV" b="0"/>
                      <a:t>SE</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152C-4B52-A229-BDF72EAF22C4}"/>
                </c:ext>
                <c:ext xmlns:c15="http://schemas.microsoft.com/office/drawing/2012/chart" uri="{CE6537A1-D6FC-4f65-9D91-7224C49458BB}"/>
              </c:extLst>
            </c:dLbl>
            <c:spPr>
              <a:noFill/>
              <a:ln>
                <a:noFill/>
              </a:ln>
              <a:effectLst/>
            </c:spPr>
            <c:txPr>
              <a:bodyPr/>
              <a:lstStyle/>
              <a:p>
                <a:pPr>
                  <a:defRPr b="0"/>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Sheet1!$B$3:$B$14</c:f>
              <c:numCache>
                <c:formatCode>0.0</c:formatCode>
                <c:ptCount val="12"/>
                <c:pt idx="0">
                  <c:v>9.6216017634092577</c:v>
                </c:pt>
                <c:pt idx="1">
                  <c:v>10.535140920442384</c:v>
                </c:pt>
                <c:pt idx="2">
                  <c:v>11.741310160427807</c:v>
                </c:pt>
                <c:pt idx="3">
                  <c:v>11.163092917478883</c:v>
                </c:pt>
                <c:pt idx="4">
                  <c:v>10.275154004106776</c:v>
                </c:pt>
                <c:pt idx="5">
                  <c:v>11.181818181818182</c:v>
                </c:pt>
                <c:pt idx="6">
                  <c:v>12.710997442455241</c:v>
                </c:pt>
                <c:pt idx="7">
                  <c:v>11.2984496124031</c:v>
                </c:pt>
                <c:pt idx="8">
                  <c:v>11.731123388581953</c:v>
                </c:pt>
                <c:pt idx="9">
                  <c:v>11.893256401009737</c:v>
                </c:pt>
                <c:pt idx="10">
                  <c:v>12.171189979123174</c:v>
                </c:pt>
                <c:pt idx="11">
                  <c:v>13.117647058823531</c:v>
                </c:pt>
              </c:numCache>
            </c:numRef>
          </c:xVal>
          <c:yVal>
            <c:numRef>
              <c:f>Sheet1!$C$3:$C$14</c:f>
              <c:numCache>
                <c:formatCode>0.0</c:formatCode>
                <c:ptCount val="12"/>
                <c:pt idx="0">
                  <c:v>0.45278477485289359</c:v>
                </c:pt>
                <c:pt idx="1">
                  <c:v>0.56326780679106625</c:v>
                </c:pt>
                <c:pt idx="2">
                  <c:v>0.70327682273295478</c:v>
                </c:pt>
                <c:pt idx="3">
                  <c:v>0.77872579685245169</c:v>
                </c:pt>
                <c:pt idx="4">
                  <c:v>0.66976615456992838</c:v>
                </c:pt>
                <c:pt idx="5">
                  <c:v>0.603204316467544</c:v>
                </c:pt>
                <c:pt idx="6">
                  <c:v>0.54606423753790356</c:v>
                </c:pt>
                <c:pt idx="7">
                  <c:v>0.7134491759266165</c:v>
                </c:pt>
                <c:pt idx="8">
                  <c:v>0.734238750445233</c:v>
                </c:pt>
                <c:pt idx="9">
                  <c:v>0.77925779619102675</c:v>
                </c:pt>
                <c:pt idx="10">
                  <c:v>0.85893032826995086</c:v>
                </c:pt>
                <c:pt idx="11">
                  <c:v>0.88899978125341783</c:v>
                </c:pt>
              </c:numCache>
            </c:numRef>
          </c:yVal>
          <c:smooth val="1"/>
          <c:extLst>
            <c:ext xmlns:c="http://schemas.openxmlformats.org/drawingml/2006/chart" xmlns:c16="http://schemas.microsoft.com/office/drawing/2014/chart" uri="{C3380CC4-5D6E-409C-BE32-E72D297353CC}">
              <c16:uniqueId val="{0000000E-152C-4B52-A229-BDF72EAF22C4}"/>
            </c:ext>
          </c:extLst>
        </c:ser>
        <c:dLbls>
          <c:showLegendKey val="0"/>
          <c:showVal val="0"/>
          <c:showCatName val="0"/>
          <c:showSerName val="0"/>
          <c:showPercent val="0"/>
          <c:showBubbleSize val="0"/>
        </c:dLbls>
        <c:axId val="656445248"/>
        <c:axId val="656445640"/>
      </c:scatterChart>
      <c:valAx>
        <c:axId val="656445248"/>
        <c:scaling>
          <c:orientation val="minMax"/>
          <c:max val="15"/>
          <c:min val="7"/>
        </c:scaling>
        <c:delete val="0"/>
        <c:axPos val="b"/>
        <c:title>
          <c:tx>
            <c:rich>
              <a:bodyPr vertOverflow="clip"/>
              <a:lstStyle/>
              <a:p>
                <a:pPr>
                  <a:defRPr sz="700" b="0">
                    <a:latin typeface="Arial Narrow" pitchFamily="34" charset="0"/>
                  </a:defRPr>
                </a:pPr>
                <a:r>
                  <a:rPr lang="lv-LV" sz="700" b="0">
                    <a:latin typeface="Arial Narrow" pitchFamily="34" charset="0"/>
                  </a:rPr>
                  <a:t>Produktivitāte (pievienotā vērtība </a:t>
                </a:r>
                <a:br>
                  <a:rPr lang="lv-LV" sz="700" b="0">
                    <a:latin typeface="Arial Narrow" pitchFamily="34" charset="0"/>
                  </a:rPr>
                </a:br>
                <a:r>
                  <a:rPr lang="lv-LV" sz="700" b="0">
                    <a:latin typeface="Arial Narrow" pitchFamily="34" charset="0"/>
                  </a:rPr>
                  <a:t>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56445640"/>
        <c:crosses val="autoZero"/>
        <c:crossBetween val="midCat"/>
      </c:valAx>
      <c:valAx>
        <c:axId val="656445640"/>
        <c:scaling>
          <c:orientation val="minMax"/>
          <c:max val="0.9"/>
          <c:min val="0.4"/>
        </c:scaling>
        <c:delete val="0"/>
        <c:axPos val="l"/>
        <c:title>
          <c:tx>
            <c:rich>
              <a:bodyPr vertOverflow="clip"/>
              <a:lstStyle/>
              <a:p>
                <a:pPr>
                  <a:defRPr sz="700" b="0"/>
                </a:pPr>
                <a:r>
                  <a:rPr lang="lv-LV" sz="700" b="0">
                    <a:latin typeface="Arial Narrow" pitchFamily="34" charset="0"/>
                  </a:rPr>
                  <a:t>Darbaspēka izmaksas </a:t>
                </a:r>
                <a:br>
                  <a:rPr lang="lv-LV" sz="700" b="0">
                    <a:latin typeface="Arial Narrow" pitchFamily="34" charset="0"/>
                  </a:rPr>
                </a:br>
                <a:r>
                  <a:rPr lang="lv-LV" sz="700" b="0">
                    <a:latin typeface="Arial Narrow" pitchFamily="34" charset="0"/>
                  </a:rPr>
                  <a:t>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56445248"/>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3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89363913300468"/>
          <c:y val="0.046005165816941182"/>
          <c:w val="0.85762258292899962"/>
          <c:h val="0.831279863372076"/>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Sheet1!$B$1:$K$1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Sheet1!$B$2:$K$2</c:f>
              <c:numCache>
                <c:formatCode>0</c:formatCode>
                <c:ptCount val="10"/>
                <c:pt idx="0">
                  <c:v>33.721439159401655</c:v>
                </c:pt>
                <c:pt idx="1">
                  <c:v>39.357747157592392</c:v>
                </c:pt>
                <c:pt idx="2">
                  <c:v>35.257643303741311</c:v>
                </c:pt>
                <c:pt idx="3">
                  <c:v>31.604252389710798</c:v>
                </c:pt>
                <c:pt idx="4">
                  <c:v>31.875002820972814</c:v>
                </c:pt>
                <c:pt idx="5">
                  <c:v>33.804118310790848</c:v>
                </c:pt>
                <c:pt idx="6">
                  <c:v>35.156533977007385</c:v>
                </c:pt>
                <c:pt idx="7">
                  <c:v>37.421947439091205</c:v>
                </c:pt>
                <c:pt idx="8">
                  <c:v>38.817831590130616</c:v>
                </c:pt>
                <c:pt idx="9">
                  <c:v>41.722712558717859</c:v>
                </c:pt>
              </c:numCache>
            </c:numRef>
          </c:val>
          <c:extLst>
            <c:ext xmlns:c="http://schemas.openxmlformats.org/drawingml/2006/chart" xmlns:c16="http://schemas.microsoft.com/office/drawing/2014/chart" uri="{C3380CC4-5D6E-409C-BE32-E72D297353CC}">
              <c16:uniqueId val="{00000000-8D1E-4847-A8AB-ABD1FABCF599}"/>
            </c:ext>
          </c:extLst>
        </c:ser>
        <c:ser>
          <c:idx val="1"/>
          <c:order val="1"/>
          <c:tx>
            <c:strRef>
              <c:f>Sheet1!$A$3</c:f>
              <c:strCache>
                <c:ptCount val="1"/>
                <c:pt idx="0">
                  <c:v>Izmitināšana un ēdināšanas pakalpojumi</c:v>
                </c:pt>
              </c:strCache>
            </c:strRef>
          </c:tx>
          <c:spPr>
            <a:ln>
              <a:solidFill>
                <a:sysClr val="windowText" lastClr="000000"/>
              </a:solidFill>
            </a:ln>
          </c:spPr>
          <c:invertIfNegative val="0"/>
          <c:dLbls>
            <c:numFmt formatCode="#,##0" sourceLinked="0"/>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Sheet1!$B$3:$K$3</c:f>
              <c:numCache>
                <c:formatCode>0</c:formatCode>
                <c:ptCount val="10"/>
                <c:pt idx="0">
                  <c:v>40.607781946126373</c:v>
                </c:pt>
                <c:pt idx="1">
                  <c:v>43.008606809115825</c:v>
                </c:pt>
                <c:pt idx="2">
                  <c:v>34.530170219455286</c:v>
                </c:pt>
                <c:pt idx="3">
                  <c:v>32.98433079910393</c:v>
                </c:pt>
                <c:pt idx="4">
                  <c:v>33.487364080847087</c:v>
                </c:pt>
                <c:pt idx="5">
                  <c:v>37.97125441994352</c:v>
                </c:pt>
                <c:pt idx="6">
                  <c:v>40.411654271255372</c:v>
                </c:pt>
                <c:pt idx="7">
                  <c:v>42.80400115370486</c:v>
                </c:pt>
                <c:pt idx="8">
                  <c:v>46.566719992496445</c:v>
                </c:pt>
                <c:pt idx="9">
                  <c:v>52.297593904766828</c:v>
                </c:pt>
              </c:numCache>
            </c:numRef>
          </c:val>
          <c:extLst>
            <c:ext xmlns:c="http://schemas.openxmlformats.org/drawingml/2006/chart" xmlns:c16="http://schemas.microsoft.com/office/drawing/2014/chart" uri="{C3380CC4-5D6E-409C-BE32-E72D297353CC}">
              <c16:uniqueId val="{00000001-8D1E-4847-A8AB-ABD1FABCF599}"/>
            </c:ext>
          </c:extLst>
        </c:ser>
        <c:dLbls>
          <c:showLegendKey val="0"/>
          <c:showVal val="0"/>
          <c:showCatName val="0"/>
          <c:showSerName val="0"/>
          <c:showPercent val="0"/>
          <c:showBubbleSize val="0"/>
        </c:dLbls>
        <c:gapWidth val="50"/>
        <c:overlap val="52"/>
        <c:axId val="656446032"/>
        <c:axId val="656458968"/>
      </c:barChart>
      <c:catAx>
        <c:axId val="656446032"/>
        <c:scaling>
          <c:orientation val="minMax"/>
        </c:scaling>
        <c:delete val="0"/>
        <c:axPos val="b"/>
        <c:numFmt formatCode="General" sourceLinked="0"/>
        <c:majorTickMark val="out"/>
        <c:minorTickMark val="none"/>
        <c:tickLblPos val="nextTo"/>
        <c:txPr>
          <a:bodyPr rot="-2700000"/>
          <a:lstStyle/>
          <a:p>
            <a:pPr>
              <a:defRPr sz="700"/>
            </a:pPr>
            <a:endParaRPr lang="lv-LV"/>
          </a:p>
        </c:txPr>
        <c:crossAx val="656458968"/>
        <c:crosses val="autoZero"/>
        <c:auto val="1"/>
        <c:lblAlgn val="ctr"/>
        <c:lblOffset val="100"/>
        <c:noMultiLvlLbl val="0"/>
      </c:catAx>
      <c:valAx>
        <c:axId val="656458968"/>
        <c:scaling>
          <c:orientation val="minMax"/>
          <c:max val="80"/>
        </c:scaling>
        <c:delete val="0"/>
        <c:axPos val="l"/>
        <c:numFmt formatCode="0" sourceLinked="0"/>
        <c:majorTickMark val="out"/>
        <c:minorTickMark val="none"/>
        <c:tickLblPos val="nextTo"/>
        <c:txPr>
          <a:bodyPr/>
          <a:lstStyle/>
          <a:p>
            <a:pPr>
              <a:defRPr sz="800"/>
            </a:pPr>
            <a:endParaRPr lang="lv-LV"/>
          </a:p>
        </c:txPr>
        <c:crossAx val="656446032"/>
        <c:crosses val="autoZero"/>
        <c:crossBetween val="between"/>
        <c:majorUnit val="20"/>
      </c:valAx>
      <c:spPr>
        <a:ln>
          <a:noFill/>
        </a:ln>
      </c:spPr>
    </c:plotArea>
    <c:legend>
      <c:legendPos val="r"/>
      <c:layout>
        <c:manualLayout>
          <c:xMode val="edge"/>
          <c:yMode val="edge"/>
          <c:x val="0.047774207596247772"/>
          <c:y val="0.04952826842590622"/>
          <c:w val="0.93827336605345868"/>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3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8936391330046738"/>
          <c:y val="0.046005165816941182"/>
          <c:w val="0.85762258292899962"/>
          <c:h val="0.83127986337207582"/>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Sheet1!$B$1:$K$1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Sheet1!$B$2:$K$2</c:f>
              <c:numCache>
                <c:formatCode>0</c:formatCode>
                <c:ptCount val="10"/>
                <c:pt idx="0">
                  <c:v>37.571008081742491</c:v>
                </c:pt>
                <c:pt idx="1">
                  <c:v>40.886874357448278</c:v>
                </c:pt>
                <c:pt idx="2">
                  <c:v>38.340696631750923</c:v>
                </c:pt>
                <c:pt idx="3">
                  <c:v>37.13786218879887</c:v>
                </c:pt>
                <c:pt idx="4">
                  <c:v>40.358416265069444</c:v>
                </c:pt>
                <c:pt idx="5">
                  <c:v>42.444824679460964</c:v>
                </c:pt>
                <c:pt idx="6">
                  <c:v>42.534590211759</c:v>
                </c:pt>
                <c:pt idx="7">
                  <c:v>43.637999214462909</c:v>
                </c:pt>
                <c:pt idx="8">
                  <c:v>42.77599222315655</c:v>
                </c:pt>
                <c:pt idx="9">
                  <c:v>43.3164068323518</c:v>
                </c:pt>
              </c:numCache>
            </c:numRef>
          </c:val>
          <c:extLst>
            <c:ext xmlns:c="http://schemas.openxmlformats.org/drawingml/2006/chart" xmlns:c16="http://schemas.microsoft.com/office/drawing/2014/chart" uri="{C3380CC4-5D6E-409C-BE32-E72D297353CC}">
              <c16:uniqueId val="{00000000-E674-4F74-A5C6-FCE9FEFE3E18}"/>
            </c:ext>
          </c:extLst>
        </c:ser>
        <c:ser>
          <c:idx val="1"/>
          <c:order val="1"/>
          <c:tx>
            <c:strRef>
              <c:f>Sheet1!$A$3</c:f>
              <c:strCache>
                <c:ptCount val="1"/>
                <c:pt idx="0">
                  <c:v>Izmitināšana un ēdināšanas pakalpojumi</c:v>
                </c:pt>
              </c:strCache>
            </c:strRef>
          </c:tx>
          <c:spPr>
            <a:ln>
              <a:solidFill>
                <a:sysClr val="windowText" lastClr="000000"/>
              </a:solidFill>
            </a:ln>
          </c:spPr>
          <c:invertIfNegative val="0"/>
          <c:dLbls>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Sheet1!$B$3:$K$3</c:f>
              <c:numCache>
                <c:formatCode>0</c:formatCode>
                <c:ptCount val="10"/>
                <c:pt idx="0">
                  <c:v>34.95224024189114</c:v>
                </c:pt>
                <c:pt idx="1">
                  <c:v>37.601335599463376</c:v>
                </c:pt>
                <c:pt idx="2">
                  <c:v>36.330236323103051</c:v>
                </c:pt>
                <c:pt idx="3">
                  <c:v>36.974237648617624</c:v>
                </c:pt>
                <c:pt idx="4">
                  <c:v>42.526282993089858</c:v>
                </c:pt>
                <c:pt idx="5">
                  <c:v>38.259449424668027</c:v>
                </c:pt>
                <c:pt idx="6">
                  <c:v>39.785228641263814</c:v>
                </c:pt>
                <c:pt idx="7">
                  <c:v>41.190472271626952</c:v>
                </c:pt>
                <c:pt idx="8">
                  <c:v>41.797777954033243</c:v>
                </c:pt>
                <c:pt idx="9">
                  <c:v>45.420234252635161</c:v>
                </c:pt>
              </c:numCache>
            </c:numRef>
          </c:val>
          <c:extLst>
            <c:ext xmlns:c="http://schemas.openxmlformats.org/drawingml/2006/chart" xmlns:c16="http://schemas.microsoft.com/office/drawing/2014/chart" uri="{C3380CC4-5D6E-409C-BE32-E72D297353CC}">
              <c16:uniqueId val="{00000001-E674-4F74-A5C6-FCE9FEFE3E18}"/>
            </c:ext>
          </c:extLst>
        </c:ser>
        <c:dLbls>
          <c:showLegendKey val="0"/>
          <c:showVal val="0"/>
          <c:showCatName val="0"/>
          <c:showSerName val="0"/>
          <c:showPercent val="0"/>
          <c:showBubbleSize val="0"/>
        </c:dLbls>
        <c:gapWidth val="50"/>
        <c:overlap val="52"/>
        <c:axId val="656455048"/>
        <c:axId val="656461320"/>
      </c:barChart>
      <c:catAx>
        <c:axId val="656455048"/>
        <c:scaling>
          <c:orientation val="minMax"/>
        </c:scaling>
        <c:delete val="0"/>
        <c:axPos val="b"/>
        <c:numFmt formatCode="General" sourceLinked="0"/>
        <c:majorTickMark val="out"/>
        <c:minorTickMark val="none"/>
        <c:tickLblPos val="nextTo"/>
        <c:txPr>
          <a:bodyPr rot="-2700000"/>
          <a:lstStyle/>
          <a:p>
            <a:pPr>
              <a:defRPr sz="700"/>
            </a:pPr>
            <a:endParaRPr lang="lv-LV"/>
          </a:p>
        </c:txPr>
        <c:crossAx val="656461320"/>
        <c:crosses val="autoZero"/>
        <c:auto val="1"/>
        <c:lblAlgn val="ctr"/>
        <c:lblOffset val="100"/>
        <c:noMultiLvlLbl val="0"/>
      </c:catAx>
      <c:valAx>
        <c:axId val="656461320"/>
        <c:scaling>
          <c:orientation val="minMax"/>
          <c:max val="80"/>
        </c:scaling>
        <c:delete val="0"/>
        <c:axPos val="l"/>
        <c:numFmt formatCode="0" sourceLinked="1"/>
        <c:majorTickMark val="out"/>
        <c:minorTickMark val="none"/>
        <c:tickLblPos val="nextTo"/>
        <c:txPr>
          <a:bodyPr/>
          <a:lstStyle/>
          <a:p>
            <a:pPr>
              <a:defRPr sz="800"/>
            </a:pPr>
            <a:endParaRPr lang="lv-LV"/>
          </a:p>
        </c:txPr>
        <c:crossAx val="656455048"/>
        <c:crosses val="autoZero"/>
        <c:crossBetween val="between"/>
        <c:majorUnit val="20"/>
      </c:valAx>
      <c:spPr>
        <a:ln>
          <a:noFill/>
        </a:ln>
      </c:spPr>
    </c:plotArea>
    <c:legend>
      <c:legendPos val="r"/>
      <c:layout>
        <c:manualLayout>
          <c:xMode val="edge"/>
          <c:yMode val="edge"/>
          <c:x val="0.072251124859392585"/>
          <c:y val="0.04952826842590622"/>
          <c:w val="0.90889998125234361"/>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3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5797646717244654"/>
          <c:y val="0.044057617797775277"/>
          <c:w val="0.9310540474739486"/>
          <c:h val="0.72250176045067538"/>
        </c:manualLayout>
      </c:layout>
      <c:barChart>
        <c:barDir val="col"/>
        <c:grouping val="clustered"/>
        <c:varyColors val="0"/>
        <c:ser>
          <c:idx val="1"/>
          <c:order val="0"/>
          <c:tx>
            <c:strRef>
              <c:f>Sheet1!$B$3</c:f>
              <c:strCache>
                <c:ptCount val="1"/>
                <c:pt idx="0">
                  <c:v>Compensation per employees 1000 of euro</c:v>
                </c:pt>
              </c:strCache>
            </c:strRef>
          </c:tx>
          <c:spPr>
            <a:solidFill>
              <a:schemeClr val="accent3">
                <a:lumMod val="50000"/>
              </a:schemeClr>
            </a:solidFill>
            <a:ln w="19050"/>
          </c:spPr>
          <c:invertIfNegative val="0"/>
          <c:dPt>
            <c:idx val="10"/>
            <c:invertIfNegative val="0"/>
            <c:bubble3D val="0"/>
            <c:spPr>
              <a:solidFill>
                <a:srgbClr val="4F81BD"/>
              </a:solidFill>
              <a:ln w="19050"/>
            </c:spPr>
            <c:extLst>
              <c:ext xmlns:c="http://schemas.openxmlformats.org/drawingml/2006/chart" xmlns:c16="http://schemas.microsoft.com/office/drawing/2014/chart" uri="{C3380CC4-5D6E-409C-BE32-E72D297353CC}">
                <c16:uniqueId val="{00000001-2388-464C-802D-B8FA990198AD}"/>
              </c:ext>
            </c:extLst>
          </c:dPt>
          <c:dPt>
            <c:idx val="17"/>
            <c:invertIfNegative val="0"/>
            <c:bubble3D val="0"/>
            <c:spPr>
              <a:ln w="19050"/>
            </c:spPr>
            <c:extLst>
              <c:ext xmlns:c="http://schemas.openxmlformats.org/drawingml/2006/chart" xmlns:c16="http://schemas.microsoft.com/office/drawing/2014/chart" uri="{C3380CC4-5D6E-409C-BE32-E72D297353CC}">
                <c16:uniqueId val="{00000003-2388-464C-802D-B8FA990198AD}"/>
              </c:ext>
            </c:extLst>
          </c:dPt>
          <c:dPt>
            <c:idx val="18"/>
            <c:invertIfNegative val="0"/>
            <c:bubble3D val="0"/>
            <c:spPr>
              <a:solidFill>
                <a:srgbClr val="9BBB59">
                  <a:lumMod val="50000"/>
                </a:srgbClr>
              </a:solidFill>
              <a:ln w="19050"/>
            </c:spPr>
            <c:extLst>
              <c:ext xmlns:c="http://schemas.openxmlformats.org/drawingml/2006/chart" xmlns:c16="http://schemas.microsoft.com/office/drawing/2014/chart" uri="{C3380CC4-5D6E-409C-BE32-E72D297353CC}">
                <c16:uniqueId val="{00000005-2388-464C-802D-B8FA990198AD}"/>
              </c:ext>
            </c:extLst>
          </c:dPt>
          <c:dPt>
            <c:idx val="19"/>
            <c:invertIfNegative val="0"/>
            <c:bubble3D val="0"/>
            <c:extLst>
              <c:ext xmlns:c="http://schemas.openxmlformats.org/drawingml/2006/chart" xmlns:c16="http://schemas.microsoft.com/office/drawing/2014/chart" uri="{C3380CC4-5D6E-409C-BE32-E72D297353CC}">
                <c16:uniqueId val="{00000006-2388-464C-802D-B8FA990198AD}"/>
              </c:ext>
            </c:extLst>
          </c:dPt>
          <c:dPt>
            <c:idx val="20"/>
            <c:invertIfNegative val="0"/>
            <c:bubble3D val="0"/>
            <c:extLst>
              <c:ext xmlns:c="http://schemas.openxmlformats.org/drawingml/2006/chart" xmlns:c16="http://schemas.microsoft.com/office/drawing/2014/chart" uri="{C3380CC4-5D6E-409C-BE32-E72D297353CC}">
                <c16:uniqueId val="{00000007-2388-464C-802D-B8FA990198AD}"/>
              </c:ext>
            </c:extLst>
          </c:dPt>
          <c:dPt>
            <c:idx val="21"/>
            <c:invertIfNegative val="0"/>
            <c:bubble3D val="0"/>
            <c:extLst>
              <c:ext xmlns:c="http://schemas.openxmlformats.org/drawingml/2006/chart" xmlns:c16="http://schemas.microsoft.com/office/drawing/2014/chart" uri="{C3380CC4-5D6E-409C-BE32-E72D297353CC}">
                <c16:uniqueId val="{00000008-2388-464C-802D-B8FA990198AD}"/>
              </c:ext>
            </c:extLst>
          </c:dPt>
          <c:dPt>
            <c:idx val="22"/>
            <c:invertIfNegative val="0"/>
            <c:bubble3D val="0"/>
            <c:extLst>
              <c:ext xmlns:c="http://schemas.openxmlformats.org/drawingml/2006/chart" xmlns:c16="http://schemas.microsoft.com/office/drawing/2014/chart" uri="{C3380CC4-5D6E-409C-BE32-E72D297353CC}">
                <c16:uniqueId val="{00000009-2388-464C-802D-B8FA990198AD}"/>
              </c:ext>
            </c:extLst>
          </c:dPt>
          <c:dPt>
            <c:idx val="24"/>
            <c:invertIfNegative val="0"/>
            <c:bubble3D val="0"/>
            <c:extLst>
              <c:ext xmlns:c="http://schemas.openxmlformats.org/drawingml/2006/chart" xmlns:c16="http://schemas.microsoft.com/office/drawing/2014/chart" uri="{C3380CC4-5D6E-409C-BE32-E72D297353CC}">
                <c16:uniqueId val="{0000000A-2388-464C-802D-B8FA990198AD}"/>
              </c:ext>
            </c:extLst>
          </c:dPt>
          <c:dPt>
            <c:idx val="25"/>
            <c:invertIfNegative val="0"/>
            <c:bubble3D val="0"/>
            <c:extLst>
              <c:ext xmlns:c="http://schemas.openxmlformats.org/drawingml/2006/chart" xmlns:c16="http://schemas.microsoft.com/office/drawing/2014/chart" uri="{C3380CC4-5D6E-409C-BE32-E72D297353CC}">
                <c16:uniqueId val="{0000000B-2388-464C-802D-B8FA990198AD}"/>
              </c:ext>
            </c:extLst>
          </c:dPt>
          <c:dLbls>
            <c:dLbl>
              <c:idx val="17"/>
              <c:numFmt formatCode="#,##0" sourceLinked="0"/>
              <c:spPr>
                <a:noFill/>
                <a:ln>
                  <a:noFill/>
                </a:ln>
                <a:effectLst/>
              </c:spPr>
              <c:txPr>
                <a:bodyPr/>
                <a:lstStyle/>
                <a:p>
                  <a:pPr>
                    <a:defRPr sz="600" b="1"/>
                  </a:pPr>
                  <a:endParaRPr lang="lv-LV"/>
                </a:p>
              </c:txPr>
              <c:showLegendKey val="0"/>
              <c:showVal val="1"/>
              <c:showCatName val="0"/>
              <c:showSerName val="0"/>
              <c:showPercent val="0"/>
              <c:showBubbleSize val="0"/>
            </c:dLbl>
            <c:dLbl>
              <c:idx val="18"/>
              <c:layout>
                <c:manualLayout>
                  <c:x val="0"/>
                  <c:y val="2.9874314491126726E-05"/>
                </c:manualLayout>
              </c:layout>
              <c:numFmt formatCode="#,##0" sourceLinked="0"/>
              <c:spPr>
                <a:noFill/>
                <a:ln>
                  <a:noFill/>
                </a:ln>
                <a:effectLst/>
              </c:spPr>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2388-464C-802D-B8FA990198AD}"/>
                </c:ext>
                <c:ext xmlns:c15="http://schemas.microsoft.com/office/drawing/2012/chart" uri="{CE6537A1-D6FC-4f65-9D91-7224C49458BB}"/>
              </c:extLst>
            </c:dLbl>
            <c:dLbl>
              <c:idx val="19"/>
              <c:layout>
                <c:manualLayout>
                  <c:x val="0"/>
                  <c:y val="-4.9614778240447775E-17"/>
                </c:manualLayout>
              </c:layout>
              <c:numFmt formatCode="#,##0" sourceLinked="0"/>
              <c:spPr>
                <a:noFill/>
                <a:ln>
                  <a:noFill/>
                </a:ln>
                <a:effectLst/>
              </c:spPr>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2388-464C-802D-B8FA990198AD}"/>
                </c:ext>
                <c:ext xmlns:c15="http://schemas.microsoft.com/office/drawing/2012/chart" uri="{CE6537A1-D6FC-4f65-9D91-7224C49458BB}"/>
              </c:extLst>
            </c:dLbl>
            <c:dLbl>
              <c:idx val="21"/>
              <c:layout>
                <c:manualLayout>
                  <c:x val="0"/>
                  <c:y val="0.010825167577003643"/>
                </c:manualLayout>
              </c:layout>
              <c:numFmt formatCode="#,##0" sourceLinked="0"/>
              <c:spPr>
                <a:noFill/>
                <a:ln>
                  <a:noFill/>
                </a:ln>
                <a:effectLst/>
              </c:spPr>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2388-464C-802D-B8FA990198AD}"/>
                </c:ext>
                <c:ext xmlns:c15="http://schemas.microsoft.com/office/drawing/2012/chart" uri="{CE6537A1-D6FC-4f65-9D91-7224C49458BB}"/>
              </c:extLst>
            </c:dLbl>
            <c:dLbl>
              <c:idx val="22"/>
              <c:layout>
                <c:manualLayout>
                  <c:x val="0"/>
                  <c:y val="0.010957285763967024"/>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2388-464C-802D-B8FA990198AD}"/>
                </c:ext>
                <c:ext xmlns:c15="http://schemas.microsoft.com/office/drawing/2012/chart" uri="{CE6537A1-D6FC-4f65-9D91-7224C49458BB}"/>
              </c:extLst>
            </c:dLbl>
            <c:dLbl>
              <c:idx val="24"/>
              <c:layout>
                <c:manualLayout>
                  <c:x val="0.0040334849119080547"/>
                  <c:y val="0.010795334438011851"/>
                </c:manualLayout>
              </c:layout>
              <c:numFmt formatCode="#,##0" sourceLinked="0"/>
              <c:spPr>
                <a:noFill/>
                <a:ln>
                  <a:noFill/>
                </a:ln>
                <a:effectLst/>
              </c:spPr>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2388-464C-802D-B8FA990198AD}"/>
                </c:ext>
                <c:ext xmlns:c15="http://schemas.microsoft.com/office/drawing/2012/chart" uri="{CE6537A1-D6FC-4f65-9D91-7224C49458BB}"/>
              </c:extLst>
            </c:dLbl>
            <c:dLbl>
              <c:idx val="25"/>
              <c:layout>
                <c:manualLayout>
                  <c:x val="0"/>
                  <c:y val="0.0047350290403144375"/>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2388-464C-802D-B8FA990198AD}"/>
                </c:ext>
                <c:ext xmlns:c15="http://schemas.microsoft.com/office/drawing/2012/chart" uri="{CE6537A1-D6FC-4f65-9D91-7224C49458BB}"/>
              </c:extLst>
            </c:dLbl>
            <c:numFmt formatCode="#,##0" sourceLinked="0"/>
            <c:spPr>
              <a:noFill/>
              <a:ln>
                <a:noFill/>
              </a:ln>
              <a:effectLst/>
            </c:spPr>
            <c:txPr>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Sheet1!$A$4:$A$30</c:f>
              <c:strCache>
                <c:ptCount val="27"/>
                <c:pt idx="0">
                  <c:v>LU</c:v>
                </c:pt>
                <c:pt idx="1">
                  <c:v>BE</c:v>
                </c:pt>
                <c:pt idx="2">
                  <c:v>FR</c:v>
                </c:pt>
                <c:pt idx="3">
                  <c:v>FI</c:v>
                </c:pt>
                <c:pt idx="4">
                  <c:v>AT</c:v>
                </c:pt>
                <c:pt idx="5">
                  <c:v>SE</c:v>
                </c:pt>
                <c:pt idx="6">
                  <c:v>ES</c:v>
                </c:pt>
                <c:pt idx="7">
                  <c:v>IT</c:v>
                </c:pt>
                <c:pt idx="8">
                  <c:v>IE</c:v>
                </c:pt>
                <c:pt idx="9">
                  <c:v>DK</c:v>
                </c:pt>
                <c:pt idx="10">
                  <c:v>EU-28</c:v>
                </c:pt>
                <c:pt idx="11">
                  <c:v>DE</c:v>
                </c:pt>
                <c:pt idx="12">
                  <c:v>SI</c:v>
                </c:pt>
                <c:pt idx="13">
                  <c:v>MT</c:v>
                </c:pt>
                <c:pt idx="14">
                  <c:v>NL</c:v>
                </c:pt>
                <c:pt idx="15">
                  <c:v>PT</c:v>
                </c:pt>
                <c:pt idx="16">
                  <c:v>CY</c:v>
                </c:pt>
                <c:pt idx="17">
                  <c:v>LV</c:v>
                </c:pt>
                <c:pt idx="18">
                  <c:v>EL</c:v>
                </c:pt>
                <c:pt idx="19">
                  <c:v>EE</c:v>
                </c:pt>
                <c:pt idx="20">
                  <c:v>LT</c:v>
                </c:pt>
                <c:pt idx="21">
                  <c:v>CZ</c:v>
                </c:pt>
                <c:pt idx="22">
                  <c:v>HU</c:v>
                </c:pt>
                <c:pt idx="23">
                  <c:v>SK</c:v>
                </c:pt>
                <c:pt idx="24">
                  <c:v>PL</c:v>
                </c:pt>
                <c:pt idx="25">
                  <c:v>RO</c:v>
                </c:pt>
                <c:pt idx="26">
                  <c:v>BG</c:v>
                </c:pt>
              </c:strCache>
            </c:strRef>
          </c:cat>
          <c:val>
            <c:numRef>
              <c:f>Sheet1!$B$4:$B$30</c:f>
              <c:numCache>
                <c:formatCode>0.0</c:formatCode>
                <c:ptCount val="27"/>
                <c:pt idx="0">
                  <c:v>37.1231363887355</c:v>
                </c:pt>
                <c:pt idx="1">
                  <c:v>34.527777777777779</c:v>
                </c:pt>
                <c:pt idx="2">
                  <c:v>33.534906588003935</c:v>
                </c:pt>
                <c:pt idx="3">
                  <c:v>32.317241379310346</c:v>
                </c:pt>
                <c:pt idx="4">
                  <c:v>30.575009948269</c:v>
                </c:pt>
                <c:pt idx="5">
                  <c:v>29.028089887640448</c:v>
                </c:pt>
                <c:pt idx="6">
                  <c:v>28.241206030150757</c:v>
                </c:pt>
                <c:pt idx="7">
                  <c:v>25.913471651209484</c:v>
                </c:pt>
                <c:pt idx="8">
                  <c:v>24.053862508858966</c:v>
                </c:pt>
                <c:pt idx="9">
                  <c:v>23.508064516129032</c:v>
                </c:pt>
                <c:pt idx="10">
                  <c:v>22.298512216621745</c:v>
                </c:pt>
                <c:pt idx="11">
                  <c:v>19.618147448015122</c:v>
                </c:pt>
                <c:pt idx="12">
                  <c:v>18.5802894555479</c:v>
                </c:pt>
                <c:pt idx="13">
                  <c:v>18.299912816041846</c:v>
                </c:pt>
                <c:pt idx="14">
                  <c:v>17.933908045977013</c:v>
                </c:pt>
                <c:pt idx="15">
                  <c:v>16.429120245870148</c:v>
                </c:pt>
                <c:pt idx="16">
                  <c:v>14.392830093410756</c:v>
                </c:pt>
                <c:pt idx="17">
                  <c:v>11.661585365853659</c:v>
                </c:pt>
                <c:pt idx="18">
                  <c:v>11.3509181664148</c:v>
                </c:pt>
                <c:pt idx="19">
                  <c:v>11.208</c:v>
                </c:pt>
                <c:pt idx="20">
                  <c:v>11.203143893591296</c:v>
                </c:pt>
                <c:pt idx="21">
                  <c:v>9.6415886341620922</c:v>
                </c:pt>
                <c:pt idx="22">
                  <c:v>8.1808057648214856</c:v>
                </c:pt>
                <c:pt idx="23">
                  <c:v>7.5685255198487713</c:v>
                </c:pt>
                <c:pt idx="24">
                  <c:v>6.1151882578174863</c:v>
                </c:pt>
                <c:pt idx="25">
                  <c:v>5.5434188967777169</c:v>
                </c:pt>
                <c:pt idx="26">
                  <c:v>5.4789469803111857</c:v>
                </c:pt>
              </c:numCache>
            </c:numRef>
          </c:val>
          <c:extLst>
            <c:ext xmlns:c="http://schemas.openxmlformats.org/drawingml/2006/chart" xmlns:c16="http://schemas.microsoft.com/office/drawing/2014/chart" uri="{C3380CC4-5D6E-409C-BE32-E72D297353CC}">
              <c16:uniqueId val="{0000000C-2388-464C-802D-B8FA990198AD}"/>
            </c:ext>
          </c:extLst>
        </c:ser>
        <c:dLbls>
          <c:showLegendKey val="0"/>
          <c:showVal val="0"/>
          <c:showCatName val="0"/>
          <c:showSerName val="0"/>
          <c:showPercent val="0"/>
          <c:showBubbleSize val="0"/>
        </c:dLbls>
        <c:gapWidth val="20"/>
        <c:axId val="656451520"/>
        <c:axId val="656456224"/>
      </c:barChart>
      <c:catAx>
        <c:axId val="656451520"/>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56456224"/>
        <c:crosses val="autoZero"/>
        <c:auto val="1"/>
        <c:lblAlgn val="ctr"/>
        <c:lblOffset val="100"/>
        <c:tickLblSkip val="1"/>
        <c:noMultiLvlLbl val="0"/>
      </c:catAx>
      <c:valAx>
        <c:axId val="656456224"/>
        <c:scaling>
          <c:orientation val="minMax"/>
        </c:scaling>
        <c:delete val="0"/>
        <c:axPos val="l"/>
        <c:numFmt formatCode="0" sourceLinked="0"/>
        <c:majorTickMark val="out"/>
        <c:minorTickMark val="none"/>
        <c:tickLblPos val="nextTo"/>
        <c:txPr>
          <a:bodyPr/>
          <a:lstStyle/>
          <a:p>
            <a:pPr>
              <a:defRPr sz="600"/>
            </a:pPr>
            <a:endParaRPr lang="lv-LV"/>
          </a:p>
        </c:txPr>
        <c:crossAx val="656451520"/>
        <c:crosses val="autoZero"/>
        <c:crossBetween val="between"/>
      </c:valAx>
    </c:plotArea>
    <c:plotVisOnly val="1"/>
    <c:dispBlanksAs val="gap"/>
    <c:showDLblsOverMax val="0"/>
  </c:chart>
  <c:spPr>
    <a:ln w="9525">
      <a:noFill/>
    </a:ln>
  </c:spPr>
  <c:externalData r:id="rId1">
    <c:autoUpdate val="0"/>
  </c:externalData>
</c:chartSpace>
</file>

<file path=word/charts/chart3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5797646717244654"/>
          <c:y val="0.044057617797775277"/>
          <c:w val="0.9310540474739486"/>
          <c:h val="0.77670230245609539"/>
        </c:manualLayout>
      </c:layout>
      <c:barChart>
        <c:barDir val="col"/>
        <c:grouping val="clustered"/>
        <c:varyColors val="0"/>
        <c:ser>
          <c:idx val="1"/>
          <c:order val="0"/>
          <c:tx>
            <c:strRef>
              <c:f>Sheet1!$B$3</c:f>
              <c:strCache>
                <c:ptCount val="1"/>
                <c:pt idx="0">
                  <c:v>Resource productivity</c:v>
                </c:pt>
              </c:strCache>
            </c:strRef>
          </c:tx>
          <c:spPr>
            <a:solidFill>
              <a:schemeClr val="accent3">
                <a:lumMod val="50000"/>
              </a:schemeClr>
            </a:solidFill>
            <a:ln w="19050"/>
          </c:spPr>
          <c:invertIfNegative val="0"/>
          <c:dPt>
            <c:idx val="9"/>
            <c:invertIfNegative val="0"/>
            <c:bubble3D val="0"/>
            <c:spPr>
              <a:solidFill>
                <a:srgbClr val="9BBB59">
                  <a:lumMod val="50000"/>
                </a:srgbClr>
              </a:solidFill>
              <a:ln w="19050"/>
            </c:spPr>
            <c:extLst>
              <c:ext xmlns:c="http://schemas.openxmlformats.org/drawingml/2006/chart" xmlns:c16="http://schemas.microsoft.com/office/drawing/2014/chart" uri="{C3380CC4-5D6E-409C-BE32-E72D297353CC}">
                <c16:uniqueId val="{00000001-AC68-4471-9800-E7CF5E39391C}"/>
              </c:ext>
            </c:extLst>
          </c:dPt>
          <c:dPt>
            <c:idx val="16"/>
            <c:invertIfNegative val="0"/>
            <c:bubble3D val="0"/>
            <c:extLst>
              <c:ext xmlns:c="http://schemas.openxmlformats.org/drawingml/2006/chart" xmlns:c16="http://schemas.microsoft.com/office/drawing/2014/chart" uri="{C3380CC4-5D6E-409C-BE32-E72D297353CC}">
                <c16:uniqueId val="{00000002-AC68-4471-9800-E7CF5E39391C}"/>
              </c:ext>
            </c:extLst>
          </c:dPt>
          <c:dPt>
            <c:idx val="17"/>
            <c:invertIfNegative val="0"/>
            <c:bubble3D val="0"/>
            <c:extLst>
              <c:ext xmlns:c="http://schemas.openxmlformats.org/drawingml/2006/chart" xmlns:c16="http://schemas.microsoft.com/office/drawing/2014/chart" uri="{C3380CC4-5D6E-409C-BE32-E72D297353CC}">
                <c16:uniqueId val="{00000003-AC68-4471-9800-E7CF5E39391C}"/>
              </c:ext>
            </c:extLst>
          </c:dPt>
          <c:dPt>
            <c:idx val="19"/>
            <c:invertIfNegative val="0"/>
            <c:bubble3D val="0"/>
            <c:spPr>
              <a:ln w="19050"/>
            </c:spPr>
            <c:extLst>
              <c:ext xmlns:c="http://schemas.openxmlformats.org/drawingml/2006/chart" xmlns:c16="http://schemas.microsoft.com/office/drawing/2014/chart" uri="{C3380CC4-5D6E-409C-BE32-E72D297353CC}">
                <c16:uniqueId val="{00000005-AC68-4471-9800-E7CF5E39391C}"/>
              </c:ext>
            </c:extLst>
          </c:dPt>
          <c:dPt>
            <c:idx val="20"/>
            <c:invertIfNegative val="0"/>
            <c:bubble3D val="0"/>
            <c:spPr>
              <a:solidFill>
                <a:srgbClr val="9BBB59">
                  <a:lumMod val="50000"/>
                </a:srgbClr>
              </a:solidFill>
              <a:ln w="19050"/>
            </c:spPr>
            <c:extLst>
              <c:ext xmlns:c="http://schemas.openxmlformats.org/drawingml/2006/chart" xmlns:c16="http://schemas.microsoft.com/office/drawing/2014/chart" uri="{C3380CC4-5D6E-409C-BE32-E72D297353CC}">
                <c16:uniqueId val="{00000007-AC68-4471-9800-E7CF5E39391C}"/>
              </c:ext>
            </c:extLst>
          </c:dPt>
          <c:dPt>
            <c:idx val="22"/>
            <c:invertIfNegative val="0"/>
            <c:bubble3D val="0"/>
            <c:spPr>
              <a:solidFill>
                <a:srgbClr val="9BBB59">
                  <a:lumMod val="50000"/>
                </a:srgbClr>
              </a:solidFill>
              <a:ln w="19050"/>
            </c:spPr>
            <c:extLst>
              <c:ext xmlns:c="http://schemas.openxmlformats.org/drawingml/2006/chart" xmlns:c16="http://schemas.microsoft.com/office/drawing/2014/chart" uri="{C3380CC4-5D6E-409C-BE32-E72D297353CC}">
                <c16:uniqueId val="{00000009-AC68-4471-9800-E7CF5E39391C}"/>
              </c:ext>
            </c:extLst>
          </c:dPt>
          <c:dPt>
            <c:idx val="23"/>
            <c:invertIfNegative val="0"/>
            <c:bubble3D val="0"/>
            <c:extLst>
              <c:ext xmlns:c="http://schemas.openxmlformats.org/drawingml/2006/chart" xmlns:c16="http://schemas.microsoft.com/office/drawing/2014/chart" uri="{C3380CC4-5D6E-409C-BE32-E72D297353CC}">
                <c16:uniqueId val="{0000000A-AC68-4471-9800-E7CF5E39391C}"/>
              </c:ext>
            </c:extLst>
          </c:dPt>
          <c:dPt>
            <c:idx val="24"/>
            <c:invertIfNegative val="0"/>
            <c:bubble3D val="0"/>
            <c:extLst>
              <c:ext xmlns:c="http://schemas.openxmlformats.org/drawingml/2006/chart" xmlns:c16="http://schemas.microsoft.com/office/drawing/2014/chart" uri="{C3380CC4-5D6E-409C-BE32-E72D297353CC}">
                <c16:uniqueId val="{0000000B-AC68-4471-9800-E7CF5E39391C}"/>
              </c:ext>
            </c:extLst>
          </c:dPt>
          <c:dPt>
            <c:idx val="25"/>
            <c:invertIfNegative val="0"/>
            <c:bubble3D val="0"/>
            <c:extLst>
              <c:ext xmlns:c="http://schemas.openxmlformats.org/drawingml/2006/chart" xmlns:c16="http://schemas.microsoft.com/office/drawing/2014/chart" uri="{C3380CC4-5D6E-409C-BE32-E72D297353CC}">
                <c16:uniqueId val="{0000000C-AC68-4471-9800-E7CF5E39391C}"/>
              </c:ext>
            </c:extLst>
          </c:dPt>
          <c:dPt>
            <c:idx val="26"/>
            <c:invertIfNegative val="0"/>
            <c:bubble3D val="0"/>
            <c:extLst>
              <c:ext xmlns:c="http://schemas.openxmlformats.org/drawingml/2006/chart" xmlns:c16="http://schemas.microsoft.com/office/drawing/2014/chart" uri="{C3380CC4-5D6E-409C-BE32-E72D297353CC}">
                <c16:uniqueId val="{0000000D-AC68-4471-9800-E7CF5E39391C}"/>
              </c:ext>
            </c:extLst>
          </c:dPt>
          <c:dLbls>
            <c:dLbl>
              <c:idx val="19"/>
              <c:layout>
                <c:manualLayout/>
              </c:layout>
              <c:numFmt formatCode="#,##0" sourceLinked="0"/>
              <c:spPr>
                <a:noFill/>
                <a:ln>
                  <a:noFill/>
                </a:ln>
                <a:effectLst/>
              </c:spPr>
              <c:txPr>
                <a:bodyPr/>
                <a:lstStyle/>
                <a:p>
                  <a:pPr>
                    <a:defRPr sz="600" b="1"/>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AC68-4471-9800-E7CF5E39391C}"/>
                </c:ext>
                <c:ext xmlns:c15="http://schemas.microsoft.com/office/drawing/2012/chart" uri="{CE6537A1-D6FC-4f65-9D91-7224C49458BB}"/>
              </c:extLst>
            </c:dLbl>
            <c:dLbl>
              <c:idx val="20"/>
              <c:layout>
                <c:manualLayout>
                  <c:x val="0"/>
                  <c:y val="-4.9683256226419487E-17"/>
                </c:manualLayout>
              </c:layout>
              <c:numFmt formatCode="#,##0" sourceLinked="0"/>
              <c:spPr>
                <a:noFill/>
                <a:ln>
                  <a:noFill/>
                </a:ln>
                <a:effectLst/>
              </c:spPr>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AC68-4471-9800-E7CF5E39391C}"/>
                </c:ext>
                <c:ext xmlns:c15="http://schemas.microsoft.com/office/drawing/2012/chart" uri="{CE6537A1-D6FC-4f65-9D91-7224C49458BB}"/>
              </c:extLst>
            </c:dLbl>
            <c:dLbl>
              <c:idx val="22"/>
              <c:layout>
                <c:manualLayout>
                  <c:x val="-1.4769886443141018E-16"/>
                  <c:y val="2.987431449122609E-05"/>
                </c:manualLayout>
              </c:layout>
              <c:numFmt formatCode="#,##0" sourceLinked="0"/>
              <c:spPr>
                <a:noFill/>
                <a:ln>
                  <a:noFill/>
                </a:ln>
                <a:effectLst/>
              </c:spPr>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AC68-4471-9800-E7CF5E39391C}"/>
                </c:ext>
                <c:ext xmlns:c15="http://schemas.microsoft.com/office/drawing/2012/chart" uri="{CE6537A1-D6FC-4f65-9D91-7224C49458BB}"/>
              </c:extLst>
            </c:dLbl>
            <c:dLbl>
              <c:idx val="23"/>
              <c:layout>
                <c:manualLayout>
                  <c:x val="-5.399154746444577E-06"/>
                  <c:y val="0.010809824819807841"/>
                </c:manualLayout>
              </c:layout>
              <c:numFmt formatCode="#,##0" sourceLinked="0"/>
              <c:spPr>
                <a:noFill/>
                <a:ln>
                  <a:noFill/>
                </a:ln>
                <a:effectLst/>
              </c:spPr>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AC68-4471-9800-E7CF5E39391C}"/>
                </c:ext>
                <c:ext xmlns:c15="http://schemas.microsoft.com/office/drawing/2012/chart" uri="{CE6537A1-D6FC-4f65-9D91-7224C49458BB}"/>
              </c:extLst>
            </c:dLbl>
            <c:dLbl>
              <c:idx val="24"/>
              <c:layout>
                <c:manualLayout>
                  <c:x val="0.0040334861929321253"/>
                  <c:y val="0.010825167577003594"/>
                </c:manualLayout>
              </c:layout>
              <c:numFmt formatCode="#,##0" sourceLinked="0"/>
              <c:spPr>
                <a:noFill/>
                <a:ln>
                  <a:noFill/>
                </a:ln>
                <a:effectLst/>
              </c:spPr>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AC68-4471-9800-E7CF5E39391C}"/>
                </c:ext>
                <c:ext xmlns:c15="http://schemas.microsoft.com/office/drawing/2012/chart" uri="{CE6537A1-D6FC-4f65-9D91-7224C49458BB}"/>
              </c:extLst>
            </c:dLbl>
            <c:dLbl>
              <c:idx val="25"/>
              <c:layout>
                <c:manualLayout>
                  <c:x val="0"/>
                  <c:y val="0.0045439455203234733"/>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AC68-4471-9800-E7CF5E39391C}"/>
                </c:ext>
                <c:ext xmlns:c15="http://schemas.microsoft.com/office/drawing/2012/chart" uri="{CE6537A1-D6FC-4f65-9D91-7224C49458BB}"/>
              </c:extLst>
            </c:dLbl>
            <c:dLbl>
              <c:idx val="26"/>
              <c:layout>
                <c:manualLayout>
                  <c:x val="0"/>
                  <c:y val="-0.010781696431615627"/>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AC68-4471-9800-E7CF5E39391C}"/>
                </c:ext>
                <c:ext xmlns:c15="http://schemas.microsoft.com/office/drawing/2012/chart" uri="{CE6537A1-D6FC-4f65-9D91-7224C49458BB}"/>
              </c:extLst>
            </c:dLbl>
            <c:numFmt formatCode="#,##0" sourceLinked="0"/>
            <c:spPr>
              <a:noFill/>
              <a:ln>
                <a:noFill/>
              </a:ln>
              <a:effectLst/>
            </c:spPr>
            <c:txPr>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Sheet1!$A$4:$A$28</c:f>
              <c:strCache>
                <c:ptCount val="25"/>
                <c:pt idx="0">
                  <c:v>AT</c:v>
                </c:pt>
                <c:pt idx="1">
                  <c:v>FR</c:v>
                </c:pt>
                <c:pt idx="2">
                  <c:v>ES</c:v>
                </c:pt>
                <c:pt idx="3">
                  <c:v>BE</c:v>
                </c:pt>
                <c:pt idx="4">
                  <c:v>IT</c:v>
                </c:pt>
                <c:pt idx="5">
                  <c:v>LU</c:v>
                </c:pt>
                <c:pt idx="6">
                  <c:v>SE</c:v>
                </c:pt>
                <c:pt idx="7">
                  <c:v>EL</c:v>
                </c:pt>
                <c:pt idx="8">
                  <c:v>FI</c:v>
                </c:pt>
                <c:pt idx="9">
                  <c:v>PT</c:v>
                </c:pt>
                <c:pt idx="10">
                  <c:v>DK</c:v>
                </c:pt>
                <c:pt idx="11">
                  <c:v>NL</c:v>
                </c:pt>
                <c:pt idx="12">
                  <c:v>CY</c:v>
                </c:pt>
                <c:pt idx="13">
                  <c:v>IE</c:v>
                </c:pt>
                <c:pt idx="14">
                  <c:v>DE</c:v>
                </c:pt>
                <c:pt idx="15">
                  <c:v>SI</c:v>
                </c:pt>
                <c:pt idx="16">
                  <c:v>RO</c:v>
                </c:pt>
                <c:pt idx="17">
                  <c:v>CZ</c:v>
                </c:pt>
                <c:pt idx="18">
                  <c:v>LT</c:v>
                </c:pt>
                <c:pt idx="19">
                  <c:v>LV</c:v>
                </c:pt>
                <c:pt idx="20">
                  <c:v>HU</c:v>
                </c:pt>
                <c:pt idx="21">
                  <c:v>PL</c:v>
                </c:pt>
                <c:pt idx="22">
                  <c:v>SK</c:v>
                </c:pt>
                <c:pt idx="23">
                  <c:v>EE</c:v>
                </c:pt>
                <c:pt idx="24">
                  <c:v>BG</c:v>
                </c:pt>
              </c:strCache>
            </c:strRef>
          </c:cat>
          <c:val>
            <c:numRef>
              <c:f>Sheet1!$B$4:$B$28</c:f>
              <c:numCache>
                <c:formatCode>0.0</c:formatCode>
                <c:ptCount val="25"/>
                <c:pt idx="0">
                  <c:v>45.810022137250954</c:v>
                </c:pt>
                <c:pt idx="1">
                  <c:v>43.715719063545151</c:v>
                </c:pt>
                <c:pt idx="2">
                  <c:v>43.028299391695313</c:v>
                </c:pt>
                <c:pt idx="3">
                  <c:v>37.003908794788273</c:v>
                </c:pt>
                <c:pt idx="4">
                  <c:v>35.158204027731927</c:v>
                </c:pt>
                <c:pt idx="5">
                  <c:v>33.981716607414931</c:v>
                </c:pt>
                <c:pt idx="6">
                  <c:v>32.448663101604275</c:v>
                </c:pt>
                <c:pt idx="7">
                  <c:v>31.519614949694105</c:v>
                </c:pt>
                <c:pt idx="8">
                  <c:v>28.957845433255269</c:v>
                </c:pt>
                <c:pt idx="9">
                  <c:v>27.697020143166302</c:v>
                </c:pt>
                <c:pt idx="10">
                  <c:v>24.96030534351145</c:v>
                </c:pt>
                <c:pt idx="11">
                  <c:v>24.950617283950617</c:v>
                </c:pt>
                <c:pt idx="12">
                  <c:v>24.058851004203643</c:v>
                </c:pt>
                <c:pt idx="13">
                  <c:v>23.776670574443145</c:v>
                </c:pt>
                <c:pt idx="14">
                  <c:v>20.154978586723768</c:v>
                </c:pt>
                <c:pt idx="15">
                  <c:v>20.018661690215943</c:v>
                </c:pt>
                <c:pt idx="16">
                  <c:v>19.396114409066378</c:v>
                </c:pt>
                <c:pt idx="17">
                  <c:v>14.989917322040734</c:v>
                </c:pt>
                <c:pt idx="18">
                  <c:v>13.145526613816536</c:v>
                </c:pt>
                <c:pt idx="19">
                  <c:v>13.117647058823531</c:v>
                </c:pt>
                <c:pt idx="20">
                  <c:v>11.279902853673345</c:v>
                </c:pt>
                <c:pt idx="21">
                  <c:v>11.207007221182135</c:v>
                </c:pt>
                <c:pt idx="22">
                  <c:v>10.200231847402256</c:v>
                </c:pt>
                <c:pt idx="23">
                  <c:v>8.8390804597701145</c:v>
                </c:pt>
                <c:pt idx="24">
                  <c:v>8.4767036450079249</c:v>
                </c:pt>
              </c:numCache>
            </c:numRef>
          </c:val>
          <c:extLst>
            <c:ext xmlns:c="http://schemas.openxmlformats.org/drawingml/2006/chart" xmlns:c16="http://schemas.microsoft.com/office/drawing/2014/chart" uri="{C3380CC4-5D6E-409C-BE32-E72D297353CC}">
              <c16:uniqueId val="{0000000E-AC68-4471-9800-E7CF5E39391C}"/>
            </c:ext>
          </c:extLst>
        </c:ser>
        <c:dLbls>
          <c:showLegendKey val="0"/>
          <c:showVal val="0"/>
          <c:showCatName val="0"/>
          <c:showSerName val="0"/>
          <c:showPercent val="0"/>
          <c:showBubbleSize val="0"/>
        </c:dLbls>
        <c:gapWidth val="20"/>
        <c:axId val="656453872"/>
        <c:axId val="656459752"/>
      </c:barChart>
      <c:catAx>
        <c:axId val="656453872"/>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56459752"/>
        <c:crosses val="autoZero"/>
        <c:auto val="1"/>
        <c:lblAlgn val="ctr"/>
        <c:lblOffset val="100"/>
        <c:tickLblSkip val="1"/>
        <c:noMultiLvlLbl val="0"/>
      </c:catAx>
      <c:valAx>
        <c:axId val="656459752"/>
        <c:scaling>
          <c:orientation val="minMax"/>
        </c:scaling>
        <c:delete val="0"/>
        <c:axPos val="l"/>
        <c:numFmt formatCode="0" sourceLinked="0"/>
        <c:majorTickMark val="out"/>
        <c:minorTickMark val="none"/>
        <c:tickLblPos val="nextTo"/>
        <c:txPr>
          <a:bodyPr/>
          <a:lstStyle/>
          <a:p>
            <a:pPr>
              <a:defRPr sz="600"/>
            </a:pPr>
            <a:endParaRPr lang="lv-LV"/>
          </a:p>
        </c:txPr>
        <c:crossAx val="656453872"/>
        <c:crosses val="autoZero"/>
        <c:crossBetween val="between"/>
      </c:valAx>
    </c:plotArea>
    <c:plotVisOnly val="1"/>
    <c:dispBlanksAs val="gap"/>
    <c:showDLblsOverMax val="0"/>
  </c:chart>
  <c:spPr>
    <a:ln w="9525">
      <a:noFill/>
    </a:ln>
  </c:spPr>
  <c:externalData r:id="rId1">
    <c:autoUpdate val="0"/>
  </c:externalData>
</c:chartSpace>
</file>

<file path=word/charts/chart32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0667416572928377"/>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1CC6-4BF5-A144-220CDD43B606}"/>
              </c:ext>
            </c:extLst>
          </c:dPt>
          <c:dPt>
            <c:idx val="5"/>
            <c:bubble3D val="0"/>
            <c:extLst>
              <c:ext xmlns:c="http://schemas.openxmlformats.org/drawingml/2006/chart" xmlns:c16="http://schemas.microsoft.com/office/drawing/2014/chart" uri="{C3380CC4-5D6E-409C-BE32-E72D297353CC}">
                <c16:uniqueId val="{00000001-1CC6-4BF5-A144-220CDD43B606}"/>
              </c:ext>
            </c:extLst>
          </c:dPt>
          <c:dPt>
            <c:idx val="11"/>
            <c:bubble3D val="0"/>
            <c:extLst>
              <c:ext xmlns:c="http://schemas.openxmlformats.org/drawingml/2006/chart" xmlns:c16="http://schemas.microsoft.com/office/drawing/2014/chart" uri="{C3380CC4-5D6E-409C-BE32-E72D297353CC}">
                <c16:uniqueId val="{00000002-1CC6-4BF5-A144-220CDD43B606}"/>
              </c:ext>
            </c:extLst>
          </c:dPt>
          <c:dPt>
            <c:idx val="12"/>
            <c:bubble3D val="0"/>
            <c:extLst>
              <c:ext xmlns:c="http://schemas.openxmlformats.org/drawingml/2006/chart" xmlns:c16="http://schemas.microsoft.com/office/drawing/2014/chart" uri="{C3380CC4-5D6E-409C-BE32-E72D297353CC}">
                <c16:uniqueId val="{00000003-1CC6-4BF5-A144-220CDD43B606}"/>
              </c:ext>
            </c:extLst>
          </c:dPt>
          <c:dPt>
            <c:idx val="13"/>
            <c:bubble3D val="0"/>
            <c:extLst>
              <c:ext xmlns:c="http://schemas.openxmlformats.org/drawingml/2006/chart" xmlns:c16="http://schemas.microsoft.com/office/drawing/2014/chart" uri="{C3380CC4-5D6E-409C-BE32-E72D297353CC}">
                <c16:uniqueId val="{00000004-1CC6-4BF5-A144-220CDD43B606}"/>
              </c:ext>
            </c:extLst>
          </c:dPt>
          <c:dPt>
            <c:idx val="14"/>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5-1CC6-4BF5-A144-220CDD43B606}"/>
              </c:ext>
            </c:extLst>
          </c:dPt>
          <c:dLbls>
            <c:dLbl>
              <c:idx val="0"/>
              <c:layout>
                <c:manualLayout>
                  <c:x val="-0.045593108278965767"/>
                  <c:y val="-0.056784297301238879"/>
                </c:manualLayout>
              </c:layout>
              <c:tx>
                <c:rich>
                  <a:bodyPr vertOverflow="clip"/>
                  <a:lstStyle/>
                  <a:p>
                    <a:r>
                      <a:rPr lang="en-US"/>
                      <a:t>EU-28</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1CC6-4BF5-A144-220CDD43B606}"/>
                </c:ext>
                <c:ext xmlns:c15="http://schemas.microsoft.com/office/drawing/2012/chart" uri="{CE6537A1-D6FC-4f65-9D91-7224C49458BB}"/>
              </c:extLst>
            </c:dLbl>
            <c:dLbl>
              <c:idx val="1"/>
              <c:layout>
                <c:manualLayout>
                  <c:x val="-0.029044935228838237"/>
                  <c:y val="-0.047747542246437236"/>
                </c:manualLayout>
              </c:layout>
              <c:tx>
                <c:rich>
                  <a:bodyPr vertOverflow="clip"/>
                  <a:lstStyle/>
                  <a:p>
                    <a:r>
                      <a:rPr lang="en-US"/>
                      <a:t>BE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1CC6-4BF5-A144-220CDD43B606}"/>
                </c:ext>
                <c:ext xmlns:c15="http://schemas.microsoft.com/office/drawing/2012/chart" uri="{CE6537A1-D6FC-4f65-9D91-7224C49458BB}"/>
              </c:extLst>
            </c:dLbl>
            <c:dLbl>
              <c:idx val="2"/>
              <c:layout>
                <c:manualLayout>
                  <c:x val="-0.049905837116385715"/>
                  <c:y val="-0.066487422359667786"/>
                </c:manualLayout>
              </c:layout>
              <c:tx>
                <c:rich>
                  <a:bodyPr vertOverflow="clip"/>
                  <a:lstStyle/>
                  <a:p>
                    <a:r>
                      <a:rPr lang="en-US"/>
                      <a:t>BG</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1CC6-4BF5-A144-220CDD43B606}"/>
                </c:ext>
                <c:ext xmlns:c15="http://schemas.microsoft.com/office/drawing/2012/chart" uri="{CE6537A1-D6FC-4f65-9D91-7224C49458BB}"/>
              </c:extLst>
            </c:dLbl>
            <c:dLbl>
              <c:idx val="3"/>
              <c:layout>
                <c:manualLayout>
                  <c:x val="-0.029091107952154579"/>
                  <c:y val="-0.047440159450151259"/>
                </c:manualLayout>
              </c:layout>
              <c:tx>
                <c:rich>
                  <a:bodyPr vertOverflow="clip"/>
                  <a:lstStyle/>
                  <a:p>
                    <a:r>
                      <a:rPr lang="en-US"/>
                      <a:t>CZ</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1CC6-4BF5-A144-220CDD43B606}"/>
                </c:ext>
                <c:ext xmlns:c15="http://schemas.microsoft.com/office/drawing/2012/chart" uri="{CE6537A1-D6FC-4f65-9D91-7224C49458BB}"/>
              </c:extLst>
            </c:dLbl>
            <c:dLbl>
              <c:idx val="4"/>
              <c:layout>
                <c:manualLayout>
                  <c:x val="-0.02910158686808453"/>
                  <c:y val="-0.056963790904909523"/>
                </c:manualLayout>
              </c:layout>
              <c:tx>
                <c:rich>
                  <a:bodyPr vertOverflow="clip"/>
                  <a:lstStyle/>
                  <a:p>
                    <a:r>
                      <a:rPr lang="en-US"/>
                      <a:t>DK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1CC6-4BF5-A144-220CDD43B606}"/>
                </c:ext>
                <c:ext xmlns:c15="http://schemas.microsoft.com/office/drawing/2012/chart" uri="{CE6537A1-D6FC-4f65-9D91-7224C49458BB}"/>
              </c:extLst>
            </c:dLbl>
            <c:dLbl>
              <c:idx val="5"/>
              <c:layout>
                <c:manualLayout>
                  <c:x val="-0.020743669015581164"/>
                  <c:y val="0.019199084582621279"/>
                </c:manualLayout>
              </c:layout>
              <c:tx>
                <c:rich>
                  <a:bodyPr vertOverflow="clip"/>
                  <a:lstStyle/>
                  <a:p>
                    <a:r>
                      <a:rPr lang="en-US"/>
                      <a:t>DE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1CC6-4BF5-A144-220CDD43B606}"/>
                </c:ext>
                <c:ext xmlns:c15="http://schemas.microsoft.com/office/drawing/2012/chart" uri="{CE6537A1-D6FC-4f65-9D91-7224C49458BB}"/>
              </c:extLst>
            </c:dLbl>
            <c:dLbl>
              <c:idx val="6"/>
              <c:layout>
                <c:manualLayout>
                  <c:x val="-0.020753165533142683"/>
                  <c:y val="-0.028648674925865397"/>
                </c:manualLayout>
              </c:layout>
              <c:tx>
                <c:rich>
                  <a:bodyPr vertOverflow="clip"/>
                  <a:lstStyle/>
                  <a:p>
                    <a:r>
                      <a:rPr lang="en-US"/>
                      <a:t>EE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1CC6-4BF5-A144-220CDD43B606}"/>
                </c:ext>
                <c:ext xmlns:c15="http://schemas.microsoft.com/office/drawing/2012/chart" uri="{CE6537A1-D6FC-4f65-9D91-7224C49458BB}"/>
              </c:extLst>
            </c:dLbl>
            <c:dLbl>
              <c:idx val="7"/>
              <c:layout>
                <c:manualLayout>
                  <c:x val="-0.020794098798494049"/>
                  <c:y val="-0.037993560666968317"/>
                </c:manualLayout>
              </c:layout>
              <c:tx>
                <c:rich>
                  <a:bodyPr vertOverflow="clip"/>
                  <a:lstStyle/>
                  <a:p>
                    <a:r>
                      <a:rPr lang="en-US"/>
                      <a:t>IE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1CC6-4BF5-A144-220CDD43B606}"/>
                </c:ext>
                <c:ext xmlns:c15="http://schemas.microsoft.com/office/drawing/2012/chart" uri="{CE6537A1-D6FC-4f65-9D91-7224C49458BB}"/>
              </c:extLst>
            </c:dLbl>
            <c:dLbl>
              <c:idx val="8"/>
              <c:layout>
                <c:manualLayout>
                  <c:x val="-0.020737774625370568"/>
                  <c:y val="-0.047696685725397224"/>
                </c:manualLayout>
              </c:layout>
              <c:tx>
                <c:rich>
                  <a:bodyPr vertOverflow="clip"/>
                  <a:lstStyle/>
                  <a:p>
                    <a:r>
                      <a:rPr lang="en-US"/>
                      <a:t>EL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1CC6-4BF5-A144-220CDD43B606}"/>
                </c:ext>
                <c:ext xmlns:c15="http://schemas.microsoft.com/office/drawing/2012/chart" uri="{CE6537A1-D6FC-4f65-9D91-7224C49458BB}"/>
              </c:extLst>
            </c:dLbl>
            <c:dLbl>
              <c:idx val="9"/>
              <c:layout>
                <c:manualLayout>
                  <c:x val="-0.033249927711853311"/>
                  <c:y val="-0.065260882734585079"/>
                </c:manualLayout>
              </c:layout>
              <c:tx>
                <c:rich>
                  <a:bodyPr vertOverflow="clip"/>
                  <a:lstStyle/>
                  <a:p>
                    <a:r>
                      <a:rPr lang="en-US"/>
                      <a:t>ES</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1CC6-4BF5-A144-220CDD43B606}"/>
                </c:ext>
                <c:ext xmlns:c15="http://schemas.microsoft.com/office/drawing/2012/chart" uri="{CE6537A1-D6FC-4f65-9D91-7224C49458BB}"/>
              </c:extLst>
            </c:dLbl>
            <c:dLbl>
              <c:idx val="10"/>
              <c:layout>
                <c:manualLayout>
                  <c:x val="-0.024907073300999328"/>
                  <c:y val="-0.038223162901663679"/>
                </c:manualLayout>
              </c:layout>
              <c:tx>
                <c:rich>
                  <a:bodyPr vertOverflow="clip"/>
                  <a:lstStyle/>
                  <a:p>
                    <a:r>
                      <a:rPr lang="en-US"/>
                      <a:t>FR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E-1CC6-4BF5-A144-220CDD43B606}"/>
                </c:ext>
                <c:ext xmlns:c15="http://schemas.microsoft.com/office/drawing/2012/chart" uri="{CE6537A1-D6FC-4f65-9D91-7224C49458BB}"/>
              </c:extLst>
            </c:dLbl>
            <c:dLbl>
              <c:idx val="11"/>
              <c:layout>
                <c:manualLayout>
                  <c:x val="-0.049849840409385046"/>
                  <c:y val="-0.076165119157576691"/>
                </c:manualLayout>
              </c:layout>
              <c:tx>
                <c:rich>
                  <a:bodyPr vertOverflow="clip"/>
                  <a:lstStyle/>
                  <a:p>
                    <a:r>
                      <a:rPr lang="en-US"/>
                      <a:t>HR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1CC6-4BF5-A144-220CDD43B606}"/>
                </c:ext>
                <c:ext xmlns:c15="http://schemas.microsoft.com/office/drawing/2012/chart" uri="{CE6537A1-D6FC-4f65-9D91-7224C49458BB}"/>
              </c:extLst>
            </c:dLbl>
            <c:dLbl>
              <c:idx val="12"/>
              <c:layout>
                <c:manualLayout>
                  <c:x val="-0.02489659438506938"/>
                  <c:y val="-0.028699531446905374"/>
                </c:manualLayout>
              </c:layout>
              <c:tx>
                <c:rich>
                  <a:bodyPr vertOverflow="clip"/>
                  <a:lstStyle/>
                  <a:p>
                    <a:r>
                      <a:rPr lang="en-US"/>
                      <a:t>IT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1CC6-4BF5-A144-220CDD43B606}"/>
                </c:ext>
                <c:ext xmlns:c15="http://schemas.microsoft.com/office/drawing/2012/chart" uri="{CE6537A1-D6FC-4f65-9D91-7224C49458BB}"/>
              </c:extLst>
            </c:dLbl>
            <c:dLbl>
              <c:idx val="13"/>
              <c:layout>
                <c:manualLayout>
                  <c:x val="-0.024952918558192858"/>
                  <c:y val="-0.028494609582714766"/>
                </c:manualLayout>
              </c:layout>
              <c:tx>
                <c:rich>
                  <a:bodyPr vertOverflow="clip"/>
                  <a:lstStyle/>
                  <a:p>
                    <a:r>
                      <a:rPr lang="en-US"/>
                      <a:t>CY</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1CC6-4BF5-A144-220CDD43B606}"/>
                </c:ext>
                <c:ext xmlns:c15="http://schemas.microsoft.com/office/drawing/2012/chart" uri="{CE6537A1-D6FC-4f65-9D91-7224C49458BB}"/>
              </c:extLst>
            </c:dLbl>
            <c:dLbl>
              <c:idx val="14"/>
              <c:layout>
                <c:manualLayout>
                  <c:x val="-0.029004001963486872"/>
                  <c:y val="-0.028469181322194757"/>
                </c:manualLayout>
              </c:layout>
              <c:tx>
                <c:rich>
                  <a:bodyPr vertOverflow="clip"/>
                  <a:lstStyle/>
                  <a:p>
                    <a:r>
                      <a:rPr lang="en-US"/>
                      <a:t>LV</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1CC6-4BF5-A144-220CDD43B606}"/>
                </c:ext>
                <c:ext xmlns:c15="http://schemas.microsoft.com/office/drawing/2012/chart" uri="{CE6537A1-D6FC-4f65-9D91-7224C49458BB}"/>
              </c:extLst>
            </c:dLbl>
            <c:dLbl>
              <c:idx val="15"/>
              <c:layout>
                <c:manualLayout>
                  <c:x val="-0.078992033076698137"/>
                  <c:y val="-0.028341292129579424"/>
                </c:manualLayout>
              </c:layout>
              <c:tx>
                <c:rich>
                  <a:bodyPr vertOverflow="clip"/>
                  <a:lstStyle/>
                  <a:p>
                    <a:r>
                      <a:rPr lang="en-US"/>
                      <a:t>LT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F-1CC6-4BF5-A144-220CDD43B606}"/>
                </c:ext>
                <c:ext xmlns:c15="http://schemas.microsoft.com/office/drawing/2012/chart" uri="{CE6537A1-D6FC-4f65-9D91-7224C49458BB}"/>
              </c:extLst>
            </c:dLbl>
            <c:dLbl>
              <c:idx val="16"/>
              <c:layout>
                <c:manualLayout>
                  <c:x val="-0.033270558077590405"/>
                  <c:y val="-0.066487422359667786"/>
                </c:manualLayout>
              </c:layout>
              <c:tx>
                <c:rich>
                  <a:bodyPr vertOverflow="clip"/>
                  <a:lstStyle/>
                  <a:p>
                    <a:r>
                      <a:rPr lang="en-US"/>
                      <a:t>LU</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0-1CC6-4BF5-A144-220CDD43B606}"/>
                </c:ext>
                <c:ext xmlns:c15="http://schemas.microsoft.com/office/drawing/2012/chart" uri="{CE6537A1-D6FC-4f65-9D91-7224C49458BB}"/>
              </c:extLst>
            </c:dLbl>
            <c:dLbl>
              <c:idx val="17"/>
              <c:layout>
                <c:manualLayout>
                  <c:x val="-0.020696841360019202"/>
                  <c:y val="0.019175152102131839"/>
                </c:manualLayout>
              </c:layout>
              <c:tx>
                <c:rich>
                  <a:bodyPr vertOverflow="clip"/>
                  <a:lstStyle/>
                  <a:p>
                    <a:r>
                      <a:rPr lang="en-US"/>
                      <a:t>HU</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1-1CC6-4BF5-A144-220CDD43B606}"/>
                </c:ext>
                <c:ext xmlns:c15="http://schemas.microsoft.com/office/drawing/2012/chart" uri="{CE6537A1-D6FC-4f65-9D91-7224C49458BB}"/>
              </c:extLst>
            </c:dLbl>
            <c:dLbl>
              <c:idx val="18"/>
              <c:layout>
                <c:manualLayout>
                  <c:x val="-0.020732535167405516"/>
                  <c:y val="-0.038173054270638961"/>
                </c:manualLayout>
              </c:layout>
              <c:tx>
                <c:rich>
                  <a:bodyPr vertOverflow="clip"/>
                  <a:lstStyle/>
                  <a:p>
                    <a:r>
                      <a:rPr lang="en-US"/>
                      <a:t>NL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2-1CC6-4BF5-A144-220CDD43B606}"/>
                </c:ext>
                <c:ext xmlns:c15="http://schemas.microsoft.com/office/drawing/2012/chart" uri="{CE6537A1-D6FC-4f65-9D91-7224C49458BB}"/>
              </c:extLst>
            </c:dLbl>
            <c:dLbl>
              <c:idx val="19"/>
              <c:layout>
                <c:manualLayout>
                  <c:x val="-0.020686689910212063"/>
                  <c:y val="-0.028367468280114772"/>
                </c:manualLayout>
              </c:layout>
              <c:tx>
                <c:rich>
                  <a:bodyPr vertOverflow="clip"/>
                  <a:lstStyle/>
                  <a:p>
                    <a:r>
                      <a:rPr lang="en-US"/>
                      <a:t>AT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3-1CC6-4BF5-A144-220CDD43B606}"/>
                </c:ext>
                <c:ext xmlns:c15="http://schemas.microsoft.com/office/drawing/2012/chart" uri="{CE6537A1-D6FC-4f65-9D91-7224C49458BB}"/>
              </c:extLst>
            </c:dLbl>
            <c:dLbl>
              <c:idx val="20"/>
              <c:layout>
                <c:manualLayout>
                  <c:x val="-0.04569134811580905"/>
                  <c:y val="0.10427456538241486"/>
                </c:manualLayout>
              </c:layout>
              <c:tx>
                <c:rich>
                  <a:bodyPr vertOverflow="clip"/>
                  <a:lstStyle/>
                  <a:p>
                    <a:r>
                      <a:rPr lang="en-US"/>
                      <a:t>PL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4-1CC6-4BF5-A144-220CDD43B606}"/>
                </c:ext>
                <c:ext xmlns:c15="http://schemas.microsoft.com/office/drawing/2012/chart" uri="{CE6537A1-D6FC-4f65-9D91-7224C49458BB}"/>
              </c:extLst>
            </c:dLbl>
            <c:dLbl>
              <c:idx val="21"/>
              <c:layout>
                <c:manualLayout>
                  <c:x val="-0.020732862633528405"/>
                  <c:y val="-0.019149723841611808"/>
                </c:manualLayout>
              </c:layout>
              <c:tx>
                <c:rich>
                  <a:bodyPr vertOverflow="clip"/>
                  <a:lstStyle/>
                  <a:p>
                    <a:r>
                      <a:rPr lang="en-US"/>
                      <a:t>PT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5-1CC6-4BF5-A144-220CDD43B606}"/>
                </c:ext>
                <c:ext xmlns:c15="http://schemas.microsoft.com/office/drawing/2012/chart" uri="{CE6537A1-D6FC-4f65-9D91-7224C49458BB}"/>
              </c:extLst>
            </c:dLbl>
            <c:dLbl>
              <c:idx val="22"/>
              <c:layout>
                <c:manualLayout>
                  <c:x val="-0.0873201515120257"/>
                  <c:y val="0.056963790904909613"/>
                </c:manualLayout>
              </c:layout>
              <c:tx>
                <c:rich>
                  <a:bodyPr vertOverflow="clip"/>
                  <a:lstStyle/>
                  <a:p>
                    <a:r>
                      <a:rPr lang="en-US"/>
                      <a:t>RO</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6-1CC6-4BF5-A144-220CDD43B606}"/>
                </c:ext>
                <c:ext xmlns:c15="http://schemas.microsoft.com/office/drawing/2012/chart" uri="{CE6537A1-D6FC-4f65-9D91-7224C49458BB}"/>
              </c:extLst>
            </c:dLbl>
            <c:dLbl>
              <c:idx val="23"/>
              <c:layout>
                <c:manualLayout>
                  <c:x val="-0.024891354927104405"/>
                  <c:y val="-0.0286741031863854"/>
                </c:manualLayout>
              </c:layout>
              <c:tx>
                <c:rich>
                  <a:bodyPr vertOverflow="clip"/>
                  <a:lstStyle/>
                  <a:p>
                    <a:r>
                      <a:rPr lang="en-US"/>
                      <a:t>SI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7-1CC6-4BF5-A144-220CDD43B606}"/>
                </c:ext>
                <c:ext xmlns:c15="http://schemas.microsoft.com/office/drawing/2012/chart" uri="{CE6537A1-D6FC-4f65-9D91-7224C49458BB}"/>
              </c:extLst>
            </c:dLbl>
            <c:dLbl>
              <c:idx val="24"/>
              <c:layout>
                <c:manualLayout>
                  <c:x val="-0.045731626448914792"/>
                  <c:y val="-0.075857736361290659"/>
                </c:manualLayout>
              </c:layout>
              <c:tx>
                <c:rich>
                  <a:bodyPr vertOverflow="clip"/>
                  <a:lstStyle/>
                  <a:p>
                    <a:r>
                      <a:rPr lang="en-US"/>
                      <a:t>SK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8-1CC6-4BF5-A144-220CDD43B606}"/>
                </c:ext>
                <c:ext xmlns:c15="http://schemas.microsoft.com/office/drawing/2012/chart" uri="{CE6537A1-D6FC-4f65-9D91-7224C49458BB}"/>
              </c:extLst>
            </c:dLbl>
            <c:dLbl>
              <c:idx val="25"/>
              <c:layout>
                <c:manualLayout>
                  <c:x val="-0.024942767108385718"/>
                  <c:y val="-0.037890351844857693"/>
                </c:manualLayout>
              </c:layout>
              <c:tx>
                <c:rich>
                  <a:bodyPr vertOverflow="clip"/>
                  <a:lstStyle/>
                  <a:p>
                    <a:r>
                      <a:rPr lang="en-US"/>
                      <a:t>FI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9-1CC6-4BF5-A144-220CDD43B606}"/>
                </c:ext>
                <c:ext xmlns:c15="http://schemas.microsoft.com/office/drawing/2012/chart" uri="{CE6537A1-D6FC-4f65-9D91-7224C49458BB}"/>
              </c:extLst>
            </c:dLbl>
            <c:dLbl>
              <c:idx val="26"/>
              <c:layout>
                <c:manualLayout>
                  <c:x val="-0.012414895648007974"/>
                  <c:y val="0.0097031250584289075"/>
                </c:manualLayout>
              </c:layout>
              <c:tx>
                <c:rich>
                  <a:bodyPr vertOverflow="clip"/>
                  <a:lstStyle/>
                  <a:p>
                    <a:r>
                      <a:rPr lang="en-US"/>
                      <a:t>SE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A-1CC6-4BF5-A144-220CDD43B606}"/>
                </c:ext>
                <c:ext xmlns:c15="http://schemas.microsoft.com/office/drawing/2012/chart" uri="{CE6537A1-D6FC-4f65-9D91-7224C49458BB}"/>
              </c:extLst>
            </c:dLbl>
            <c:dLbl>
              <c:idx val="27"/>
              <c:layout>
                <c:manualLayout>
                  <c:x val="-0.024912312758964304"/>
                  <c:y val="-0.019202076142682479"/>
                </c:manualLayout>
              </c:layout>
              <c:tx>
                <c:rich>
                  <a:bodyPr vertOverflow="clip"/>
                  <a:lstStyle/>
                  <a:p>
                    <a:r>
                      <a:rPr lang="en-US"/>
                      <a:t>UK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B-1CC6-4BF5-A144-220CDD43B606}"/>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Sheet1!$B$3:$B$30</c:f>
              <c:numCache>
                <c:formatCode>0</c:formatCode>
                <c:ptCount val="28"/>
                <c:pt idx="0">
                  <c:v>30.067735042324806</c:v>
                </c:pt>
                <c:pt idx="1">
                  <c:v>38.969959946595459</c:v>
                </c:pt>
                <c:pt idx="2">
                  <c:v>4.84704707204395</c:v>
                </c:pt>
                <c:pt idx="3">
                  <c:v>13.918879344006246</c:v>
                </c:pt>
                <c:pt idx="4">
                  <c:v>27.906930693069306</c:v>
                </c:pt>
                <c:pt idx="5">
                  <c:v>19.804166666666667</c:v>
                </c:pt>
                <c:pt idx="6">
                  <c:v>10.41081081081081</c:v>
                </c:pt>
                <c:pt idx="7">
                  <c:v>26.06177302734989</c:v>
                </c:pt>
                <c:pt idx="8">
                  <c:v>31.924453409682453</c:v>
                </c:pt>
                <c:pt idx="9">
                  <c:v>47.091944789308407</c:v>
                </c:pt>
                <c:pt idx="10">
                  <c:v>44.594399277326104</c:v>
                </c:pt>
                <c:pt idx="11">
                  <c:v>16.408245349421819</c:v>
                </c:pt>
                <c:pt idx="12">
                  <c:v>39.73217444811938</c:v>
                </c:pt>
                <c:pt idx="13">
                  <c:v>23.1799591002045</c:v>
                </c:pt>
                <c:pt idx="14">
                  <c:v>11.181818181818182</c:v>
                </c:pt>
                <c:pt idx="15">
                  <c:v>10.677966101694915</c:v>
                </c:pt>
                <c:pt idx="16">
                  <c:v>40.12765957446809</c:v>
                </c:pt>
                <c:pt idx="17">
                  <c:v>10.563271604938272</c:v>
                </c:pt>
                <c:pt idx="18">
                  <c:v>25.708454810495628</c:v>
                </c:pt>
                <c:pt idx="19">
                  <c:v>47.148761869298077</c:v>
                </c:pt>
                <c:pt idx="20">
                  <c:v>10.6435790725327</c:v>
                </c:pt>
                <c:pt idx="21">
                  <c:v>27.609367143165002</c:v>
                </c:pt>
                <c:pt idx="22">
                  <c:v>7.2136550912301347</c:v>
                </c:pt>
                <c:pt idx="23">
                  <c:v>19.835971223021581</c:v>
                </c:pt>
                <c:pt idx="24">
                  <c:v>10.187118644067796</c:v>
                </c:pt>
                <c:pt idx="25">
                  <c:v>34.513618677042807</c:v>
                </c:pt>
                <c:pt idx="26">
                  <c:v>31.831756756756761</c:v>
                </c:pt>
                <c:pt idx="27">
                  <c:v>22.98274251106033</c:v>
                </c:pt>
              </c:numCache>
            </c:numRef>
          </c:xVal>
          <c:yVal>
            <c:numRef>
              <c:f>Sheet1!$C$3:$C$30</c:f>
              <c:numCache>
                <c:formatCode>0.0</c:formatCode>
                <c:ptCount val="28"/>
                <c:pt idx="0">
                  <c:v>0.67494784132843033</c:v>
                </c:pt>
                <c:pt idx="1">
                  <c:v>0.71659710003538468</c:v>
                </c:pt>
                <c:pt idx="2">
                  <c:v>0.7553848044960112</c:v>
                </c:pt>
                <c:pt idx="3">
                  <c:v>0.55374846454496329</c:v>
                </c:pt>
                <c:pt idx="4">
                  <c:v>0.82651838898133678</c:v>
                </c:pt>
                <c:pt idx="5">
                  <c:v>0.83912751987213918</c:v>
                </c:pt>
                <c:pt idx="6">
                  <c:v>0.858482606438214</c:v>
                </c:pt>
                <c:pt idx="7">
                  <c:v>0.92249671273665279</c:v>
                </c:pt>
                <c:pt idx="8">
                  <c:v>0.5037926897066034</c:v>
                </c:pt>
                <c:pt idx="9" formatCode="0.00">
                  <c:v>0.58505798733615</c:v>
                </c:pt>
                <c:pt idx="10">
                  <c:v>0.69054262827043555</c:v>
                </c:pt>
                <c:pt idx="11">
                  <c:v>0.70014778526720589</c:v>
                </c:pt>
                <c:pt idx="12">
                  <c:v>0.66702623539019135</c:v>
                </c:pt>
                <c:pt idx="13">
                  <c:v>0.69602627086793589</c:v>
                </c:pt>
                <c:pt idx="14">
                  <c:v>0.603204316467544</c:v>
                </c:pt>
                <c:pt idx="15" formatCode="0.00">
                  <c:v>0.5652652846288595</c:v>
                </c:pt>
                <c:pt idx="16">
                  <c:v>0.81478042477909829</c:v>
                </c:pt>
                <c:pt idx="17" formatCode="0.00">
                  <c:v>0.82282071471260665</c:v>
                </c:pt>
                <c:pt idx="18" formatCode="0.000">
                  <c:v>0.66370063451144834</c:v>
                </c:pt>
                <c:pt idx="19" formatCode="0.000">
                  <c:v>0.55300034855880564</c:v>
                </c:pt>
                <c:pt idx="20">
                  <c:v>0.59318916296844992</c:v>
                </c:pt>
                <c:pt idx="21">
                  <c:v>0.59752874284847146</c:v>
                </c:pt>
                <c:pt idx="22">
                  <c:v>0.51562604233084963</c:v>
                </c:pt>
                <c:pt idx="23">
                  <c:v>0.86638705759813606</c:v>
                </c:pt>
                <c:pt idx="24">
                  <c:v>0.681102950198822</c:v>
                </c:pt>
                <c:pt idx="25">
                  <c:v>0.84579050077059148</c:v>
                </c:pt>
                <c:pt idx="26">
                  <c:v>0.78598424367353048</c:v>
                </c:pt>
                <c:pt idx="27">
                  <c:v>0.779753617367078</c:v>
                </c:pt>
              </c:numCache>
            </c:numRef>
          </c:yVal>
          <c:smooth val="0"/>
          <c:extLst>
            <c:ext xmlns:c="http://schemas.openxmlformats.org/drawingml/2006/chart" xmlns:c16="http://schemas.microsoft.com/office/drawing/2014/chart" uri="{C3380CC4-5D6E-409C-BE32-E72D297353CC}">
              <c16:uniqueId val="{0000001C-1CC6-4BF5-A144-220CDD43B606}"/>
            </c:ext>
          </c:extLst>
        </c:ser>
        <c:dLbls>
          <c:showLegendKey val="0"/>
          <c:showVal val="0"/>
          <c:showCatName val="0"/>
          <c:showSerName val="0"/>
          <c:showPercent val="0"/>
          <c:showBubbleSize val="0"/>
        </c:dLbls>
        <c:axId val="656460928"/>
        <c:axId val="656455440"/>
      </c:scatterChart>
      <c:valAx>
        <c:axId val="656460928"/>
        <c:scaling>
          <c:orientation val="minMax"/>
          <c:max val="50"/>
          <c:min val="0"/>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56455440"/>
        <c:crosses val="autoZero"/>
        <c:crossBetween val="midCat"/>
        <c:majorUnit val="5"/>
      </c:valAx>
      <c:valAx>
        <c:axId val="656455440"/>
        <c:scaling>
          <c:orientation val="minMax"/>
          <c:max val="1"/>
          <c:min val="0.4"/>
        </c:scaling>
        <c:delete val="0"/>
        <c:axPos val="l"/>
        <c:title>
          <c:tx>
            <c:rich>
              <a:bodyPr vertOverflow="clip"/>
              <a:lstStyle/>
              <a:p>
                <a:pPr>
                  <a:defRPr/>
                </a:pPr>
                <a:r>
                  <a:rPr lang="lv-LV"/>
                  <a:t>Darbaspēka izmaksas uz </a:t>
                </a:r>
                <a:br>
                  <a:rPr lang="lv-LV"/>
                </a:br>
                <a:r>
                  <a:rPr lang="lv-LV"/>
                  <a:t>1 produkcijas vienību, EUR</a:t>
                </a:r>
              </a:p>
            </c:rich>
          </c:tx>
          <c:layout>
            <c:manualLayout>
              <c:xMode val="edge"/>
              <c:yMode val="edge"/>
              <c:x val="0.02230431476439277"/>
              <c:y val="0.057971202623533231"/>
            </c:manualLayout>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56460928"/>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32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69715035620547428"/>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B729-4776-BB37-2059085CC0A8}"/>
              </c:ext>
            </c:extLst>
          </c:dPt>
          <c:dPt>
            <c:idx val="5"/>
            <c:bubble3D val="0"/>
            <c:extLst>
              <c:ext xmlns:c="http://schemas.openxmlformats.org/drawingml/2006/chart" xmlns:c16="http://schemas.microsoft.com/office/drawing/2014/chart" uri="{C3380CC4-5D6E-409C-BE32-E72D297353CC}">
                <c16:uniqueId val="{00000001-B729-4776-BB37-2059085CC0A8}"/>
              </c:ext>
            </c:extLst>
          </c:dPt>
          <c:dPt>
            <c:idx val="11"/>
            <c:bubble3D val="0"/>
            <c:extLst>
              <c:ext xmlns:c="http://schemas.openxmlformats.org/drawingml/2006/chart" xmlns:c16="http://schemas.microsoft.com/office/drawing/2014/chart" uri="{C3380CC4-5D6E-409C-BE32-E72D297353CC}">
                <c16:uniqueId val="{00000002-B729-4776-BB37-2059085CC0A8}"/>
              </c:ext>
            </c:extLst>
          </c:dPt>
          <c:dPt>
            <c:idx val="12"/>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3-B729-4776-BB37-2059085CC0A8}"/>
              </c:ext>
            </c:extLst>
          </c:dPt>
          <c:dPt>
            <c:idx val="13"/>
            <c:bubble3D val="0"/>
            <c:extLst>
              <c:ext xmlns:c="http://schemas.openxmlformats.org/drawingml/2006/chart" xmlns:c16="http://schemas.microsoft.com/office/drawing/2014/chart" uri="{C3380CC4-5D6E-409C-BE32-E72D297353CC}">
                <c16:uniqueId val="{00000004-B729-4776-BB37-2059085CC0A8}"/>
              </c:ext>
            </c:extLst>
          </c:dPt>
          <c:dPt>
            <c:idx val="14"/>
            <c:bubble3D val="0"/>
            <c:extLst>
              <c:ext xmlns:c="http://schemas.openxmlformats.org/drawingml/2006/chart" xmlns:c16="http://schemas.microsoft.com/office/drawing/2014/chart" uri="{C3380CC4-5D6E-409C-BE32-E72D297353CC}">
                <c16:uniqueId val="{00000005-B729-4776-BB37-2059085CC0A8}"/>
              </c:ext>
            </c:extLst>
          </c:dPt>
          <c:dLbls>
            <c:dLbl>
              <c:idx val="0"/>
              <c:layout>
                <c:manualLayout>
                  <c:x val="-0.012453300124533"/>
                  <c:y val="-0.00865051903114187"/>
                </c:manualLayout>
              </c:layout>
              <c:tx>
                <c:rich>
                  <a:bodyPr vertOverflow="clip"/>
                  <a:lstStyle/>
                  <a:p>
                    <a:fld id="{b1b7d1b2-7d47-4bec-9c29-42307f51403f}" type="CELLRANGE">
                      <a:rPr lang="en-US"/>
                      <a:t>BE</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0-B729-4776-BB37-2059085CC0A8}"/>
                </c:ext>
                <c:ext xmlns:c15="http://schemas.microsoft.com/office/drawing/2012/chart" uri="{CE6537A1-D6FC-4f65-9D91-7224C49458BB}">
                  <c15:showDataLabelsRange val="1"/>
                </c:ext>
              </c:extLst>
            </c:dLbl>
            <c:dLbl>
              <c:idx val="1"/>
              <c:tx>
                <c:rich>
                  <a:bodyPr vertOverflow="clip"/>
                  <a:lstStyle/>
                  <a:p>
                    <a:fld id="{81131e4c-8038-4d91-ad90-ed4ecccb8bdc}" type="CELLRANGE">
                      <a:rPr lang="en-US"/>
                      <a:t>BG</a:t>
                    </a:fld>
                    <a:endParaRPr lang="lv-LV"/>
                  </a:p>
                </c:rich>
              </c:tx>
              <c:dLblPos val="l"/>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6-B729-4776-BB37-2059085CC0A8}"/>
                </c:ext>
                <c:ext xmlns:c15="http://schemas.microsoft.com/office/drawing/2012/chart" uri="{CE6537A1-D6FC-4f65-9D91-7224C49458BB}">
                  <c15:showDataLabelsRange val="1"/>
                </c:ext>
              </c:extLst>
            </c:dLbl>
            <c:dLbl>
              <c:idx val="2"/>
              <c:layout>
                <c:manualLayout>
                  <c:x val="-0.024906600249066078"/>
                  <c:y val="0"/>
                </c:manualLayout>
              </c:layout>
              <c:tx>
                <c:rich>
                  <a:bodyPr vertOverflow="clip"/>
                  <a:lstStyle/>
                  <a:p>
                    <a:fld id="{8e491710-7817-49ad-a410-420059ad41fd}" type="CELLRANGE">
                      <a:rPr lang="en-US"/>
                      <a:t>CZ</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7-B729-4776-BB37-2059085CC0A8}"/>
                </c:ext>
                <c:ext xmlns:c15="http://schemas.microsoft.com/office/drawing/2012/chart" uri="{CE6537A1-D6FC-4f65-9D91-7224C49458BB}">
                  <c15:showDataLabelsRange val="1"/>
                </c:ext>
              </c:extLst>
            </c:dLbl>
            <c:dLbl>
              <c:idx val="3"/>
              <c:layout>
                <c:manualLayout>
                  <c:x val="-0.055469156019258489"/>
                  <c:y val="0.060770236765387023"/>
                </c:manualLayout>
              </c:layout>
              <c:tx>
                <c:rich>
                  <a:bodyPr vertOverflow="clip"/>
                  <a:lstStyle/>
                  <a:p>
                    <a:fld id="{1ec1e6f2-9da2-40d0-8e57-0f618c117787}" type="CELLRANGE">
                      <a:rPr lang="en-US"/>
                      <a:t>DK</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8-B729-4776-BB37-2059085CC0A8}"/>
                </c:ext>
                <c:ext xmlns:c15="http://schemas.microsoft.com/office/drawing/2012/chart" uri="{CE6537A1-D6FC-4f65-9D91-7224C49458BB}">
                  <c15:showDataLabelsRange val="1"/>
                </c:ext>
              </c:extLst>
            </c:dLbl>
            <c:dLbl>
              <c:idx val="4"/>
              <c:layout>
                <c:manualLayout>
                  <c:x val="-0.055469156019258566"/>
                  <c:y val="-0.060769555622156267"/>
                </c:manualLayout>
              </c:layout>
              <c:tx>
                <c:rich>
                  <a:bodyPr vertOverflow="clip"/>
                  <a:lstStyle/>
                  <a:p>
                    <a:fld id="{6419b87e-6e44-4b73-a88f-7600beb5f57f}" type="CELLRANGE">
                      <a:rPr lang="en-US"/>
                      <a:t>DE</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9-B729-4776-BB37-2059085CC0A8}"/>
                </c:ext>
                <c:ext xmlns:c15="http://schemas.microsoft.com/office/drawing/2012/chart" uri="{CE6537A1-D6FC-4f65-9D91-7224C49458BB}">
                  <c15:showDataLabelsRange val="1"/>
                </c:ext>
              </c:extLst>
            </c:dLbl>
            <c:dLbl>
              <c:idx val="5"/>
              <c:tx>
                <c:rich>
                  <a:bodyPr vertOverflow="clip"/>
                  <a:lstStyle/>
                  <a:p>
                    <a:fld id="{204a794f-04ca-409f-bbbc-e8adb716a74e}" type="CELLRANGE">
                      <a:rPr lang="lv-LV"/>
                      <a:t>EE</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6"/>
              <c:layout>
                <c:manualLayout>
                  <c:x val="-0.049014358883844374"/>
                  <c:y val="-0.0694200746532981"/>
                </c:manualLayout>
              </c:layout>
              <c:tx>
                <c:rich>
                  <a:bodyPr vertOverflow="clip"/>
                  <a:lstStyle/>
                  <a:p>
                    <a:fld id="{7d6b6803-7947-4961-8f3f-9619f0fe996e}" type="CELLRANGE">
                      <a:rPr lang="en-US"/>
                      <a:t>IE</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A-B729-4776-BB37-2059085CC0A8}"/>
                </c:ext>
                <c:ext xmlns:c15="http://schemas.microsoft.com/office/drawing/2012/chart" uri="{CE6537A1-D6FC-4f65-9D91-7224C49458BB}">
                  <c15:showDataLabelsRange val="1"/>
                </c:ext>
              </c:extLst>
            </c:dLbl>
            <c:dLbl>
              <c:idx val="7"/>
              <c:tx>
                <c:rich>
                  <a:bodyPr vertOverflow="clip"/>
                  <a:lstStyle/>
                  <a:p>
                    <a:fld id="{c1f6bbf7-95bc-4f77-adb7-569798af1156}" type="CELLRANGE">
                      <a:rPr lang="en-US"/>
                      <a:t>EL</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B-B729-4776-BB37-2059085CC0A8}"/>
                </c:ext>
                <c:ext xmlns:c15="http://schemas.microsoft.com/office/drawing/2012/chart" uri="{CE6537A1-D6FC-4f65-9D91-7224C49458BB}">
                  <c15:showDataLabelsRange val="1"/>
                </c:ext>
              </c:extLst>
            </c:dLbl>
            <c:dLbl>
              <c:idx val="8"/>
              <c:tx>
                <c:rich>
                  <a:bodyPr vertOverflow="clip"/>
                  <a:lstStyle/>
                  <a:p>
                    <a:fld id="{75d79607-9331-43b1-bde0-7758583e2763}" type="CELLRANGE">
                      <a:rPr lang="en-US"/>
                      <a:t>ES</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C-B729-4776-BB37-2059085CC0A8}"/>
                </c:ext>
                <c:ext xmlns:c15="http://schemas.microsoft.com/office/drawing/2012/chart" uri="{CE6537A1-D6FC-4f65-9D91-7224C49458BB}">
                  <c15:showDataLabelsRange val="1"/>
                </c:ext>
              </c:extLst>
            </c:dLbl>
            <c:dLbl>
              <c:idx val="9"/>
              <c:layout>
                <c:manualLayout>
                  <c:x val="-0.054649395475627811"/>
                  <c:y val="-0.060769555622156225"/>
                </c:manualLayout>
              </c:layout>
              <c:tx>
                <c:rich>
                  <a:bodyPr vertOverflow="clip"/>
                  <a:lstStyle/>
                  <a:p>
                    <a:fld id="{a23b3810-f50e-4645-b283-36a919e6b0b7}" type="CELLRANGE">
                      <a:rPr lang="en-US"/>
                      <a:t>FR</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D-B729-4776-BB37-2059085CC0A8}"/>
                </c:ext>
                <c:ext xmlns:c15="http://schemas.microsoft.com/office/drawing/2012/chart" uri="{CE6537A1-D6FC-4f65-9D91-7224C49458BB}">
                  <c15:showDataLabelsRange val="1"/>
                </c:ext>
              </c:extLst>
            </c:dLbl>
            <c:dLbl>
              <c:idx val="10"/>
              <c:tx>
                <c:rich>
                  <a:bodyPr vertOverflow="clip"/>
                  <a:lstStyle/>
                  <a:p>
                    <a:fld id="{5fc4127d-bfa1-47cb-9cbc-ea936368c99f}" type="CELLRANGE">
                      <a:rPr lang="en-US"/>
                      <a:t>IT</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E-B729-4776-BB37-2059085CC0A8}"/>
                </c:ext>
                <c:ext xmlns:c15="http://schemas.microsoft.com/office/drawing/2012/chart" uri="{CE6537A1-D6FC-4f65-9D91-7224C49458BB}">
                  <c15:showDataLabelsRange val="1"/>
                </c:ext>
              </c:extLst>
            </c:dLbl>
            <c:dLbl>
              <c:idx val="11"/>
              <c:layout>
                <c:manualLayout>
                  <c:x val="-0.055469156019258489"/>
                  <c:y val="0.078071274827670761"/>
                </c:manualLayout>
              </c:layout>
              <c:tx>
                <c:rich>
                  <a:bodyPr vertOverflow="clip"/>
                  <a:lstStyle/>
                  <a:p>
                    <a:fld id="{93373a3d-4b9e-415b-9b86-69e60752ba82}" type="CELLRANGE">
                      <a:rPr lang="en-US"/>
                      <a:t>CY</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2-B729-4776-BB37-2059085CC0A8}"/>
                </c:ext>
                <c:ext xmlns:c15="http://schemas.microsoft.com/office/drawing/2012/chart" uri="{CE6537A1-D6FC-4f65-9D91-7224C49458BB}">
                  <c15:showDataLabelsRange val="1"/>
                </c:ext>
              </c:extLst>
            </c:dLbl>
            <c:dLbl>
              <c:idx val="12"/>
              <c:layout>
                <c:manualLayout>
                  <c:x val="-0.024906600249066"/>
                  <c:y val="-0.025951557093425604"/>
                </c:manualLayout>
              </c:layout>
              <c:tx>
                <c:rich>
                  <a:bodyPr vertOverflow="clip"/>
                  <a:lstStyle/>
                  <a:p>
                    <a:fld id="{52aa1adf-dd7f-4914-a4fd-fea5d8654934}" type="CELLRANGE">
                      <a:rPr lang="en-US"/>
                      <a:t>LV</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3-B729-4776-BB37-2059085CC0A8}"/>
                </c:ext>
                <c:ext xmlns:c15="http://schemas.microsoft.com/office/drawing/2012/chart" uri="{CE6537A1-D6FC-4f65-9D91-7224C49458BB}">
                  <c15:showDataLabelsRange val="1"/>
                </c:ext>
              </c:extLst>
            </c:dLbl>
            <c:dLbl>
              <c:idx val="13"/>
              <c:layout>
                <c:manualLayout>
                  <c:x val="-0.092029887920298883"/>
                  <c:y val="0"/>
                </c:manualLayout>
              </c:layout>
              <c:tx>
                <c:rich>
                  <a:bodyPr vertOverflow="clip"/>
                  <a:lstStyle/>
                  <a:p>
                    <a:fld id="{8be6ab4a-a694-46f8-84c6-713f1a27e41e}" type="CELLRANGE">
                      <a:rPr lang="en-US"/>
                      <a:t>LT</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4-B729-4776-BB37-2059085CC0A8}"/>
                </c:ext>
                <c:ext xmlns:c15="http://schemas.microsoft.com/office/drawing/2012/chart" uri="{CE6537A1-D6FC-4f65-9D91-7224C49458BB}">
                  <c15:showDataLabelsRange val="1"/>
                </c:ext>
              </c:extLst>
            </c:dLbl>
            <c:dLbl>
              <c:idx val="14"/>
              <c:layout>
                <c:manualLayout>
                  <c:x val="-0.05386068646774065"/>
                  <c:y val="-0.0694200746532981"/>
                </c:manualLayout>
              </c:layout>
              <c:tx>
                <c:rich>
                  <a:bodyPr vertOverflow="clip"/>
                  <a:lstStyle/>
                  <a:p>
                    <a:fld id="{668fb985-7c11-4cd4-bb45-a2b0b8892a42}" type="CELLRANGE">
                      <a:rPr lang="en-US"/>
                      <a:t>LU</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5-B729-4776-BB37-2059085CC0A8}"/>
                </c:ext>
                <c:ext xmlns:c15="http://schemas.microsoft.com/office/drawing/2012/chart" uri="{CE6537A1-D6FC-4f65-9D91-7224C49458BB}">
                  <c15:showDataLabelsRange val="1"/>
                </c:ext>
              </c:extLst>
            </c:dLbl>
            <c:dLbl>
              <c:idx val="15"/>
              <c:layout>
                <c:manualLayout>
                  <c:x val="-0.020755500207555"/>
                  <c:y val="0.00865051903114187"/>
                </c:manualLayout>
              </c:layout>
              <c:tx>
                <c:rich>
                  <a:bodyPr vertOverflow="clip"/>
                  <a:lstStyle/>
                  <a:p>
                    <a:fld id="{76276ad1-b28b-415c-86b8-2f9a87ce472d}" type="CELLRANGE">
                      <a:rPr lang="en-US"/>
                      <a:t>HU</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F-B729-4776-BB37-2059085CC0A8}"/>
                </c:ext>
                <c:ext xmlns:c15="http://schemas.microsoft.com/office/drawing/2012/chart" uri="{CE6537A1-D6FC-4f65-9D91-7224C49458BB}">
                  <c15:showDataLabelsRange val="1"/>
                </c:ext>
              </c:extLst>
            </c:dLbl>
            <c:dLbl>
              <c:idx val="16"/>
              <c:layout>
                <c:manualLayout>
                  <c:x val="-0.016604400166044003"/>
                  <c:y val="-3.9647754211826967E-17"/>
                </c:manualLayout>
              </c:layout>
              <c:tx>
                <c:rich>
                  <a:bodyPr vertOverflow="clip"/>
                  <a:lstStyle/>
                  <a:p>
                    <a:fld id="{bbea70ae-6ca4-4d49-81a4-b0b3b05ca66e}" type="CELLRANGE">
                      <a:rPr lang="en-US"/>
                      <a:t>NL</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0-B729-4776-BB37-2059085CC0A8}"/>
                </c:ext>
                <c:ext xmlns:c15="http://schemas.microsoft.com/office/drawing/2012/chart" uri="{CE6537A1-D6FC-4f65-9D91-7224C49458BB}">
                  <c15:showDataLabelsRange val="1"/>
                </c:ext>
              </c:extLst>
            </c:dLbl>
            <c:dLbl>
              <c:idx val="17"/>
              <c:tx>
                <c:rich>
                  <a:bodyPr vertOverflow="clip"/>
                  <a:lstStyle/>
                  <a:p>
                    <a:fld id="{b22c7f8a-6dda-4ff6-a54c-248db3ed7994}" type="CELLRANGE">
                      <a:rPr lang="lv-LV"/>
                      <a:t>AT</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8"/>
              <c:tx>
                <c:rich>
                  <a:bodyPr vertOverflow="clip"/>
                  <a:lstStyle/>
                  <a:p>
                    <a:fld id="{c291f570-5c3b-4110-baf8-c1be80be8be0}" type="CELLRANGE">
                      <a:rPr lang="en-US"/>
                      <a:t>PL</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2-B729-4776-BB37-2059085CC0A8}"/>
                </c:ext>
                <c:ext xmlns:c15="http://schemas.microsoft.com/office/drawing/2012/chart" uri="{CE6537A1-D6FC-4f65-9D91-7224C49458BB}">
                  <c15:showDataLabelsRange val="1"/>
                </c:ext>
              </c:extLst>
            </c:dLbl>
            <c:dLbl>
              <c:idx val="19"/>
              <c:tx>
                <c:rich>
                  <a:bodyPr vertOverflow="clip"/>
                  <a:lstStyle/>
                  <a:p>
                    <a:fld id="{7806a297-92f0-4cb5-967e-deda5a2a2db6}" type="CELLRANGE">
                      <a:rPr lang="lv-LV"/>
                      <a:t>PT</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20"/>
              <c:layout>
                <c:manualLayout>
                  <c:x val="-0.057077625570776253"/>
                  <c:y val="0.0694207557965289"/>
                </c:manualLayout>
              </c:layout>
              <c:tx>
                <c:rich>
                  <a:bodyPr vertOverflow="clip"/>
                  <a:lstStyle/>
                  <a:p>
                    <a:fld id="{911fd8c8-f624-4c18-8894-dfc451d673cf}" type="CELLRANGE">
                      <a:rPr lang="en-US"/>
                      <a:t>RO</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4-B729-4776-BB37-2059085CC0A8}"/>
                </c:ext>
                <c:ext xmlns:c15="http://schemas.microsoft.com/office/drawing/2012/chart" uri="{CE6537A1-D6FC-4f65-9D91-7224C49458BB}">
                  <c15:showDataLabelsRange val="1"/>
                </c:ext>
              </c:extLst>
            </c:dLbl>
            <c:dLbl>
              <c:idx val="21"/>
              <c:layout>
                <c:manualLayout>
                  <c:x val="-0.049014358883844374"/>
                  <c:y val="0.0694207557965289"/>
                </c:manualLayout>
              </c:layout>
              <c:tx>
                <c:rich>
                  <a:bodyPr vertOverflow="clip"/>
                  <a:lstStyle/>
                  <a:p>
                    <a:fld id="{f20ba8dc-2b5d-493f-b0a3-5d4cd66a2f5e}" type="CELLRANGE">
                      <a:rPr lang="en-US"/>
                      <a:t>SI</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5-B729-4776-BB37-2059085CC0A8}"/>
                </c:ext>
                <c:ext xmlns:c15="http://schemas.microsoft.com/office/drawing/2012/chart" uri="{CE6537A1-D6FC-4f65-9D91-7224C49458BB}">
                  <c15:showDataLabelsRange val="1"/>
                </c:ext>
              </c:extLst>
            </c:dLbl>
            <c:dLbl>
              <c:idx val="22"/>
              <c:layout>
                <c:manualLayout>
                  <c:x val="-0.054669987546699911"/>
                  <c:y val="0.069420755796528816"/>
                </c:manualLayout>
              </c:layout>
              <c:tx>
                <c:rich>
                  <a:bodyPr vertOverflow="clip"/>
                  <a:lstStyle/>
                  <a:p>
                    <a:fld id="{69f2a8f3-bd93-4c01-ba69-381e25c9d514}" type="CELLRANGE">
                      <a:rPr lang="en-US"/>
                      <a:t>SK</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6-B729-4776-BB37-2059085CC0A8}"/>
                </c:ext>
                <c:ext xmlns:c15="http://schemas.microsoft.com/office/drawing/2012/chart" uri="{CE6537A1-D6FC-4f65-9D91-7224C49458BB}">
                  <c15:showDataLabelsRange val="1"/>
                </c:ext>
              </c:extLst>
            </c:dLbl>
            <c:dLbl>
              <c:idx val="23"/>
              <c:layout>
                <c:manualLayout>
                  <c:x val="-0.048194271481942788"/>
                  <c:y val="-0.069420074653298108"/>
                </c:manualLayout>
              </c:layout>
              <c:tx>
                <c:rich>
                  <a:bodyPr vertOverflow="clip"/>
                  <a:lstStyle/>
                  <a:p>
                    <a:fld id="{fe175235-e350-4b63-9eb5-5bd13257a125}" type="CELLRANGE">
                      <a:rPr lang="en-US"/>
                      <a:t>FI</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7-B729-4776-BB37-2059085CC0A8}"/>
                </c:ext>
                <c:ext xmlns:c15="http://schemas.microsoft.com/office/drawing/2012/chart" uri="{CE6537A1-D6FC-4f65-9D91-7224C49458BB}">
                  <c15:showDataLabelsRange val="1"/>
                </c:ext>
              </c:extLst>
            </c:dLbl>
            <c:dLbl>
              <c:idx val="24"/>
              <c:layout>
                <c:manualLayout>
                  <c:x val="-0.024906600249066078"/>
                  <c:y val="0"/>
                </c:manualLayout>
              </c:layout>
              <c:tx>
                <c:rich>
                  <a:bodyPr vertOverflow="clip"/>
                  <a:lstStyle/>
                  <a:p>
                    <a:fld id="{6323e18d-a313-4779-9405-456c0d5e3ecd}" type="CELLRANGE">
                      <a:rPr lang="en-US"/>
                      <a:t>SE</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8-B729-4776-BB37-2059085CC0A8}"/>
                </c:ext>
                <c:ext xmlns:c15="http://schemas.microsoft.com/office/drawing/2012/chart" uri="{CE6537A1-D6FC-4f65-9D91-7224C49458BB}">
                  <c15:showDataLabelsRange val="1"/>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Sheet1!$B$3:$B$27</c:f>
              <c:numCache>
                <c:formatCode>0</c:formatCode>
                <c:ptCount val="25"/>
                <c:pt idx="0">
                  <c:v>37.003908794788273</c:v>
                </c:pt>
                <c:pt idx="1">
                  <c:v>8.4767036450079249</c:v>
                </c:pt>
                <c:pt idx="2">
                  <c:v>14.989917322040734</c:v>
                </c:pt>
                <c:pt idx="3">
                  <c:v>24.96030534351145</c:v>
                </c:pt>
                <c:pt idx="4">
                  <c:v>20.154978586723768</c:v>
                </c:pt>
                <c:pt idx="5">
                  <c:v>8.8390804597701145</c:v>
                </c:pt>
                <c:pt idx="6">
                  <c:v>23.776670574443145</c:v>
                </c:pt>
                <c:pt idx="7">
                  <c:v>31.519614949694105</c:v>
                </c:pt>
                <c:pt idx="8">
                  <c:v>43.028299391695313</c:v>
                </c:pt>
                <c:pt idx="9">
                  <c:v>43.715719063545151</c:v>
                </c:pt>
                <c:pt idx="10">
                  <c:v>35.158204027731927</c:v>
                </c:pt>
                <c:pt idx="11">
                  <c:v>24.058851004203643</c:v>
                </c:pt>
                <c:pt idx="12">
                  <c:v>13.117647058823531</c:v>
                </c:pt>
                <c:pt idx="13">
                  <c:v>13.145526613816536</c:v>
                </c:pt>
                <c:pt idx="14">
                  <c:v>33.981716607414931</c:v>
                </c:pt>
                <c:pt idx="15">
                  <c:v>11.279902853673345</c:v>
                </c:pt>
                <c:pt idx="16">
                  <c:v>24.950617283950617</c:v>
                </c:pt>
                <c:pt idx="17">
                  <c:v>45.810022137250954</c:v>
                </c:pt>
                <c:pt idx="18">
                  <c:v>11.207007221182135</c:v>
                </c:pt>
                <c:pt idx="19">
                  <c:v>27.697020143166302</c:v>
                </c:pt>
                <c:pt idx="20">
                  <c:v>19.396114409066378</c:v>
                </c:pt>
                <c:pt idx="21">
                  <c:v>20.018661690215943</c:v>
                </c:pt>
                <c:pt idx="22">
                  <c:v>10.200231847402256</c:v>
                </c:pt>
                <c:pt idx="23">
                  <c:v>28.957845433255269</c:v>
                </c:pt>
                <c:pt idx="24">
                  <c:v>32.448663101604275</c:v>
                </c:pt>
              </c:numCache>
            </c:numRef>
          </c:xVal>
          <c:yVal>
            <c:numRef>
              <c:f>Sheet1!$C$3:$C$27</c:f>
              <c:numCache>
                <c:formatCode>0.0</c:formatCode>
                <c:ptCount val="25"/>
                <c:pt idx="0">
                  <c:v>0.9330846092302757</c:v>
                </c:pt>
                <c:pt idx="1">
                  <c:v>0.64635348948855031</c:v>
                </c:pt>
                <c:pt idx="2">
                  <c:v>0.64320492415160846</c:v>
                </c:pt>
                <c:pt idx="3">
                  <c:v>0.94181798630280233</c:v>
                </c:pt>
                <c:pt idx="4">
                  <c:v>0.97336483706004728</c:v>
                </c:pt>
                <c:pt idx="5">
                  <c:v>1.2680052015604681</c:v>
                </c:pt>
                <c:pt idx="6">
                  <c:v>1.0116581475757067</c:v>
                </c:pt>
                <c:pt idx="7">
                  <c:v>0.3601223614099055</c:v>
                </c:pt>
                <c:pt idx="8" formatCode="0.00">
                  <c:v>0.65634027905833192</c:v>
                </c:pt>
                <c:pt idx="9">
                  <c:v>0.76711323309717516</c:v>
                </c:pt>
                <c:pt idx="10">
                  <c:v>0.73705333841198417</c:v>
                </c:pt>
                <c:pt idx="11">
                  <c:v>0.59823430848364256</c:v>
                </c:pt>
                <c:pt idx="12">
                  <c:v>0.88899978125341783</c:v>
                </c:pt>
                <c:pt idx="13" formatCode="0.00">
                  <c:v>0.8522400222305504</c:v>
                </c:pt>
                <c:pt idx="14">
                  <c:v>1.0924444111406397</c:v>
                </c:pt>
                <c:pt idx="15" formatCode="0.00">
                  <c:v>0.72525498410275524</c:v>
                </c:pt>
                <c:pt idx="16" formatCode="0.000">
                  <c:v>0.71877612653346767</c:v>
                </c:pt>
                <c:pt idx="17" formatCode="0.000">
                  <c:v>0.66743058662280308</c:v>
                </c:pt>
                <c:pt idx="18">
                  <c:v>0.54565756380162711</c:v>
                </c:pt>
                <c:pt idx="19">
                  <c:v>0.59317284534393178</c:v>
                </c:pt>
                <c:pt idx="20">
                  <c:v>0.28580048456440027</c:v>
                </c:pt>
                <c:pt idx="21">
                  <c:v>0.9281484318519132</c:v>
                </c:pt>
                <c:pt idx="22">
                  <c:v>0.74199544020916408</c:v>
                </c:pt>
                <c:pt idx="23">
                  <c:v>1.1160098721363136</c:v>
                </c:pt>
                <c:pt idx="24">
                  <c:v>0.89458508033895812</c:v>
                </c:pt>
              </c:numCache>
            </c:numRef>
          </c:yVal>
          <c:smooth val="0"/>
          <c:extLst>
            <c:ext xmlns:c="http://schemas.openxmlformats.org/drawingml/2006/chart" xmlns:c16="http://schemas.microsoft.com/office/drawing/2014/chart" uri="{C3380CC4-5D6E-409C-BE32-E72D297353CC}">
              <c16:uniqueId val="{0000001C-B729-4776-BB37-2059085CC0A8}"/>
            </c:ext>
            <c:ext xmlns:c15="http://schemas.microsoft.com/office/drawing/2012/chart" uri="{02D57815-91ED-43cb-92C2-25804820EDAC}">
              <c15:datalabelsRange>
                <c15:f>Sheet1!$A$3:$A$27</c15:f>
                <c15:dlblRangeCache>
                  <c:ptCount val="25"/>
                  <c:pt idx="0">
                    <c:v>BE</c:v>
                  </c:pt>
                  <c:pt idx="1">
                    <c:v>BG</c:v>
                  </c:pt>
                  <c:pt idx="2">
                    <c:v>CZ</c:v>
                  </c:pt>
                  <c:pt idx="3">
                    <c:v>DK</c:v>
                  </c:pt>
                  <c:pt idx="4">
                    <c:v>DE</c:v>
                  </c:pt>
                  <c:pt idx="5">
                    <c:v>EE</c:v>
                  </c:pt>
                  <c:pt idx="6">
                    <c:v>IE</c:v>
                  </c:pt>
                  <c:pt idx="7">
                    <c:v>EL</c:v>
                  </c:pt>
                  <c:pt idx="8">
                    <c:v>ES</c:v>
                  </c:pt>
                  <c:pt idx="9">
                    <c:v>FR</c:v>
                  </c:pt>
                  <c:pt idx="10">
                    <c:v>IT</c:v>
                  </c:pt>
                  <c:pt idx="11">
                    <c:v>CY</c:v>
                  </c:pt>
                  <c:pt idx="12">
                    <c:v>LV</c:v>
                  </c:pt>
                  <c:pt idx="13">
                    <c:v>LT</c:v>
                  </c:pt>
                  <c:pt idx="14">
                    <c:v>LU</c:v>
                  </c:pt>
                  <c:pt idx="15">
                    <c:v>HU</c:v>
                  </c:pt>
                  <c:pt idx="16">
                    <c:v>NL</c:v>
                  </c:pt>
                  <c:pt idx="17">
                    <c:v>AT</c:v>
                  </c:pt>
                  <c:pt idx="18">
                    <c:v>PL</c:v>
                  </c:pt>
                  <c:pt idx="19">
                    <c:v>PT</c:v>
                  </c:pt>
                  <c:pt idx="20">
                    <c:v>RO</c:v>
                  </c:pt>
                  <c:pt idx="21">
                    <c:v>SI</c:v>
                  </c:pt>
                  <c:pt idx="22">
                    <c:v>SK</c:v>
                  </c:pt>
                  <c:pt idx="23">
                    <c:v>FI</c:v>
                  </c:pt>
                  <c:pt idx="24">
                    <c:v>SE</c:v>
                  </c:pt>
                </c15:dlblRangeCache>
              </c15:datalabelsRange>
            </c:ext>
          </c:extLst>
        </c:ser>
        <c:dLbls>
          <c:showLegendKey val="0"/>
          <c:showVal val="0"/>
          <c:showCatName val="0"/>
          <c:showSerName val="0"/>
          <c:showPercent val="0"/>
          <c:showBubbleSize val="0"/>
        </c:dLbls>
        <c:axId val="656461712"/>
        <c:axId val="656457792"/>
      </c:scatterChart>
      <c:valAx>
        <c:axId val="656461712"/>
        <c:scaling>
          <c:orientation val="minMax"/>
          <c:max val="50"/>
          <c:min val="0"/>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56457792"/>
        <c:crosses val="autoZero"/>
        <c:crossBetween val="midCat"/>
        <c:majorUnit val="5"/>
      </c:valAx>
      <c:valAx>
        <c:axId val="656457792"/>
        <c:scaling>
          <c:orientation val="minMax"/>
        </c:scaling>
        <c:delete val="0"/>
        <c:axPos val="l"/>
        <c:title>
          <c:tx>
            <c:rich>
              <a:bodyPr vertOverflow="clip"/>
              <a:lstStyle/>
              <a:p>
                <a:pPr>
                  <a:defRPr/>
                </a:pPr>
                <a:r>
                  <a:rPr lang="lv-LV"/>
                  <a:t>Darbaspēka izmaksas uz </a:t>
                </a:r>
                <a:br>
                  <a:rPr lang="lv-LV"/>
                </a:br>
                <a:r>
                  <a:rPr lang="lv-LV"/>
                  <a:t>1 produkcijas vienību, EUR</a:t>
                </a:r>
              </a:p>
            </c:rich>
          </c:tx>
          <c:layout>
            <c:manualLayout>
              <c:xMode val="edge"/>
              <c:yMode val="edge"/>
              <c:x val="0.026458001161069826"/>
              <c:y val="0.057971202623533231"/>
            </c:manualLayout>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56461712"/>
        <c:crosses val="autoZero"/>
        <c:crossBetween val="midCat"/>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3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59412201441466"/>
          <c:y val="0.098301682877875565"/>
          <c:w val="0.77357359176256812"/>
          <c:h val="0.72831552305961755"/>
        </c:manualLayout>
      </c:layout>
      <c:barChart>
        <c:barDir val="col"/>
        <c:grouping val="clustered"/>
        <c:varyColors val="0"/>
        <c:ser>
          <c:idx val="4"/>
          <c:order val="0"/>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DC58-465D-805B-86D2FC0AE223}"/>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DC58-465D-805B-86D2FC0AE223}"/>
              </c:ext>
            </c:extLst>
          </c:dPt>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Sheet1!$A$3:$A$5</c:f>
              <c:strCache>
                <c:ptCount val="3"/>
                <c:pt idx="0">
                  <c:v>2005</c:v>
                </c:pt>
                <c:pt idx="1">
                  <c:v>2010</c:v>
                </c:pt>
                <c:pt idx="2">
                  <c:v>2016</c:v>
                </c:pt>
              </c:strCache>
            </c:strRef>
          </c:cat>
          <c:val>
            <c:numRef>
              <c:f>Sheet1!$B$3:$B$5</c:f>
              <c:numCache>
                <c:formatCode>General</c:formatCode>
                <c:ptCount val="3"/>
                <c:pt idx="0" formatCode="0.0">
                  <c:v>4.6</c:v>
                </c:pt>
                <c:pt idx="1">
                  <c:v>4.6</c:v>
                </c:pt>
                <c:pt idx="2">
                  <c:v>4.9</c:v>
                </c:pt>
              </c:numCache>
            </c:numRef>
          </c:val>
          <c:extLst>
            <c:ext xmlns:c="http://schemas.openxmlformats.org/drawingml/2006/chart" xmlns:c16="http://schemas.microsoft.com/office/drawing/2014/chart" uri="{C3380CC4-5D6E-409C-BE32-E72D297353CC}">
              <c16:uniqueId val="{00000004-DC58-465D-805B-86D2FC0AE223}"/>
            </c:ext>
          </c:extLst>
        </c:ser>
        <c:dLbls>
          <c:showLegendKey val="0"/>
          <c:showVal val="0"/>
          <c:showCatName val="0"/>
          <c:showSerName val="0"/>
          <c:showPercent val="0"/>
          <c:showBubbleSize val="0"/>
        </c:dLbls>
        <c:gapWidth val="20"/>
        <c:axId val="656451912"/>
        <c:axId val="656456616"/>
      </c:barChart>
      <c:catAx>
        <c:axId val="656451912"/>
        <c:scaling>
          <c:orientation val="minMax"/>
        </c:scaling>
        <c:delete val="0"/>
        <c:axPos val="b"/>
        <c:numFmt formatCode="General" sourceLinked="0"/>
        <c:majorTickMark val="out"/>
        <c:minorTickMark val="none"/>
        <c:tickLblPos val="nextTo"/>
        <c:crossAx val="656456616"/>
        <c:crosses val="autoZero"/>
        <c:auto val="1"/>
        <c:lblAlgn val="ctr"/>
        <c:lblOffset val="100"/>
        <c:noMultiLvlLbl val="0"/>
      </c:catAx>
      <c:valAx>
        <c:axId val="656456616"/>
        <c:scaling>
          <c:orientation val="minMax"/>
          <c:max val="6"/>
          <c:min val="0"/>
        </c:scaling>
        <c:delete val="0"/>
        <c:axPos val="l"/>
        <c:numFmt formatCode="0" sourceLinked="0"/>
        <c:majorTickMark val="out"/>
        <c:minorTickMark val="none"/>
        <c:tickLblPos val="nextTo"/>
        <c:crossAx val="656451912"/>
        <c:crosses val="autoZero"/>
        <c:crossBetween val="between"/>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mbria Math" panose="02040503050406030204" pitchFamily="18" charset="0"/>
          <a:ea typeface="Cambria Math" panose="02040503050406030204" pitchFamily="18" charset="0"/>
          <a:cs typeface="Arial"/>
        </a:defRPr>
      </a:pPr>
      <a:endParaRPr lang="lv-LV"/>
    </a:p>
  </c:txPr>
  <c:externalData r:id="rId1">
    <c:autoUpdate val="0"/>
  </c:externalData>
</c:chartSpace>
</file>

<file path=word/charts/chart329.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73546128124922"/>
          <c:y val="0.048706240487062395"/>
          <c:w val="0.84631315184653555"/>
          <c:h val="0.727894395553497"/>
        </c:manualLayout>
      </c:layout>
      <c:lineChart>
        <c:grouping val="standard"/>
        <c:varyColors val="0"/>
        <c:ser>
          <c:idx val="0"/>
          <c:order val="0"/>
          <c:tx>
            <c:strRef>
              <c:f>Sheet1!$A$2</c:f>
              <c:strCache>
                <c:ptCount val="1"/>
                <c:pt idx="0">
                  <c:v>Nodarbinātie</c:v>
                </c:pt>
              </c:strCache>
            </c:strRef>
          </c:tx>
          <c:spPr>
            <a:ln w="19050">
              <a:solidFill>
                <a:srgbClr val="0070C0"/>
              </a:solidFill>
              <a:prstDash val="dash"/>
            </a:ln>
          </c:spPr>
          <c:marker>
            <c:symbol val="none"/>
          </c:marker>
          <c:cat>
            <c:numRef>
              <c:f>Sheet1!$B$1:$L$1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Sheet1!$B$2:$L$2</c:f>
              <c:numCache>
                <c:formatCode>0.0</c:formatCode>
                <c:ptCount val="11"/>
                <c:pt idx="0">
                  <c:v>98.522878720568642</c:v>
                </c:pt>
                <c:pt idx="1">
                  <c:v>121.26277210128833</c:v>
                </c:pt>
                <c:pt idx="2">
                  <c:v>124.1448245224345</c:v>
                </c:pt>
                <c:pt idx="3">
                  <c:v>107.4466903598401</c:v>
                </c:pt>
                <c:pt idx="4">
                  <c:v>101.01066192803202</c:v>
                </c:pt>
                <c:pt idx="5">
                  <c:v>112.08907152376725</c:v>
                </c:pt>
                <c:pt idx="6">
                  <c:v>125.88849400266552</c:v>
                </c:pt>
                <c:pt idx="7">
                  <c:v>131.09173700577526</c:v>
                </c:pt>
                <c:pt idx="8">
                  <c:v>144.44691248334078</c:v>
                </c:pt>
                <c:pt idx="9">
                  <c:v>154.37583296312755</c:v>
                </c:pt>
                <c:pt idx="10">
                  <c:v>169.12483340737455</c:v>
                </c:pt>
              </c:numCache>
            </c:numRef>
          </c:val>
          <c:smooth val="0"/>
          <c:extLst>
            <c:ext xmlns:c="http://schemas.openxmlformats.org/drawingml/2006/chart" xmlns:c16="http://schemas.microsoft.com/office/drawing/2014/chart" uri="{C3380CC4-5D6E-409C-BE32-E72D297353CC}">
              <c16:uniqueId val="{00000000-1BE1-4400-9D1E-CA0EB183E359}"/>
            </c:ext>
          </c:extLst>
        </c:ser>
        <c:ser>
          <c:idx val="1"/>
          <c:order val="1"/>
          <c:tx>
            <c:strRef>
              <c:f>Sheet1!$A$3</c:f>
              <c:strCache>
                <c:ptCount val="1"/>
                <c:pt idx="0">
                  <c:v>Ražošanas apjomi</c:v>
                </c:pt>
              </c:strCache>
            </c:strRef>
          </c:tx>
          <c:marker>
            <c:symbol val="none"/>
          </c:marker>
          <c:cat>
            <c:numRef>
              <c:f>Sheet1!$B$1:$L$1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Sheet1!$B$3:$L$3</c:f>
              <c:numCache>
                <c:formatCode>0.0</c:formatCode>
                <c:ptCount val="11"/>
                <c:pt idx="0">
                  <c:v>107.40924912978618</c:v>
                </c:pt>
                <c:pt idx="1">
                  <c:v>107.62058677274987</c:v>
                </c:pt>
                <c:pt idx="2">
                  <c:v>109.75882645450022</c:v>
                </c:pt>
                <c:pt idx="3">
                  <c:v>89.55743411238187</c:v>
                </c:pt>
                <c:pt idx="4">
                  <c:v>91.074092491297833</c:v>
                </c:pt>
                <c:pt idx="5">
                  <c:v>94.293883639980066</c:v>
                </c:pt>
                <c:pt idx="6">
                  <c:v>100.22376926902035</c:v>
                </c:pt>
                <c:pt idx="7">
                  <c:v>105.61909497762304</c:v>
                </c:pt>
                <c:pt idx="8">
                  <c:v>103.04574838388857</c:v>
                </c:pt>
                <c:pt idx="9">
                  <c:v>105.221282943809</c:v>
                </c:pt>
                <c:pt idx="10">
                  <c:v>109.51019393336642</c:v>
                </c:pt>
              </c:numCache>
            </c:numRef>
          </c:val>
          <c:smooth val="0"/>
          <c:extLst>
            <c:ext xmlns:c="http://schemas.openxmlformats.org/drawingml/2006/chart" xmlns:c16="http://schemas.microsoft.com/office/drawing/2014/chart" uri="{C3380CC4-5D6E-409C-BE32-E72D297353CC}">
              <c16:uniqueId val="{00000001-1BE1-4400-9D1E-CA0EB183E359}"/>
            </c:ext>
          </c:extLst>
        </c:ser>
        <c:dLbls>
          <c:showLegendKey val="0"/>
          <c:showVal val="0"/>
          <c:showCatName val="0"/>
          <c:showSerName val="0"/>
          <c:showPercent val="0"/>
          <c:showBubbleSize val="0"/>
        </c:dLbls>
        <c:smooth val="0"/>
        <c:axId val="656458576"/>
        <c:axId val="656460536"/>
      </c:lineChart>
      <c:catAx>
        <c:axId val="656458576"/>
        <c:scaling>
          <c:orientation val="minMax"/>
        </c:scaling>
        <c:delete val="0"/>
        <c:axPos val="b"/>
        <c:numFmt formatCode="General" sourceLinked="1"/>
        <c:majorTickMark val="cross"/>
        <c:minorTickMark val="none"/>
        <c:tickLblPos val="nextTo"/>
        <c:spPr>
          <a:ln w="6350">
            <a:solidFill>
              <a:srgbClr val="000000"/>
            </a:solidFill>
          </a:ln>
        </c:spPr>
        <c:txPr>
          <a:bodyPr rot="-5400000" vert="horz"/>
          <a:lstStyle/>
          <a:p>
            <a:pPr>
              <a:defRPr sz="700" b="0" i="0" u="none" strike="noStrike" baseline="0">
                <a:solidFill>
                  <a:srgbClr val="000000"/>
                </a:solidFill>
                <a:latin typeface="Arial Narrow" pitchFamily="34" charset="0"/>
                <a:ea typeface="Times New Roman"/>
                <a:cs typeface="Times New Roman" pitchFamily="18" charset="0"/>
              </a:defRPr>
            </a:pPr>
            <a:endParaRPr lang="lv-LV"/>
          </a:p>
        </c:txPr>
        <c:crossAx val="656460536"/>
        <c:crosses val="autoZero"/>
        <c:auto val="1"/>
        <c:lblAlgn val="ctr"/>
        <c:lblOffset val="0"/>
        <c:noMultiLvlLbl val="0"/>
      </c:catAx>
      <c:valAx>
        <c:axId val="656460536"/>
        <c:scaling>
          <c:orientation val="minMax"/>
          <c:min val="50"/>
        </c:scaling>
        <c:delete val="0"/>
        <c:axPos val="l"/>
        <c:numFmt formatCode="0" sourceLinked="0"/>
        <c:majorTickMark val="cross"/>
        <c:minorTickMark val="none"/>
        <c:tickLblPos val="nextTo"/>
        <c:spPr>
          <a:ln w="6350">
            <a:solidFill>
              <a:sysClr val="windowText" lastClr="000000"/>
            </a:solidFill>
          </a:ln>
        </c:spPr>
        <c:txPr>
          <a:bodyPr rot="0" vert="horz"/>
          <a:lstStyle/>
          <a:p>
            <a:pPr>
              <a:defRPr sz="700" b="0" i="0" u="none" strike="noStrike" baseline="0">
                <a:solidFill>
                  <a:srgbClr val="000000"/>
                </a:solidFill>
                <a:latin typeface="Arial Narrow" pitchFamily="34" charset="0"/>
                <a:ea typeface="Times New Roman"/>
                <a:cs typeface="Times New Roman"/>
              </a:defRPr>
            </a:pPr>
            <a:endParaRPr lang="lv-LV"/>
          </a:p>
        </c:txPr>
        <c:crossAx val="656458576"/>
        <c:crosses val="autoZero"/>
        <c:crossBetween val="between"/>
        <c:majorUnit val="25"/>
      </c:valAx>
      <c:spPr>
        <a:solidFill>
          <a:sysClr val="window" lastClr="FFFFFF"/>
        </a:solidFill>
        <a:ln w="6350">
          <a:noFill/>
        </a:ln>
      </c:spPr>
    </c:plotArea>
    <c:legend>
      <c:legendPos val="t"/>
      <c:layout>
        <c:manualLayout>
          <c:xMode val="edge"/>
          <c:yMode val="edge"/>
          <c:x val="0.14280650412978177"/>
          <c:y val="0.031201248049921998"/>
          <c:w val="0.65805884790716951"/>
          <c:h val="0.19964223582144541"/>
        </c:manualLayout>
      </c:layout>
      <c:overlay val="0"/>
      <c:txPr>
        <a:bodyPr/>
        <a:lstStyle/>
        <a:p>
          <a:pPr>
            <a:defRPr sz="700" b="0">
              <a:latin typeface="Arial Narrow" pitchFamily="34" charset="0"/>
            </a:defRPr>
          </a:pPr>
          <a:endParaRPr lang="lv-LV"/>
        </a:p>
      </c:txPr>
    </c:legend>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98553601027233415"/>
          <c:y val="0.01722532963499513"/>
          <c:w val="0.34507319571774181"/>
          <c:h val="0.920462379795931"/>
        </c:manualLayout>
      </c:layout>
      <c:barChart>
        <c:barDir val="col"/>
        <c:grouping val="percentStacked"/>
        <c:varyColors val="0"/>
        <c:ser>
          <c:idx val="0"/>
          <c:order val="0"/>
          <c:tx>
            <c:strRef>
              <c:f>Sheet1!$A$2</c:f>
              <c:strCache>
                <c:ptCount val="1"/>
                <c:pt idx="0">
                  <c:v>kūdra</c:v>
                </c:pt>
              </c:strCache>
            </c:strRef>
          </c:tx>
          <c:invertIfNegative val="0"/>
          <c:cat>
            <c:strRef>
              <c:f>Sheet1!$B$1:$F$1</c:f>
              <c:strCache>
                <c:ptCount val="5"/>
                <c:pt idx="0">
                  <c:v>2005</c:v>
                </c:pt>
                <c:pt idx="1">
                  <c:v>2010</c:v>
                </c:pt>
                <c:pt idx="2">
                  <c:v>2014</c:v>
                </c:pt>
                <c:pt idx="3">
                  <c:v>2015</c:v>
                </c:pt>
                <c:pt idx="4">
                  <c:v>2016</c:v>
                </c:pt>
              </c:strCache>
            </c:strRef>
          </c:cat>
          <c:val>
            <c:numRef>
              <c:f>Sheet1!$B$2:$F$2</c:f>
              <c:numCache>
                <c:formatCode>0</c:formatCode>
                <c:ptCount val="5"/>
                <c:pt idx="0">
                  <c:v>88.654201584534846</c:v>
                </c:pt>
                <c:pt idx="1">
                  <c:v>92.226973077997513</c:v>
                </c:pt>
                <c:pt idx="2">
                  <c:v>91.601957809793348</c:v>
                </c:pt>
                <c:pt idx="3">
                  <c:v>92.79055450532978</c:v>
                </c:pt>
                <c:pt idx="4">
                  <c:v>93.159097535108941</c:v>
                </c:pt>
              </c:numCache>
            </c:numRef>
          </c:val>
          <c:extLst>
            <c:ext xmlns:c="http://schemas.openxmlformats.org/drawingml/2006/chart" xmlns:c16="http://schemas.microsoft.com/office/drawing/2014/chart" uri="{C3380CC4-5D6E-409C-BE32-E72D297353CC}">
              <c16:uniqueId val="{00000000-62E5-4CB5-8F03-30E2E7E3FA0A}"/>
            </c:ext>
          </c:extLst>
        </c:ser>
        <c:ser>
          <c:idx val="1"/>
          <c:order val="1"/>
          <c:tx>
            <c:strRef>
              <c:f>Sheet1!$A$3</c:f>
              <c:strCache>
                <c:ptCount val="1"/>
                <c:pt idx="0">
                  <c:v>ģipsis, ģipšakmens</c:v>
                </c:pt>
              </c:strCache>
            </c:strRef>
          </c:tx>
          <c:invertIfNegative val="0"/>
          <c:cat>
            <c:strRef>
              <c:f>Sheet1!$B$1:$F$1</c:f>
              <c:strCache>
                <c:ptCount val="5"/>
                <c:pt idx="0">
                  <c:v>2005</c:v>
                </c:pt>
                <c:pt idx="1">
                  <c:v>2010</c:v>
                </c:pt>
                <c:pt idx="2">
                  <c:v>2014</c:v>
                </c:pt>
                <c:pt idx="3">
                  <c:v>2015</c:v>
                </c:pt>
                <c:pt idx="4">
                  <c:v>2016</c:v>
                </c:pt>
              </c:strCache>
            </c:strRef>
          </c:cat>
          <c:val>
            <c:numRef>
              <c:f>Sheet1!$B$3:$F$3</c:f>
              <c:numCache>
                <c:formatCode>0</c:formatCode>
                <c:ptCount val="5"/>
                <c:pt idx="0">
                  <c:v>10.206718521701484</c:v>
                </c:pt>
                <c:pt idx="1">
                  <c:v>5.6965964340374331</c:v>
                </c:pt>
                <c:pt idx="2">
                  <c:v>5.0499691579285964</c:v>
                </c:pt>
                <c:pt idx="3">
                  <c:v>3.9169151869302685</c:v>
                </c:pt>
                <c:pt idx="4">
                  <c:v>3.9145541949124305</c:v>
                </c:pt>
              </c:numCache>
            </c:numRef>
          </c:val>
          <c:extLst>
            <c:ext xmlns:c="http://schemas.openxmlformats.org/drawingml/2006/chart" xmlns:c16="http://schemas.microsoft.com/office/drawing/2014/chart" uri="{C3380CC4-5D6E-409C-BE32-E72D297353CC}">
              <c16:uniqueId val="{00000001-62E5-4CB5-8F03-30E2E7E3FA0A}"/>
            </c:ext>
          </c:extLst>
        </c:ser>
        <c:ser>
          <c:idx val="2"/>
          <c:order val="2"/>
          <c:tx>
            <c:strRef>
              <c:f>Sheet1!$A$4</c:f>
              <c:strCache>
                <c:ptCount val="1"/>
                <c:pt idx="0">
                  <c:v>citas ieguvas rūpniecības preces</c:v>
                </c:pt>
              </c:strCache>
            </c:strRef>
          </c:tx>
          <c:invertIfNegative val="0"/>
          <c:cat>
            <c:strRef>
              <c:f>Sheet1!$B$1:$F$1</c:f>
              <c:strCache>
                <c:ptCount val="5"/>
                <c:pt idx="0">
                  <c:v>2005</c:v>
                </c:pt>
                <c:pt idx="1">
                  <c:v>2010</c:v>
                </c:pt>
                <c:pt idx="2">
                  <c:v>2014</c:v>
                </c:pt>
                <c:pt idx="3">
                  <c:v>2015</c:v>
                </c:pt>
                <c:pt idx="4">
                  <c:v>2016</c:v>
                </c:pt>
              </c:strCache>
            </c:strRef>
          </c:cat>
          <c:val>
            <c:numRef>
              <c:f>Sheet1!$B$4:$F$4</c:f>
              <c:numCache>
                <c:formatCode>0</c:formatCode>
                <c:ptCount val="5"/>
                <c:pt idx="0">
                  <c:v>1.139079893763673</c:v>
                </c:pt>
                <c:pt idx="1">
                  <c:v>2.0764304879650526</c:v>
                </c:pt>
                <c:pt idx="2">
                  <c:v>3.3480730322780614</c:v>
                </c:pt>
                <c:pt idx="3">
                  <c:v>3.2925303077399519</c:v>
                </c:pt>
                <c:pt idx="4">
                  <c:v>2.9263482699786332</c:v>
                </c:pt>
              </c:numCache>
            </c:numRef>
          </c:val>
          <c:extLst>
            <c:ext xmlns:c="http://schemas.openxmlformats.org/drawingml/2006/chart" xmlns:c16="http://schemas.microsoft.com/office/drawing/2014/chart" uri="{C3380CC4-5D6E-409C-BE32-E72D297353CC}">
              <c16:uniqueId val="{00000002-62E5-4CB5-8F03-30E2E7E3FA0A}"/>
            </c:ext>
          </c:extLst>
        </c:ser>
        <c:dLbls>
          <c:showLegendKey val="0"/>
          <c:showVal val="0"/>
          <c:showCatName val="0"/>
          <c:showSerName val="0"/>
          <c:showPercent val="0"/>
          <c:showBubbleSize val="0"/>
        </c:dLbls>
        <c:gapWidth val="20"/>
        <c:overlap val="100"/>
        <c:axId val="629833400"/>
        <c:axId val="629849864"/>
      </c:barChart>
      <c:catAx>
        <c:axId val="629833400"/>
        <c:scaling>
          <c:orientation val="minMax"/>
        </c:scaling>
        <c:delete val="0"/>
        <c:axPos val="b"/>
        <c:numFmt formatCode="General" sourceLinked="0"/>
        <c:majorTickMark val="out"/>
        <c:minorTickMark val="none"/>
        <c:tickLblPos val="nextTo"/>
        <c:txPr>
          <a:bodyPr/>
          <a:lstStyle/>
          <a:p>
            <a:pPr>
              <a:defRPr sz="700"/>
            </a:pPr>
            <a:endParaRPr lang="lv-LV"/>
          </a:p>
        </c:txPr>
        <c:crossAx val="629849864"/>
        <c:crosses val="autoZero"/>
        <c:auto val="1"/>
        <c:lblAlgn val="ctr"/>
        <c:lblOffset val="100"/>
        <c:noMultiLvlLbl val="0"/>
      </c:catAx>
      <c:valAx>
        <c:axId val="629849864"/>
        <c:scaling>
          <c:orientation val="minMax"/>
          <c:min val="0"/>
        </c:scaling>
        <c:delete val="0"/>
        <c:axPos val="l"/>
        <c:numFmt formatCode="0%" sourceLinked="1"/>
        <c:majorTickMark val="out"/>
        <c:minorTickMark val="none"/>
        <c:tickLblPos val="nextTo"/>
        <c:txPr>
          <a:bodyPr/>
          <a:lstStyle/>
          <a:p>
            <a:pPr>
              <a:defRPr sz="700"/>
            </a:pPr>
            <a:endParaRPr lang="lv-LV"/>
          </a:p>
        </c:txPr>
        <c:crossAx val="629833400"/>
        <c:crosses val="autoZero"/>
        <c:crossBetween val="between"/>
      </c:valAx>
    </c:plotArea>
    <c:legend>
      <c:legendPos val="r"/>
      <c:layout>
        <c:manualLayout>
          <c:xMode val="edge"/>
          <c:yMode val="edge"/>
          <c:x val="0.54496672507055277"/>
          <c:y val="0.018061189542134811"/>
          <c:w val="0.44734765470501581"/>
          <c:h val="0.37346010082924613"/>
        </c:manualLayout>
      </c:layout>
      <c:overlay val="0"/>
      <c:txPr>
        <a:bodyPr/>
        <a:lstStyle/>
        <a:p>
          <a:pPr>
            <a:defRPr sz="700">
              <a:latin typeface="Arial Narrow" panose="020B0606020202030204" pitchFamily="34" charset="0"/>
            </a:defRPr>
          </a:pPr>
          <a:endParaRPr lang="lv-LV"/>
        </a:p>
      </c:txPr>
    </c:legend>
    <c:plotVisOnly val="1"/>
    <c:dispBlanksAs val="gap"/>
    <c:showDLblsOverMax val="0"/>
  </c:chart>
  <c:spPr>
    <a:ln w="9525">
      <a:noFill/>
    </a:ln>
  </c:spPr>
  <c:txPr>
    <a:bodyPr/>
    <a:lstStyle/>
    <a:p>
      <a:pPr>
        <a:defRPr sz="800"/>
      </a:pPr>
      <a:endParaRPr lang="lv-LV"/>
    </a:p>
  </c:txPr>
  <c:externalData r:id="rId1">
    <c:autoUpdate val="0"/>
  </c:externalData>
</c:chartSpace>
</file>

<file path=word/charts/chart3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7354822834645707"/>
          <c:y val="0.054187037037040774"/>
          <c:w val="0.8789631193571017"/>
          <c:h val="0.67758530183727039"/>
        </c:manualLayout>
      </c:layout>
      <c:lineChart>
        <c:grouping val="standard"/>
        <c:varyColors val="0"/>
        <c:ser>
          <c:idx val="9"/>
          <c:order val="0"/>
          <c:tx>
            <c:strRef>
              <c:f>Sheet1!$A$3</c:f>
              <c:strCache>
                <c:ptCount val="1"/>
                <c:pt idx="0">
                  <c:v>Eksports, kopā</c:v>
                </c:pt>
              </c:strCache>
            </c:strRef>
          </c:tx>
          <c:spPr>
            <a:ln w="25400">
              <a:solidFill>
                <a:schemeClr val="accent5">
                  <a:lumMod val="75000"/>
                </a:schemeClr>
              </a:solidFill>
            </a:ln>
            <a:effectLst/>
          </c:spPr>
          <c:marker>
            <c:symbol val="none"/>
          </c:marker>
          <c:cat>
            <c:numRef>
              <c:f>Sheet1!$B$2:$M$2</c:f>
              <c:numCache>
                <c:formatCode>0</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Sheet1!$B$3:$M$3</c:f>
              <c:numCache>
                <c:formatCode>0.0</c:formatCode>
                <c:ptCount val="12"/>
                <c:pt idx="0">
                  <c:v>87</c:v>
                </c:pt>
                <c:pt idx="1">
                  <c:v>116</c:v>
                </c:pt>
                <c:pt idx="2">
                  <c:v>122</c:v>
                </c:pt>
                <c:pt idx="3">
                  <c:v>150</c:v>
                </c:pt>
                <c:pt idx="4">
                  <c:v>151</c:v>
                </c:pt>
                <c:pt idx="5">
                  <c:v>162</c:v>
                </c:pt>
                <c:pt idx="6">
                  <c:v>186</c:v>
                </c:pt>
                <c:pt idx="7">
                  <c:v>239</c:v>
                </c:pt>
                <c:pt idx="8">
                  <c:v>281</c:v>
                </c:pt>
                <c:pt idx="9">
                  <c:v>291</c:v>
                </c:pt>
                <c:pt idx="10">
                  <c:v>361</c:v>
                </c:pt>
                <c:pt idx="11">
                  <c:v>533</c:v>
                </c:pt>
              </c:numCache>
            </c:numRef>
          </c:val>
          <c:smooth val="0"/>
          <c:extLst>
            <c:ext xmlns:c="http://schemas.openxmlformats.org/drawingml/2006/chart" xmlns:c16="http://schemas.microsoft.com/office/drawing/2014/chart" uri="{C3380CC4-5D6E-409C-BE32-E72D297353CC}">
              <c16:uniqueId val="{00000000-05C8-4A1E-82C7-06C7D03E1F77}"/>
            </c:ext>
          </c:extLst>
        </c:ser>
        <c:dLbls>
          <c:showLegendKey val="0"/>
          <c:showVal val="0"/>
          <c:showCatName val="0"/>
          <c:showSerName val="0"/>
          <c:showPercent val="0"/>
          <c:showBubbleSize val="0"/>
        </c:dLbls>
        <c:smooth val="0"/>
        <c:axId val="656462104"/>
        <c:axId val="656458184"/>
      </c:lineChart>
      <c:catAx>
        <c:axId val="656462104"/>
        <c:scaling>
          <c:orientation val="minMax"/>
        </c:scaling>
        <c:delete val="0"/>
        <c:axPos val="b"/>
        <c:numFmt formatCode="0" sourceLinked="1"/>
        <c:majorTickMark val="out"/>
        <c:minorTickMark val="none"/>
        <c:tickLblPos val="low"/>
        <c:spPr>
          <a:noFill/>
          <a:ln w="3175">
            <a:solidFill>
              <a:sysClr val="window" lastClr="FFFFFF">
                <a:lumMod val="50000"/>
              </a:sysClr>
            </a:solidFill>
            <a:round/>
          </a:ln>
          <a:effectLst/>
        </c:spPr>
        <c:txPr>
          <a:bodyPr rot="-5400000" vert="horz"/>
          <a:lstStyle/>
          <a:p>
            <a:pPr>
              <a:defRPr sz="700"/>
            </a:pPr>
            <a:endParaRPr lang="lv-LV"/>
          </a:p>
        </c:txPr>
        <c:crossAx val="656458184"/>
        <c:crosses val="autoZero"/>
        <c:lblAlgn val="ctr"/>
        <c:lblOffset val="100"/>
        <c:noMultiLvlLbl val="0"/>
      </c:catAx>
      <c:valAx>
        <c:axId val="656458184"/>
        <c:scaling>
          <c:orientation val="minMax"/>
          <c:min val="80"/>
        </c:scaling>
        <c:delete val="0"/>
        <c:axPos val="l"/>
        <c:numFmt formatCode="0" sourceLinked="0"/>
        <c:majorTickMark val="out"/>
        <c:minorTickMark val="none"/>
        <c:tickLblPos val="nextTo"/>
        <c:spPr>
          <a:noFill/>
          <a:ln w="3175">
            <a:solidFill>
              <a:sysClr val="window" lastClr="FFFFFF">
                <a:lumMod val="50000"/>
              </a:sysClr>
            </a:solidFill>
            <a:round/>
          </a:ln>
          <a:effectLst/>
        </c:spPr>
        <c:txPr>
          <a:bodyPr rot="0"/>
          <a:lstStyle/>
          <a:p>
            <a:pPr>
              <a:defRPr/>
            </a:pPr>
            <a:endParaRPr lang="lv-LV"/>
          </a:p>
        </c:txPr>
        <c:crossAx val="656462104"/>
        <c:crosses val="autoZero"/>
        <c:crossBetween val="between"/>
      </c:valAx>
      <c:spPr>
        <a:noFill/>
        <a:ln w="24631">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Arial Narrow" panose="020B0606020202030204" pitchFamily="34" charset="0"/>
          <a:ea typeface="Arial"/>
          <a:cs typeface="Arial"/>
        </a:defRPr>
      </a:pPr>
      <a:endParaRPr lang="lv-LV"/>
    </a:p>
  </c:txPr>
  <c:externalData r:id="rId1">
    <c:autoUpdate val="0"/>
  </c:externalData>
</c:chartSpace>
</file>

<file path=word/charts/chart3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5939056398438"/>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F9CD-4EA6-B44C-65632C2BAE57}"/>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F9CD-4EA6-B44C-65632C2BAE57}"/>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Sheet1!$B$2:$M$2</c:f>
              <c:numCache>
                <c:formatCode>0</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formatCode="General">
                  <c:v>2016</c:v>
                </c:pt>
              </c:numCache>
            </c:numRef>
          </c:cat>
          <c:val>
            <c:numRef>
              <c:f>Sheet1!$B$3:$M$3</c:f>
              <c:numCache>
                <c:formatCode>0</c:formatCode>
                <c:ptCount val="12"/>
                <c:pt idx="0">
                  <c:v>4.4117647058823533</c:v>
                </c:pt>
                <c:pt idx="1">
                  <c:v>6.39470782800441</c:v>
                </c:pt>
                <c:pt idx="2">
                  <c:v>5.6691449814126393</c:v>
                </c:pt>
                <c:pt idx="3">
                  <c:v>6.7598017124831005</c:v>
                </c:pt>
                <c:pt idx="4">
                  <c:v>7.7080142930066362</c:v>
                </c:pt>
                <c:pt idx="5">
                  <c:v>8.1243731193580739</c:v>
                </c:pt>
                <c:pt idx="6">
                  <c:v>8.6350974930362128</c:v>
                </c:pt>
                <c:pt idx="7">
                  <c:v>10.988505747126437</c:v>
                </c:pt>
                <c:pt idx="8">
                  <c:v>11.650082918739635</c:v>
                </c:pt>
                <c:pt idx="9">
                  <c:v>10.825892857142858</c:v>
                </c:pt>
                <c:pt idx="10">
                  <c:v>12.569637883008356</c:v>
                </c:pt>
                <c:pt idx="11">
                  <c:v>17.344614383338758</c:v>
                </c:pt>
              </c:numCache>
            </c:numRef>
          </c:val>
          <c:extLst>
            <c:ext xmlns:c="http://schemas.openxmlformats.org/drawingml/2006/chart" xmlns:c16="http://schemas.microsoft.com/office/drawing/2014/chart" uri="{C3380CC4-5D6E-409C-BE32-E72D297353CC}">
              <c16:uniqueId val="{00000004-F9CD-4EA6-B44C-65632C2BAE57}"/>
            </c:ext>
          </c:extLst>
        </c:ser>
        <c:dLbls>
          <c:showLegendKey val="0"/>
          <c:showVal val="0"/>
          <c:showCatName val="0"/>
          <c:showSerName val="0"/>
          <c:showPercent val="0"/>
          <c:showBubbleSize val="0"/>
        </c:dLbls>
        <c:gapWidth val="20"/>
        <c:axId val="656450344"/>
        <c:axId val="656451128"/>
      </c:barChart>
      <c:catAx>
        <c:axId val="656450344"/>
        <c:scaling>
          <c:orientation val="minMax"/>
        </c:scaling>
        <c:delete val="0"/>
        <c:axPos val="b"/>
        <c:numFmt formatCode="0" sourceLinked="1"/>
        <c:majorTickMark val="out"/>
        <c:minorTickMark val="none"/>
        <c:tickLblPos val="low"/>
        <c:txPr>
          <a:bodyPr rot="-5400000" vert="horz"/>
          <a:lstStyle/>
          <a:p>
            <a:pPr>
              <a:defRPr/>
            </a:pPr>
            <a:endParaRPr lang="lv-LV"/>
          </a:p>
        </c:txPr>
        <c:crossAx val="656451128"/>
        <c:crosses val="autoZero"/>
        <c:auto val="1"/>
        <c:lblAlgn val="ctr"/>
        <c:lblOffset val="100"/>
        <c:noMultiLvlLbl val="0"/>
      </c:catAx>
      <c:valAx>
        <c:axId val="656451128"/>
        <c:scaling>
          <c:orientation val="minMax"/>
          <c:max val="20"/>
          <c:min val="0"/>
        </c:scaling>
        <c:delete val="0"/>
        <c:axPos val="l"/>
        <c:numFmt formatCode="0" sourceLinked="0"/>
        <c:majorTickMark val="out"/>
        <c:minorTickMark val="none"/>
        <c:tickLblPos val="nextTo"/>
        <c:crossAx val="656450344"/>
        <c:crosses val="autoZero"/>
        <c:crossBetween val="between"/>
        <c:majorUnit val="5"/>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3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572372897835"/>
          <c:y val="0.044057785459744363"/>
          <c:w val="0.9310540474739486"/>
          <c:h val="0.71166165204959131"/>
        </c:manualLayout>
      </c:layout>
      <c:barChart>
        <c:barDir val="col"/>
        <c:grouping val="clustered"/>
        <c:varyColors val="0"/>
        <c:ser>
          <c:idx val="1"/>
          <c:order val="0"/>
          <c:tx>
            <c:strRef>
              <c:f>Sheet1!$B$3</c:f>
              <c:strCache>
                <c:ptCount val="1"/>
              </c:strCache>
            </c:strRef>
          </c:tx>
          <c:spPr>
            <a:solidFill>
              <a:schemeClr val="accent3">
                <a:lumMod val="50000"/>
              </a:schemeClr>
            </a:solidFill>
            <a:ln w="19050"/>
          </c:spPr>
          <c:invertIfNegative val="0"/>
          <c:dPt>
            <c:idx val="8"/>
            <c:invertIfNegative val="0"/>
            <c:bubble3D val="0"/>
            <c:extLst>
              <c:ext xmlns:c="http://schemas.openxmlformats.org/drawingml/2006/chart" xmlns:c16="http://schemas.microsoft.com/office/drawing/2014/chart" uri="{C3380CC4-5D6E-409C-BE32-E72D297353CC}">
                <c16:uniqueId val="{00000000-71B4-4E0F-A3E1-758D417582FC}"/>
              </c:ext>
            </c:extLst>
          </c:dPt>
          <c:dPt>
            <c:idx val="9"/>
            <c:invertIfNegative val="0"/>
            <c:bubble3D val="0"/>
            <c:extLst>
              <c:ext xmlns:c="http://schemas.openxmlformats.org/drawingml/2006/chart" xmlns:c16="http://schemas.microsoft.com/office/drawing/2014/chart" uri="{C3380CC4-5D6E-409C-BE32-E72D297353CC}">
                <c16:uniqueId val="{00000001-71B4-4E0F-A3E1-758D417582FC}"/>
              </c:ext>
            </c:extLst>
          </c:dPt>
          <c:dPt>
            <c:idx val="18"/>
            <c:invertIfNegative val="0"/>
            <c:bubble3D val="0"/>
            <c:spPr>
              <a:ln w="19050"/>
            </c:spPr>
            <c:extLst>
              <c:ext xmlns:c="http://schemas.openxmlformats.org/drawingml/2006/chart" xmlns:c16="http://schemas.microsoft.com/office/drawing/2014/chart" uri="{C3380CC4-5D6E-409C-BE32-E72D297353CC}">
                <c16:uniqueId val="{00000003-71B4-4E0F-A3E1-758D417582FC}"/>
              </c:ext>
            </c:extLst>
          </c:dPt>
          <c:dPt>
            <c:idx val="21"/>
            <c:invertIfNegative val="0"/>
            <c:bubble3D val="0"/>
            <c:extLst>
              <c:ext xmlns:c="http://schemas.openxmlformats.org/drawingml/2006/chart" xmlns:c16="http://schemas.microsoft.com/office/drawing/2014/chart" uri="{C3380CC4-5D6E-409C-BE32-E72D297353CC}">
                <c16:uniqueId val="{00000004-71B4-4E0F-A3E1-758D417582FC}"/>
              </c:ext>
            </c:extLst>
          </c:dPt>
          <c:dPt>
            <c:idx val="25"/>
            <c:invertIfNegative val="0"/>
            <c:bubble3D val="0"/>
            <c:extLst>
              <c:ext xmlns:c="http://schemas.openxmlformats.org/drawingml/2006/chart" xmlns:c16="http://schemas.microsoft.com/office/drawing/2014/chart" uri="{C3380CC4-5D6E-409C-BE32-E72D297353CC}">
                <c16:uniqueId val="{00000005-71B4-4E0F-A3E1-758D417582FC}"/>
              </c:ext>
            </c:extLst>
          </c:dPt>
          <c:dLbls>
            <c:dLbl>
              <c:idx val="0"/>
              <c:spPr>
                <a:noFill/>
                <a:ln>
                  <a:noFill/>
                </a:ln>
                <a:effectLst/>
              </c:spPr>
              <c:txPr>
                <a:bodyPr wrap="square" lIns="38100" tIns="19050" rIns="38100" bIns="19050" anchor="ctr">
                  <a:spAutoFit/>
                </a:bodyPr>
                <a:lstStyle/>
                <a:p>
                  <a:pPr>
                    <a:defRPr sz="600">
                      <a:solidFill>
                        <a:schemeClr val="bg1"/>
                      </a:solidFill>
                    </a:defRPr>
                  </a:pPr>
                  <a:endParaRPr lang="lv-LV"/>
                </a:p>
              </c:txPr>
              <c:dLblPos val="inBase"/>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71B4-4E0F-A3E1-758D417582FC}"/>
                </c:ext>
                <c:ext xmlns:c15="http://schemas.microsoft.com/office/drawing/2012/chart" uri="{CE6537A1-D6FC-4f65-9D91-7224C49458BB}"/>
              </c:extLst>
            </c:dLbl>
            <c:dLbl>
              <c:idx val="1"/>
              <c:spPr>
                <a:noFill/>
                <a:ln>
                  <a:noFill/>
                </a:ln>
                <a:effectLst/>
              </c:spPr>
              <c:txPr>
                <a:bodyPr wrap="square" lIns="38100" tIns="19050" rIns="38100" bIns="19050" anchor="ctr">
                  <a:spAutoFit/>
                </a:bodyPr>
                <a:lstStyle/>
                <a:p>
                  <a:pPr>
                    <a:defRPr sz="600">
                      <a:solidFill>
                        <a:schemeClr val="bg1"/>
                      </a:solidFill>
                    </a:defRPr>
                  </a:pPr>
                  <a:endParaRPr lang="lv-LV"/>
                </a:p>
              </c:txPr>
              <c:dLblPos val="inBase"/>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71B4-4E0F-A3E1-758D417582FC}"/>
                </c:ext>
                <c:ext xmlns:c15="http://schemas.microsoft.com/office/drawing/2012/chart" uri="{CE6537A1-D6FC-4f65-9D91-7224C49458BB}"/>
              </c:extLst>
            </c:dLbl>
            <c:dLbl>
              <c:idx val="2"/>
              <c:spPr>
                <a:noFill/>
                <a:ln>
                  <a:noFill/>
                </a:ln>
                <a:effectLst/>
              </c:spPr>
              <c:txPr>
                <a:bodyPr wrap="square" lIns="38100" tIns="19050" rIns="38100" bIns="19050" anchor="ctr">
                  <a:spAutoFit/>
                </a:bodyPr>
                <a:lstStyle/>
                <a:p>
                  <a:pPr>
                    <a:defRPr sz="600">
                      <a:solidFill>
                        <a:schemeClr val="bg1"/>
                      </a:solidFill>
                    </a:defRPr>
                  </a:pPr>
                  <a:endParaRPr lang="lv-LV"/>
                </a:p>
              </c:txPr>
              <c:dLblPos val="in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71B4-4E0F-A3E1-758D417582FC}"/>
                </c:ext>
                <c:ext xmlns:c15="http://schemas.microsoft.com/office/drawing/2012/chart" uri="{CE6537A1-D6FC-4f65-9D91-7224C49458BB}"/>
              </c:extLst>
            </c:dLbl>
            <c:dLbl>
              <c:idx val="18"/>
              <c:spPr>
                <a:noFill/>
                <a:ln>
                  <a:noFill/>
                </a:ln>
                <a:effectLst/>
              </c:spPr>
              <c:txPr>
                <a:bodyPr wrap="square" lIns="38100" tIns="19050" rIns="38100" bIns="19050" anchor="ctr">
                  <a:spAutoFit/>
                </a:bodyPr>
                <a:lstStyle/>
                <a:p>
                  <a:pPr>
                    <a:defRPr sz="600" b="1"/>
                  </a:pPr>
                  <a:endParaRPr lang="lv-LV"/>
                </a:p>
              </c:txPr>
              <c:showLegendKey val="0"/>
              <c:showVal val="1"/>
              <c:showCatName val="0"/>
              <c:showSerName val="0"/>
              <c:showPercent val="0"/>
              <c:showBubbleSize val="0"/>
            </c:dLbl>
            <c:dLbl>
              <c:idx val="21"/>
              <c:spPr>
                <a:noFill/>
                <a:ln>
                  <a:noFill/>
                </a:ln>
                <a:effectLst/>
              </c:spPr>
              <c:txPr>
                <a:bodyPr wrap="square" lIns="38100" tIns="19050" rIns="38100" bIns="19050" anchor="ctr">
                  <a:spAutoFit/>
                </a:bodyPr>
                <a:lstStyle/>
                <a:p>
                  <a:pPr>
                    <a:defRPr sz="600" b="0"/>
                  </a:pPr>
                  <a:endParaRPr lang="lv-LV"/>
                </a:p>
              </c:txPr>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Sheet1!$A$4:$A$31</c:f>
              <c:strCache>
                <c:ptCount val="28"/>
                <c:pt idx="0">
                  <c:v>IE</c:v>
                </c:pt>
                <c:pt idx="1">
                  <c:v>LU</c:v>
                </c:pt>
                <c:pt idx="2">
                  <c:v>CY</c:v>
                </c:pt>
                <c:pt idx="3">
                  <c:v>BE</c:v>
                </c:pt>
                <c:pt idx="4">
                  <c:v>NL</c:v>
                </c:pt>
                <c:pt idx="5">
                  <c:v>FI</c:v>
                </c:pt>
                <c:pt idx="6">
                  <c:v>SE</c:v>
                </c:pt>
                <c:pt idx="7">
                  <c:v>AT</c:v>
                </c:pt>
                <c:pt idx="8">
                  <c:v>DK</c:v>
                </c:pt>
                <c:pt idx="9">
                  <c:v>EU-28</c:v>
                </c:pt>
                <c:pt idx="10">
                  <c:v>DE</c:v>
                </c:pt>
                <c:pt idx="11">
                  <c:v>ES</c:v>
                </c:pt>
                <c:pt idx="12">
                  <c:v>CZ</c:v>
                </c:pt>
                <c:pt idx="13">
                  <c:v>SI</c:v>
                </c:pt>
                <c:pt idx="14">
                  <c:v>RO</c:v>
                </c:pt>
                <c:pt idx="15">
                  <c:v>EE</c:v>
                </c:pt>
                <c:pt idx="16">
                  <c:v>FR</c:v>
                </c:pt>
                <c:pt idx="17">
                  <c:v>UK</c:v>
                </c:pt>
                <c:pt idx="18">
                  <c:v>LV</c:v>
                </c:pt>
                <c:pt idx="19">
                  <c:v>PT</c:v>
                </c:pt>
                <c:pt idx="20">
                  <c:v>IT</c:v>
                </c:pt>
                <c:pt idx="21">
                  <c:v>PL</c:v>
                </c:pt>
                <c:pt idx="22">
                  <c:v>HU</c:v>
                </c:pt>
                <c:pt idx="23">
                  <c:v>SK</c:v>
                </c:pt>
                <c:pt idx="24">
                  <c:v>HR</c:v>
                </c:pt>
                <c:pt idx="25">
                  <c:v>BG</c:v>
                </c:pt>
                <c:pt idx="26">
                  <c:v>EL</c:v>
                </c:pt>
                <c:pt idx="27">
                  <c:v>LT</c:v>
                </c:pt>
              </c:strCache>
            </c:strRef>
          </c:cat>
          <c:val>
            <c:numRef>
              <c:f>Sheet1!$B$4:$B$31</c:f>
              <c:numCache>
                <c:formatCode>0</c:formatCode>
                <c:ptCount val="28"/>
                <c:pt idx="0">
                  <c:v>875.81576473747816</c:v>
                </c:pt>
                <c:pt idx="1">
                  <c:v>215.53623188405797</c:v>
                </c:pt>
                <c:pt idx="2">
                  <c:v>154.14258188824661</c:v>
                </c:pt>
                <c:pt idx="3">
                  <c:v>87.255244755244746</c:v>
                </c:pt>
                <c:pt idx="4">
                  <c:v>79.001805054151617</c:v>
                </c:pt>
                <c:pt idx="5">
                  <c:v>68.18091451292247</c:v>
                </c:pt>
                <c:pt idx="6">
                  <c:v>64.8688775510204</c:v>
                </c:pt>
                <c:pt idx="7">
                  <c:v>49.867115520907163</c:v>
                </c:pt>
                <c:pt idx="8">
                  <c:v>37.002884615384616</c:v>
                </c:pt>
                <c:pt idx="9">
                  <c:v>35.194098646673268</c:v>
                </c:pt>
                <c:pt idx="10">
                  <c:v>24.374193548387098</c:v>
                </c:pt>
                <c:pt idx="11">
                  <c:v>21.080167097672568</c:v>
                </c:pt>
                <c:pt idx="12">
                  <c:v>20.767757042503369</c:v>
                </c:pt>
                <c:pt idx="13">
                  <c:v>19.226480836236934</c:v>
                </c:pt>
                <c:pt idx="14">
                  <c:v>19.153037383177573</c:v>
                </c:pt>
                <c:pt idx="15">
                  <c:v>18.815217391304344</c:v>
                </c:pt>
                <c:pt idx="16">
                  <c:v>18.771634615384617</c:v>
                </c:pt>
                <c:pt idx="17">
                  <c:v>17.73074222208653</c:v>
                </c:pt>
                <c:pt idx="18">
                  <c:v>17.344614383338758</c:v>
                </c:pt>
                <c:pt idx="19">
                  <c:v>15.726276521333643</c:v>
                </c:pt>
                <c:pt idx="20">
                  <c:v>14.136879552769779</c:v>
                </c:pt>
                <c:pt idx="21">
                  <c:v>13.282206896551724</c:v>
                </c:pt>
                <c:pt idx="22">
                  <c:v>12.887542597500945</c:v>
                </c:pt>
                <c:pt idx="23">
                  <c:v>12.793705204113429</c:v>
                </c:pt>
                <c:pt idx="24">
                  <c:v>12.14503351614869</c:v>
                </c:pt>
                <c:pt idx="25">
                  <c:v>10.900221729490022</c:v>
                </c:pt>
                <c:pt idx="26">
                  <c:v>10.861021793497677</c:v>
                </c:pt>
                <c:pt idx="27">
                  <c:v>10.400696864111499</c:v>
                </c:pt>
              </c:numCache>
            </c:numRef>
          </c:val>
          <c:extLst>
            <c:ext xmlns:c="http://schemas.openxmlformats.org/drawingml/2006/chart" xmlns:c16="http://schemas.microsoft.com/office/drawing/2014/chart" uri="{C3380CC4-5D6E-409C-BE32-E72D297353CC}">
              <c16:uniqueId val="{00000009-71B4-4E0F-A3E1-758D417582FC}"/>
            </c:ext>
          </c:extLst>
        </c:ser>
        <c:dLbls>
          <c:showLegendKey val="0"/>
          <c:showVal val="0"/>
          <c:showCatName val="0"/>
          <c:showSerName val="0"/>
          <c:showPercent val="0"/>
          <c:showBubbleSize val="0"/>
        </c:dLbls>
        <c:gapWidth val="20"/>
        <c:axId val="656452696"/>
        <c:axId val="656457008"/>
      </c:barChart>
      <c:catAx>
        <c:axId val="656452696"/>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56457008"/>
        <c:crosses val="autoZero"/>
        <c:auto val="1"/>
        <c:lblAlgn val="ctr"/>
        <c:lblOffset val="100"/>
        <c:tickLblSkip val="1"/>
        <c:noMultiLvlLbl val="0"/>
      </c:catAx>
      <c:valAx>
        <c:axId val="656457008"/>
        <c:scaling>
          <c:orientation val="minMax"/>
          <c:max val="120"/>
        </c:scaling>
        <c:delete val="0"/>
        <c:axPos val="l"/>
        <c:numFmt formatCode="0" sourceLinked="0"/>
        <c:majorTickMark val="out"/>
        <c:minorTickMark val="none"/>
        <c:tickLblPos val="nextTo"/>
        <c:txPr>
          <a:bodyPr/>
          <a:lstStyle/>
          <a:p>
            <a:pPr>
              <a:defRPr sz="600"/>
            </a:pPr>
            <a:endParaRPr lang="lv-LV"/>
          </a:p>
        </c:txPr>
        <c:crossAx val="656452696"/>
        <c:crosses val="autoZero"/>
        <c:crossBetween val="between"/>
        <c:majorUnit val="30"/>
      </c:valAx>
    </c:plotArea>
    <c:plotVisOnly val="1"/>
    <c:dispBlanksAs val="gap"/>
    <c:showDLblsOverMax val="0"/>
  </c:chart>
  <c:spPr>
    <a:ln w="9525">
      <a:noFill/>
    </a:ln>
  </c:spPr>
  <c:externalData r:id="rId1">
    <c:autoUpdate val="0"/>
  </c:externalData>
  <c:userShapes r:id="rId2"/>
</c:chartSpace>
</file>

<file path=word/charts/chart3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3895604598721"/>
          <c:y val="0.14290424699698051"/>
          <c:w val="0.52181675566416263"/>
          <c:h val="0.709344652230971"/>
        </c:manualLayout>
      </c:layout>
      <c:pieChart>
        <c:varyColors val="1"/>
        <c:ser>
          <c:idx val="0"/>
          <c:order val="0"/>
          <c:tx>
            <c:strRef>
              <c:f>Sheet1!$B$1</c:f>
              <c:strCache>
                <c:ptCount val="1"/>
                <c:pt idx="0">
                  <c:v>Column1</c:v>
                </c:pt>
              </c:strCache>
            </c:strRef>
          </c:tx>
          <c:dPt>
            <c:idx val="0"/>
            <c:bubble3D val="0"/>
            <c:spPr>
              <a:solidFill>
                <a:schemeClr val="accent1"/>
              </a:solidFill>
              <a:ln>
                <a:noFill/>
              </a:ln>
              <a:effectLst/>
            </c:spPr>
            <c:extLst>
              <c:ext xmlns:c="http://schemas.openxmlformats.org/drawingml/2006/chart" xmlns:c16="http://schemas.microsoft.com/office/drawing/2014/chart" uri="{C3380CC4-5D6E-409C-BE32-E72D297353CC}">
                <c16:uniqueId val="{00000001-C319-4589-8BE3-B4DB01D08FBA}"/>
              </c:ext>
            </c:extLst>
          </c:dPt>
          <c:dPt>
            <c:idx val="1"/>
            <c:bubble3D val="0"/>
            <c:spPr>
              <a:solidFill>
                <a:schemeClr val="accent2"/>
              </a:solidFill>
              <a:ln>
                <a:noFill/>
              </a:ln>
              <a:effectLst/>
            </c:spPr>
            <c:extLst>
              <c:ext xmlns:c="http://schemas.openxmlformats.org/drawingml/2006/chart" xmlns:c16="http://schemas.microsoft.com/office/drawing/2014/chart" uri="{C3380CC4-5D6E-409C-BE32-E72D297353CC}">
                <c16:uniqueId val="{00000003-C319-4589-8BE3-B4DB01D08FBA}"/>
              </c:ext>
            </c:extLst>
          </c:dPt>
          <c:dPt>
            <c:idx val="2"/>
            <c:bubble3D val="0"/>
            <c:spPr>
              <a:solidFill>
                <a:schemeClr val="accent3"/>
              </a:solidFill>
              <a:ln>
                <a:noFill/>
              </a:ln>
              <a:effectLst/>
            </c:spPr>
            <c:extLst>
              <c:ext xmlns:c="http://schemas.openxmlformats.org/drawingml/2006/chart" xmlns:c16="http://schemas.microsoft.com/office/drawing/2014/chart" uri="{C3380CC4-5D6E-409C-BE32-E72D297353CC}">
                <c16:uniqueId val="{00000005-C319-4589-8BE3-B4DB01D08FBA}"/>
              </c:ext>
            </c:extLst>
          </c:dPt>
          <c:dPt>
            <c:idx val="3"/>
            <c:bubble3D val="0"/>
            <c:spPr>
              <a:solidFill>
                <a:schemeClr val="accent4"/>
              </a:solidFill>
              <a:ln>
                <a:noFill/>
              </a:ln>
              <a:effectLst/>
            </c:spPr>
            <c:extLst>
              <c:ext xmlns:c="http://schemas.openxmlformats.org/drawingml/2006/chart" xmlns:c16="http://schemas.microsoft.com/office/drawing/2014/chart" uri="{C3380CC4-5D6E-409C-BE32-E72D297353CC}">
                <c16:uniqueId val="{00000007-C319-4589-8BE3-B4DB01D08FBA}"/>
              </c:ext>
            </c:extLst>
          </c:dPt>
          <c:dPt>
            <c:idx val="4"/>
            <c:bubble3D val="0"/>
            <c:spPr>
              <a:solidFill>
                <a:schemeClr val="accent5"/>
              </a:solidFill>
              <a:ln>
                <a:noFill/>
              </a:ln>
              <a:effectLst/>
            </c:spPr>
            <c:extLst>
              <c:ext xmlns:c="http://schemas.openxmlformats.org/drawingml/2006/chart" xmlns:c16="http://schemas.microsoft.com/office/drawing/2014/chart" uri="{C3380CC4-5D6E-409C-BE32-E72D297353CC}">
                <c16:uniqueId val="{00000009-C319-4589-8BE3-B4DB01D08FBA}"/>
              </c:ext>
            </c:extLst>
          </c:dPt>
          <c:dPt>
            <c:idx val="5"/>
            <c:bubble3D val="0"/>
            <c:spPr>
              <a:solidFill>
                <a:schemeClr val="accent6"/>
              </a:solidFill>
              <a:ln>
                <a:noFill/>
              </a:ln>
              <a:effectLst/>
            </c:spPr>
            <c:extLst>
              <c:ext xmlns:c="http://schemas.openxmlformats.org/drawingml/2006/chart" xmlns:c16="http://schemas.microsoft.com/office/drawing/2014/chart" uri="{C3380CC4-5D6E-409C-BE32-E72D297353CC}">
                <c16:uniqueId val="{0000000B-C319-4589-8BE3-B4DB01D08FBA}"/>
              </c:ext>
            </c:extLst>
          </c:dPt>
          <c:dPt>
            <c:idx val="6"/>
            <c:bubble3D val="0"/>
            <c:spPr>
              <a:solidFill>
                <a:schemeClr val="accent1">
                  <a:lumMod val="60000"/>
                </a:schemeClr>
              </a:solidFill>
              <a:ln>
                <a:noFill/>
              </a:ln>
              <a:effectLst/>
            </c:spPr>
            <c:extLst>
              <c:ext xmlns:c="http://schemas.openxmlformats.org/drawingml/2006/chart" xmlns:c16="http://schemas.microsoft.com/office/drawing/2014/chart" uri="{C3380CC4-5D6E-409C-BE32-E72D297353CC}">
                <c16:uniqueId val="{0000000D-C319-4589-8BE3-B4DB01D08FBA}"/>
              </c:ext>
            </c:extLst>
          </c:dPt>
          <c:dLbls>
            <c:dLbl>
              <c:idx val="0"/>
              <c:layout>
                <c:manualLayout>
                  <c:x val="-0.022988505747126436"/>
                  <c:y val="-0.0026378318309097158"/>
                </c:manualLayout>
              </c:layou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1-C319-4589-8BE3-B4DB01D08FBA}"/>
                </c:ext>
                <c:ext xmlns:c15="http://schemas.microsoft.com/office/drawing/2012/chart" uri="{CE6537A1-D6FC-4f65-9D91-7224C49458BB}">
                  <c15:layout>
                    <c:manualLayout>
                      <c:w val="0.29693486590038315"/>
                      <c:h val="0.11838440111420613"/>
                    </c:manualLayout>
                  </c15:layout>
                </c:ext>
              </c:extLst>
            </c:dLbl>
            <c:dLbl>
              <c:idx val="2"/>
              <c:layout>
                <c:manualLayout>
                  <c:x val="0.0022648577378531908"/>
                  <c:y val="-0.060613105813026855"/>
                </c:manualLayout>
              </c:layou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5-C319-4589-8BE3-B4DB01D08FBA}"/>
                </c:ext>
                <c:ext xmlns:c15="http://schemas.microsoft.com/office/drawing/2012/chart" uri="{CE6537A1-D6FC-4f65-9D91-7224C49458BB}"/>
              </c:extLst>
            </c:dLbl>
            <c:dLbl>
              <c:idx val="3"/>
              <c:layout>
                <c:manualLayout>
                  <c:x val="0.077142434660456172"/>
                  <c:y val="-0.10434496523589147"/>
                </c:manualLayout>
              </c:layou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7-C319-4589-8BE3-B4DB01D08FBA}"/>
                </c:ext>
                <c:ext xmlns:c15="http://schemas.microsoft.com/office/drawing/2012/chart" uri="{CE6537A1-D6FC-4f65-9D91-7224C49458BB}"/>
              </c:extLst>
            </c:dLbl>
            <c:dLbl>
              <c:idx val="4"/>
              <c:layout>
                <c:manualLayout>
                  <c:x val="0.084443212204108289"/>
                  <c:y val="-0.042957617762960691"/>
                </c:manualLayout>
              </c:layou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9-C319-4589-8BE3-B4DB01D08FBA}"/>
                </c:ext>
                <c:ext xmlns:c15="http://schemas.microsoft.com/office/drawing/2012/chart" uri="{CE6537A1-D6FC-4f65-9D91-7224C49458BB}"/>
              </c:extLst>
            </c:dLbl>
            <c:dLbl>
              <c:idx val="5"/>
              <c:layout>
                <c:manualLayout>
                  <c:x val="0.070800340098332776"/>
                  <c:y val="0.015283778942673779"/>
                </c:manualLayout>
              </c:layou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B-C319-4589-8BE3-B4DB01D08FBA}"/>
                </c:ext>
                <c:ext xmlns:c15="http://schemas.microsoft.com/office/drawing/2012/chart" uri="{CE6537A1-D6FC-4f65-9D91-7224C49458BB}">
                  <c15:layout>
                    <c:manualLayout>
                      <c:w val="0.2873563218390805"/>
                      <c:h val="0.11838440111420613"/>
                    </c:manualLayout>
                  </c15:layout>
                </c:ext>
              </c:extLst>
            </c:dLbl>
            <c:dLbl>
              <c:idx val="6"/>
              <c:layout>
                <c:manualLayout>
                  <c:x val="0.0450492280014294"/>
                  <c:y val="-0.013085342048121422"/>
                </c:manualLayout>
              </c:layout>
              <c:spPr>
                <a:noFill/>
                <a:ln>
                  <a:noFill/>
                </a:ln>
                <a:effectLst/>
              </c:spPr>
              <c:txPr>
                <a:bodyPr wrap="square" lIns="38100" tIns="19050" rIns="38100" bIns="19050" anchor="ctr"/>
                <a:lstStyle/>
                <a:p>
                  <a:pPr>
                    <a:defRPr sz="700"/>
                  </a:pPr>
                  <a:endParaRPr lang="lv-LV"/>
                </a:p>
              </c:txPr>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D-C319-4589-8BE3-B4DB01D08FBA}"/>
                </c:ext>
                <c:ext xmlns:c15="http://schemas.microsoft.com/office/drawing/2012/chart" uri="{CE6537A1-D6FC-4f65-9D91-7224C49458BB}">
                  <c15:layout>
                    <c:manualLayout>
                      <c:w val="0.19664682759725458"/>
                      <c:h val="0.11416006843155747"/>
                    </c:manualLayout>
                  </c15:layout>
                </c:ext>
              </c:extLst>
            </c:dLbl>
            <c:spPr>
              <a:noFill/>
              <a:ln>
                <a:noFill/>
              </a:ln>
              <a:effectLst/>
            </c:spPr>
            <c:txPr>
              <a:bodyPr wrap="square" lIns="38100" tIns="19050" rIns="38100" bIns="19050" anchor="ctr">
                <a:spAutoFit/>
              </a:bodyPr>
              <a:lstStyle/>
              <a:p>
                <a:pPr>
                  <a:defRPr sz="700"/>
                </a:pPr>
                <a:endParaRPr lang="lv-LV"/>
              </a:p>
            </c:txPr>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Sheet1!$A$2:$A$10</c:f>
              <c:strCache>
                <c:ptCount val="9"/>
                <c:pt idx="0">
                  <c:v>Malta</c:v>
                </c:pt>
                <c:pt idx="1">
                  <c:v>Zviedrija</c:v>
                </c:pt>
                <c:pt idx="2">
                  <c:v>ASV</c:v>
                </c:pt>
                <c:pt idx="3">
                  <c:v>Kipra</c:v>
                </c:pt>
                <c:pt idx="4">
                  <c:v>Īrija</c:v>
                </c:pt>
                <c:pt idx="5">
                  <c:v>Norvēģija</c:v>
                </c:pt>
                <c:pt idx="6">
                  <c:v>Itālija</c:v>
                </c:pt>
                <c:pt idx="7">
                  <c:v>Krievija</c:v>
                </c:pt>
                <c:pt idx="8">
                  <c:v>Citas valstis</c:v>
                </c:pt>
              </c:strCache>
            </c:strRef>
          </c:cat>
          <c:val>
            <c:numRef>
              <c:f>Sheet1!$B$2:$B$10</c:f>
              <c:numCache>
                <c:formatCode>0</c:formatCode>
                <c:ptCount val="9"/>
                <c:pt idx="0">
                  <c:v>12.570356472795496</c:v>
                </c:pt>
                <c:pt idx="1">
                  <c:v>10.131332082551594</c:v>
                </c:pt>
                <c:pt idx="2">
                  <c:v>8.6303939962476548</c:v>
                </c:pt>
                <c:pt idx="3">
                  <c:v>7.6923076923076925</c:v>
                </c:pt>
                <c:pt idx="4">
                  <c:v>7.1294559099437143</c:v>
                </c:pt>
                <c:pt idx="5">
                  <c:v>6.9418386491557227</c:v>
                </c:pt>
                <c:pt idx="6">
                  <c:v>5.8161350844277679</c:v>
                </c:pt>
                <c:pt idx="7">
                  <c:v>5.4409005628517821</c:v>
                </c:pt>
                <c:pt idx="8">
                  <c:v>35.647279549718576</c:v>
                </c:pt>
              </c:numCache>
            </c:numRef>
          </c:val>
          <c:extLst>
            <c:ext xmlns:c="http://schemas.openxmlformats.org/drawingml/2006/chart" xmlns:c16="http://schemas.microsoft.com/office/drawing/2014/chart" uri="{C3380CC4-5D6E-409C-BE32-E72D297353CC}">
              <c16:uniqueId val="{0000000E-C319-4589-8BE3-B4DB01D08FB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noFill/>
    <a:ln w="9525">
      <a:noFill/>
      <a:round/>
    </a:ln>
    <a:effectLst/>
  </c:spPr>
  <c:txPr>
    <a:bodyPr/>
    <a:lstStyle/>
    <a:p>
      <a:pPr>
        <a:defRPr sz="800">
          <a:latin typeface="Candara" panose="020E0502030303020204" pitchFamily="34" charset="0"/>
        </a:defRPr>
      </a:pPr>
      <a:endParaRPr lang="lv-LV"/>
    </a:p>
  </c:txPr>
  <c:externalData r:id="rId1">
    <c:autoUpdate val="0"/>
  </c:externalData>
</c:chartSpace>
</file>

<file path=word/charts/chart3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98553601027233415"/>
          <c:y val="0.01722532963499513"/>
          <c:w val="0.40313623136346005"/>
          <c:h val="0.920462379795931"/>
        </c:manualLayout>
      </c:layout>
      <c:barChart>
        <c:barDir val="col"/>
        <c:grouping val="percentStacked"/>
        <c:varyColors val="0"/>
        <c:ser>
          <c:idx val="0"/>
          <c:order val="0"/>
          <c:tx>
            <c:strRef>
              <c:f>Sheet1!$A$2</c:f>
              <c:strCache>
                <c:ptCount val="1"/>
                <c:pt idx="0">
                  <c:v>Telesakaru pakalpojumi</c:v>
                </c:pt>
              </c:strCache>
            </c:strRef>
          </c:tx>
          <c:invertIfNegative val="0"/>
          <c:cat>
            <c:strRef>
              <c:f>Sheet1!$B$1:$F$1</c:f>
              <c:strCache>
                <c:ptCount val="5"/>
                <c:pt idx="0">
                  <c:v>2010</c:v>
                </c:pt>
                <c:pt idx="1">
                  <c:v>2012</c:v>
                </c:pt>
                <c:pt idx="2">
                  <c:v>2014</c:v>
                </c:pt>
                <c:pt idx="3">
                  <c:v>2015</c:v>
                </c:pt>
                <c:pt idx="4">
                  <c:v>2016</c:v>
                </c:pt>
              </c:strCache>
            </c:strRef>
          </c:cat>
          <c:val>
            <c:numRef>
              <c:f>Sheet1!$B$2:$F$2</c:f>
              <c:numCache>
                <c:formatCode>0</c:formatCode>
                <c:ptCount val="5"/>
                <c:pt idx="0">
                  <c:v>38.509316770186338</c:v>
                </c:pt>
                <c:pt idx="1">
                  <c:v>36.401673640167367</c:v>
                </c:pt>
                <c:pt idx="2">
                  <c:v>32.302405498281786</c:v>
                </c:pt>
                <c:pt idx="3">
                  <c:v>28.032345013477091</c:v>
                </c:pt>
                <c:pt idx="4">
                  <c:v>39.212007504690433</c:v>
                </c:pt>
              </c:numCache>
            </c:numRef>
          </c:val>
          <c:extLst>
            <c:ext xmlns:c="http://schemas.openxmlformats.org/drawingml/2006/chart" xmlns:c16="http://schemas.microsoft.com/office/drawing/2014/chart" uri="{C3380CC4-5D6E-409C-BE32-E72D297353CC}">
              <c16:uniqueId val="{00000000-2210-4752-A1C1-BA7C2CC396F0}"/>
            </c:ext>
          </c:extLst>
        </c:ser>
        <c:ser>
          <c:idx val="1"/>
          <c:order val="1"/>
          <c:tx>
            <c:strRef>
              <c:f>Sheet1!$A$3</c:f>
              <c:strCache>
                <c:ptCount val="1"/>
                <c:pt idx="0">
                  <c:v>Datorpakalpojumi un informācijas pakalpojumi</c:v>
                </c:pt>
              </c:strCache>
            </c:strRef>
          </c:tx>
          <c:invertIfNegative val="0"/>
          <c:cat>
            <c:strRef>
              <c:f>Sheet1!$B$1:$F$1</c:f>
              <c:strCache>
                <c:ptCount val="5"/>
                <c:pt idx="0">
                  <c:v>2010</c:v>
                </c:pt>
                <c:pt idx="1">
                  <c:v>2012</c:v>
                </c:pt>
                <c:pt idx="2">
                  <c:v>2014</c:v>
                </c:pt>
                <c:pt idx="3">
                  <c:v>2015</c:v>
                </c:pt>
                <c:pt idx="4">
                  <c:v>2016</c:v>
                </c:pt>
              </c:strCache>
            </c:strRef>
          </c:cat>
          <c:val>
            <c:numRef>
              <c:f>Sheet1!$B$3:$F$3</c:f>
              <c:numCache>
                <c:formatCode>0</c:formatCode>
                <c:ptCount val="5"/>
                <c:pt idx="0">
                  <c:v>56.521739130434781</c:v>
                </c:pt>
                <c:pt idx="1">
                  <c:v>57.740585774058573</c:v>
                </c:pt>
                <c:pt idx="2">
                  <c:v>63.230240549828174</c:v>
                </c:pt>
                <c:pt idx="3">
                  <c:v>63.611859838274931</c:v>
                </c:pt>
                <c:pt idx="4">
                  <c:v>56.09756097560976</c:v>
                </c:pt>
              </c:numCache>
            </c:numRef>
          </c:val>
          <c:extLst>
            <c:ext xmlns:c="http://schemas.openxmlformats.org/drawingml/2006/chart" xmlns:c16="http://schemas.microsoft.com/office/drawing/2014/chart" uri="{C3380CC4-5D6E-409C-BE32-E72D297353CC}">
              <c16:uniqueId val="{00000001-2210-4752-A1C1-BA7C2CC396F0}"/>
            </c:ext>
          </c:extLst>
        </c:ser>
        <c:ser>
          <c:idx val="2"/>
          <c:order val="2"/>
          <c:tx>
            <c:strRef>
              <c:f>Sheet1!$A$4</c:f>
              <c:strCache>
                <c:ptCount val="1"/>
                <c:pt idx="0">
                  <c:v>Ziņu aģentūru pakalpojumi</c:v>
                </c:pt>
              </c:strCache>
            </c:strRef>
          </c:tx>
          <c:invertIfNegative val="0"/>
          <c:cat>
            <c:strRef>
              <c:f>Sheet1!$B$1:$F$1</c:f>
              <c:strCache>
                <c:ptCount val="5"/>
                <c:pt idx="0">
                  <c:v>2010</c:v>
                </c:pt>
                <c:pt idx="1">
                  <c:v>2012</c:v>
                </c:pt>
                <c:pt idx="2">
                  <c:v>2014</c:v>
                </c:pt>
                <c:pt idx="3">
                  <c:v>2015</c:v>
                </c:pt>
                <c:pt idx="4">
                  <c:v>2016</c:v>
                </c:pt>
              </c:strCache>
            </c:strRef>
          </c:cat>
          <c:val>
            <c:numRef>
              <c:f>Sheet1!$B$4:$F$4</c:f>
              <c:numCache>
                <c:formatCode>0</c:formatCode>
                <c:ptCount val="5"/>
                <c:pt idx="0">
                  <c:v>0</c:v>
                </c:pt>
                <c:pt idx="1">
                  <c:v>0</c:v>
                </c:pt>
                <c:pt idx="2">
                  <c:v>0</c:v>
                </c:pt>
                <c:pt idx="3">
                  <c:v>0</c:v>
                </c:pt>
                <c:pt idx="4">
                  <c:v>0</c:v>
                </c:pt>
              </c:numCache>
            </c:numRef>
          </c:val>
          <c:extLst>
            <c:ext xmlns:c="http://schemas.openxmlformats.org/drawingml/2006/chart" xmlns:c16="http://schemas.microsoft.com/office/drawing/2014/chart" uri="{C3380CC4-5D6E-409C-BE32-E72D297353CC}">
              <c16:uniqueId val="{00000002-2210-4752-A1C1-BA7C2CC396F0}"/>
            </c:ext>
          </c:extLst>
        </c:ser>
        <c:ser>
          <c:idx val="3"/>
          <c:order val="3"/>
          <c:tx>
            <c:strRef>
              <c:f>Sheet1!$A$5</c:f>
              <c:strCache>
                <c:ptCount val="1"/>
                <c:pt idx="0">
                  <c:v>Citi informācijas pakalpojumi (izņemot ziņu aģentūras)</c:v>
                </c:pt>
              </c:strCache>
            </c:strRef>
          </c:tx>
          <c:invertIfNegative val="0"/>
          <c:cat>
            <c:strRef>
              <c:f>Sheet1!$B$1:$F$1</c:f>
              <c:strCache>
                <c:ptCount val="5"/>
                <c:pt idx="0">
                  <c:v>2010</c:v>
                </c:pt>
                <c:pt idx="1">
                  <c:v>2012</c:v>
                </c:pt>
                <c:pt idx="2">
                  <c:v>2014</c:v>
                </c:pt>
                <c:pt idx="3">
                  <c:v>2015</c:v>
                </c:pt>
                <c:pt idx="4">
                  <c:v>2016</c:v>
                </c:pt>
              </c:strCache>
            </c:strRef>
          </c:cat>
          <c:val>
            <c:numRef>
              <c:f>Sheet1!$B$5:$F$5</c:f>
              <c:numCache>
                <c:formatCode>0</c:formatCode>
                <c:ptCount val="5"/>
                <c:pt idx="0">
                  <c:v>4.9689440993788816</c:v>
                </c:pt>
                <c:pt idx="1">
                  <c:v>5.8577405857740583</c:v>
                </c:pt>
                <c:pt idx="2">
                  <c:v>4.4673539518900345</c:v>
                </c:pt>
                <c:pt idx="3">
                  <c:v>8.355795148247978</c:v>
                </c:pt>
                <c:pt idx="4">
                  <c:v>4.6904315196998123</c:v>
                </c:pt>
              </c:numCache>
            </c:numRef>
          </c:val>
          <c:extLst>
            <c:ext xmlns:c="http://schemas.openxmlformats.org/drawingml/2006/chart" xmlns:c16="http://schemas.microsoft.com/office/drawing/2014/chart" uri="{C3380CC4-5D6E-409C-BE32-E72D297353CC}">
              <c16:uniqueId val="{00000003-2210-4752-A1C1-BA7C2CC396F0}"/>
            </c:ext>
          </c:extLst>
        </c:ser>
        <c:dLbls>
          <c:showLegendKey val="0"/>
          <c:showVal val="0"/>
          <c:showCatName val="0"/>
          <c:showSerName val="0"/>
          <c:showPercent val="0"/>
          <c:showBubbleSize val="0"/>
        </c:dLbls>
        <c:gapWidth val="20"/>
        <c:overlap val="100"/>
        <c:axId val="656473472"/>
        <c:axId val="656467592"/>
      </c:barChart>
      <c:catAx>
        <c:axId val="656473472"/>
        <c:scaling>
          <c:orientation val="minMax"/>
        </c:scaling>
        <c:delete val="0"/>
        <c:axPos val="b"/>
        <c:numFmt formatCode="General" sourceLinked="0"/>
        <c:majorTickMark val="out"/>
        <c:minorTickMark val="none"/>
        <c:tickLblPos val="nextTo"/>
        <c:txPr>
          <a:bodyPr/>
          <a:lstStyle/>
          <a:p>
            <a:pPr>
              <a:defRPr sz="700"/>
            </a:pPr>
            <a:endParaRPr lang="lv-LV"/>
          </a:p>
        </c:txPr>
        <c:crossAx val="656467592"/>
        <c:crosses val="autoZero"/>
        <c:auto val="1"/>
        <c:lblAlgn val="ctr"/>
        <c:lblOffset val="100"/>
        <c:noMultiLvlLbl val="0"/>
      </c:catAx>
      <c:valAx>
        <c:axId val="656467592"/>
        <c:scaling>
          <c:orientation val="minMax"/>
        </c:scaling>
        <c:delete val="0"/>
        <c:axPos val="l"/>
        <c:numFmt formatCode="0%" sourceLinked="1"/>
        <c:majorTickMark val="out"/>
        <c:minorTickMark val="none"/>
        <c:tickLblPos val="nextTo"/>
        <c:txPr>
          <a:bodyPr/>
          <a:lstStyle/>
          <a:p>
            <a:pPr>
              <a:defRPr sz="700"/>
            </a:pPr>
            <a:endParaRPr lang="lv-LV"/>
          </a:p>
        </c:txPr>
        <c:crossAx val="656473472"/>
        <c:crosses val="autoZero"/>
        <c:crossBetween val="between"/>
      </c:valAx>
    </c:plotArea>
    <c:legend>
      <c:legendPos val="r"/>
      <c:layout>
        <c:manualLayout>
          <c:xMode val="edge"/>
          <c:yMode val="edge"/>
          <c:x val="0.58864544382813588"/>
          <c:y val="0.018061189542134811"/>
          <c:w val="0.411354556171864"/>
          <c:h val="0.94785234202946478"/>
        </c:manualLayout>
      </c:layout>
      <c:overlay val="0"/>
      <c:txPr>
        <a:bodyPr/>
        <a:lstStyle/>
        <a:p>
          <a:pPr>
            <a:defRPr sz="600">
              <a:latin typeface="Arial Narrow" panose="020B0606020202030204" pitchFamily="34" charset="0"/>
            </a:defRPr>
          </a:pPr>
          <a:endParaRPr lang="lv-LV"/>
        </a:p>
      </c:txPr>
    </c:legend>
    <c:plotVisOnly val="1"/>
    <c:dispBlanksAs val="gap"/>
    <c:showDLblsOverMax val="0"/>
  </c:chart>
  <c:spPr>
    <a:ln w="9525">
      <a:noFill/>
    </a:ln>
  </c:spPr>
  <c:txPr>
    <a:bodyPr/>
    <a:lstStyle/>
    <a:p>
      <a:pPr>
        <a:defRPr sz="800"/>
      </a:pPr>
      <a:endParaRPr lang="lv-LV"/>
    </a:p>
  </c:txPr>
  <c:externalData r:id="rId1">
    <c:autoUpdate val="0"/>
  </c:externalData>
</c:chartSpace>
</file>

<file path=word/charts/chart3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98553601027233415"/>
          <c:y val="0.01722532963499513"/>
          <c:w val="0.88592589806420907"/>
          <c:h val="0.920462379795931"/>
        </c:manualLayout>
      </c:layout>
      <c:barChart>
        <c:barDir val="col"/>
        <c:grouping val="percentStacked"/>
        <c:varyColors val="0"/>
        <c:ser>
          <c:idx val="0"/>
          <c:order val="0"/>
          <c:tx>
            <c:strRef>
              <c:f>Sheet1!$A$2</c:f>
              <c:strCache>
                <c:ptCount val="1"/>
                <c:pt idx="0">
                  <c:v>Telesakaru pakalpojumi</c:v>
                </c:pt>
              </c:strCache>
            </c:strRef>
          </c:tx>
          <c:invertIfNegative val="0"/>
          <c:cat>
            <c:strRef>
              <c:f>Sheet1!$B$1:$F$1</c:f>
              <c:strCache>
                <c:ptCount val="5"/>
                <c:pt idx="0">
                  <c:v>2010</c:v>
                </c:pt>
                <c:pt idx="1">
                  <c:v>2012</c:v>
                </c:pt>
                <c:pt idx="2">
                  <c:v>2014</c:v>
                </c:pt>
                <c:pt idx="3">
                  <c:v>2015</c:v>
                </c:pt>
                <c:pt idx="4">
                  <c:v>2016</c:v>
                </c:pt>
              </c:strCache>
            </c:strRef>
          </c:cat>
          <c:val>
            <c:numRef>
              <c:f>Sheet1!$B$2:$F$2</c:f>
              <c:numCache>
                <c:formatCode>0</c:formatCode>
                <c:ptCount val="5"/>
                <c:pt idx="0">
                  <c:v>24.754440049297031</c:v>
                </c:pt>
                <c:pt idx="1">
                  <c:v>23.0027556133397</c:v>
                </c:pt>
                <c:pt idx="2">
                  <c:v>21.961250218185711</c:v>
                </c:pt>
                <c:pt idx="3">
                  <c:v>20.354791055693049</c:v>
                </c:pt>
                <c:pt idx="4">
                  <c:v>18.699475510789863</c:v>
                </c:pt>
              </c:numCache>
            </c:numRef>
          </c:val>
          <c:extLst>
            <c:ext xmlns:c="http://schemas.openxmlformats.org/drawingml/2006/chart" xmlns:c16="http://schemas.microsoft.com/office/drawing/2014/chart" uri="{C3380CC4-5D6E-409C-BE32-E72D297353CC}">
              <c16:uniqueId val="{00000000-D7C1-4ABB-BBA4-8594F4A1C81B}"/>
            </c:ext>
          </c:extLst>
        </c:ser>
        <c:ser>
          <c:idx val="1"/>
          <c:order val="1"/>
          <c:tx>
            <c:strRef>
              <c:f>Sheet1!$A$3</c:f>
              <c:strCache>
                <c:ptCount val="1"/>
                <c:pt idx="0">
                  <c:v>Datorpakalpojumi un informācijas pakalpojumi</c:v>
                </c:pt>
              </c:strCache>
            </c:strRef>
          </c:tx>
          <c:invertIfNegative val="0"/>
          <c:cat>
            <c:strRef>
              <c:f>Sheet1!$B$1:$F$1</c:f>
              <c:strCache>
                <c:ptCount val="5"/>
                <c:pt idx="0">
                  <c:v>2010</c:v>
                </c:pt>
                <c:pt idx="1">
                  <c:v>2012</c:v>
                </c:pt>
                <c:pt idx="2">
                  <c:v>2014</c:v>
                </c:pt>
                <c:pt idx="3">
                  <c:v>2015</c:v>
                </c:pt>
                <c:pt idx="4">
                  <c:v>2016</c:v>
                </c:pt>
              </c:strCache>
            </c:strRef>
          </c:cat>
          <c:val>
            <c:numRef>
              <c:f>Sheet1!$B$3:$F$3</c:f>
              <c:numCache>
                <c:formatCode>0</c:formatCode>
                <c:ptCount val="5"/>
                <c:pt idx="0">
                  <c:v>70.989047820212491</c:v>
                </c:pt>
                <c:pt idx="1">
                  <c:v>73.348853234026436</c:v>
                </c:pt>
                <c:pt idx="2">
                  <c:v>74.644962584670139</c:v>
                </c:pt>
                <c:pt idx="3">
                  <c:v>75.44909061517852</c:v>
                </c:pt>
                <c:pt idx="4">
                  <c:v>76.664523796533288</c:v>
                </c:pt>
              </c:numCache>
            </c:numRef>
          </c:val>
          <c:extLst>
            <c:ext xmlns:c="http://schemas.openxmlformats.org/drawingml/2006/chart" xmlns:c16="http://schemas.microsoft.com/office/drawing/2014/chart" uri="{C3380CC4-5D6E-409C-BE32-E72D297353CC}">
              <c16:uniqueId val="{00000001-D7C1-4ABB-BBA4-8594F4A1C81B}"/>
            </c:ext>
          </c:extLst>
        </c:ser>
        <c:ser>
          <c:idx val="2"/>
          <c:order val="2"/>
          <c:tx>
            <c:strRef>
              <c:f>Sheet1!$A$4</c:f>
              <c:strCache>
                <c:ptCount val="1"/>
                <c:pt idx="0">
                  <c:v>Ziņu aģentūru pakalpojumi</c:v>
                </c:pt>
              </c:strCache>
            </c:strRef>
          </c:tx>
          <c:invertIfNegative val="0"/>
          <c:cat>
            <c:strRef>
              <c:f>Sheet1!$B$1:$F$1</c:f>
              <c:strCache>
                <c:ptCount val="5"/>
                <c:pt idx="0">
                  <c:v>2010</c:v>
                </c:pt>
                <c:pt idx="1">
                  <c:v>2012</c:v>
                </c:pt>
                <c:pt idx="2">
                  <c:v>2014</c:v>
                </c:pt>
                <c:pt idx="3">
                  <c:v>2015</c:v>
                </c:pt>
                <c:pt idx="4">
                  <c:v>2016</c:v>
                </c:pt>
              </c:strCache>
            </c:strRef>
          </c:cat>
          <c:val>
            <c:numRef>
              <c:f>Sheet1!$B$4:$F$4</c:f>
              <c:numCache>
                <c:formatCode>0</c:formatCode>
                <c:ptCount val="5"/>
                <c:pt idx="0">
                  <c:v>0.60294595132442141</c:v>
                </c:pt>
                <c:pt idx="1">
                  <c:v>0.52152747016030632</c:v>
                </c:pt>
                <c:pt idx="2">
                  <c:v>0.43642772281687603</c:v>
                </c:pt>
                <c:pt idx="3">
                  <c:v>0.504695104937636</c:v>
                </c:pt>
                <c:pt idx="4">
                  <c:v>0.44383505751352736</c:v>
                </c:pt>
              </c:numCache>
            </c:numRef>
          </c:val>
          <c:extLst>
            <c:ext xmlns:c="http://schemas.openxmlformats.org/drawingml/2006/chart" xmlns:c16="http://schemas.microsoft.com/office/drawing/2014/chart" uri="{C3380CC4-5D6E-409C-BE32-E72D297353CC}">
              <c16:uniqueId val="{00000002-D7C1-4ABB-BBA4-8594F4A1C81B}"/>
            </c:ext>
          </c:extLst>
        </c:ser>
        <c:ser>
          <c:idx val="3"/>
          <c:order val="3"/>
          <c:tx>
            <c:strRef>
              <c:f>Sheet1!$A$5</c:f>
              <c:strCache>
                <c:ptCount val="1"/>
                <c:pt idx="0">
                  <c:v>Pārējie informācijas pakalpojumi</c:v>
                </c:pt>
              </c:strCache>
            </c:strRef>
          </c:tx>
          <c:invertIfNegative val="0"/>
          <c:cat>
            <c:strRef>
              <c:f>Sheet1!$B$1:$F$1</c:f>
              <c:strCache>
                <c:ptCount val="5"/>
                <c:pt idx="0">
                  <c:v>2010</c:v>
                </c:pt>
                <c:pt idx="1">
                  <c:v>2012</c:v>
                </c:pt>
                <c:pt idx="2">
                  <c:v>2014</c:v>
                </c:pt>
                <c:pt idx="3">
                  <c:v>2015</c:v>
                </c:pt>
                <c:pt idx="4">
                  <c:v>2016</c:v>
                </c:pt>
              </c:strCache>
            </c:strRef>
          </c:cat>
          <c:val>
            <c:numRef>
              <c:f>Sheet1!$B$5:$F$5</c:f>
              <c:numCache>
                <c:formatCode>0</c:formatCode>
                <c:ptCount val="5"/>
                <c:pt idx="0">
                  <c:v>3.6535661791660705</c:v>
                </c:pt>
                <c:pt idx="1">
                  <c:v>3.1268636824735707</c:v>
                </c:pt>
                <c:pt idx="2">
                  <c:v>2.9573594743272844</c:v>
                </c:pt>
                <c:pt idx="3">
                  <c:v>3.6914232241907938</c:v>
                </c:pt>
                <c:pt idx="4">
                  <c:v>4.1921656351633123</c:v>
                </c:pt>
              </c:numCache>
            </c:numRef>
          </c:val>
          <c:extLst>
            <c:ext xmlns:c="http://schemas.openxmlformats.org/drawingml/2006/chart" xmlns:c16="http://schemas.microsoft.com/office/drawing/2014/chart" uri="{C3380CC4-5D6E-409C-BE32-E72D297353CC}">
              <c16:uniqueId val="{00000003-D7C1-4ABB-BBA4-8594F4A1C81B}"/>
            </c:ext>
          </c:extLst>
        </c:ser>
        <c:dLbls>
          <c:showLegendKey val="0"/>
          <c:showVal val="0"/>
          <c:showCatName val="0"/>
          <c:showSerName val="0"/>
          <c:showPercent val="0"/>
          <c:showBubbleSize val="0"/>
        </c:dLbls>
        <c:gapWidth val="20"/>
        <c:overlap val="100"/>
        <c:axId val="656469944"/>
        <c:axId val="656470728"/>
      </c:barChart>
      <c:catAx>
        <c:axId val="656469944"/>
        <c:scaling>
          <c:orientation val="minMax"/>
        </c:scaling>
        <c:delete val="0"/>
        <c:axPos val="b"/>
        <c:numFmt formatCode="General" sourceLinked="0"/>
        <c:majorTickMark val="out"/>
        <c:minorTickMark val="none"/>
        <c:tickLblPos val="nextTo"/>
        <c:txPr>
          <a:bodyPr/>
          <a:lstStyle/>
          <a:p>
            <a:pPr>
              <a:defRPr sz="700"/>
            </a:pPr>
            <a:endParaRPr lang="lv-LV"/>
          </a:p>
        </c:txPr>
        <c:crossAx val="656470728"/>
        <c:crosses val="autoZero"/>
        <c:auto val="1"/>
        <c:lblAlgn val="ctr"/>
        <c:lblOffset val="100"/>
        <c:noMultiLvlLbl val="0"/>
      </c:catAx>
      <c:valAx>
        <c:axId val="656470728"/>
        <c:scaling>
          <c:orientation val="minMax"/>
        </c:scaling>
        <c:delete val="0"/>
        <c:axPos val="l"/>
        <c:numFmt formatCode="0%" sourceLinked="1"/>
        <c:majorTickMark val="out"/>
        <c:minorTickMark val="none"/>
        <c:tickLblPos val="nextTo"/>
        <c:txPr>
          <a:bodyPr/>
          <a:lstStyle/>
          <a:p>
            <a:pPr>
              <a:defRPr sz="700"/>
            </a:pPr>
            <a:endParaRPr lang="lv-LV"/>
          </a:p>
        </c:txPr>
        <c:crossAx val="656469944"/>
        <c:crosses val="autoZero"/>
        <c:crossBetween val="between"/>
      </c:valAx>
    </c:plotArea>
    <c:plotVisOnly val="1"/>
    <c:dispBlanksAs val="gap"/>
    <c:showDLblsOverMax val="0"/>
  </c:chart>
  <c:spPr>
    <a:ln w="9525">
      <a:noFill/>
    </a:ln>
  </c:spPr>
  <c:txPr>
    <a:bodyPr/>
    <a:lstStyle/>
    <a:p>
      <a:pPr>
        <a:defRPr sz="800"/>
      </a:pPr>
      <a:endParaRPr lang="lv-LV"/>
    </a:p>
  </c:txPr>
  <c:externalData r:id="rId1">
    <c:autoUpdate val="0"/>
  </c:externalData>
</c:chartSpace>
</file>

<file path=word/charts/chart3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33E0-481B-B6BA-BDE818B63E02}"/>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33E0-481B-B6BA-BDE818B63E02}"/>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Sheet1!$B$2:$L$2</c:f>
              <c:numCache>
                <c:formatCode>0</c:formatCode>
                <c:ptCount val="11"/>
                <c:pt idx="0">
                  <c:v>2006</c:v>
                </c:pt>
                <c:pt idx="1">
                  <c:v>2007</c:v>
                </c:pt>
                <c:pt idx="2">
                  <c:v>2008</c:v>
                </c:pt>
                <c:pt idx="3">
                  <c:v>2009</c:v>
                </c:pt>
                <c:pt idx="4">
                  <c:v>2010</c:v>
                </c:pt>
                <c:pt idx="5">
                  <c:v>2011</c:v>
                </c:pt>
                <c:pt idx="6">
                  <c:v>2012</c:v>
                </c:pt>
                <c:pt idx="7">
                  <c:v>2013</c:v>
                </c:pt>
                <c:pt idx="8">
                  <c:v>2014</c:v>
                </c:pt>
                <c:pt idx="9" formatCode="General">
                  <c:v>2015</c:v>
                </c:pt>
                <c:pt idx="10" formatCode="General">
                  <c:v>2016</c:v>
                </c:pt>
              </c:numCache>
            </c:numRef>
          </c:cat>
          <c:val>
            <c:numRef>
              <c:f>Sheet1!$B$3:$L$3</c:f>
              <c:numCache>
                <c:formatCode>0.0</c:formatCode>
                <c:ptCount val="11"/>
                <c:pt idx="0">
                  <c:v>15.961904761904762</c:v>
                </c:pt>
                <c:pt idx="1">
                  <c:v>16.8355091383812</c:v>
                </c:pt>
                <c:pt idx="2">
                  <c:v>20.113077679449361</c:v>
                </c:pt>
                <c:pt idx="3">
                  <c:v>19.82251802551303</c:v>
                </c:pt>
                <c:pt idx="4">
                  <c:v>17.750144592249853</c:v>
                </c:pt>
                <c:pt idx="5">
                  <c:v>17.9004329004329</c:v>
                </c:pt>
                <c:pt idx="6">
                  <c:v>20.282828282828284</c:v>
                </c:pt>
                <c:pt idx="7">
                  <c:v>20.928571428571427</c:v>
                </c:pt>
                <c:pt idx="8">
                  <c:v>21.747572815533982</c:v>
                </c:pt>
                <c:pt idx="9">
                  <c:v>23.698464025869036</c:v>
                </c:pt>
                <c:pt idx="10">
                  <c:v>23.354231974921628</c:v>
                </c:pt>
              </c:numCache>
            </c:numRef>
          </c:val>
          <c:extLst>
            <c:ext xmlns:c="http://schemas.openxmlformats.org/drawingml/2006/chart" xmlns:c16="http://schemas.microsoft.com/office/drawing/2014/chart" uri="{C3380CC4-5D6E-409C-BE32-E72D297353CC}">
              <c16:uniqueId val="{00000004-33E0-481B-B6BA-BDE818B63E02}"/>
            </c:ext>
          </c:extLst>
        </c:ser>
        <c:dLbls>
          <c:showLegendKey val="0"/>
          <c:showVal val="0"/>
          <c:showCatName val="0"/>
          <c:showSerName val="0"/>
          <c:showPercent val="0"/>
          <c:showBubbleSize val="0"/>
        </c:dLbls>
        <c:gapWidth val="20"/>
        <c:axId val="656474648"/>
        <c:axId val="656475040"/>
      </c:barChart>
      <c:catAx>
        <c:axId val="656474648"/>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56475040"/>
        <c:crosses val="autoZero"/>
        <c:auto val="1"/>
        <c:lblAlgn val="ctr"/>
        <c:lblOffset val="100"/>
        <c:noMultiLvlLbl val="0"/>
      </c:catAx>
      <c:valAx>
        <c:axId val="656475040"/>
        <c:scaling>
          <c:orientation val="minMax"/>
          <c:max val="25"/>
          <c:min val="0"/>
        </c:scaling>
        <c:delete val="0"/>
        <c:axPos val="l"/>
        <c:numFmt formatCode="0" sourceLinked="0"/>
        <c:majorTickMark val="out"/>
        <c:minorTickMark val="none"/>
        <c:tickLblPos val="nextTo"/>
        <c:crossAx val="656474648"/>
        <c:crosses val="autoZero"/>
        <c:crossBetween val="between"/>
        <c:majorUnit val="5"/>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3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B4A5-475F-BE0D-9200476A7DBE}"/>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B4A5-475F-BE0D-9200476A7DBE}"/>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Sheet1!$B$2:$L$2</c:f>
              <c:numCache>
                <c:formatCode>0</c:formatCode>
                <c:ptCount val="11"/>
                <c:pt idx="0">
                  <c:v>2006</c:v>
                </c:pt>
                <c:pt idx="1">
                  <c:v>2007</c:v>
                </c:pt>
                <c:pt idx="2">
                  <c:v>2008</c:v>
                </c:pt>
                <c:pt idx="3">
                  <c:v>2009</c:v>
                </c:pt>
                <c:pt idx="4">
                  <c:v>2010</c:v>
                </c:pt>
                <c:pt idx="5">
                  <c:v>2011</c:v>
                </c:pt>
                <c:pt idx="6">
                  <c:v>2012</c:v>
                </c:pt>
                <c:pt idx="7">
                  <c:v>2013</c:v>
                </c:pt>
                <c:pt idx="8">
                  <c:v>2014</c:v>
                </c:pt>
                <c:pt idx="9" formatCode="General">
                  <c:v>2015</c:v>
                </c:pt>
                <c:pt idx="10" formatCode="General">
                  <c:v>2016</c:v>
                </c:pt>
              </c:numCache>
            </c:numRef>
          </c:cat>
          <c:val>
            <c:numRef>
              <c:f>Sheet1!$B$3:$L$3</c:f>
              <c:numCache>
                <c:formatCode>General</c:formatCode>
                <c:ptCount val="11"/>
                <c:pt idx="0">
                  <c:v>47.629547960308706</c:v>
                </c:pt>
                <c:pt idx="1">
                  <c:v>40.22769516728625</c:v>
                </c:pt>
                <c:pt idx="2">
                  <c:v>39.788192879675528</c:v>
                </c:pt>
                <c:pt idx="3">
                  <c:v>36.773864216436955</c:v>
                </c:pt>
                <c:pt idx="4">
                  <c:v>36.740220661985958</c:v>
                </c:pt>
                <c:pt idx="5">
                  <c:v>35.21355617455896</c:v>
                </c:pt>
                <c:pt idx="6">
                  <c:v>37.06666666666667</c:v>
                </c:pt>
                <c:pt idx="7">
                  <c:v>35.223880597014926</c:v>
                </c:pt>
                <c:pt idx="8">
                  <c:v>30.837053571428573</c:v>
                </c:pt>
                <c:pt idx="9">
                  <c:v>29.470752089136489</c:v>
                </c:pt>
                <c:pt idx="10">
                  <c:v>28.665798893589326</c:v>
                </c:pt>
              </c:numCache>
            </c:numRef>
          </c:val>
          <c:extLst>
            <c:ext xmlns:c="http://schemas.openxmlformats.org/drawingml/2006/chart" xmlns:c16="http://schemas.microsoft.com/office/drawing/2014/chart" uri="{C3380CC4-5D6E-409C-BE32-E72D297353CC}">
              <c16:uniqueId val="{00000004-B4A5-475F-BE0D-9200476A7DBE}"/>
            </c:ext>
          </c:extLst>
        </c:ser>
        <c:dLbls>
          <c:showLegendKey val="0"/>
          <c:showVal val="0"/>
          <c:showCatName val="0"/>
          <c:showSerName val="0"/>
          <c:showPercent val="0"/>
          <c:showBubbleSize val="0"/>
        </c:dLbls>
        <c:gapWidth val="20"/>
        <c:axId val="656464848"/>
        <c:axId val="656466808"/>
      </c:barChart>
      <c:catAx>
        <c:axId val="656464848"/>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56466808"/>
        <c:crosses val="autoZero"/>
        <c:auto val="1"/>
        <c:lblAlgn val="ctr"/>
        <c:lblOffset val="100"/>
        <c:noMultiLvlLbl val="0"/>
      </c:catAx>
      <c:valAx>
        <c:axId val="656466808"/>
        <c:scaling>
          <c:orientation val="minMax"/>
        </c:scaling>
        <c:delete val="0"/>
        <c:axPos val="l"/>
        <c:numFmt formatCode="0" sourceLinked="0"/>
        <c:majorTickMark val="out"/>
        <c:minorTickMark val="none"/>
        <c:tickLblPos val="nextTo"/>
        <c:crossAx val="656464848"/>
        <c:crosses val="autoZero"/>
        <c:crossBetween val="between"/>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33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72841410287632"/>
          <c:y val="0.057971014492753624"/>
          <c:w val="0.69294856184214082"/>
          <c:h val="0.726718711443121"/>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marker>
              <c:spPr>
                <a:solidFill>
                  <a:srgbClr val="002060"/>
                </a:solidFill>
                <a:ln w="6350">
                  <a:solidFill>
                    <a:sysClr val="windowText" lastClr="000000"/>
                  </a:solidFill>
                </a:ln>
              </c:spPr>
            </c:marker>
            <c:extLst>
              <c:ext xmlns:c="http://schemas.openxmlformats.org/drawingml/2006/chart" xmlns:c16="http://schemas.microsoft.com/office/drawing/2014/chart" uri="{C3380CC4-5D6E-409C-BE32-E72D297353CC}">
                <c16:uniqueId val="{00000000-BC05-4C31-9D13-2A220C1E3340}"/>
              </c:ext>
            </c:extLst>
          </c:dPt>
          <c:dLbls>
            <c:dLbl>
              <c:idx val="0"/>
              <c:layout>
                <c:manualLayout>
                  <c:x val="-0.22962436454935367"/>
                  <c:y val="0.028082211106319"/>
                </c:manualLayout>
              </c:layout>
              <c:tx>
                <c:rich>
                  <a:bodyPr vertOverflow="clip"/>
                  <a:lstStyle/>
                  <a:p>
                    <a:r>
                      <a:rPr lang="en-US"/>
                      <a:t>2005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BC05-4C31-9D13-2A220C1E3340}"/>
                </c:ext>
                <c:ext xmlns:c15="http://schemas.microsoft.com/office/drawing/2012/chart" uri="{CE6537A1-D6FC-4f65-9D91-7224C49458BB}"/>
              </c:extLst>
            </c:dLbl>
            <c:dLbl>
              <c:idx val="1"/>
              <c:layout>
                <c:manualLayout>
                  <c:x val="-0.096214997851426842"/>
                  <c:y val="-0.091459430312199233"/>
                </c:manualLayout>
              </c:layout>
              <c:tx>
                <c:rich>
                  <a:bodyPr vertOverflow="clip"/>
                  <a:lstStyle/>
                  <a:p>
                    <a:r>
                      <a:rPr lang="en-US"/>
                      <a:t>2007</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BC05-4C31-9D13-2A220C1E3340}"/>
                </c:ext>
                <c:ext xmlns:c15="http://schemas.microsoft.com/office/drawing/2012/chart" uri="{CE6537A1-D6FC-4f65-9D91-7224C49458BB}"/>
              </c:extLst>
            </c:dLbl>
            <c:dLbl>
              <c:idx val="2"/>
              <c:layout>
                <c:manualLayout>
                  <c:x val="-0.24390494388035022"/>
                  <c:y val="-0.033014501282449191"/>
                </c:manualLayout>
              </c:layout>
              <c:tx>
                <c:rich>
                  <a:bodyPr vertOverflow="clip"/>
                  <a:lstStyle/>
                  <a:p>
                    <a:r>
                      <a:rPr lang="en-US"/>
                      <a:t>2010</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BC05-4C31-9D13-2A220C1E3340}"/>
                </c:ext>
                <c:ext xmlns:c15="http://schemas.microsoft.com/office/drawing/2012/chart" uri="{CE6537A1-D6FC-4f65-9D91-7224C49458BB}"/>
              </c:extLst>
            </c:dLbl>
            <c:dLbl>
              <c:idx val="3"/>
              <c:layout>
                <c:manualLayout>
                  <c:x val="-0.0071554242688770392"/>
                  <c:y val="-0.007977295252631517"/>
                </c:manualLayout>
              </c:layout>
              <c:tx>
                <c:rich>
                  <a:bodyPr vertOverflow="clip"/>
                  <a:lstStyle/>
                  <a:p>
                    <a:r>
                      <a:rPr lang="en-US"/>
                      <a:t>2008</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BC05-4C31-9D13-2A220C1E3340}"/>
                </c:ext>
                <c:ext xmlns:c15="http://schemas.microsoft.com/office/drawing/2012/chart" uri="{CE6537A1-D6FC-4f65-9D91-7224C49458BB}"/>
              </c:extLst>
            </c:dLbl>
            <c:dLbl>
              <c:idx val="4"/>
              <c:delete val="1"/>
              <c:extLst>
                <c:ext xmlns:c="http://schemas.openxmlformats.org/drawingml/2006/chart" xmlns:c16="http://schemas.microsoft.com/office/drawing/2014/chart" uri="{C3380CC4-5D6E-409C-BE32-E72D297353CC}">
                  <c16:uniqueId val="{00000005-BC05-4C31-9D13-2A220C1E3340}"/>
                </c:ext>
                <c:ext xmlns:c15="http://schemas.microsoft.com/office/drawing/2012/chart" uri="{CE6537A1-D6FC-4f65-9D91-7224C49458BB}"/>
              </c:extLst>
            </c:dLbl>
            <c:dLbl>
              <c:idx val="5"/>
              <c:delete val="1"/>
              <c:extLst>
                <c:ext xmlns:c="http://schemas.openxmlformats.org/drawingml/2006/chart" xmlns:c16="http://schemas.microsoft.com/office/drawing/2014/chart" uri="{C3380CC4-5D6E-409C-BE32-E72D297353CC}">
                  <c16:uniqueId val="{00000000-BC05-4C31-9D13-2A220C1E3340}"/>
                </c:ext>
                <c:ext xmlns:c15="http://schemas.microsoft.com/office/drawing/2012/chart" uri="{CE6537A1-D6FC-4f65-9D91-7224C49458BB}"/>
              </c:extLst>
            </c:dLbl>
            <c:dLbl>
              <c:idx val="6"/>
              <c:delete val="1"/>
              <c:extLst>
                <c:ext xmlns:c="http://schemas.openxmlformats.org/drawingml/2006/chart" xmlns:c16="http://schemas.microsoft.com/office/drawing/2014/chart" uri="{C3380CC4-5D6E-409C-BE32-E72D297353CC}">
                  <c16:uniqueId val="{00000006-BC05-4C31-9D13-2A220C1E3340}"/>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7-BC05-4C31-9D13-2A220C1E3340}"/>
                </c:ext>
                <c:ext xmlns:c15="http://schemas.microsoft.com/office/drawing/2012/chart" uri="{CE6537A1-D6FC-4f65-9D91-7224C49458BB}"/>
              </c:extLst>
            </c:dLbl>
            <c:dLbl>
              <c:idx val="8"/>
              <c:delete val="1"/>
              <c:extLst>
                <c:ext xmlns:c="http://schemas.openxmlformats.org/drawingml/2006/chart" xmlns:c16="http://schemas.microsoft.com/office/drawing/2014/chart" uri="{C3380CC4-5D6E-409C-BE32-E72D297353CC}">
                  <c16:uniqueId val="{00000008-BC05-4C31-9D13-2A220C1E3340}"/>
                </c:ext>
                <c:ext xmlns:c15="http://schemas.microsoft.com/office/drawing/2012/chart" uri="{CE6537A1-D6FC-4f65-9D91-7224C49458BB}"/>
              </c:extLst>
            </c:dLbl>
            <c:dLbl>
              <c:idx val="9"/>
              <c:layout>
                <c:manualLayout>
                  <c:x val="-0.25442025009932084"/>
                  <c:y val="0.0090866462710892017"/>
                </c:manualLayout>
              </c:layout>
              <c:tx>
                <c:rich>
                  <a:bodyPr vertOverflow="clip"/>
                  <a:lstStyle/>
                  <a:p>
                    <a:r>
                      <a:rPr lang="en-US"/>
                      <a:t>2014</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BC05-4C31-9D13-2A220C1E3340}"/>
                </c:ext>
                <c:ext xmlns:c15="http://schemas.microsoft.com/office/drawing/2012/chart" uri="{CE6537A1-D6FC-4f65-9D91-7224C49458BB}"/>
              </c:extLst>
            </c:dLbl>
            <c:dLbl>
              <c:idx val="10"/>
              <c:layout>
                <c:manualLayout>
                  <c:x val="-0.048682691305879967"/>
                  <c:y val="-0.05288250515989211"/>
                </c:manualLayout>
              </c:layout>
              <c:tx>
                <c:rich>
                  <a:bodyPr vertOverflow="clip"/>
                  <a:lstStyle/>
                  <a:p>
                    <a:r>
                      <a:rPr lang="en-US"/>
                      <a:t>2016</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BC05-4C31-9D13-2A220C1E3340}"/>
                </c:ext>
                <c:ext xmlns:c15="http://schemas.microsoft.com/office/drawing/2012/chart" uri="{CE6537A1-D6FC-4f65-9D91-7224C49458BB}"/>
              </c:extLst>
            </c:dLbl>
            <c:dLbl>
              <c:idx val="11"/>
              <c:delete val="1"/>
              <c:extLst>
                <c:ext xmlns:c="http://schemas.openxmlformats.org/drawingml/2006/chart" xmlns:c16="http://schemas.microsoft.com/office/drawing/2014/chart" uri="{C3380CC4-5D6E-409C-BE32-E72D297353CC}">
                  <c16:uniqueId val="{0000000B-BC05-4C31-9D13-2A220C1E3340}"/>
                </c:ext>
                <c:ext xmlns:c15="http://schemas.microsoft.com/office/drawing/2012/chart" uri="{CE6537A1-D6FC-4f65-9D91-7224C49458BB}"/>
              </c:extLst>
            </c:dLbl>
            <c:dLbl>
              <c:idx val="12"/>
              <c:tx>
                <c:rich>
                  <a:bodyPr/>
                  <a:lstStyle/>
                  <a:p>
                    <a:r>
                      <a:rPr lang="lv-LV"/>
                      <a:t>FI</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BC05-4C31-9D13-2A220C1E3340}"/>
                </c:ext>
                <c:ext xmlns:c15="http://schemas.microsoft.com/office/drawing/2012/chart" uri="{CE6537A1-D6FC-4f65-9D91-7224C49458BB}"/>
              </c:extLst>
            </c:dLbl>
            <c:dLbl>
              <c:idx val="13"/>
              <c:tx>
                <c:rich>
                  <a:bodyPr/>
                  <a:lstStyle/>
                  <a:p>
                    <a:r>
                      <a:rPr lang="lv-LV" b="0"/>
                      <a:t>SE</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BC05-4C31-9D13-2A220C1E3340}"/>
                </c:ext>
                <c:ext xmlns:c15="http://schemas.microsoft.com/office/drawing/2012/chart" uri="{CE6537A1-D6FC-4f65-9D91-7224C49458BB}"/>
              </c:extLst>
            </c:dLbl>
            <c:spPr>
              <a:noFill/>
              <a:ln>
                <a:noFill/>
              </a:ln>
              <a:effectLst/>
            </c:spPr>
            <c:txPr>
              <a:bodyPr/>
              <a:lstStyle/>
              <a:p>
                <a:pPr>
                  <a:defRPr b="0"/>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Sheet1!$B$3:$B$14</c:f>
              <c:numCache>
                <c:formatCode>0.0</c:formatCode>
                <c:ptCount val="12"/>
                <c:pt idx="0">
                  <c:v>40.791075050709942</c:v>
                </c:pt>
                <c:pt idx="1">
                  <c:v>47.629547960308706</c:v>
                </c:pt>
                <c:pt idx="2">
                  <c:v>40.22769516728625</c:v>
                </c:pt>
                <c:pt idx="3">
                  <c:v>39.788192879675528</c:v>
                </c:pt>
                <c:pt idx="4">
                  <c:v>36.773864216436955</c:v>
                </c:pt>
                <c:pt idx="5">
                  <c:v>36.740220661985958</c:v>
                </c:pt>
                <c:pt idx="6">
                  <c:v>35.21355617455896</c:v>
                </c:pt>
                <c:pt idx="7">
                  <c:v>37.06666666666667</c:v>
                </c:pt>
                <c:pt idx="8">
                  <c:v>35.223880597014926</c:v>
                </c:pt>
                <c:pt idx="9">
                  <c:v>30.837053571428573</c:v>
                </c:pt>
                <c:pt idx="10">
                  <c:v>29.470752089136489</c:v>
                </c:pt>
                <c:pt idx="11">
                  <c:v>28.665798893589326</c:v>
                </c:pt>
              </c:numCache>
            </c:numRef>
          </c:xVal>
          <c:yVal>
            <c:numRef>
              <c:f>Sheet1!$C$3:$C$14</c:f>
              <c:numCache>
                <c:formatCode>0.0</c:formatCode>
                <c:ptCount val="12"/>
                <c:pt idx="0">
                  <c:v>0.31065777897676139</c:v>
                </c:pt>
                <c:pt idx="1">
                  <c:v>0.335126102292769</c:v>
                </c:pt>
                <c:pt idx="2">
                  <c:v>0.41850543682333768</c:v>
                </c:pt>
                <c:pt idx="3">
                  <c:v>0.505503673923413</c:v>
                </c:pt>
                <c:pt idx="4" formatCode="0.00">
                  <c:v>0.53903821227068338</c:v>
                </c:pt>
                <c:pt idx="5" formatCode="0.00">
                  <c:v>0.48312569365200936</c:v>
                </c:pt>
                <c:pt idx="6" formatCode="0.00">
                  <c:v>0.50833925468071806</c:v>
                </c:pt>
                <c:pt idx="7" formatCode="0.00">
                  <c:v>0.54719860475256155</c:v>
                </c:pt>
                <c:pt idx="8">
                  <c:v>0.59415859564164641</c:v>
                </c:pt>
                <c:pt idx="9">
                  <c:v>0.7052415940180401</c:v>
                </c:pt>
                <c:pt idx="10">
                  <c:v>0.80413502696474326</c:v>
                </c:pt>
                <c:pt idx="11">
                  <c:v>0.81470717287926175</c:v>
                </c:pt>
              </c:numCache>
            </c:numRef>
          </c:yVal>
          <c:smooth val="1"/>
          <c:extLst>
            <c:ext xmlns:c="http://schemas.openxmlformats.org/drawingml/2006/chart" xmlns:c16="http://schemas.microsoft.com/office/drawing/2014/chart" uri="{C3380CC4-5D6E-409C-BE32-E72D297353CC}">
              <c16:uniqueId val="{0000000E-BC05-4C31-9D13-2A220C1E3340}"/>
            </c:ext>
          </c:extLst>
        </c:ser>
        <c:dLbls>
          <c:showLegendKey val="0"/>
          <c:showVal val="0"/>
          <c:showCatName val="0"/>
          <c:showSerName val="0"/>
          <c:showPercent val="0"/>
          <c:showBubbleSize val="0"/>
        </c:dLbls>
        <c:axId val="656469160"/>
        <c:axId val="656462888"/>
      </c:scatterChart>
      <c:valAx>
        <c:axId val="656469160"/>
        <c:scaling>
          <c:orientation val="minMax"/>
        </c:scaling>
        <c:delete val="0"/>
        <c:axPos val="b"/>
        <c:title>
          <c:tx>
            <c:rich>
              <a:bodyPr vertOverflow="clip"/>
              <a:lstStyle/>
              <a:p>
                <a:pPr>
                  <a:defRPr sz="700" b="0">
                    <a:latin typeface="Arial Narrow" pitchFamily="34" charset="0"/>
                  </a:defRPr>
                </a:pPr>
                <a:r>
                  <a:rPr lang="lv-LV" sz="700" b="0">
                    <a:latin typeface="Arial Narrow" pitchFamily="34" charset="0"/>
                  </a:rPr>
                  <a:t>Produktivitāte (pievienotā vērtība </a:t>
                </a:r>
                <a:br>
                  <a:rPr lang="lv-LV" sz="700" b="0">
                    <a:latin typeface="Arial Narrow" pitchFamily="34" charset="0"/>
                  </a:rPr>
                </a:br>
                <a:r>
                  <a:rPr lang="lv-LV" sz="700" b="0">
                    <a:latin typeface="Arial Narrow" pitchFamily="34" charset="0"/>
                  </a:rPr>
                  <a:t>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56462888"/>
        <c:crosses val="autoZero"/>
        <c:crossBetween val="midCat"/>
        <c:majorUnit val="10"/>
      </c:valAx>
      <c:valAx>
        <c:axId val="656462888"/>
        <c:scaling>
          <c:orientation val="minMax"/>
          <c:min val="0.2"/>
        </c:scaling>
        <c:delete val="0"/>
        <c:axPos val="l"/>
        <c:title>
          <c:tx>
            <c:rich>
              <a:bodyPr vertOverflow="clip"/>
              <a:lstStyle/>
              <a:p>
                <a:pPr>
                  <a:defRPr sz="700" b="0"/>
                </a:pPr>
                <a:r>
                  <a:rPr lang="lv-LV" sz="700" b="0">
                    <a:latin typeface="Arial Narrow" pitchFamily="34" charset="0"/>
                  </a:rPr>
                  <a:t>Darbaspēka izmaksas uz </a:t>
                </a:r>
                <a:br>
                  <a:rPr lang="lv-LV" sz="700" b="0">
                    <a:latin typeface="Arial Narrow" pitchFamily="34" charset="0"/>
                  </a:rPr>
                </a:br>
                <a:r>
                  <a:rPr lang="lv-LV" sz="700" b="0">
                    <a:latin typeface="Arial Narrow" pitchFamily="34" charset="0"/>
                  </a:rPr>
                  <a:t>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56469160"/>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3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8"/>
          <c:y val="0.046005165816941182"/>
          <c:w val="0.85762258292899962"/>
          <c:h val="0.831279863372076"/>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Sheet1!$B$1:$J$1</c:f>
              <c:strCache>
                <c:ptCount val="9"/>
                <c:pt idx="0">
                  <c:v>2008</c:v>
                </c:pt>
                <c:pt idx="1">
                  <c:v>2009</c:v>
                </c:pt>
                <c:pt idx="2">
                  <c:v>2010</c:v>
                </c:pt>
                <c:pt idx="3">
                  <c:v>2011</c:v>
                </c:pt>
                <c:pt idx="4">
                  <c:v>2012</c:v>
                </c:pt>
                <c:pt idx="5">
                  <c:v>2013</c:v>
                </c:pt>
                <c:pt idx="6">
                  <c:v>2014</c:v>
                </c:pt>
                <c:pt idx="7">
                  <c:v>2015</c:v>
                </c:pt>
                <c:pt idx="8">
                  <c:v>2016</c:v>
                </c:pt>
              </c:strCache>
            </c:strRef>
          </c:cat>
          <c:val>
            <c:numRef>
              <c:f>Sheet1!$B$2:$J$2</c:f>
              <c:numCache>
                <c:formatCode>0</c:formatCode>
                <c:ptCount val="9"/>
                <c:pt idx="0">
                  <c:v>39.357747157592392</c:v>
                </c:pt>
                <c:pt idx="1">
                  <c:v>35.257643303741311</c:v>
                </c:pt>
                <c:pt idx="2">
                  <c:v>31.604252389710798</c:v>
                </c:pt>
                <c:pt idx="3">
                  <c:v>31.875002820972814</c:v>
                </c:pt>
                <c:pt idx="4">
                  <c:v>33.804118310790848</c:v>
                </c:pt>
                <c:pt idx="5">
                  <c:v>35.156533977007385</c:v>
                </c:pt>
                <c:pt idx="6">
                  <c:v>37.421947439091205</c:v>
                </c:pt>
                <c:pt idx="7">
                  <c:v>38.817831590130616</c:v>
                </c:pt>
                <c:pt idx="8">
                  <c:v>41.722712558717859</c:v>
                </c:pt>
              </c:numCache>
            </c:numRef>
          </c:val>
          <c:extLst>
            <c:ext xmlns:c="http://schemas.openxmlformats.org/drawingml/2006/chart" xmlns:c16="http://schemas.microsoft.com/office/drawing/2014/chart" uri="{C3380CC4-5D6E-409C-BE32-E72D297353CC}">
              <c16:uniqueId val="{00000000-54C6-4078-9A20-643BDDE9936C}"/>
            </c:ext>
          </c:extLst>
        </c:ser>
        <c:ser>
          <c:idx val="1"/>
          <c:order val="1"/>
          <c:tx>
            <c:strRef>
              <c:f>Sheet1!$A$3</c:f>
              <c:strCache>
                <c:ptCount val="1"/>
                <c:pt idx="0">
                  <c:v>IKT</c:v>
                </c:pt>
              </c:strCache>
            </c:strRef>
          </c:tx>
          <c:spPr>
            <a:ln>
              <a:solidFill>
                <a:sysClr val="windowText" lastClr="000000"/>
              </a:solidFill>
            </a:ln>
          </c:spPr>
          <c:invertIfNegative val="0"/>
          <c:dLbls>
            <c:numFmt formatCode="#,##0" sourceLinked="0"/>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2008</c:v>
                </c:pt>
                <c:pt idx="1">
                  <c:v>2009</c:v>
                </c:pt>
                <c:pt idx="2">
                  <c:v>2010</c:v>
                </c:pt>
                <c:pt idx="3">
                  <c:v>2011</c:v>
                </c:pt>
                <c:pt idx="4">
                  <c:v>2012</c:v>
                </c:pt>
                <c:pt idx="5">
                  <c:v>2013</c:v>
                </c:pt>
                <c:pt idx="6">
                  <c:v>2014</c:v>
                </c:pt>
                <c:pt idx="7">
                  <c:v>2015</c:v>
                </c:pt>
                <c:pt idx="8">
                  <c:v>2016</c:v>
                </c:pt>
              </c:strCache>
            </c:strRef>
          </c:cat>
          <c:val>
            <c:numRef>
              <c:f>Sheet1!$B$3:$J$3</c:f>
              <c:numCache>
                <c:formatCode>0</c:formatCode>
                <c:ptCount val="9"/>
                <c:pt idx="0">
                  <c:v>39.137445905325457</c:v>
                </c:pt>
                <c:pt idx="1">
                  <c:v>39.855473720995</c:v>
                </c:pt>
                <c:pt idx="2">
                  <c:v>34.205480108829974</c:v>
                </c:pt>
                <c:pt idx="3">
                  <c:v>33.5498112712739</c:v>
                </c:pt>
                <c:pt idx="4">
                  <c:v>36.69604434777272</c:v>
                </c:pt>
                <c:pt idx="5">
                  <c:v>37.889551955982455</c:v>
                </c:pt>
                <c:pt idx="6">
                  <c:v>38.758221858074734</c:v>
                </c:pt>
                <c:pt idx="7">
                  <c:v>40.282563747373651</c:v>
                </c:pt>
                <c:pt idx="8">
                  <c:v>40.18399989524368</c:v>
                </c:pt>
              </c:numCache>
            </c:numRef>
          </c:val>
          <c:extLst>
            <c:ext xmlns:c="http://schemas.openxmlformats.org/drawingml/2006/chart" xmlns:c16="http://schemas.microsoft.com/office/drawing/2014/chart" uri="{C3380CC4-5D6E-409C-BE32-E72D297353CC}">
              <c16:uniqueId val="{00000001-54C6-4078-9A20-643BDDE9936C}"/>
            </c:ext>
          </c:extLst>
        </c:ser>
        <c:dLbls>
          <c:showLegendKey val="0"/>
          <c:showVal val="0"/>
          <c:showCatName val="0"/>
          <c:showSerName val="0"/>
          <c:showPercent val="0"/>
          <c:showBubbleSize val="0"/>
        </c:dLbls>
        <c:gapWidth val="50"/>
        <c:overlap val="52"/>
        <c:axId val="656463280"/>
        <c:axId val="656473864"/>
      </c:barChart>
      <c:catAx>
        <c:axId val="656463280"/>
        <c:scaling>
          <c:orientation val="minMax"/>
        </c:scaling>
        <c:delete val="0"/>
        <c:axPos val="b"/>
        <c:numFmt formatCode="General" sourceLinked="0"/>
        <c:majorTickMark val="out"/>
        <c:minorTickMark val="none"/>
        <c:tickLblPos val="nextTo"/>
        <c:txPr>
          <a:bodyPr/>
          <a:lstStyle/>
          <a:p>
            <a:pPr>
              <a:defRPr sz="700"/>
            </a:pPr>
            <a:endParaRPr lang="lv-LV"/>
          </a:p>
        </c:txPr>
        <c:crossAx val="656473864"/>
        <c:crosses val="autoZero"/>
        <c:auto val="1"/>
        <c:lblAlgn val="ctr"/>
        <c:lblOffset val="100"/>
        <c:noMultiLvlLbl val="0"/>
      </c:catAx>
      <c:valAx>
        <c:axId val="656473864"/>
        <c:scaling>
          <c:orientation val="minMax"/>
          <c:max val="80"/>
        </c:scaling>
        <c:delete val="0"/>
        <c:axPos val="l"/>
        <c:numFmt formatCode="0" sourceLinked="0"/>
        <c:majorTickMark val="out"/>
        <c:minorTickMark val="none"/>
        <c:tickLblPos val="nextTo"/>
        <c:txPr>
          <a:bodyPr/>
          <a:lstStyle/>
          <a:p>
            <a:pPr>
              <a:defRPr sz="800"/>
            </a:pPr>
            <a:endParaRPr lang="lv-LV"/>
          </a:p>
        </c:txPr>
        <c:crossAx val="656463280"/>
        <c:crosses val="autoZero"/>
        <c:crossBetween val="between"/>
        <c:majorUnit val="20"/>
      </c:valAx>
      <c:spPr>
        <a:ln>
          <a:noFill/>
        </a:ln>
      </c:spPr>
    </c:plotArea>
    <c:legend>
      <c:legendPos val="r"/>
      <c:layout>
        <c:manualLayout>
          <c:xMode val="edge"/>
          <c:yMode val="edge"/>
          <c:x val="0.1972511805244323"/>
          <c:y val="0.049528317790409886"/>
          <c:w val="0.53767545872909384"/>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98553601027233415"/>
          <c:y val="0.01722532963499513"/>
          <c:w val="0.88592589806420907"/>
          <c:h val="0.920462379795931"/>
        </c:manualLayout>
      </c:layout>
      <c:barChart>
        <c:barDir val="col"/>
        <c:grouping val="percentStacked"/>
        <c:varyColors val="0"/>
        <c:ser>
          <c:idx val="0"/>
          <c:order val="0"/>
          <c:tx>
            <c:strRef>
              <c:f>Sheet1!$A$2</c:f>
              <c:strCache>
                <c:ptCount val="1"/>
                <c:pt idx="0">
                  <c:v>kūdra</c:v>
                </c:pt>
              </c:strCache>
            </c:strRef>
          </c:tx>
          <c:invertIfNegative val="0"/>
          <c:cat>
            <c:strRef>
              <c:f>Sheet1!$B$1:$F$1</c:f>
              <c:strCache>
                <c:ptCount val="5"/>
                <c:pt idx="0">
                  <c:v>2005</c:v>
                </c:pt>
                <c:pt idx="1">
                  <c:v>2010</c:v>
                </c:pt>
                <c:pt idx="2">
                  <c:v>2014</c:v>
                </c:pt>
                <c:pt idx="3">
                  <c:v>2015</c:v>
                </c:pt>
                <c:pt idx="4">
                  <c:v>2016</c:v>
                </c:pt>
              </c:strCache>
            </c:strRef>
          </c:cat>
          <c:val>
            <c:numRef>
              <c:f>Sheet1!$B$2:$F$2</c:f>
              <c:numCache>
                <c:formatCode>0</c:formatCode>
                <c:ptCount val="5"/>
                <c:pt idx="0">
                  <c:v>4.8426328744703619</c:v>
                </c:pt>
                <c:pt idx="1">
                  <c:v>4.5137048238974682</c:v>
                </c:pt>
                <c:pt idx="2">
                  <c:v>4.5333648176919032</c:v>
                </c:pt>
                <c:pt idx="3">
                  <c:v>5.4769546448703554</c:v>
                </c:pt>
                <c:pt idx="4">
                  <c:v>6.0944916381346683</c:v>
                </c:pt>
              </c:numCache>
            </c:numRef>
          </c:val>
          <c:extLst>
            <c:ext xmlns:c="http://schemas.openxmlformats.org/drawingml/2006/chart" xmlns:c16="http://schemas.microsoft.com/office/drawing/2014/chart" uri="{C3380CC4-5D6E-409C-BE32-E72D297353CC}">
              <c16:uniqueId val="{00000000-49EF-4534-9773-38AEB858EFC4}"/>
            </c:ext>
          </c:extLst>
        </c:ser>
        <c:ser>
          <c:idx val="1"/>
          <c:order val="1"/>
          <c:tx>
            <c:strRef>
              <c:f>Sheet1!$A$3</c:f>
              <c:strCache>
                <c:ptCount val="1"/>
                <c:pt idx="0">
                  <c:v>ģipsis, ģipšakmens</c:v>
                </c:pt>
              </c:strCache>
            </c:strRef>
          </c:tx>
          <c:invertIfNegative val="0"/>
          <c:cat>
            <c:strRef>
              <c:f>Sheet1!$B$1:$F$1</c:f>
              <c:strCache>
                <c:ptCount val="5"/>
                <c:pt idx="0">
                  <c:v>2005</c:v>
                </c:pt>
                <c:pt idx="1">
                  <c:v>2010</c:v>
                </c:pt>
                <c:pt idx="2">
                  <c:v>2014</c:v>
                </c:pt>
                <c:pt idx="3">
                  <c:v>2015</c:v>
                </c:pt>
                <c:pt idx="4">
                  <c:v>2016</c:v>
                </c:pt>
              </c:strCache>
            </c:strRef>
          </c:cat>
          <c:val>
            <c:numRef>
              <c:f>Sheet1!$B$3:$F$3</c:f>
              <c:numCache>
                <c:formatCode>0</c:formatCode>
                <c:ptCount val="5"/>
                <c:pt idx="0">
                  <c:v>3.1989340873039942</c:v>
                </c:pt>
                <c:pt idx="1">
                  <c:v>2.258383388254753</c:v>
                </c:pt>
                <c:pt idx="2">
                  <c:v>2.1304203412706131</c:v>
                </c:pt>
                <c:pt idx="3">
                  <c:v>2.2822176411699631</c:v>
                </c:pt>
                <c:pt idx="4">
                  <c:v>2.4875716419873912</c:v>
                </c:pt>
              </c:numCache>
            </c:numRef>
          </c:val>
          <c:extLst>
            <c:ext xmlns:c="http://schemas.openxmlformats.org/drawingml/2006/chart" xmlns:c16="http://schemas.microsoft.com/office/drawing/2014/chart" uri="{C3380CC4-5D6E-409C-BE32-E72D297353CC}">
              <c16:uniqueId val="{00000001-49EF-4534-9773-38AEB858EFC4}"/>
            </c:ext>
          </c:extLst>
        </c:ser>
        <c:ser>
          <c:idx val="2"/>
          <c:order val="2"/>
          <c:tx>
            <c:strRef>
              <c:f>Sheet1!$A$4</c:f>
              <c:strCache>
                <c:ptCount val="1"/>
                <c:pt idx="0">
                  <c:v>citas ieguvas rūpniecības preces</c:v>
                </c:pt>
              </c:strCache>
            </c:strRef>
          </c:tx>
          <c:invertIfNegative val="0"/>
          <c:cat>
            <c:strRef>
              <c:f>Sheet1!$B$1:$F$1</c:f>
              <c:strCache>
                <c:ptCount val="5"/>
                <c:pt idx="0">
                  <c:v>2005</c:v>
                </c:pt>
                <c:pt idx="1">
                  <c:v>2010</c:v>
                </c:pt>
                <c:pt idx="2">
                  <c:v>2014</c:v>
                </c:pt>
                <c:pt idx="3">
                  <c:v>2015</c:v>
                </c:pt>
                <c:pt idx="4">
                  <c:v>2016</c:v>
                </c:pt>
              </c:strCache>
            </c:strRef>
          </c:cat>
          <c:val>
            <c:numRef>
              <c:f>Sheet1!$B$4:$F$4</c:f>
              <c:numCache>
                <c:formatCode>0</c:formatCode>
                <c:ptCount val="5"/>
                <c:pt idx="0">
                  <c:v>91.958433038225635</c:v>
                </c:pt>
                <c:pt idx="1">
                  <c:v>93.227911787847788</c:v>
                </c:pt>
                <c:pt idx="2">
                  <c:v>93.336214841037474</c:v>
                </c:pt>
                <c:pt idx="3">
                  <c:v>92.240827713959689</c:v>
                </c:pt>
                <c:pt idx="4">
                  <c:v>91.417936719877943</c:v>
                </c:pt>
              </c:numCache>
            </c:numRef>
          </c:val>
          <c:extLst>
            <c:ext xmlns:c="http://schemas.openxmlformats.org/drawingml/2006/chart" xmlns:c16="http://schemas.microsoft.com/office/drawing/2014/chart" uri="{C3380CC4-5D6E-409C-BE32-E72D297353CC}">
              <c16:uniqueId val="{00000002-49EF-4534-9773-38AEB858EFC4}"/>
            </c:ext>
          </c:extLst>
        </c:ser>
        <c:dLbls>
          <c:showLegendKey val="0"/>
          <c:showVal val="0"/>
          <c:showCatName val="0"/>
          <c:showSerName val="0"/>
          <c:showPercent val="0"/>
          <c:showBubbleSize val="0"/>
        </c:dLbls>
        <c:gapWidth val="20"/>
        <c:overlap val="100"/>
        <c:axId val="629854568"/>
        <c:axId val="629848688"/>
      </c:barChart>
      <c:catAx>
        <c:axId val="629854568"/>
        <c:scaling>
          <c:orientation val="minMax"/>
        </c:scaling>
        <c:delete val="0"/>
        <c:axPos val="b"/>
        <c:numFmt formatCode="General" sourceLinked="0"/>
        <c:majorTickMark val="out"/>
        <c:minorTickMark val="none"/>
        <c:tickLblPos val="nextTo"/>
        <c:txPr>
          <a:bodyPr/>
          <a:lstStyle/>
          <a:p>
            <a:pPr>
              <a:defRPr sz="700"/>
            </a:pPr>
            <a:endParaRPr lang="lv-LV"/>
          </a:p>
        </c:txPr>
        <c:crossAx val="629848688"/>
        <c:crosses val="autoZero"/>
        <c:auto val="1"/>
        <c:lblAlgn val="ctr"/>
        <c:lblOffset val="100"/>
        <c:noMultiLvlLbl val="0"/>
      </c:catAx>
      <c:valAx>
        <c:axId val="629848688"/>
        <c:scaling>
          <c:orientation val="minMax"/>
          <c:min val="0"/>
        </c:scaling>
        <c:delete val="0"/>
        <c:axPos val="l"/>
        <c:numFmt formatCode="0%" sourceLinked="1"/>
        <c:majorTickMark val="out"/>
        <c:minorTickMark val="none"/>
        <c:tickLblPos val="nextTo"/>
        <c:txPr>
          <a:bodyPr/>
          <a:lstStyle/>
          <a:p>
            <a:pPr>
              <a:defRPr sz="700"/>
            </a:pPr>
            <a:endParaRPr lang="lv-LV"/>
          </a:p>
        </c:txPr>
        <c:crossAx val="629854568"/>
        <c:crosses val="autoZero"/>
        <c:crossBetween val="between"/>
      </c:valAx>
    </c:plotArea>
    <c:plotVisOnly val="1"/>
    <c:dispBlanksAs val="gap"/>
    <c:showDLblsOverMax val="0"/>
  </c:chart>
  <c:spPr>
    <a:ln w="9525">
      <a:noFill/>
    </a:ln>
  </c:spPr>
  <c:txPr>
    <a:bodyPr/>
    <a:lstStyle/>
    <a:p>
      <a:pPr>
        <a:defRPr sz="800"/>
      </a:pPr>
      <a:endParaRPr lang="lv-LV"/>
    </a:p>
  </c:txPr>
  <c:externalData r:id="rId1">
    <c:autoUpdate val="0"/>
  </c:externalData>
</c:chartSpace>
</file>

<file path=word/charts/chart3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738"/>
          <c:y val="0.046005165816941182"/>
          <c:w val="0.85762258292899962"/>
          <c:h val="0.83127986337207582"/>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Sheet1!$B$1:$J$1</c:f>
              <c:strCache>
                <c:ptCount val="9"/>
                <c:pt idx="0">
                  <c:v>2008</c:v>
                </c:pt>
                <c:pt idx="1">
                  <c:v>2009</c:v>
                </c:pt>
                <c:pt idx="2">
                  <c:v>2010</c:v>
                </c:pt>
                <c:pt idx="3">
                  <c:v>2011</c:v>
                </c:pt>
                <c:pt idx="4">
                  <c:v>2012</c:v>
                </c:pt>
                <c:pt idx="5">
                  <c:v>2013</c:v>
                </c:pt>
                <c:pt idx="6">
                  <c:v>2014</c:v>
                </c:pt>
                <c:pt idx="7">
                  <c:v>2015</c:v>
                </c:pt>
                <c:pt idx="8">
                  <c:v>2016</c:v>
                </c:pt>
              </c:strCache>
            </c:strRef>
          </c:cat>
          <c:val>
            <c:numRef>
              <c:f>Sheet1!$B$2:$J$2</c:f>
              <c:numCache>
                <c:formatCode>0</c:formatCode>
                <c:ptCount val="9"/>
                <c:pt idx="0">
                  <c:v>40.886874357448278</c:v>
                </c:pt>
                <c:pt idx="1">
                  <c:v>38.340696631750923</c:v>
                </c:pt>
                <c:pt idx="2">
                  <c:v>37.13786218879887</c:v>
                </c:pt>
                <c:pt idx="3">
                  <c:v>40.358416265069444</c:v>
                </c:pt>
                <c:pt idx="4">
                  <c:v>42.444824679460964</c:v>
                </c:pt>
                <c:pt idx="5">
                  <c:v>42.534590211759</c:v>
                </c:pt>
                <c:pt idx="6">
                  <c:v>43.637999214462909</c:v>
                </c:pt>
                <c:pt idx="7">
                  <c:v>42.77599222315655</c:v>
                </c:pt>
                <c:pt idx="8">
                  <c:v>43.3164068323518</c:v>
                </c:pt>
              </c:numCache>
            </c:numRef>
          </c:val>
          <c:extLst>
            <c:ext xmlns:c="http://schemas.openxmlformats.org/drawingml/2006/chart" xmlns:c16="http://schemas.microsoft.com/office/drawing/2014/chart" uri="{C3380CC4-5D6E-409C-BE32-E72D297353CC}">
              <c16:uniqueId val="{00000000-A684-4024-8000-7B5FFCD06C9F}"/>
            </c:ext>
          </c:extLst>
        </c:ser>
        <c:ser>
          <c:idx val="1"/>
          <c:order val="1"/>
          <c:tx>
            <c:strRef>
              <c:f>Sheet1!$A$3</c:f>
              <c:strCache>
                <c:ptCount val="1"/>
                <c:pt idx="0">
                  <c:v>IKT</c:v>
                </c:pt>
              </c:strCache>
            </c:strRef>
          </c:tx>
          <c:spPr>
            <a:ln>
              <a:solidFill>
                <a:sysClr val="windowText" lastClr="000000"/>
              </a:solidFill>
            </a:ln>
          </c:spPr>
          <c:invertIfNegative val="0"/>
          <c:dLbls>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2008</c:v>
                </c:pt>
                <c:pt idx="1">
                  <c:v>2009</c:v>
                </c:pt>
                <c:pt idx="2">
                  <c:v>2010</c:v>
                </c:pt>
                <c:pt idx="3">
                  <c:v>2011</c:v>
                </c:pt>
                <c:pt idx="4">
                  <c:v>2012</c:v>
                </c:pt>
                <c:pt idx="5">
                  <c:v>2013</c:v>
                </c:pt>
                <c:pt idx="6">
                  <c:v>2014</c:v>
                </c:pt>
                <c:pt idx="7">
                  <c:v>2015</c:v>
                </c:pt>
                <c:pt idx="8">
                  <c:v>2016</c:v>
                </c:pt>
              </c:strCache>
            </c:strRef>
          </c:cat>
          <c:val>
            <c:numRef>
              <c:f>Sheet1!$B$3:$J$3</c:f>
              <c:numCache>
                <c:formatCode>0</c:formatCode>
                <c:ptCount val="9"/>
                <c:pt idx="0">
                  <c:v>41.211563170006812</c:v>
                </c:pt>
                <c:pt idx="1">
                  <c:v>40.898017659238754</c:v>
                </c:pt>
                <c:pt idx="2">
                  <c:v>40.428861421728747</c:v>
                </c:pt>
                <c:pt idx="3">
                  <c:v>39.282012987077962</c:v>
                </c:pt>
                <c:pt idx="4">
                  <c:v>42.099939236183062</c:v>
                </c:pt>
                <c:pt idx="5">
                  <c:v>40.384551667442736</c:v>
                </c:pt>
                <c:pt idx="6">
                  <c:v>36.517105697568049</c:v>
                </c:pt>
                <c:pt idx="7">
                  <c:v>34.741898841479653</c:v>
                </c:pt>
                <c:pt idx="8">
                  <c:v>35.005068227410995</c:v>
                </c:pt>
              </c:numCache>
            </c:numRef>
          </c:val>
          <c:extLst>
            <c:ext xmlns:c="http://schemas.openxmlformats.org/drawingml/2006/chart" xmlns:c16="http://schemas.microsoft.com/office/drawing/2014/chart" uri="{C3380CC4-5D6E-409C-BE32-E72D297353CC}">
              <c16:uniqueId val="{00000001-A684-4024-8000-7B5FFCD06C9F}"/>
            </c:ext>
          </c:extLst>
        </c:ser>
        <c:dLbls>
          <c:showLegendKey val="0"/>
          <c:showVal val="0"/>
          <c:showCatName val="0"/>
          <c:showSerName val="0"/>
          <c:showPercent val="0"/>
          <c:showBubbleSize val="0"/>
        </c:dLbls>
        <c:gapWidth val="50"/>
        <c:overlap val="52"/>
        <c:axId val="656473080"/>
        <c:axId val="656466416"/>
      </c:barChart>
      <c:catAx>
        <c:axId val="656473080"/>
        <c:scaling>
          <c:orientation val="minMax"/>
        </c:scaling>
        <c:delete val="0"/>
        <c:axPos val="b"/>
        <c:numFmt formatCode="General" sourceLinked="0"/>
        <c:majorTickMark val="out"/>
        <c:minorTickMark val="none"/>
        <c:tickLblPos val="nextTo"/>
        <c:txPr>
          <a:bodyPr/>
          <a:lstStyle/>
          <a:p>
            <a:pPr>
              <a:defRPr sz="700"/>
            </a:pPr>
            <a:endParaRPr lang="lv-LV"/>
          </a:p>
        </c:txPr>
        <c:crossAx val="656466416"/>
        <c:crosses val="autoZero"/>
        <c:auto val="1"/>
        <c:lblAlgn val="ctr"/>
        <c:lblOffset val="100"/>
        <c:noMultiLvlLbl val="0"/>
      </c:catAx>
      <c:valAx>
        <c:axId val="656466416"/>
        <c:scaling>
          <c:orientation val="minMax"/>
          <c:max val="80"/>
        </c:scaling>
        <c:delete val="0"/>
        <c:axPos val="l"/>
        <c:numFmt formatCode="0" sourceLinked="1"/>
        <c:majorTickMark val="out"/>
        <c:minorTickMark val="none"/>
        <c:tickLblPos val="nextTo"/>
        <c:txPr>
          <a:bodyPr/>
          <a:lstStyle/>
          <a:p>
            <a:pPr>
              <a:defRPr sz="800"/>
            </a:pPr>
            <a:endParaRPr lang="lv-LV"/>
          </a:p>
        </c:txPr>
        <c:crossAx val="656473080"/>
        <c:crosses val="autoZero"/>
        <c:crossBetween val="between"/>
        <c:majorUnit val="20"/>
      </c:valAx>
      <c:spPr>
        <a:ln>
          <a:noFill/>
        </a:ln>
      </c:spPr>
    </c:plotArea>
    <c:legend>
      <c:legendPos val="r"/>
      <c:layout>
        <c:manualLayout>
          <c:xMode val="edge"/>
          <c:yMode val="edge"/>
          <c:x val="0.19725118052443219"/>
          <c:y val="0.0495283177904099"/>
          <c:w val="0.58747156605424322"/>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3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46717244654"/>
          <c:y val="0.044057617797775277"/>
          <c:w val="0.9310540474739486"/>
          <c:h val="0.69864201757389022"/>
        </c:manualLayout>
      </c:layout>
      <c:barChart>
        <c:barDir val="col"/>
        <c:grouping val="clustered"/>
        <c:varyColors val="0"/>
        <c:ser>
          <c:idx val="1"/>
          <c:order val="0"/>
          <c:tx>
            <c:strRef>
              <c:f>Sheet1!$B$3</c:f>
              <c:strCache>
                <c:ptCount val="1"/>
                <c:pt idx="0">
                  <c:v>Compensation per employees 1000 of euro</c:v>
                </c:pt>
              </c:strCache>
            </c:strRef>
          </c:tx>
          <c:spPr>
            <a:solidFill>
              <a:schemeClr val="accent3">
                <a:lumMod val="50000"/>
              </a:schemeClr>
            </a:solidFill>
            <a:ln w="19050"/>
          </c:spPr>
          <c:invertIfNegative val="0"/>
          <c:dPt>
            <c:idx val="11"/>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1-5A21-422D-9B99-38560869A4DA}"/>
              </c:ext>
            </c:extLst>
          </c:dPt>
          <c:dPt>
            <c:idx val="20"/>
            <c:invertIfNegative val="0"/>
            <c:bubble3D val="0"/>
            <c:extLst>
              <c:ext xmlns:c="http://schemas.openxmlformats.org/drawingml/2006/chart" xmlns:c16="http://schemas.microsoft.com/office/drawing/2014/chart" uri="{C3380CC4-5D6E-409C-BE32-E72D297353CC}">
                <c16:uniqueId val="{00000002-5A21-422D-9B99-38560869A4DA}"/>
              </c:ext>
            </c:extLst>
          </c:dPt>
          <c:dPt>
            <c:idx val="22"/>
            <c:invertIfNegative val="0"/>
            <c:bubble3D val="0"/>
            <c:extLst>
              <c:ext xmlns:c="http://schemas.openxmlformats.org/drawingml/2006/chart" xmlns:c16="http://schemas.microsoft.com/office/drawing/2014/chart" uri="{C3380CC4-5D6E-409C-BE32-E72D297353CC}">
                <c16:uniqueId val="{00000003-5A21-422D-9B99-38560869A4DA}"/>
              </c:ext>
            </c:extLst>
          </c:dPt>
          <c:dPt>
            <c:idx val="23"/>
            <c:invertIfNegative val="0"/>
            <c:bubble3D val="0"/>
            <c:spPr>
              <a:ln w="19050"/>
            </c:spPr>
            <c:extLst>
              <c:ext xmlns:c="http://schemas.openxmlformats.org/drawingml/2006/chart" xmlns:c16="http://schemas.microsoft.com/office/drawing/2014/chart" uri="{C3380CC4-5D6E-409C-BE32-E72D297353CC}">
                <c16:uniqueId val="{00000005-5A21-422D-9B99-38560869A4DA}"/>
              </c:ext>
            </c:extLst>
          </c:dPt>
          <c:dPt>
            <c:idx val="25"/>
            <c:invertIfNegative val="0"/>
            <c:bubble3D val="0"/>
            <c:extLst>
              <c:ext xmlns:c="http://schemas.openxmlformats.org/drawingml/2006/chart" xmlns:c16="http://schemas.microsoft.com/office/drawing/2014/chart" uri="{C3380CC4-5D6E-409C-BE32-E72D297353CC}">
                <c16:uniqueId val="{00000006-5A21-422D-9B99-38560869A4DA}"/>
              </c:ext>
            </c:extLst>
          </c:dPt>
          <c:dLbls>
            <c:dLbl>
              <c:idx val="22"/>
              <c:layout>
                <c:manualLayout>
                  <c:x val="0"/>
                  <c:y val="0.010957045003520901"/>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5A21-422D-9B99-38560869A4DA}"/>
                </c:ext>
                <c:ext xmlns:c15="http://schemas.microsoft.com/office/drawing/2012/chart" uri="{CE6537A1-D6FC-4f65-9D91-7224C49458BB}"/>
              </c:extLst>
            </c:dLbl>
            <c:dLbl>
              <c:idx val="23"/>
              <c:numFmt formatCode="#,##0" sourceLinked="0"/>
              <c:spPr>
                <a:noFill/>
                <a:ln>
                  <a:noFill/>
                </a:ln>
                <a:effectLst/>
              </c:spPr>
              <c:txPr>
                <a:bodyPr/>
                <a:lstStyle/>
                <a:p>
                  <a:pPr>
                    <a:defRPr sz="600" b="1"/>
                  </a:pPr>
                  <a:endParaRPr lang="lv-LV"/>
                </a:p>
              </c:txPr>
              <c:showLegendKey val="0"/>
              <c:showVal val="1"/>
              <c:showCatName val="0"/>
              <c:showSerName val="0"/>
              <c:showPercent val="0"/>
              <c:showBubbleSize val="0"/>
            </c:dLbl>
            <c:dLbl>
              <c:idx val="25"/>
              <c:layout>
                <c:manualLayout>
                  <c:x val="0"/>
                  <c:y val="0.0047350290403144375"/>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5A21-422D-9B99-38560869A4DA}"/>
                </c:ext>
                <c:ext xmlns:c15="http://schemas.microsoft.com/office/drawing/2012/chart" uri="{CE6537A1-D6FC-4f65-9D91-7224C49458BB}"/>
              </c:extLst>
            </c:dLbl>
            <c:numFmt formatCode="#,##0" sourceLinked="0"/>
            <c:spPr>
              <a:noFill/>
              <a:ln>
                <a:noFill/>
              </a:ln>
              <a:effectLst/>
            </c:spPr>
            <c:txPr>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Sheet1!$A$4:$A$32</c:f>
              <c:strCache>
                <c:ptCount val="29"/>
                <c:pt idx="0">
                  <c:v>LU</c:v>
                </c:pt>
                <c:pt idx="1">
                  <c:v>IE</c:v>
                </c:pt>
                <c:pt idx="2">
                  <c:v>BE</c:v>
                </c:pt>
                <c:pt idx="3">
                  <c:v>FR</c:v>
                </c:pt>
                <c:pt idx="4">
                  <c:v>DK</c:v>
                </c:pt>
                <c:pt idx="5">
                  <c:v>SE</c:v>
                </c:pt>
                <c:pt idx="6">
                  <c:v>UK</c:v>
                </c:pt>
                <c:pt idx="7">
                  <c:v>NL</c:v>
                </c:pt>
                <c:pt idx="8">
                  <c:v>DE</c:v>
                </c:pt>
                <c:pt idx="9">
                  <c:v>AT</c:v>
                </c:pt>
                <c:pt idx="10">
                  <c:v>FI</c:v>
                </c:pt>
                <c:pt idx="11">
                  <c:v>EU-28</c:v>
                </c:pt>
                <c:pt idx="12">
                  <c:v>IT</c:v>
                </c:pt>
                <c:pt idx="13">
                  <c:v>ES</c:v>
                </c:pt>
                <c:pt idx="14">
                  <c:v>CY</c:v>
                </c:pt>
                <c:pt idx="15">
                  <c:v>SI</c:v>
                </c:pt>
                <c:pt idx="16">
                  <c:v>PT</c:v>
                </c:pt>
                <c:pt idx="17">
                  <c:v>MT</c:v>
                </c:pt>
                <c:pt idx="18">
                  <c:v>CZ</c:v>
                </c:pt>
                <c:pt idx="19">
                  <c:v>LT</c:v>
                </c:pt>
                <c:pt idx="20">
                  <c:v>SK</c:v>
                </c:pt>
                <c:pt idx="21">
                  <c:v>EL</c:v>
                </c:pt>
                <c:pt idx="22">
                  <c:v>EE</c:v>
                </c:pt>
                <c:pt idx="23">
                  <c:v>LV</c:v>
                </c:pt>
                <c:pt idx="24">
                  <c:v>RO</c:v>
                </c:pt>
                <c:pt idx="25">
                  <c:v>PL</c:v>
                </c:pt>
                <c:pt idx="26">
                  <c:v>BG</c:v>
                </c:pt>
                <c:pt idx="27">
                  <c:v>HU</c:v>
                </c:pt>
                <c:pt idx="28">
                  <c:v>HR</c:v>
                </c:pt>
              </c:strCache>
            </c:strRef>
          </c:cat>
          <c:val>
            <c:numRef>
              <c:f>Sheet1!$B$4:$B$32</c:f>
              <c:numCache>
                <c:formatCode>0.0</c:formatCode>
                <c:ptCount val="29"/>
                <c:pt idx="0">
                  <c:v>82.174698795180717</c:v>
                </c:pt>
                <c:pt idx="1">
                  <c:v>79.614530456852791</c:v>
                </c:pt>
                <c:pt idx="2">
                  <c:v>79.363545816733065</c:v>
                </c:pt>
                <c:pt idx="3">
                  <c:v>77.2279792746114</c:v>
                </c:pt>
                <c:pt idx="4">
                  <c:v>72.020833333333329</c:v>
                </c:pt>
                <c:pt idx="5">
                  <c:v>71.129117959617432</c:v>
                </c:pt>
                <c:pt idx="6">
                  <c:v>70.565377855887519</c:v>
                </c:pt>
                <c:pt idx="7">
                  <c:v>66.848739495798313</c:v>
                </c:pt>
                <c:pt idx="8">
                  <c:v>64.405234657039713</c:v>
                </c:pt>
                <c:pt idx="9">
                  <c:v>64.3835335181193</c:v>
                </c:pt>
                <c:pt idx="10">
                  <c:v>63.14715359828142</c:v>
                </c:pt>
                <c:pt idx="11">
                  <c:v>58.118236202976689</c:v>
                </c:pt>
                <c:pt idx="12">
                  <c:v>52.207221994255235</c:v>
                </c:pt>
                <c:pt idx="13">
                  <c:v>48.205832628909555</c:v>
                </c:pt>
                <c:pt idx="14">
                  <c:v>37.811550151975688</c:v>
                </c:pt>
                <c:pt idx="15">
                  <c:v>34.956483899042645</c:v>
                </c:pt>
                <c:pt idx="16">
                  <c:v>34.905198776758411</c:v>
                </c:pt>
                <c:pt idx="17">
                  <c:v>29.141414141414142</c:v>
                </c:pt>
                <c:pt idx="18">
                  <c:v>28.307261649925902</c:v>
                </c:pt>
                <c:pt idx="19">
                  <c:v>28.050243719535057</c:v>
                </c:pt>
                <c:pt idx="20">
                  <c:v>25.830446672743847</c:v>
                </c:pt>
                <c:pt idx="21">
                  <c:v>25.132543711223914</c:v>
                </c:pt>
                <c:pt idx="22">
                  <c:v>25.091666666666669</c:v>
                </c:pt>
                <c:pt idx="23">
                  <c:v>23.354231974921628</c:v>
                </c:pt>
                <c:pt idx="24">
                  <c:v>21.442381562099875</c:v>
                </c:pt>
                <c:pt idx="25">
                  <c:v>21.17157894736842</c:v>
                </c:pt>
                <c:pt idx="26">
                  <c:v>19.873691808011547</c:v>
                </c:pt>
                <c:pt idx="27">
                  <c:v>19.715721819380356</c:v>
                </c:pt>
                <c:pt idx="28">
                  <c:v>18.212290502793298</c:v>
                </c:pt>
              </c:numCache>
            </c:numRef>
          </c:val>
          <c:extLst>
            <c:ext xmlns:c="http://schemas.openxmlformats.org/drawingml/2006/chart" xmlns:c16="http://schemas.microsoft.com/office/drawing/2014/chart" uri="{C3380CC4-5D6E-409C-BE32-E72D297353CC}">
              <c16:uniqueId val="{00000007-5A21-422D-9B99-38560869A4DA}"/>
            </c:ext>
          </c:extLst>
        </c:ser>
        <c:dLbls>
          <c:showLegendKey val="0"/>
          <c:showVal val="0"/>
          <c:showCatName val="0"/>
          <c:showSerName val="0"/>
          <c:showPercent val="0"/>
          <c:showBubbleSize val="0"/>
        </c:dLbls>
        <c:gapWidth val="20"/>
        <c:axId val="656468768"/>
        <c:axId val="656465632"/>
      </c:barChart>
      <c:catAx>
        <c:axId val="656468768"/>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56465632"/>
        <c:crosses val="autoZero"/>
        <c:auto val="1"/>
        <c:lblAlgn val="ctr"/>
        <c:lblOffset val="100"/>
        <c:tickLblSkip val="1"/>
        <c:noMultiLvlLbl val="0"/>
      </c:catAx>
      <c:valAx>
        <c:axId val="656465632"/>
        <c:scaling>
          <c:orientation val="minMax"/>
        </c:scaling>
        <c:delete val="0"/>
        <c:axPos val="l"/>
        <c:numFmt formatCode="0" sourceLinked="0"/>
        <c:majorTickMark val="out"/>
        <c:minorTickMark val="none"/>
        <c:tickLblPos val="nextTo"/>
        <c:txPr>
          <a:bodyPr/>
          <a:lstStyle/>
          <a:p>
            <a:pPr>
              <a:defRPr sz="600"/>
            </a:pPr>
            <a:endParaRPr lang="lv-LV"/>
          </a:p>
        </c:txPr>
        <c:crossAx val="656468768"/>
        <c:crosses val="autoZero"/>
        <c:crossBetween val="between"/>
      </c:valAx>
    </c:plotArea>
    <c:plotVisOnly val="1"/>
    <c:dispBlanksAs val="gap"/>
    <c:showDLblsOverMax val="0"/>
  </c:chart>
  <c:spPr>
    <a:ln w="9525">
      <a:noFill/>
    </a:ln>
  </c:spPr>
  <c:externalData r:id="rId1">
    <c:autoUpdate val="0"/>
  </c:externalData>
</c:chartSpace>
</file>

<file path=word/charts/chart3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46717244654"/>
          <c:y val="0.044057617797775277"/>
          <c:w val="0.9310540474739486"/>
          <c:h val="0.68514845946210545"/>
        </c:manualLayout>
      </c:layout>
      <c:barChart>
        <c:barDir val="col"/>
        <c:grouping val="clustered"/>
        <c:varyColors val="0"/>
        <c:ser>
          <c:idx val="1"/>
          <c:order val="0"/>
          <c:tx>
            <c:strRef>
              <c:f>Sheet1!$B$3</c:f>
              <c:strCache>
                <c:ptCount val="1"/>
                <c:pt idx="0">
                  <c:v>Resource productivity</c:v>
                </c:pt>
              </c:strCache>
            </c:strRef>
          </c:tx>
          <c:spPr>
            <a:solidFill>
              <a:schemeClr val="accent3">
                <a:lumMod val="50000"/>
              </a:schemeClr>
            </a:solidFill>
            <a:ln w="19050"/>
          </c:spPr>
          <c:invertIfNegative val="0"/>
          <c:dPt>
            <c:idx val="10"/>
            <c:invertIfNegative val="0"/>
            <c:bubble3D val="0"/>
            <c:extLst>
              <c:ext xmlns:c="http://schemas.openxmlformats.org/drawingml/2006/chart" xmlns:c16="http://schemas.microsoft.com/office/drawing/2014/chart" uri="{C3380CC4-5D6E-409C-BE32-E72D297353CC}">
                <c16:uniqueId val="{00000000-7C9D-4E0E-9C8F-6DFBF9EB572D}"/>
              </c:ext>
            </c:extLst>
          </c:dPt>
          <c:dPt>
            <c:idx val="11"/>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6-7C9D-4E0E-9C8F-6DFBF9EB572D}"/>
              </c:ext>
            </c:extLst>
          </c:dPt>
          <c:dPt>
            <c:idx val="16"/>
            <c:invertIfNegative val="0"/>
            <c:bubble3D val="0"/>
            <c:extLst>
              <c:ext xmlns:c="http://schemas.openxmlformats.org/drawingml/2006/chart" xmlns:c16="http://schemas.microsoft.com/office/drawing/2014/chart" uri="{C3380CC4-5D6E-409C-BE32-E72D297353CC}">
                <c16:uniqueId val="{00000001-7C9D-4E0E-9C8F-6DFBF9EB572D}"/>
              </c:ext>
            </c:extLst>
          </c:dPt>
          <c:dPt>
            <c:idx val="17"/>
            <c:invertIfNegative val="0"/>
            <c:bubble3D val="0"/>
            <c:extLst>
              <c:ext xmlns:c="http://schemas.openxmlformats.org/drawingml/2006/chart" xmlns:c16="http://schemas.microsoft.com/office/drawing/2014/chart" uri="{C3380CC4-5D6E-409C-BE32-E72D297353CC}">
                <c16:uniqueId val="{00000002-7C9D-4E0E-9C8F-6DFBF9EB572D}"/>
              </c:ext>
            </c:extLst>
          </c:dPt>
          <c:dPt>
            <c:idx val="25"/>
            <c:invertIfNegative val="0"/>
            <c:bubble3D val="0"/>
            <c:extLst>
              <c:ext xmlns:c="http://schemas.openxmlformats.org/drawingml/2006/chart" xmlns:c16="http://schemas.microsoft.com/office/drawing/2014/chart" uri="{C3380CC4-5D6E-409C-BE32-E72D297353CC}">
                <c16:uniqueId val="{00000003-7C9D-4E0E-9C8F-6DFBF9EB572D}"/>
              </c:ext>
            </c:extLst>
          </c:dPt>
          <c:dPt>
            <c:idx val="26"/>
            <c:invertIfNegative val="0"/>
            <c:bubble3D val="0"/>
            <c:spPr>
              <a:solidFill>
                <a:schemeClr val="accent2"/>
              </a:solidFill>
              <a:ln w="19050"/>
            </c:spPr>
            <c:extLst>
              <c:ext xmlns:c="http://schemas.openxmlformats.org/drawingml/2006/chart" xmlns:c16="http://schemas.microsoft.com/office/drawing/2014/chart" uri="{C3380CC4-5D6E-409C-BE32-E72D297353CC}">
                <c16:uniqueId val="{00000004-7C9D-4E0E-9C8F-6DFBF9EB572D}"/>
              </c:ext>
            </c:extLst>
          </c:dPt>
          <c:dLbls>
            <c:dLbl>
              <c:idx val="25"/>
              <c:layout>
                <c:manualLayout>
                  <c:x val="0"/>
                  <c:y val="0.0045443100100291843"/>
                </c:manualLayout>
              </c:layout>
              <c:numFmt formatCode="#,##0" sourceLinked="0"/>
              <c:txPr>
                <a:bodyPr/>
                <a:lstStyle/>
                <a:p>
                  <a:pPr>
                    <a:defRPr sz="5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7C9D-4E0E-9C8F-6DFBF9EB572D}"/>
                </c:ext>
                <c:ext xmlns:c15="http://schemas.microsoft.com/office/drawing/2012/chart" uri="{CE6537A1-D6FC-4f65-9D91-7224C49458BB}"/>
              </c:extLst>
            </c:dLbl>
            <c:dLbl>
              <c:idx val="26"/>
              <c:layout>
                <c:manualLayout>
                  <c:x val="0"/>
                  <c:y val="8.7915839788269457E-05"/>
                </c:manualLayout>
              </c:layout>
              <c:numFmt formatCode="#,##0" sourceLinked="0"/>
              <c:txPr>
                <a:bodyPr/>
                <a:lstStyle/>
                <a:p>
                  <a:pPr>
                    <a:defRPr sz="500" b="1"/>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7C9D-4E0E-9C8F-6DFBF9EB572D}"/>
                </c:ext>
                <c:ext xmlns:c15="http://schemas.microsoft.com/office/drawing/2012/chart" uri="{CE6537A1-D6FC-4f65-9D91-7224C49458BB}"/>
              </c:extLst>
            </c:dLbl>
            <c:numFmt formatCode="#,##0" sourceLinked="0"/>
            <c:spPr>
              <a:noFill/>
              <a:ln>
                <a:noFill/>
              </a:ln>
              <a:effectLst/>
            </c:spPr>
            <c:txPr>
              <a:bodyPr/>
              <a:lstStyle/>
              <a:p>
                <a:pPr>
                  <a:defRPr sz="5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Sheet1!$A$4:$A$31</c:f>
              <c:strCache>
                <c:ptCount val="28"/>
                <c:pt idx="0">
                  <c:v>IE</c:v>
                </c:pt>
                <c:pt idx="1">
                  <c:v>LU</c:v>
                </c:pt>
                <c:pt idx="2">
                  <c:v>SE</c:v>
                </c:pt>
                <c:pt idx="3">
                  <c:v>BE</c:v>
                </c:pt>
                <c:pt idx="4">
                  <c:v>FR</c:v>
                </c:pt>
                <c:pt idx="5">
                  <c:v>DK</c:v>
                </c:pt>
                <c:pt idx="6">
                  <c:v>NL</c:v>
                </c:pt>
                <c:pt idx="7">
                  <c:v>DE</c:v>
                </c:pt>
                <c:pt idx="8">
                  <c:v>ES</c:v>
                </c:pt>
                <c:pt idx="9">
                  <c:v>FI</c:v>
                </c:pt>
                <c:pt idx="10">
                  <c:v>IT</c:v>
                </c:pt>
                <c:pt idx="11">
                  <c:v>EU-28</c:v>
                </c:pt>
                <c:pt idx="12">
                  <c:v>UK</c:v>
                </c:pt>
                <c:pt idx="13">
                  <c:v>AT</c:v>
                </c:pt>
                <c:pt idx="14">
                  <c:v>CY</c:v>
                </c:pt>
                <c:pt idx="15">
                  <c:v>PT</c:v>
                </c:pt>
                <c:pt idx="16">
                  <c:v>CZ</c:v>
                </c:pt>
                <c:pt idx="17">
                  <c:v>EL</c:v>
                </c:pt>
                <c:pt idx="18">
                  <c:v>RO</c:v>
                </c:pt>
                <c:pt idx="19">
                  <c:v>PL</c:v>
                </c:pt>
                <c:pt idx="20">
                  <c:v>SI</c:v>
                </c:pt>
                <c:pt idx="21">
                  <c:v>SK</c:v>
                </c:pt>
                <c:pt idx="22">
                  <c:v>HU</c:v>
                </c:pt>
                <c:pt idx="23">
                  <c:v>HR</c:v>
                </c:pt>
                <c:pt idx="24">
                  <c:v>LT</c:v>
                </c:pt>
                <c:pt idx="25">
                  <c:v>EE</c:v>
                </c:pt>
                <c:pt idx="26">
                  <c:v>LV</c:v>
                </c:pt>
                <c:pt idx="27">
                  <c:v>BG</c:v>
                </c:pt>
              </c:strCache>
            </c:strRef>
          </c:cat>
          <c:val>
            <c:numRef>
              <c:f>Sheet1!$B$4:$B$31</c:f>
              <c:numCache>
                <c:formatCode>0.0</c:formatCode>
                <c:ptCount val="28"/>
                <c:pt idx="0">
                  <c:v>305.98630320934603</c:v>
                </c:pt>
                <c:pt idx="1">
                  <c:v>229.26956521739132</c:v>
                </c:pt>
                <c:pt idx="2">
                  <c:v>155.09795918367348</c:v>
                </c:pt>
                <c:pt idx="3">
                  <c:v>150.868006993007</c:v>
                </c:pt>
                <c:pt idx="4">
                  <c:v>135.84855769230768</c:v>
                </c:pt>
                <c:pt idx="5">
                  <c:v>135.03076923076924</c:v>
                </c:pt>
                <c:pt idx="6">
                  <c:v>116.36570397111913</c:v>
                </c:pt>
                <c:pt idx="7">
                  <c:v>109.99572580645162</c:v>
                </c:pt>
                <c:pt idx="8">
                  <c:v>105.67933160930973</c:v>
                </c:pt>
                <c:pt idx="9">
                  <c:v>105.18886679920477</c:v>
                </c:pt>
                <c:pt idx="10">
                  <c:v>102.79230899542607</c:v>
                </c:pt>
                <c:pt idx="11">
                  <c:v>102.22123001839016</c:v>
                </c:pt>
                <c:pt idx="12">
                  <c:v>91.923640582542063</c:v>
                </c:pt>
                <c:pt idx="13">
                  <c:v>85.100106307583275</c:v>
                </c:pt>
                <c:pt idx="14">
                  <c:v>73.111753371868971</c:v>
                </c:pt>
                <c:pt idx="15">
                  <c:v>66.06668221030543</c:v>
                </c:pt>
                <c:pt idx="16">
                  <c:v>64.32838998084155</c:v>
                </c:pt>
                <c:pt idx="17">
                  <c:v>60.22031677980231</c:v>
                </c:pt>
                <c:pt idx="18">
                  <c:v>53.731892523364486</c:v>
                </c:pt>
                <c:pt idx="19">
                  <c:v>53.552275862068967</c:v>
                </c:pt>
                <c:pt idx="20">
                  <c:v>50.526132404181183</c:v>
                </c:pt>
                <c:pt idx="21">
                  <c:v>47.591149890931753</c:v>
                </c:pt>
                <c:pt idx="22">
                  <c:v>41.546383945475192</c:v>
                </c:pt>
                <c:pt idx="23">
                  <c:v>39.656713386146663</c:v>
                </c:pt>
                <c:pt idx="24">
                  <c:v>39.076655052264812</c:v>
                </c:pt>
                <c:pt idx="25">
                  <c:v>38.637681159420289</c:v>
                </c:pt>
                <c:pt idx="26">
                  <c:v>28.665798893589326</c:v>
                </c:pt>
                <c:pt idx="27">
                  <c:v>24.243902439024392</c:v>
                </c:pt>
              </c:numCache>
            </c:numRef>
          </c:val>
          <c:extLst>
            <c:ext xmlns:c="http://schemas.openxmlformats.org/drawingml/2006/chart" xmlns:c16="http://schemas.microsoft.com/office/drawing/2014/chart" uri="{C3380CC4-5D6E-409C-BE32-E72D297353CC}">
              <c16:uniqueId val="{00000005-7C9D-4E0E-9C8F-6DFBF9EB572D}"/>
            </c:ext>
          </c:extLst>
        </c:ser>
        <c:dLbls>
          <c:showLegendKey val="0"/>
          <c:showVal val="0"/>
          <c:showCatName val="0"/>
          <c:showSerName val="0"/>
          <c:showPercent val="0"/>
          <c:showBubbleSize val="0"/>
        </c:dLbls>
        <c:gapWidth val="20"/>
        <c:axId val="656464064"/>
        <c:axId val="656471904"/>
      </c:barChart>
      <c:catAx>
        <c:axId val="656464064"/>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56471904"/>
        <c:crosses val="autoZero"/>
        <c:auto val="1"/>
        <c:lblAlgn val="ctr"/>
        <c:lblOffset val="100"/>
        <c:tickLblSkip val="1"/>
        <c:noMultiLvlLbl val="0"/>
      </c:catAx>
      <c:valAx>
        <c:axId val="656471904"/>
        <c:scaling>
          <c:orientation val="minMax"/>
        </c:scaling>
        <c:delete val="0"/>
        <c:axPos val="l"/>
        <c:numFmt formatCode="0" sourceLinked="0"/>
        <c:majorTickMark val="out"/>
        <c:minorTickMark val="none"/>
        <c:tickLblPos val="nextTo"/>
        <c:txPr>
          <a:bodyPr/>
          <a:lstStyle/>
          <a:p>
            <a:pPr>
              <a:defRPr sz="600"/>
            </a:pPr>
            <a:endParaRPr lang="lv-LV"/>
          </a:p>
        </c:txPr>
        <c:crossAx val="656464064"/>
        <c:crosses val="autoZero"/>
        <c:crossBetween val="between"/>
      </c:valAx>
    </c:plotArea>
    <c:plotVisOnly val="1"/>
    <c:dispBlanksAs val="gap"/>
    <c:showDLblsOverMax val="0"/>
  </c:chart>
  <c:spPr>
    <a:ln w="9525">
      <a:noFill/>
    </a:ln>
  </c:spPr>
  <c:externalData r:id="rId1">
    <c:autoUpdate val="0"/>
  </c:externalData>
</c:chartSpace>
</file>

<file path=word/charts/chart34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2572178477690286"/>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marker>
              <c:spPr>
                <a:solidFill>
                  <a:srgbClr val="002060"/>
                </a:solidFill>
                <a:ln w="6350">
                  <a:solidFill>
                    <a:sysClr val="windowText" lastClr="000000"/>
                  </a:solidFill>
                </a:ln>
              </c:spPr>
            </c:marker>
            <c:extLst>
              <c:ext xmlns:c="http://schemas.openxmlformats.org/drawingml/2006/chart" xmlns:c16="http://schemas.microsoft.com/office/drawing/2014/chart" uri="{C3380CC4-5D6E-409C-BE32-E72D297353CC}">
                <c16:uniqueId val="{00000000-A855-4F08-91C8-9D8274867582}"/>
              </c:ext>
            </c:extLst>
          </c:dPt>
          <c:dPt>
            <c:idx val="5"/>
            <c:bubble3D val="0"/>
            <c:marker>
              <c:spPr>
                <a:solidFill>
                  <a:srgbClr val="002060"/>
                </a:solidFill>
                <a:ln w="6350">
                  <a:solidFill>
                    <a:sysClr val="windowText" lastClr="000000"/>
                  </a:solidFill>
                </a:ln>
              </c:spPr>
            </c:marker>
            <c:extLst>
              <c:ext xmlns:c="http://schemas.openxmlformats.org/drawingml/2006/chart" xmlns:c16="http://schemas.microsoft.com/office/drawing/2014/chart" uri="{C3380CC4-5D6E-409C-BE32-E72D297353CC}">
                <c16:uniqueId val="{00000001-A855-4F08-91C8-9D8274867582}"/>
              </c:ext>
            </c:extLst>
          </c:dPt>
          <c:dPt>
            <c:idx val="11"/>
            <c:bubble3D val="0"/>
            <c:marker>
              <c:spPr>
                <a:solidFill>
                  <a:srgbClr val="002060"/>
                </a:solidFill>
                <a:ln w="6350">
                  <a:solidFill>
                    <a:sysClr val="windowText" lastClr="000000"/>
                  </a:solidFill>
                </a:ln>
              </c:spPr>
            </c:marker>
            <c:extLst>
              <c:ext xmlns:c="http://schemas.openxmlformats.org/drawingml/2006/chart" xmlns:c16="http://schemas.microsoft.com/office/drawing/2014/chart" uri="{C3380CC4-5D6E-409C-BE32-E72D297353CC}">
                <c16:uniqueId val="{00000002-A855-4F08-91C8-9D8274867582}"/>
              </c:ext>
            </c:extLst>
          </c:dPt>
          <c:dPt>
            <c:idx val="12"/>
            <c:bubble3D val="0"/>
            <c:marker>
              <c:spPr>
                <a:solidFill>
                  <a:srgbClr val="002060"/>
                </a:solidFill>
                <a:ln w="6350">
                  <a:solidFill>
                    <a:sysClr val="windowText" lastClr="000000"/>
                  </a:solidFill>
                </a:ln>
              </c:spPr>
            </c:marker>
            <c:extLst>
              <c:ext xmlns:c="http://schemas.openxmlformats.org/drawingml/2006/chart" xmlns:c16="http://schemas.microsoft.com/office/drawing/2014/chart" uri="{C3380CC4-5D6E-409C-BE32-E72D297353CC}">
                <c16:uniqueId val="{00000003-A855-4F08-91C8-9D8274867582}"/>
              </c:ext>
            </c:extLst>
          </c:dPt>
          <c:dPt>
            <c:idx val="13"/>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4-A855-4F08-91C8-9D8274867582}"/>
              </c:ext>
            </c:extLst>
          </c:dPt>
          <c:dLbls>
            <c:dLbl>
              <c:idx val="0"/>
              <c:layout>
                <c:manualLayout>
                  <c:x val="-0.029031633377169248"/>
                  <c:y val="-0.038222215534170489"/>
                </c:manualLayout>
              </c:layout>
              <c:tx>
                <c:rich>
                  <a:bodyPr vertOverflow="clip"/>
                  <a:lstStyle/>
                  <a:p>
                    <a:r>
                      <a:rPr lang="en-US"/>
                      <a:t>EU-28</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A855-4F08-91C8-9D8274867582}"/>
                </c:ext>
                <c:ext xmlns:c15="http://schemas.microsoft.com/office/drawing/2012/chart" uri="{CE6537A1-D6FC-4f65-9D91-7224C49458BB}"/>
              </c:extLst>
            </c:dLbl>
            <c:dLbl>
              <c:idx val="1"/>
              <c:layout>
                <c:manualLayout>
                  <c:x val="-0.0456211381641231"/>
                  <c:y val="0.085999984951883643"/>
                </c:manualLayout>
              </c:layout>
              <c:tx>
                <c:rich>
                  <a:bodyPr vertOverflow="clip"/>
                  <a:lstStyle/>
                  <a:p>
                    <a:r>
                      <a:rPr lang="en-US"/>
                      <a:t>BE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A855-4F08-91C8-9D8274867582}"/>
                </c:ext>
                <c:ext xmlns:c15="http://schemas.microsoft.com/office/drawing/2012/chart" uri="{CE6537A1-D6FC-4f65-9D91-7224C49458BB}"/>
              </c:extLst>
            </c:dLbl>
            <c:dLbl>
              <c:idx val="2"/>
              <c:layout>
                <c:manualLayout>
                  <c:x val="-0.082947523934769285"/>
                  <c:y val="-0.03822221553417051"/>
                </c:manualLayout>
              </c:layout>
              <c:tx>
                <c:rich>
                  <a:bodyPr vertOverflow="clip"/>
                  <a:lstStyle/>
                  <a:p>
                    <a:r>
                      <a:rPr lang="en-US"/>
                      <a:t>BG</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A855-4F08-91C8-9D8274867582}"/>
                </c:ext>
                <c:ext xmlns:c15="http://schemas.microsoft.com/office/drawing/2012/chart" uri="{CE6537A1-D6FC-4f65-9D91-7224C49458BB}"/>
              </c:extLst>
            </c:dLbl>
            <c:dLbl>
              <c:idx val="3"/>
              <c:layout>
                <c:manualLayout>
                  <c:x val="-0.016589504786953858"/>
                  <c:y val="-0.028666661650627881"/>
                </c:manualLayout>
              </c:layout>
              <c:tx>
                <c:rich>
                  <a:bodyPr vertOverflow="clip"/>
                  <a:lstStyle/>
                  <a:p>
                    <a:r>
                      <a:rPr lang="en-US"/>
                      <a:t>CZ</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A855-4F08-91C8-9D8274867582}"/>
                </c:ext>
                <c:ext xmlns:c15="http://schemas.microsoft.com/office/drawing/2012/chart" uri="{CE6537A1-D6FC-4f65-9D91-7224C49458BB}"/>
              </c:extLst>
            </c:dLbl>
            <c:dLbl>
              <c:idx val="4"/>
              <c:layout>
                <c:manualLayout>
                  <c:x val="-0.17833717645975389"/>
                  <c:y val="0"/>
                </c:manualLayout>
              </c:layout>
              <c:tx>
                <c:rich>
                  <a:bodyPr vertOverflow="clip"/>
                  <a:lstStyle/>
                  <a:p>
                    <a:r>
                      <a:rPr lang="en-US"/>
                      <a:t>AT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A855-4F08-91C8-9D8274867582}"/>
                </c:ext>
                <c:ext xmlns:c15="http://schemas.microsoft.com/office/drawing/2012/chart" uri="{CE6537A1-D6FC-4f65-9D91-7224C49458BB}"/>
              </c:extLst>
            </c:dLbl>
            <c:dLbl>
              <c:idx val="5"/>
              <c:layout>
                <c:manualLayout>
                  <c:x val="-0.0705053953445539"/>
                  <c:y val="0.04777776941771314"/>
                </c:manualLayout>
              </c:layout>
              <c:tx>
                <c:rich>
                  <a:bodyPr vertOverflow="clip"/>
                  <a:lstStyle/>
                  <a:p>
                    <a:r>
                      <a:rPr lang="en-US"/>
                      <a:t>FI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A855-4F08-91C8-9D8274867582}"/>
                </c:ext>
                <c:ext xmlns:c15="http://schemas.microsoft.com/office/drawing/2012/chart" uri="{CE6537A1-D6FC-4f65-9D91-7224C49458BB}"/>
              </c:extLst>
            </c:dLbl>
            <c:dLbl>
              <c:idx val="6"/>
              <c:layout>
                <c:manualLayout>
                  <c:x val="-0.041473761967384642"/>
                  <c:y val="-0.06688887718479837"/>
                </c:manualLayout>
              </c:layout>
              <c:tx>
                <c:rich>
                  <a:bodyPr vertOverflow="clip"/>
                  <a:lstStyle/>
                  <a:p>
                    <a:r>
                      <a:rPr lang="en-US"/>
                      <a:t>EE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A855-4F08-91C8-9D8274867582}"/>
                </c:ext>
                <c:ext xmlns:c15="http://schemas.microsoft.com/office/drawing/2012/chart" uri="{CE6537A1-D6FC-4f65-9D91-7224C49458BB}"/>
              </c:extLst>
            </c:dLbl>
            <c:dLbl>
              <c:idx val="7"/>
              <c:layout>
                <c:manualLayout>
                  <c:x val="-0.033179009573907715"/>
                  <c:y val="0.076444431068341062"/>
                </c:manualLayout>
              </c:layout>
              <c:tx>
                <c:rich>
                  <a:bodyPr vertOverflow="clip"/>
                  <a:lstStyle/>
                  <a:p>
                    <a:r>
                      <a:rPr lang="en-US"/>
                      <a:t>EL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A855-4F08-91C8-9D8274867582}"/>
                </c:ext>
                <c:ext xmlns:c15="http://schemas.microsoft.com/office/drawing/2012/chart" uri="{CE6537A1-D6FC-4f65-9D91-7224C49458BB}"/>
              </c:extLst>
            </c:dLbl>
            <c:dLbl>
              <c:idx val="8"/>
              <c:layout>
                <c:manualLayout>
                  <c:x val="-0.037326385770646175"/>
                  <c:y val="0.06688887718479844"/>
                </c:manualLayout>
              </c:layout>
              <c:tx>
                <c:rich>
                  <a:bodyPr vertOverflow="clip"/>
                  <a:lstStyle/>
                  <a:p>
                    <a:r>
                      <a:rPr lang="en-US"/>
                      <a:t>ES</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A855-4F08-91C8-9D8274867582}"/>
                </c:ext>
                <c:ext xmlns:c15="http://schemas.microsoft.com/office/drawing/2012/chart" uri="{CE6537A1-D6FC-4f65-9D91-7224C49458BB}"/>
              </c:extLst>
            </c:dLbl>
            <c:dLbl>
              <c:idx val="9"/>
              <c:layout>
                <c:manualLayout>
                  <c:x val="-0.024884257180430785"/>
                  <c:y val="-0.057333323301255762"/>
                </c:manualLayout>
              </c:layout>
              <c:tx>
                <c:rich>
                  <a:bodyPr vertOverflow="clip"/>
                  <a:lstStyle/>
                  <a:p>
                    <a:r>
                      <a:rPr lang="en-US"/>
                      <a:t>FR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A855-4F08-91C8-9D8274867582}"/>
                </c:ext>
                <c:ext xmlns:c15="http://schemas.microsoft.com/office/drawing/2012/chart" uri="{CE6537A1-D6FC-4f65-9D91-7224C49458BB}"/>
              </c:extLst>
            </c:dLbl>
            <c:dLbl>
              <c:idx val="10"/>
              <c:layout>
                <c:manualLayout>
                  <c:x val="-0.0456211381641231"/>
                  <c:y val="-0.076444431068341021"/>
                </c:manualLayout>
              </c:layout>
              <c:tx>
                <c:rich>
                  <a:bodyPr vertOverflow="clip"/>
                  <a:lstStyle/>
                  <a:p>
                    <a:r>
                      <a:rPr lang="en-US"/>
                      <a:t>HR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A855-4F08-91C8-9D8274867582}"/>
                </c:ext>
                <c:ext xmlns:c15="http://schemas.microsoft.com/office/drawing/2012/chart" uri="{CE6537A1-D6FC-4f65-9D91-7224C49458BB}"/>
              </c:extLst>
            </c:dLbl>
            <c:dLbl>
              <c:idx val="11"/>
              <c:layout>
                <c:manualLayout>
                  <c:x val="-0.0456211381641231"/>
                  <c:y val="0.057333323301255762"/>
                </c:manualLayout>
              </c:layout>
              <c:tx>
                <c:rich>
                  <a:bodyPr vertOverflow="clip"/>
                  <a:lstStyle/>
                  <a:p>
                    <a:r>
                      <a:rPr lang="en-US"/>
                      <a:t>IT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A855-4F08-91C8-9D8274867582}"/>
                </c:ext>
                <c:ext xmlns:c15="http://schemas.microsoft.com/office/drawing/2012/chart" uri="{CE6537A1-D6FC-4f65-9D91-7224C49458BB}"/>
              </c:extLst>
            </c:dLbl>
            <c:dLbl>
              <c:idx val="12"/>
              <c:layout>
                <c:manualLayout>
                  <c:x val="-0.041473761967384642"/>
                  <c:y val="-0.076444431068341048"/>
                </c:manualLayout>
              </c:layout>
              <c:tx>
                <c:rich>
                  <a:bodyPr vertOverflow="clip"/>
                  <a:lstStyle/>
                  <a:p>
                    <a:r>
                      <a:rPr lang="en-US"/>
                      <a:t>CY</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A855-4F08-91C8-9D8274867582}"/>
                </c:ext>
                <c:ext xmlns:c15="http://schemas.microsoft.com/office/drawing/2012/chart" uri="{CE6537A1-D6FC-4f65-9D91-7224C49458BB}"/>
              </c:extLst>
            </c:dLbl>
            <c:dLbl>
              <c:idx val="13"/>
              <c:layout>
                <c:manualLayout>
                  <c:x val="-0.070505395344553856"/>
                  <c:y val="-0.076444431068341021"/>
                </c:manualLayout>
              </c:layout>
              <c:tx>
                <c:rich>
                  <a:bodyPr vertOverflow="clip"/>
                  <a:lstStyle/>
                  <a:p>
                    <a:r>
                      <a:rPr lang="en-US"/>
                      <a:t>LV</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A855-4F08-91C8-9D8274867582}"/>
                </c:ext>
                <c:ext xmlns:c15="http://schemas.microsoft.com/office/drawing/2012/chart" uri="{CE6537A1-D6FC-4f65-9D91-7224C49458BB}"/>
              </c:extLst>
            </c:dLbl>
            <c:dLbl>
              <c:idx val="14"/>
              <c:layout>
                <c:manualLayout>
                  <c:x val="-0.016589504786953858"/>
                  <c:y val="0.0095555538835426276"/>
                </c:manualLayout>
              </c:layout>
              <c:tx>
                <c:rich>
                  <a:bodyPr vertOverflow="clip"/>
                  <a:lstStyle/>
                  <a:p>
                    <a:r>
                      <a:rPr lang="en-US"/>
                      <a:t>LT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E-A855-4F08-91C8-9D8274867582}"/>
                </c:ext>
                <c:ext xmlns:c15="http://schemas.microsoft.com/office/drawing/2012/chart" uri="{CE6537A1-D6FC-4f65-9D91-7224C49458BB}"/>
              </c:extLst>
            </c:dLbl>
            <c:dLbl>
              <c:idx val="15"/>
              <c:layout>
                <c:manualLayout>
                  <c:x val="-0.024884257180430785"/>
                  <c:y val="-0.038222215534170469"/>
                </c:manualLayout>
              </c:layout>
              <c:tx>
                <c:rich>
                  <a:bodyPr vertOverflow="clip"/>
                  <a:lstStyle/>
                  <a:p>
                    <a:r>
                      <a:rPr lang="en-US"/>
                      <a:t>HU</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F-A855-4F08-91C8-9D8274867582}"/>
                </c:ext>
                <c:ext xmlns:c15="http://schemas.microsoft.com/office/drawing/2012/chart" uri="{CE6537A1-D6FC-4f65-9D91-7224C49458BB}"/>
              </c:extLst>
            </c:dLbl>
            <c:dLbl>
              <c:idx val="16"/>
              <c:layout>
                <c:manualLayout>
                  <c:x val="-0.0456211381641231"/>
                  <c:y val="-0.076444431068341021"/>
                </c:manualLayout>
              </c:layout>
              <c:tx>
                <c:rich>
                  <a:bodyPr vertOverflow="clip"/>
                  <a:lstStyle/>
                  <a:p>
                    <a:r>
                      <a:rPr lang="en-US"/>
                      <a:t>NL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0-A855-4F08-91C8-9D8274867582}"/>
                </c:ext>
                <c:ext xmlns:c15="http://schemas.microsoft.com/office/drawing/2012/chart" uri="{CE6537A1-D6FC-4f65-9D91-7224C49458BB}"/>
              </c:extLst>
            </c:dLbl>
            <c:dLbl>
              <c:idx val="17"/>
              <c:layout>
                <c:manualLayout>
                  <c:x val="-0.029031959942224111"/>
                  <c:y val="-0.076444431068341021"/>
                </c:manualLayout>
              </c:layout>
              <c:tx>
                <c:rich>
                  <a:bodyPr vertOverflow="clip"/>
                  <a:lstStyle/>
                  <a:p>
                    <a:r>
                      <a:rPr lang="en-US"/>
                      <a:t>UK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1-A855-4F08-91C8-9D8274867582}"/>
                </c:ext>
                <c:ext xmlns:c15="http://schemas.microsoft.com/office/drawing/2012/chart" uri="{CE6537A1-D6FC-4f65-9D91-7224C49458BB}"/>
              </c:extLst>
            </c:dLbl>
            <c:dLbl>
              <c:idx val="18"/>
              <c:layout>
                <c:manualLayout>
                  <c:x val="-0.087095226696562611"/>
                  <c:y val="0.03822221553417051"/>
                </c:manualLayout>
              </c:layout>
              <c:tx>
                <c:rich>
                  <a:bodyPr vertOverflow="clip"/>
                  <a:lstStyle/>
                  <a:p>
                    <a:r>
                      <a:rPr lang="en-US"/>
                      <a:t>PL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2-A855-4F08-91C8-9D8274867582}"/>
                </c:ext>
                <c:ext xmlns:c15="http://schemas.microsoft.com/office/drawing/2012/chart" uri="{CE6537A1-D6FC-4f65-9D91-7224C49458BB}"/>
              </c:extLst>
            </c:dLbl>
            <c:dLbl>
              <c:idx val="19"/>
              <c:layout>
                <c:manualLayout>
                  <c:x val="-0.066358019147815431"/>
                  <c:y val="0.076444431068341021"/>
                </c:manualLayout>
              </c:layout>
              <c:tx>
                <c:rich>
                  <a:bodyPr vertOverflow="clip"/>
                  <a:lstStyle/>
                  <a:p>
                    <a:r>
                      <a:rPr lang="en-US"/>
                      <a:t>PT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3-A855-4F08-91C8-9D8274867582}"/>
                </c:ext>
                <c:ext xmlns:c15="http://schemas.microsoft.com/office/drawing/2012/chart" uri="{CE6537A1-D6FC-4f65-9D91-7224C49458BB}"/>
              </c:extLst>
            </c:dLbl>
            <c:dLbl>
              <c:idx val="20"/>
              <c:layout>
                <c:manualLayout>
                  <c:x val="-0.0580632667543385"/>
                  <c:y val="0.076444431068341021"/>
                </c:manualLayout>
              </c:layout>
              <c:tx>
                <c:rich>
                  <a:bodyPr vertOverflow="clip"/>
                  <a:lstStyle/>
                  <a:p>
                    <a:r>
                      <a:rPr lang="en-US"/>
                      <a:t>RO</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4-A855-4F08-91C8-9D8274867582}"/>
                </c:ext>
                <c:ext xmlns:c15="http://schemas.microsoft.com/office/drawing/2012/chart" uri="{CE6537A1-D6FC-4f65-9D91-7224C49458BB}"/>
              </c:extLst>
            </c:dLbl>
            <c:dLbl>
              <c:idx val="21"/>
              <c:layout>
                <c:manualLayout>
                  <c:x val="-0.078800147738030818"/>
                  <c:y val="-0.047945555915038338"/>
                </c:manualLayout>
              </c:layout>
              <c:tx>
                <c:rich>
                  <a:bodyPr vertOverflow="clip"/>
                  <a:lstStyle/>
                  <a:p>
                    <a:r>
                      <a:rPr lang="en-US"/>
                      <a:t>SI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5-A855-4F08-91C8-9D8274867582}"/>
                </c:ext>
                <c:ext xmlns:c15="http://schemas.microsoft.com/office/drawing/2012/chart" uri="{CE6537A1-D6FC-4f65-9D91-7224C49458BB}"/>
              </c:extLst>
            </c:dLbl>
            <c:dLbl>
              <c:idx val="22"/>
              <c:layout>
                <c:manualLayout>
                  <c:x val="-0.020736880983692321"/>
                  <c:y val="0.057333323301255762"/>
                </c:manualLayout>
              </c:layout>
              <c:tx>
                <c:rich>
                  <a:bodyPr vertOverflow="clip"/>
                  <a:lstStyle/>
                  <a:p>
                    <a:r>
                      <a:rPr lang="en-US"/>
                      <a:t>SK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6-A855-4F08-91C8-9D8274867582}"/>
                </c:ext>
                <c:ext xmlns:c15="http://schemas.microsoft.com/office/drawing/2012/chart" uri="{CE6537A1-D6FC-4f65-9D91-7224C49458BB}"/>
              </c:extLst>
            </c:dLbl>
            <c:dLbl>
              <c:idx val="23"/>
              <c:layout>
                <c:manualLayout>
                  <c:x val="-0.09953702872172307"/>
                  <c:y val="0.019111107767085255"/>
                </c:manualLayout>
              </c:layout>
              <c:tx>
                <c:rich>
                  <a:bodyPr vertOverflow="clip"/>
                  <a:lstStyle/>
                  <a:p>
                    <a:r>
                      <a:rPr lang="en-US"/>
                      <a:t>DE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7-A855-4F08-91C8-9D8274867582}"/>
                </c:ext>
                <c:ext xmlns:c15="http://schemas.microsoft.com/office/drawing/2012/chart" uri="{CE6537A1-D6FC-4f65-9D91-7224C49458BB}"/>
              </c:extLst>
            </c:dLbl>
            <c:dLbl>
              <c:idx val="24"/>
              <c:layout>
                <c:manualLayout>
                  <c:x val="-0.029031633377169248"/>
                  <c:y val="0.057333323301255762"/>
                </c:manualLayout>
              </c:layout>
              <c:tx>
                <c:rich>
                  <a:bodyPr vertOverflow="clip"/>
                  <a:lstStyle/>
                  <a:p>
                    <a:r>
                      <a:rPr lang="en-US"/>
                      <a:t>SE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8-A855-4F08-91C8-9D8274867582}"/>
                </c:ext>
                <c:ext xmlns:c15="http://schemas.microsoft.com/office/drawing/2012/chart" uri="{CE6537A1-D6FC-4f65-9D91-7224C49458BB}"/>
              </c:extLst>
            </c:dLbl>
            <c:dLbl>
              <c:idx val="25"/>
              <c:layout>
                <c:manualLayout>
                  <c:x val="0.0580632667543385"/>
                  <c:y val="-0.0080718096112319133"/>
                </c:manualLayout>
              </c:layout>
              <c:tx>
                <c:rich>
                  <a:bodyPr vertOverflow="clip"/>
                  <a:lstStyle/>
                  <a:p>
                    <a:r>
                      <a:rPr lang="en-US"/>
                      <a:t>DK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9-A855-4F08-91C8-9D8274867582}"/>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Sheet1!$B$3:$B$28</c:f>
              <c:numCache>
                <c:formatCode>0</c:formatCode>
                <c:ptCount val="26"/>
                <c:pt idx="0">
                  <c:v>91.302879025967982</c:v>
                </c:pt>
                <c:pt idx="1">
                  <c:v>129.69302325581396</c:v>
                </c:pt>
                <c:pt idx="2">
                  <c:v>22.227756090994749</c:v>
                </c:pt>
                <c:pt idx="3">
                  <c:v>55.899546188754712</c:v>
                </c:pt>
                <c:pt idx="4">
                  <c:v>101.55612244897959</c:v>
                </c:pt>
                <c:pt idx="5">
                  <c:v>88.93717728055077</c:v>
                </c:pt>
                <c:pt idx="6">
                  <c:v>53.5984251968504</c:v>
                </c:pt>
                <c:pt idx="7">
                  <c:v>85.83286783599597</c:v>
                </c:pt>
                <c:pt idx="8">
                  <c:v>92.28644283892902</c:v>
                </c:pt>
                <c:pt idx="9">
                  <c:v>117.89353612167301</c:v>
                </c:pt>
                <c:pt idx="10">
                  <c:v>41.9461743772242</c:v>
                </c:pt>
                <c:pt idx="11">
                  <c:v>104.24225682236732</c:v>
                </c:pt>
                <c:pt idx="12">
                  <c:v>61.076458752515094</c:v>
                </c:pt>
                <c:pt idx="13">
                  <c:v>36.740220661985958</c:v>
                </c:pt>
                <c:pt idx="14">
                  <c:v>42.160940325497286</c:v>
                </c:pt>
                <c:pt idx="15">
                  <c:v>47.377342598441771</c:v>
                </c:pt>
                <c:pt idx="16">
                  <c:v>110.48809523809524</c:v>
                </c:pt>
                <c:pt idx="17">
                  <c:v>86.412965432352038</c:v>
                </c:pt>
                <c:pt idx="18">
                  <c:v>41.405405405405411</c:v>
                </c:pt>
                <c:pt idx="19">
                  <c:v>80.642124490656172</c:v>
                </c:pt>
                <c:pt idx="20">
                  <c:v>44.590361445783131</c:v>
                </c:pt>
                <c:pt idx="21">
                  <c:v>51.493792551061276</c:v>
                </c:pt>
                <c:pt idx="22">
                  <c:v>54.828685258964143</c:v>
                </c:pt>
                <c:pt idx="23">
                  <c:v>87.358288770053477</c:v>
                </c:pt>
                <c:pt idx="24">
                  <c:v>104.6920768307323</c:v>
                </c:pt>
                <c:pt idx="25">
                  <c:v>89.736399878434668</c:v>
                </c:pt>
              </c:numCache>
            </c:numRef>
          </c:xVal>
          <c:yVal>
            <c:numRef>
              <c:f>Sheet1!$C$3:$C$28</c:f>
              <c:numCache>
                <c:formatCode>0.0</c:formatCode>
                <c:ptCount val="26"/>
                <c:pt idx="0">
                  <c:v>0.567045819651602</c:v>
                </c:pt>
                <c:pt idx="1">
                  <c:v>0.57007909894525755</c:v>
                </c:pt>
                <c:pt idx="2">
                  <c:v>0.48465762621684721</c:v>
                </c:pt>
                <c:pt idx="3">
                  <c:v>0.45487804259463044</c:v>
                </c:pt>
                <c:pt idx="4">
                  <c:v>0.6814399165265782</c:v>
                </c:pt>
                <c:pt idx="5">
                  <c:v>0.59551759841551577</c:v>
                </c:pt>
                <c:pt idx="6">
                  <c:v>0.54455890994564415</c:v>
                </c:pt>
                <c:pt idx="7">
                  <c:v>0.48132845988873568</c:v>
                </c:pt>
                <c:pt idx="8">
                  <c:v>0.50910041072506707</c:v>
                </c:pt>
                <c:pt idx="9">
                  <c:v>0.58033060765645239</c:v>
                </c:pt>
                <c:pt idx="10">
                  <c:v>0.47607377103921156</c:v>
                </c:pt>
                <c:pt idx="11">
                  <c:v>0.47846436056882752</c:v>
                </c:pt>
                <c:pt idx="12">
                  <c:v>0.5659335543890055</c:v>
                </c:pt>
                <c:pt idx="13">
                  <c:v>0.48312569365200936</c:v>
                </c:pt>
                <c:pt idx="14">
                  <c:v>0.42109735729587389</c:v>
                </c:pt>
                <c:pt idx="15">
                  <c:v>0.46584313450117021</c:v>
                </c:pt>
                <c:pt idx="16">
                  <c:v>0.56641231842180007</c:v>
                </c:pt>
                <c:pt idx="17">
                  <c:v>0.65010610803201152</c:v>
                </c:pt>
                <c:pt idx="18">
                  <c:v>0.40676404362140672</c:v>
                </c:pt>
                <c:pt idx="19">
                  <c:v>0.47147262434208104</c:v>
                </c:pt>
                <c:pt idx="20">
                  <c:v>0.28653445551232548</c:v>
                </c:pt>
                <c:pt idx="21">
                  <c:v>0.67200300485345643</c:v>
                </c:pt>
                <c:pt idx="22">
                  <c:v>0.41885067023320693</c:v>
                </c:pt>
                <c:pt idx="23">
                  <c:v>0.62892400612772792</c:v>
                </c:pt>
                <c:pt idx="24">
                  <c:v>0.54621703504183161</c:v>
                </c:pt>
                <c:pt idx="25">
                  <c:v>0.68323748594345413</c:v>
                </c:pt>
              </c:numCache>
            </c:numRef>
          </c:yVal>
          <c:smooth val="0"/>
          <c:extLst>
            <c:ext xmlns:c="http://schemas.openxmlformats.org/drawingml/2006/chart" xmlns:c16="http://schemas.microsoft.com/office/drawing/2014/chart" uri="{C3380CC4-5D6E-409C-BE32-E72D297353CC}">
              <c16:uniqueId val="{0000001A-A855-4F08-91C8-9D8274867582}"/>
            </c:ext>
          </c:extLst>
        </c:ser>
        <c:dLbls>
          <c:showLegendKey val="0"/>
          <c:showVal val="0"/>
          <c:showCatName val="0"/>
          <c:showSerName val="0"/>
          <c:showPercent val="0"/>
          <c:showBubbleSize val="0"/>
        </c:dLbls>
        <c:axId val="656464456"/>
        <c:axId val="656465240"/>
      </c:scatterChart>
      <c:valAx>
        <c:axId val="656464456"/>
        <c:scaling>
          <c:orientation val="minMax"/>
          <c:max val="130"/>
          <c:min val="10"/>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56465240"/>
        <c:crosses val="autoZero"/>
        <c:crossBetween val="midCat"/>
        <c:majorUnit val="20"/>
      </c:valAx>
      <c:valAx>
        <c:axId val="656465240"/>
        <c:scaling>
          <c:orientation val="minMax"/>
          <c:max val="0.8"/>
          <c:min val="0.2"/>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56464456"/>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34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0667416572928377"/>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DC2D-42D0-9116-86462D766ED8}"/>
              </c:ext>
            </c:extLst>
          </c:dPt>
          <c:dPt>
            <c:idx val="5"/>
            <c:bubble3D val="0"/>
            <c:extLst>
              <c:ext xmlns:c="http://schemas.openxmlformats.org/drawingml/2006/chart" xmlns:c16="http://schemas.microsoft.com/office/drawing/2014/chart" uri="{C3380CC4-5D6E-409C-BE32-E72D297353CC}">
                <c16:uniqueId val="{00000001-DC2D-42D0-9116-86462D766ED8}"/>
              </c:ext>
            </c:extLst>
          </c:dPt>
          <c:dPt>
            <c:idx val="11"/>
            <c:bubble3D val="0"/>
            <c:extLst>
              <c:ext xmlns:c="http://schemas.openxmlformats.org/drawingml/2006/chart" xmlns:c16="http://schemas.microsoft.com/office/drawing/2014/chart" uri="{C3380CC4-5D6E-409C-BE32-E72D297353CC}">
                <c16:uniqueId val="{00000002-DC2D-42D0-9116-86462D766ED8}"/>
              </c:ext>
            </c:extLst>
          </c:dPt>
          <c:dPt>
            <c:idx val="12"/>
            <c:bubble3D val="0"/>
            <c:extLst>
              <c:ext xmlns:c="http://schemas.openxmlformats.org/drawingml/2006/chart" xmlns:c16="http://schemas.microsoft.com/office/drawing/2014/chart" uri="{C3380CC4-5D6E-409C-BE32-E72D297353CC}">
                <c16:uniqueId val="{00000003-DC2D-42D0-9116-86462D766ED8}"/>
              </c:ext>
            </c:extLst>
          </c:dPt>
          <c:dPt>
            <c:idx val="13"/>
            <c:bubble3D val="0"/>
            <c:extLst>
              <c:ext xmlns:c="http://schemas.openxmlformats.org/drawingml/2006/chart" xmlns:c16="http://schemas.microsoft.com/office/drawing/2014/chart" uri="{C3380CC4-5D6E-409C-BE32-E72D297353CC}">
                <c16:uniqueId val="{00000004-DC2D-42D0-9116-86462D766ED8}"/>
              </c:ext>
            </c:extLst>
          </c:dPt>
          <c:dPt>
            <c:idx val="14"/>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E-DC2D-42D0-9116-86462D766ED8}"/>
              </c:ext>
            </c:extLst>
          </c:dPt>
          <c:dLbls>
            <c:dLbl>
              <c:idx val="0"/>
              <c:layout>
                <c:manualLayout>
                  <c:x val="-0.12133665421336655"/>
                  <c:y val="-0.038241906222529785"/>
                </c:manualLayout>
              </c:layout>
              <c:tx>
                <c:rich>
                  <a:bodyPr vertOverflow="clip"/>
                  <a:lstStyle/>
                  <a:p>
                    <a:fld id="{69393b25-4d24-426e-9a1d-7302092ef304}" type="CELLRANGE">
                      <a:rPr lang="en-US"/>
                      <a:t>EU-28</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0-DC2D-42D0-9116-86462D766ED8}"/>
                </c:ext>
                <c:ext xmlns:c15="http://schemas.microsoft.com/office/drawing/2012/chart" uri="{CE6537A1-D6FC-4f65-9D91-7224C49458BB}">
                  <c15:showDataLabelsRange val="1"/>
                </c:ext>
              </c:extLst>
            </c:dLbl>
            <c:dLbl>
              <c:idx val="1"/>
              <c:tx>
                <c:rich>
                  <a:bodyPr vertOverflow="clip"/>
                  <a:lstStyle/>
                  <a:p>
                    <a:fld id="{53cc4062-fab1-4dc5-9779-34c79ce8b30d}" type="CELLRANGE">
                      <a:rPr lang="en-US"/>
                      <a:t>BE</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5-DC2D-42D0-9116-86462D766ED8}"/>
                </c:ext>
                <c:ext xmlns:c15="http://schemas.microsoft.com/office/drawing/2012/chart" uri="{CE6537A1-D6FC-4f65-9D91-7224C49458BB}">
                  <c15:showDataLabelsRange val="1"/>
                </c:ext>
              </c:extLst>
            </c:dLbl>
            <c:dLbl>
              <c:idx val="2"/>
              <c:layout>
                <c:manualLayout>
                  <c:x val="-0.095952840888662266"/>
                  <c:y val="-2.177330350065177E-17"/>
                </c:manualLayout>
              </c:layout>
              <c:tx>
                <c:rich>
                  <a:bodyPr vertOverflow="clip"/>
                  <a:lstStyle/>
                  <a:p>
                    <a:fld id="{3fe4b10c-aeb5-419a-bc3c-84d6b66f1106}" type="CELLRANGE">
                      <a:rPr lang="en-US"/>
                      <a:t>BG</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6-DC2D-42D0-9116-86462D766ED8}"/>
                </c:ext>
                <c:ext xmlns:c15="http://schemas.microsoft.com/office/drawing/2012/chart" uri="{CE6537A1-D6FC-4f65-9D91-7224C49458BB}">
                  <c15:showDataLabelsRange val="1"/>
                </c:ext>
              </c:extLst>
            </c:dLbl>
            <c:dLbl>
              <c:idx val="3"/>
              <c:layout>
                <c:manualLayout>
                  <c:x val="-0.024906600249066"/>
                  <c:y val="0"/>
                </c:manualLayout>
              </c:layout>
              <c:tx>
                <c:rich>
                  <a:bodyPr vertOverflow="clip"/>
                  <a:lstStyle/>
                  <a:p>
                    <a:fld id="{9f616cbd-5734-484a-add6-4b9a88959cf1}" type="CELLRANGE">
                      <a:rPr lang="en-US"/>
                      <a:t>CZ</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7-DC2D-42D0-9116-86462D766ED8}"/>
                </c:ext>
                <c:ext xmlns:c15="http://schemas.microsoft.com/office/drawing/2012/chart" uri="{CE6537A1-D6FC-4f65-9D91-7224C49458BB}">
                  <c15:showDataLabelsRange val="1"/>
                </c:ext>
              </c:extLst>
            </c:dLbl>
            <c:dLbl>
              <c:idx val="4"/>
              <c:tx>
                <c:rich>
                  <a:bodyPr vertOverflow="clip"/>
                  <a:lstStyle/>
                  <a:p>
                    <a:fld id="{46775d4a-0766-4365-9e4e-65ba22cc325d}" type="CELLRANGE">
                      <a:rPr lang="en-US"/>
                      <a:t>DK</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8-DC2D-42D0-9116-86462D766ED8}"/>
                </c:ext>
                <c:ext xmlns:c15="http://schemas.microsoft.com/office/drawing/2012/chart" uri="{CE6537A1-D6FC-4f65-9D91-7224C49458BB}">
                  <c15:showDataLabelsRange val="1"/>
                </c:ext>
              </c:extLst>
            </c:dLbl>
            <c:dLbl>
              <c:idx val="5"/>
              <c:layout>
                <c:manualLayout>
                  <c:x val="-0.051318055977747488"/>
                  <c:y val="0.066746217292909651"/>
                </c:manualLayout>
              </c:layout>
              <c:tx>
                <c:rich>
                  <a:bodyPr vertOverflow="clip"/>
                  <a:lstStyle/>
                  <a:p>
                    <a:fld id="{2db5ab92-f215-4133-ab4d-6df8a99e6981}" type="CELLRANGE">
                      <a:rPr lang="en-US"/>
                      <a:t>DE</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1-DC2D-42D0-9116-86462D766ED8}"/>
                </c:ext>
                <c:ext xmlns:c15="http://schemas.microsoft.com/office/drawing/2012/chart" uri="{CE6537A1-D6FC-4f65-9D91-7224C49458BB}">
                  <c15:showDataLabelsRange val="1"/>
                </c:ext>
              </c:extLst>
            </c:dLbl>
            <c:dLbl>
              <c:idx val="6"/>
              <c:tx>
                <c:rich>
                  <a:bodyPr vertOverflow="clip"/>
                  <a:lstStyle/>
                  <a:p>
                    <a:fld id="{478ebf8f-1cb9-4e7d-9e50-040432e193cf}" type="CELLRANGE">
                      <a:rPr lang="lv-LV"/>
                      <a:t>EE</a:t>
                    </a:fld>
                    <a:endParaRPr lang="lv-LV"/>
                  </a:p>
                </c:rich>
              </c:tx>
              <c:dLblPos val="l"/>
              <c:showLegendKey val="0"/>
              <c:showVal val="0"/>
              <c:showCatName val="0"/>
              <c:showSerName val="0"/>
              <c:showPercent val="0"/>
              <c:showBubbleSize val="0"/>
              <c:extLst>
                <c:ext xmlns:c15="http://schemas.microsoft.com/office/drawing/2012/chart" uri="{CE6537A1-D6FC-4f65-9D91-7224C49458BB}">
                  <c15:showDataLabelsRange val="1"/>
                </c:ext>
              </c:extLst>
            </c:dLbl>
            <c:dLbl>
              <c:idx val="7"/>
              <c:tx>
                <c:rich>
                  <a:bodyPr/>
                  <a:lstStyle/>
                  <a:p>
                    <a:fld id="{8eb81ecf-af17-4695-80de-32d6cd9512f9}" type="CELLRANGE">
                      <a:rPr lang="lv-LV"/>
                      <a:t>IE</a:t>
                    </a:fld>
                    <a:endParaRPr lang="lv-LV"/>
                  </a:p>
                </c:rich>
              </c:tx>
              <c:dLblPos val="l"/>
              <c:showLegendKey val="0"/>
              <c:showVal val="0"/>
              <c:showCatName val="0"/>
              <c:showSerName val="0"/>
              <c:showPercent val="0"/>
              <c:showBubbleSize val="0"/>
              <c:extLst>
                <c:ext xmlns:c15="http://schemas.microsoft.com/office/drawing/2012/chart" uri="{CE6537A1-D6FC-4f65-9D91-7224C49458BB}">
                  <c15:showDataLabelsRange val="1"/>
                </c:ext>
              </c:extLst>
            </c:dLbl>
            <c:dLbl>
              <c:idx val="8"/>
              <c:layout>
                <c:manualLayout>
                  <c:x val="-0.089518308966049231"/>
                  <c:y val="-0.028503562945368172"/>
                </c:manualLayout>
              </c:layout>
              <c:tx>
                <c:rich>
                  <a:bodyPr vertOverflow="clip"/>
                  <a:lstStyle/>
                  <a:p>
                    <a:fld id="{d13700d5-afc9-4a2d-b6b1-7a73ae12e278}" type="CELLRANGE">
                      <a:rPr lang="en-US"/>
                      <a:t>EL</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B-DC2D-42D0-9116-86462D766ED8}"/>
                </c:ext>
                <c:ext xmlns:c15="http://schemas.microsoft.com/office/drawing/2012/chart" uri="{CE6537A1-D6FC-4f65-9D91-7224C49458BB}">
                  <c15:showDataLabelsRange val="1"/>
                </c:ext>
              </c:extLst>
            </c:dLbl>
            <c:dLbl>
              <c:idx val="9"/>
              <c:layout>
                <c:manualLayout>
                  <c:x val="-0.054669987546700029"/>
                  <c:y val="0.076247404941365615"/>
                </c:manualLayout>
              </c:layout>
              <c:tx>
                <c:rich>
                  <a:bodyPr vertOverflow="clip"/>
                  <a:lstStyle/>
                  <a:p>
                    <a:fld id="{b3189f64-ba5e-4cfc-8307-1959691c249a}" type="CELLRANGE">
                      <a:rPr lang="en-US"/>
                      <a:t>ES</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C-DC2D-42D0-9116-86462D766ED8}"/>
                </c:ext>
                <c:ext xmlns:c15="http://schemas.microsoft.com/office/drawing/2012/chart" uri="{CE6537A1-D6FC-4f65-9D91-7224C49458BB}">
                  <c15:showDataLabelsRange val="1"/>
                </c:ext>
              </c:extLst>
            </c:dLbl>
            <c:dLbl>
              <c:idx val="10"/>
              <c:tx>
                <c:rich>
                  <a:bodyPr vertOverflow="clip"/>
                  <a:lstStyle/>
                  <a:p>
                    <a:fld id="{77bf9c1f-1503-4f87-808c-13a96e88f682}" type="CELLRANGE">
                      <a:rPr lang="en-US"/>
                      <a:t>FR</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D-DC2D-42D0-9116-86462D766ED8}"/>
                </c:ext>
                <c:ext xmlns:c15="http://schemas.microsoft.com/office/drawing/2012/chart" uri="{CE6537A1-D6FC-4f65-9D91-7224C49458BB}">
                  <c15:showDataLabelsRange val="1"/>
                </c:ext>
              </c:extLst>
            </c:dLbl>
            <c:dLbl>
              <c:idx val="11"/>
              <c:tx>
                <c:rich>
                  <a:bodyPr vertOverflow="clip"/>
                  <a:lstStyle/>
                  <a:p>
                    <a:fld id="{68c2cc15-c9a6-4ff0-bec0-63c66ab591ae}" type="CELLRANGE">
                      <a:rPr lang="lv-LV"/>
                      <a:t>HR</a:t>
                    </a:fld>
                    <a:endParaRPr lang="lv-LV"/>
                  </a:p>
                </c:rich>
              </c:tx>
              <c:dLblPos val="l"/>
              <c:showLegendKey val="0"/>
              <c:showVal val="0"/>
              <c:showCatName val="0"/>
              <c:showSerName val="0"/>
              <c:showPercent val="0"/>
              <c:showBubbleSize val="0"/>
              <c:extLst>
                <c:ext xmlns:c15="http://schemas.microsoft.com/office/drawing/2012/chart" uri="{CE6537A1-D6FC-4f65-9D91-7224C49458BB}">
                  <c15:showDataLabelsRange val="1"/>
                </c:ext>
              </c:extLst>
            </c:dLbl>
            <c:dLbl>
              <c:idx val="12"/>
              <c:layout>
                <c:manualLayout>
                  <c:x val="-0.075633042756330426"/>
                  <c:y val="0"/>
                </c:manualLayout>
              </c:layout>
              <c:tx>
                <c:rich>
                  <a:bodyPr vertOverflow="clip"/>
                  <a:lstStyle/>
                  <a:p>
                    <a:fld id="{84ceadd7-febc-43a4-8168-90c036a85e71}" type="CELLRANGE">
                      <a:rPr lang="en-US"/>
                      <a:t>IT</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3-DC2D-42D0-9116-86462D766ED8}"/>
                </c:ext>
                <c:ext xmlns:c15="http://schemas.microsoft.com/office/drawing/2012/chart" uri="{CE6537A1-D6FC-4f65-9D91-7224C49458BB}">
                  <c15:showDataLabelsRange val="1"/>
                </c:ext>
              </c:extLst>
            </c:dLbl>
            <c:dLbl>
              <c:idx val="13"/>
              <c:tx>
                <c:rich>
                  <a:bodyPr vertOverflow="clip"/>
                  <a:lstStyle/>
                  <a:p>
                    <a:fld id="{13c97cc4-f08f-4f0e-9cd4-f87ea7290c5f}" type="CELLRANGE">
                      <a:rPr lang="lv-LV"/>
                      <a:t>CY</a:t>
                    </a:fld>
                    <a:endParaRPr lang="lv-LV"/>
                  </a:p>
                </c:rich>
              </c:tx>
              <c:dLblPos val="l"/>
              <c:showLegendKey val="0"/>
              <c:showVal val="0"/>
              <c:showCatName val="0"/>
              <c:showSerName val="0"/>
              <c:showPercent val="0"/>
              <c:showBubbleSize val="0"/>
              <c:extLst>
                <c:ext xmlns:c15="http://schemas.microsoft.com/office/drawing/2012/chart" uri="{CE6537A1-D6FC-4f65-9D91-7224C49458BB}">
                  <c15:showDataLabelsRange val="1"/>
                </c:ext>
              </c:extLst>
            </c:dLbl>
            <c:dLbl>
              <c:idx val="14"/>
              <c:layout>
                <c:manualLayout>
                  <c:x val="-0.034381567808382606"/>
                  <c:y val="-0.039424691866010809"/>
                </c:manualLayout>
              </c:layout>
              <c:tx>
                <c:rich>
                  <a:bodyPr vertOverflow="clip"/>
                  <a:lstStyle/>
                  <a:p>
                    <a:fld id="{e49e4a5e-0a39-4127-b480-3f2db31ee624}" type="CELLRANGE">
                      <a:rPr lang="en-US"/>
                      <a:t>LV</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E-DC2D-42D0-9116-86462D766ED8}"/>
                </c:ext>
                <c:ext xmlns:c15="http://schemas.microsoft.com/office/drawing/2012/chart" uri="{CE6537A1-D6FC-4f65-9D91-7224C49458BB}">
                  <c15:showDataLabelsRange val="1"/>
                </c:ext>
              </c:extLst>
            </c:dLbl>
            <c:dLbl>
              <c:idx val="15"/>
              <c:tx>
                <c:rich>
                  <a:bodyPr vertOverflow="clip"/>
                  <a:lstStyle/>
                  <a:p>
                    <a:fld id="{e3b05a51-5877-473b-97bf-8b01390f27c3}" type="CELLRANGE">
                      <a:rPr lang="lv-LV"/>
                      <a:t>LT</a:t>
                    </a:fld>
                    <a:endParaRPr lang="lv-LV"/>
                  </a:p>
                </c:rich>
              </c:tx>
              <c:dLblPos val="l"/>
              <c:showLegendKey val="0"/>
              <c:showVal val="0"/>
              <c:showCatName val="0"/>
              <c:showSerName val="0"/>
              <c:showPercent val="0"/>
              <c:showBubbleSize val="0"/>
              <c:extLst>
                <c:ext xmlns:c15="http://schemas.microsoft.com/office/drawing/2012/chart" uri="{CE6537A1-D6FC-4f65-9D91-7224C49458BB}">
                  <c15:showDataLabelsRange val="1"/>
                </c:ext>
              </c:extLst>
            </c:dLbl>
            <c:dLbl>
              <c:idx val="16"/>
              <c:tx>
                <c:rich>
                  <a:bodyPr vertOverflow="clip"/>
                  <a:lstStyle/>
                  <a:p>
                    <a:fld id="{2cb8d745-56b8-4e38-bfa4-9400d89e4bbd}" type="CELLRANGE">
                      <a:rPr lang="lv-LV"/>
                      <a:t>LU</a:t>
                    </a:fld>
                    <a:endParaRPr lang="lv-LV"/>
                  </a:p>
                </c:rich>
              </c:tx>
              <c:dLblPos val="l"/>
              <c:showLegendKey val="0"/>
              <c:showVal val="0"/>
              <c:showCatName val="0"/>
              <c:showSerName val="0"/>
              <c:showPercent val="0"/>
              <c:showBubbleSize val="0"/>
              <c:extLst>
                <c:ext xmlns:c15="http://schemas.microsoft.com/office/drawing/2012/chart" uri="{CE6537A1-D6FC-4f65-9D91-7224C49458BB}">
                  <c15:showDataLabelsRange val="1"/>
                </c:ext>
              </c:extLst>
            </c:dLbl>
            <c:dLbl>
              <c:idx val="17"/>
              <c:layout>
                <c:manualLayout>
                  <c:x val="-0.025363221253632214"/>
                  <c:y val="-8.7093214002607081E-17"/>
                </c:manualLayout>
              </c:layout>
              <c:tx>
                <c:rich>
                  <a:bodyPr vertOverflow="clip"/>
                  <a:lstStyle/>
                  <a:p>
                    <a:fld id="{adc299f6-dfcb-4af1-8cbf-1cab7af6e331}" type="CELLRANGE">
                      <a:rPr lang="en-US"/>
                      <a:t>HU</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1-DC2D-42D0-9116-86462D766ED8}"/>
                </c:ext>
                <c:ext xmlns:c15="http://schemas.microsoft.com/office/drawing/2012/chart" uri="{CE6537A1-D6FC-4f65-9D91-7224C49458BB}">
                  <c15:showDataLabelsRange val="1"/>
                </c:ext>
              </c:extLst>
            </c:dLbl>
            <c:dLbl>
              <c:idx val="18"/>
              <c:tx>
                <c:rich>
                  <a:bodyPr vertOverflow="clip"/>
                  <a:lstStyle/>
                  <a:p>
                    <a:fld id="{dc7db263-acc5-4fe3-8b22-398357175a4f}" type="CELLRANGE">
                      <a:rPr lang="en-US"/>
                      <a:t>NL</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2-DC2D-42D0-9116-86462D766ED8}"/>
                </c:ext>
                <c:ext xmlns:c15="http://schemas.microsoft.com/office/drawing/2012/chart" uri="{CE6537A1-D6FC-4f65-9D91-7224C49458BB}">
                  <c15:showDataLabelsRange val="1"/>
                </c:ext>
              </c:extLst>
            </c:dLbl>
            <c:dLbl>
              <c:idx val="19"/>
              <c:layout>
                <c:manualLayout>
                  <c:x val="-0.086944626940312408"/>
                  <c:y val="-2.177330350065177E-17"/>
                </c:manualLayout>
              </c:layout>
              <c:tx>
                <c:rich>
                  <a:bodyPr vertOverflow="clip"/>
                  <a:lstStyle/>
                  <a:p>
                    <a:fld id="{7a7e0b89-0f2f-44a8-a785-cc33e6764089}" type="CELLRANGE">
                      <a:rPr lang="en-US"/>
                      <a:t>AT</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3-DC2D-42D0-9116-86462D766ED8}"/>
                </c:ext>
                <c:ext xmlns:c15="http://schemas.microsoft.com/office/drawing/2012/chart" uri="{CE6537A1-D6FC-4f65-9D91-7224C49458BB}">
                  <c15:showDataLabelsRange val="1"/>
                </c:ext>
              </c:extLst>
            </c:dLbl>
            <c:dLbl>
              <c:idx val="20"/>
              <c:layout>
                <c:manualLayout>
                  <c:x val="-0.053061517995182106"/>
                  <c:y val="0.066746217292909554"/>
                </c:manualLayout>
              </c:layout>
              <c:tx>
                <c:rich>
                  <a:bodyPr vertOverflow="clip"/>
                  <a:lstStyle/>
                  <a:p>
                    <a:fld id="{55581d70-e4c8-4659-b8a4-161c12f545a0}" type="CELLRANGE">
                      <a:rPr lang="en-US"/>
                      <a:t>PL</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4-DC2D-42D0-9116-86462D766ED8}"/>
                </c:ext>
                <c:ext xmlns:c15="http://schemas.microsoft.com/office/drawing/2012/chart" uri="{CE6537A1-D6FC-4f65-9D91-7224C49458BB}">
                  <c15:showDataLabelsRange val="1"/>
                </c:ext>
              </c:extLst>
            </c:dLbl>
            <c:dLbl>
              <c:idx val="21"/>
              <c:tx>
                <c:rich>
                  <a:bodyPr vertOverflow="clip"/>
                  <a:lstStyle/>
                  <a:p>
                    <a:fld id="{52ae8a24-b5a3-4988-ae04-50e1ee0e9708}" type="CELLRANGE">
                      <a:rPr lang="en-US"/>
                      <a:t>PT</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5-DC2D-42D0-9116-86462D766ED8}"/>
                </c:ext>
                <c:ext xmlns:c15="http://schemas.microsoft.com/office/drawing/2012/chart" uri="{CE6537A1-D6FC-4f65-9D91-7224C49458BB}">
                  <c15:showDataLabelsRange val="1"/>
                </c:ext>
              </c:extLst>
            </c:dLbl>
            <c:dLbl>
              <c:idx val="22"/>
              <c:layout>
                <c:manualLayout>
                  <c:x val="-0.044863258842333373"/>
                  <c:y val="-0.085747844464810069"/>
                </c:manualLayout>
              </c:layout>
              <c:tx>
                <c:rich>
                  <a:bodyPr vertOverflow="clip"/>
                  <a:lstStyle/>
                  <a:p>
                    <a:fld id="{d5df3b83-bdd5-4229-ba88-5125ce643fd0}" type="CELLRANGE">
                      <a:rPr lang="en-US"/>
                      <a:t>SI</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6-DC2D-42D0-9116-86462D766ED8}"/>
                </c:ext>
                <c:ext xmlns:c15="http://schemas.microsoft.com/office/drawing/2012/chart" uri="{CE6537A1-D6FC-4f65-9D91-7224C49458BB}">
                  <c15:showDataLabelsRange val="1"/>
                </c:ext>
              </c:extLst>
            </c:dLbl>
            <c:dLbl>
              <c:idx val="23"/>
              <c:tx>
                <c:rich>
                  <a:bodyPr vertOverflow="clip"/>
                  <a:lstStyle/>
                  <a:p>
                    <a:fld id="{bbbee7c0-f386-4ca8-abe1-62f0659fc7d4}" type="CELLRANGE">
                      <a:rPr lang="lv-LV"/>
                      <a:t>SK</a:t>
                    </a:fld>
                    <a:endParaRPr lang="lv-LV"/>
                  </a:p>
                </c:rich>
              </c:tx>
              <c:dLblPos val="l"/>
              <c:showLegendKey val="0"/>
              <c:showVal val="0"/>
              <c:showCatName val="0"/>
              <c:showSerName val="0"/>
              <c:showPercent val="0"/>
              <c:showBubbleSize val="0"/>
              <c:extLst>
                <c:ext xmlns:c15="http://schemas.microsoft.com/office/drawing/2012/chart" uri="{CE6537A1-D6FC-4f65-9D91-7224C49458BB}">
                  <c15:showDataLabelsRange val="1"/>
                </c:ext>
              </c:extLst>
            </c:dLbl>
            <c:dLbl>
              <c:idx val="24"/>
              <c:tx>
                <c:rich>
                  <a:bodyPr vertOverflow="clip"/>
                  <a:lstStyle/>
                  <a:p>
                    <a:fld id="{5bb4d16f-2d04-4e84-8ddd-caed58df8803}" type="CELLRANGE">
                      <a:rPr lang="en-US"/>
                      <a:t>FI</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8-DC2D-42D0-9116-86462D766ED8}"/>
                </c:ext>
                <c:ext xmlns:c15="http://schemas.microsoft.com/office/drawing/2012/chart" uri="{CE6537A1-D6FC-4f65-9D91-7224C49458BB}">
                  <c15:showDataLabelsRange val="1"/>
                </c:ext>
              </c:extLst>
            </c:dLbl>
            <c:dLbl>
              <c:idx val="25"/>
              <c:tx>
                <c:rich>
                  <a:bodyPr vertOverflow="clip"/>
                  <a:lstStyle/>
                  <a:p>
                    <a:fld id="{81f33595-045d-4faa-ba75-19ba61434d1b}" type="CELLRANGE">
                      <a:rPr lang="en-US"/>
                      <a:t>SE</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9-DC2D-42D0-9116-86462D766ED8}"/>
                </c:ext>
                <c:ext xmlns:c15="http://schemas.microsoft.com/office/drawing/2012/chart" uri="{CE6537A1-D6FC-4f65-9D91-7224C49458BB}">
                  <c15:showDataLabelsRange val="1"/>
                </c:ext>
              </c:extLst>
            </c:dLbl>
            <c:dLbl>
              <c:idx val="26"/>
              <c:tx>
                <c:rich>
                  <a:bodyPr vertOverflow="clip"/>
                  <a:lstStyle/>
                  <a:p>
                    <a:fld id="{a2d40d06-58b1-4535-8b84-0a3eb64701eb}" type="CELLRANGE">
                      <a:rPr lang="en-US"/>
                      <a:t>UK</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A-DC2D-42D0-9116-86462D766ED8}"/>
                </c:ext>
                <c:ext xmlns:c15="http://schemas.microsoft.com/office/drawing/2012/chart" uri="{CE6537A1-D6FC-4f65-9D91-7224C49458BB}">
                  <c15:showDataLabelsRange val="1"/>
                </c:ext>
              </c:extLst>
            </c:dLbl>
            <c:spPr>
              <a:noFill/>
              <a:ln>
                <a:noFill/>
              </a:ln>
              <a:effectLst/>
            </c:spPr>
            <c:dLblPos val="l"/>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Sheet1!$B$3:$B$29</c:f>
              <c:numCache>
                <c:formatCode>0.0</c:formatCode>
                <c:ptCount val="27"/>
                <c:pt idx="0">
                  <c:v>102.22123001839016</c:v>
                </c:pt>
                <c:pt idx="1">
                  <c:v>150.868006993007</c:v>
                </c:pt>
                <c:pt idx="2">
                  <c:v>24.243902439024392</c:v>
                </c:pt>
                <c:pt idx="3">
                  <c:v>64.32838998084155</c:v>
                </c:pt>
                <c:pt idx="4">
                  <c:v>135.03076923076924</c:v>
                </c:pt>
                <c:pt idx="5">
                  <c:v>109.99572580645162</c:v>
                </c:pt>
                <c:pt idx="6">
                  <c:v>38.637681159420289</c:v>
                </c:pt>
                <c:pt idx="7">
                  <c:v>305.98630320934603</c:v>
                </c:pt>
                <c:pt idx="8">
                  <c:v>60.22031677980231</c:v>
                </c:pt>
                <c:pt idx="9">
                  <c:v>105.67933160930973</c:v>
                </c:pt>
                <c:pt idx="10">
                  <c:v>135.84855769230768</c:v>
                </c:pt>
                <c:pt idx="11">
                  <c:v>39.656713386146663</c:v>
                </c:pt>
                <c:pt idx="12">
                  <c:v>102.79230899542607</c:v>
                </c:pt>
                <c:pt idx="13">
                  <c:v>73.111753371868971</c:v>
                </c:pt>
                <c:pt idx="14">
                  <c:v>28.665798893589326</c:v>
                </c:pt>
                <c:pt idx="15">
                  <c:v>39.076655052264812</c:v>
                </c:pt>
                <c:pt idx="16">
                  <c:v>229.26956521739132</c:v>
                </c:pt>
                <c:pt idx="17">
                  <c:v>41.546383945475192</c:v>
                </c:pt>
                <c:pt idx="18">
                  <c:v>116.36570397111913</c:v>
                </c:pt>
                <c:pt idx="19">
                  <c:v>85.100106307583275</c:v>
                </c:pt>
                <c:pt idx="20">
                  <c:v>53.552275862068967</c:v>
                </c:pt>
                <c:pt idx="21">
                  <c:v>66.06668221030543</c:v>
                </c:pt>
                <c:pt idx="22">
                  <c:v>50.526132404181183</c:v>
                </c:pt>
                <c:pt idx="23">
                  <c:v>47.591149890931753</c:v>
                </c:pt>
                <c:pt idx="24">
                  <c:v>105.18886679920477</c:v>
                </c:pt>
                <c:pt idx="25">
                  <c:v>155.09795918367348</c:v>
                </c:pt>
                <c:pt idx="26">
                  <c:v>91.923640582542063</c:v>
                </c:pt>
              </c:numCache>
            </c:numRef>
          </c:xVal>
          <c:yVal>
            <c:numRef>
              <c:f>Sheet1!$C$3:$C$29</c:f>
              <c:numCache>
                <c:formatCode>0.0</c:formatCode>
                <c:ptCount val="27"/>
                <c:pt idx="0">
                  <c:v>0.56855348142964923</c:v>
                </c:pt>
                <c:pt idx="1">
                  <c:v>0.526046226755098</c:v>
                </c:pt>
                <c:pt idx="2">
                  <c:v>0.81973980294615023</c:v>
                </c:pt>
                <c:pt idx="3">
                  <c:v>0.4400430612107103</c:v>
                </c:pt>
                <c:pt idx="4">
                  <c:v>0.53336608940032659</c:v>
                </c:pt>
                <c:pt idx="5">
                  <c:v>0.58552488457930729</c:v>
                </c:pt>
                <c:pt idx="6">
                  <c:v>0.64940922730682682</c:v>
                </c:pt>
                <c:pt idx="7">
                  <c:v>0.26018985040118964</c:v>
                </c:pt>
                <c:pt idx="8">
                  <c:v>0.41734326644481023</c:v>
                </c:pt>
                <c:pt idx="9">
                  <c:v>0.45615194470687687</c:v>
                </c:pt>
                <c:pt idx="10">
                  <c:v>0.568485824115484</c:v>
                </c:pt>
                <c:pt idx="11">
                  <c:v>0.45924861007658352</c:v>
                </c:pt>
                <c:pt idx="12">
                  <c:v>0.50789035195793</c:v>
                </c:pt>
                <c:pt idx="13">
                  <c:v>0.517174714161955</c:v>
                </c:pt>
                <c:pt idx="14">
                  <c:v>0.81470717287926175</c:v>
                </c:pt>
                <c:pt idx="15">
                  <c:v>0.7178261210438307</c:v>
                </c:pt>
                <c:pt idx="16">
                  <c:v>0.358419569196912</c:v>
                </c:pt>
                <c:pt idx="17">
                  <c:v>0.47454723966482748</c:v>
                </c:pt>
                <c:pt idx="18">
                  <c:v>0.57447114755039452</c:v>
                </c:pt>
                <c:pt idx="19">
                  <c:v>0.75656231597894108</c:v>
                </c:pt>
                <c:pt idx="20">
                  <c:v>0.39534414936722106</c:v>
                </c:pt>
                <c:pt idx="21">
                  <c:v>0.52833285415555065</c:v>
                </c:pt>
                <c:pt idx="22">
                  <c:v>0.69184958823703469</c:v>
                </c:pt>
                <c:pt idx="23">
                  <c:v>0.54275735576764672</c:v>
                </c:pt>
                <c:pt idx="24">
                  <c:v>0.60032164543442734</c:v>
                </c:pt>
                <c:pt idx="25">
                  <c:v>0.45860769757378533</c:v>
                </c:pt>
                <c:pt idx="26">
                  <c:v>0.767652123095842</c:v>
                </c:pt>
              </c:numCache>
            </c:numRef>
          </c:yVal>
          <c:smooth val="0"/>
          <c:extLst>
            <c:ext xmlns:c="http://schemas.openxmlformats.org/drawingml/2006/chart" xmlns:c16="http://schemas.microsoft.com/office/drawing/2014/chart" uri="{C3380CC4-5D6E-409C-BE32-E72D297353CC}">
              <c16:uniqueId val="{0000001B-DC2D-42D0-9116-86462D766ED8}"/>
            </c:ext>
            <c:ext xmlns:c15="http://schemas.microsoft.com/office/drawing/2012/chart" uri="{02D57815-91ED-43cb-92C2-25804820EDAC}">
              <c15:datalabelsRange>
                <c15:f>Sheet1!$A$3:$A$29</c15:f>
                <c15:dlblRangeCache>
                  <c:ptCount val="27"/>
                  <c:pt idx="0">
                    <c:v>EU-28</c:v>
                  </c:pt>
                  <c:pt idx="1">
                    <c:v>BE</c:v>
                  </c:pt>
                  <c:pt idx="2">
                    <c:v>BG</c:v>
                  </c:pt>
                  <c:pt idx="3">
                    <c:v>CZ</c:v>
                  </c:pt>
                  <c:pt idx="4">
                    <c:v>DK</c:v>
                  </c:pt>
                  <c:pt idx="5">
                    <c:v>DE</c:v>
                  </c:pt>
                  <c:pt idx="6">
                    <c:v>EE</c:v>
                  </c:pt>
                  <c:pt idx="7">
                    <c:v>IE</c:v>
                  </c:pt>
                  <c:pt idx="8">
                    <c:v>EL</c:v>
                  </c:pt>
                  <c:pt idx="9">
                    <c:v>ES</c:v>
                  </c:pt>
                  <c:pt idx="10">
                    <c:v>FR</c:v>
                  </c:pt>
                  <c:pt idx="11">
                    <c:v>HR</c:v>
                  </c:pt>
                  <c:pt idx="12">
                    <c:v>IT</c:v>
                  </c:pt>
                  <c:pt idx="13">
                    <c:v>CY</c:v>
                  </c:pt>
                  <c:pt idx="14">
                    <c:v>LV</c:v>
                  </c:pt>
                  <c:pt idx="15">
                    <c:v>LT</c:v>
                  </c:pt>
                  <c:pt idx="16">
                    <c:v>LU</c:v>
                  </c:pt>
                  <c:pt idx="17">
                    <c:v>HU</c:v>
                  </c:pt>
                  <c:pt idx="18">
                    <c:v>NL</c:v>
                  </c:pt>
                  <c:pt idx="19">
                    <c:v>AT</c:v>
                  </c:pt>
                  <c:pt idx="20">
                    <c:v>PL</c:v>
                  </c:pt>
                  <c:pt idx="21">
                    <c:v>PT</c:v>
                  </c:pt>
                  <c:pt idx="22">
                    <c:v>SI</c:v>
                  </c:pt>
                  <c:pt idx="23">
                    <c:v>SK</c:v>
                  </c:pt>
                  <c:pt idx="24">
                    <c:v>FI</c:v>
                  </c:pt>
                  <c:pt idx="25">
                    <c:v>SE</c:v>
                  </c:pt>
                  <c:pt idx="26">
                    <c:v>UK</c:v>
                  </c:pt>
                </c15:dlblRangeCache>
              </c15:datalabelsRange>
            </c:ext>
          </c:extLst>
        </c:ser>
        <c:dLbls>
          <c:showLegendKey val="0"/>
          <c:showVal val="0"/>
          <c:showCatName val="0"/>
          <c:showSerName val="0"/>
          <c:showPercent val="0"/>
          <c:showBubbleSize val="0"/>
        </c:dLbls>
        <c:axId val="656468376"/>
        <c:axId val="656482880"/>
      </c:scatterChart>
      <c:valAx>
        <c:axId val="656468376"/>
        <c:scaling>
          <c:orientation val="minMax"/>
          <c:max val="250"/>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56482880"/>
        <c:crosses val="autoZero"/>
        <c:crossBetween val="midCat"/>
        <c:majorUnit val="50"/>
      </c:valAx>
      <c:valAx>
        <c:axId val="656482880"/>
        <c:scaling>
          <c:orientation val="minMax"/>
          <c:min val="0.30000000000000004"/>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56468376"/>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3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59412201441466"/>
          <c:y val="0.098301682877875565"/>
          <c:w val="0.77357359176256812"/>
          <c:h val="0.71822678944792906"/>
        </c:manualLayout>
      </c:layout>
      <c:barChart>
        <c:barDir val="col"/>
        <c:grouping val="clustered"/>
        <c:varyColors val="0"/>
        <c:ser>
          <c:idx val="4"/>
          <c:order val="0"/>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540C-4925-8B56-6DEC36581279}"/>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540C-4925-8B56-6DEC36581279}"/>
              </c:ext>
            </c:extLst>
          </c:dPt>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Sheet1!$A$3:$A$5</c:f>
              <c:strCache>
                <c:ptCount val="3"/>
                <c:pt idx="0">
                  <c:v>2005</c:v>
                </c:pt>
                <c:pt idx="1">
                  <c:v>2010</c:v>
                </c:pt>
                <c:pt idx="2">
                  <c:v>2015</c:v>
                </c:pt>
              </c:strCache>
            </c:strRef>
          </c:cat>
          <c:val>
            <c:numRef>
              <c:f>Sheet1!$B$3:$B$5</c:f>
              <c:numCache>
                <c:formatCode>General</c:formatCode>
                <c:ptCount val="3"/>
                <c:pt idx="0" formatCode="0.0">
                  <c:v>2.7</c:v>
                </c:pt>
                <c:pt idx="1">
                  <c:v>2.3</c:v>
                </c:pt>
                <c:pt idx="2">
                  <c:v>1.5</c:v>
                </c:pt>
              </c:numCache>
            </c:numRef>
          </c:val>
          <c:extLst>
            <c:ext xmlns:c="http://schemas.openxmlformats.org/drawingml/2006/chart" xmlns:c16="http://schemas.microsoft.com/office/drawing/2014/chart" uri="{C3380CC4-5D6E-409C-BE32-E72D297353CC}">
              <c16:uniqueId val="{00000004-540C-4925-8B56-6DEC36581279}"/>
            </c:ext>
          </c:extLst>
        </c:ser>
        <c:dLbls>
          <c:showLegendKey val="0"/>
          <c:showVal val="0"/>
          <c:showCatName val="0"/>
          <c:showSerName val="0"/>
          <c:showPercent val="0"/>
          <c:showBubbleSize val="0"/>
        </c:dLbls>
        <c:gapWidth val="20"/>
        <c:axId val="656480136"/>
        <c:axId val="656481704"/>
      </c:barChart>
      <c:catAx>
        <c:axId val="656480136"/>
        <c:scaling>
          <c:orientation val="minMax"/>
        </c:scaling>
        <c:delete val="0"/>
        <c:axPos val="b"/>
        <c:numFmt formatCode="General" sourceLinked="0"/>
        <c:majorTickMark val="out"/>
        <c:minorTickMark val="none"/>
        <c:tickLblPos val="nextTo"/>
        <c:crossAx val="656481704"/>
        <c:crosses val="autoZero"/>
        <c:auto val="1"/>
        <c:lblAlgn val="ctr"/>
        <c:lblOffset val="100"/>
        <c:noMultiLvlLbl val="0"/>
      </c:catAx>
      <c:valAx>
        <c:axId val="656481704"/>
        <c:scaling>
          <c:orientation val="minMax"/>
          <c:max val="6"/>
          <c:min val="0"/>
        </c:scaling>
        <c:delete val="0"/>
        <c:axPos val="l"/>
        <c:numFmt formatCode="0" sourceLinked="0"/>
        <c:majorTickMark val="out"/>
        <c:minorTickMark val="none"/>
        <c:tickLblPos val="nextTo"/>
        <c:crossAx val="656480136"/>
        <c:crosses val="autoZero"/>
        <c:crossBetween val="between"/>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mbria Math" panose="02040503050406030204" pitchFamily="18" charset="0"/>
          <a:ea typeface="Cambria Math" panose="02040503050406030204" pitchFamily="18" charset="0"/>
          <a:cs typeface="Arial"/>
        </a:defRPr>
      </a:pPr>
      <a:endParaRPr lang="lv-LV"/>
    </a:p>
  </c:txPr>
  <c:externalData r:id="rId1">
    <c:autoUpdate val="0"/>
  </c:externalData>
</c:chartSpace>
</file>

<file path=word/charts/chart34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73546128124922"/>
          <c:y val="0.048706240487062395"/>
          <c:w val="0.84631315184653555"/>
          <c:h val="0.73779794474843186"/>
        </c:manualLayout>
      </c:layout>
      <c:lineChart>
        <c:grouping val="standard"/>
        <c:varyColors val="0"/>
        <c:ser>
          <c:idx val="0"/>
          <c:order val="0"/>
          <c:tx>
            <c:strRef>
              <c:f>Sheet1!$A$2</c:f>
              <c:strCache>
                <c:ptCount val="1"/>
                <c:pt idx="0">
                  <c:v>Nodarbinātie</c:v>
                </c:pt>
              </c:strCache>
            </c:strRef>
          </c:tx>
          <c:spPr>
            <a:ln w="19050">
              <a:solidFill>
                <a:srgbClr val="0070C0"/>
              </a:solidFill>
              <a:prstDash val="dash"/>
            </a:ln>
          </c:spPr>
          <c:marker>
            <c:symbol val="none"/>
          </c:marker>
          <c:cat>
            <c:numRef>
              <c:f>Sheet1!$B$1:$K$1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Sheet1!$B$2:$K$2</c:f>
              <c:numCache>
                <c:formatCode>0.0</c:formatCode>
                <c:ptCount val="10"/>
                <c:pt idx="0">
                  <c:v>84.11793451702232</c:v>
                </c:pt>
                <c:pt idx="1">
                  <c:v>90.926861052288643</c:v>
                </c:pt>
                <c:pt idx="2">
                  <c:v>89.053591790193835</c:v>
                </c:pt>
                <c:pt idx="3">
                  <c:v>82.961394363902912</c:v>
                </c:pt>
                <c:pt idx="4">
                  <c:v>83.010262257696681</c:v>
                </c:pt>
                <c:pt idx="5">
                  <c:v>86.12151816256717</c:v>
                </c:pt>
                <c:pt idx="6">
                  <c:v>88.3368626812184</c:v>
                </c:pt>
                <c:pt idx="7">
                  <c:v>83.629255579084514</c:v>
                </c:pt>
                <c:pt idx="8">
                  <c:v>80.0456100342075</c:v>
                </c:pt>
                <c:pt idx="9">
                  <c:v>81.348753868708229</c:v>
                </c:pt>
              </c:numCache>
            </c:numRef>
          </c:val>
          <c:smooth val="0"/>
          <c:extLst>
            <c:ext xmlns:c="http://schemas.openxmlformats.org/drawingml/2006/chart" xmlns:c16="http://schemas.microsoft.com/office/drawing/2014/chart" uri="{C3380CC4-5D6E-409C-BE32-E72D297353CC}">
              <c16:uniqueId val="{00000000-64FE-4B09-B67B-05A6AD6D5B47}"/>
            </c:ext>
          </c:extLst>
        </c:ser>
        <c:ser>
          <c:idx val="1"/>
          <c:order val="1"/>
          <c:tx>
            <c:strRef>
              <c:f>Sheet1!$A$3</c:f>
              <c:strCache>
                <c:ptCount val="1"/>
                <c:pt idx="0">
                  <c:v>Ražošanas apjomi</c:v>
                </c:pt>
              </c:strCache>
            </c:strRef>
          </c:tx>
          <c:marker>
            <c:symbol val="none"/>
          </c:marker>
          <c:cat>
            <c:numRef>
              <c:f>Sheet1!$B$1:$K$1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Sheet1!$B$3:$K$3</c:f>
              <c:numCache>
                <c:formatCode>0.0</c:formatCode>
                <c:ptCount val="10"/>
                <c:pt idx="0">
                  <c:v>112.44624940277113</c:v>
                </c:pt>
                <c:pt idx="1">
                  <c:v>109.96177735308169</c:v>
                </c:pt>
                <c:pt idx="2">
                  <c:v>104.37171524128044</c:v>
                </c:pt>
                <c:pt idx="3">
                  <c:v>83.8987099856665</c:v>
                </c:pt>
                <c:pt idx="4">
                  <c:v>87.768752986144278</c:v>
                </c:pt>
                <c:pt idx="5">
                  <c:v>86.215957955088371</c:v>
                </c:pt>
                <c:pt idx="6">
                  <c:v>83.683707596751063</c:v>
                </c:pt>
                <c:pt idx="7">
                  <c:v>85.355948399426651</c:v>
                </c:pt>
                <c:pt idx="8">
                  <c:v>81.915910176779732</c:v>
                </c:pt>
                <c:pt idx="9">
                  <c:v>81.6</c:v>
                </c:pt>
              </c:numCache>
            </c:numRef>
          </c:val>
          <c:smooth val="0"/>
          <c:extLst>
            <c:ext xmlns:c="http://schemas.openxmlformats.org/drawingml/2006/chart" xmlns:c16="http://schemas.microsoft.com/office/drawing/2014/chart" uri="{C3380CC4-5D6E-409C-BE32-E72D297353CC}">
              <c16:uniqueId val="{00000001-64FE-4B09-B67B-05A6AD6D5B47}"/>
            </c:ext>
          </c:extLst>
        </c:ser>
        <c:dLbls>
          <c:showLegendKey val="0"/>
          <c:showVal val="0"/>
          <c:showCatName val="0"/>
          <c:showSerName val="0"/>
          <c:showPercent val="0"/>
          <c:showBubbleSize val="0"/>
        </c:dLbls>
        <c:smooth val="0"/>
        <c:axId val="656480528"/>
        <c:axId val="656485624"/>
      </c:lineChart>
      <c:catAx>
        <c:axId val="656480528"/>
        <c:scaling>
          <c:orientation val="minMax"/>
        </c:scaling>
        <c:delete val="0"/>
        <c:axPos val="b"/>
        <c:numFmt formatCode="General" sourceLinked="1"/>
        <c:majorTickMark val="cross"/>
        <c:minorTickMark val="none"/>
        <c:tickLblPos val="nextTo"/>
        <c:spPr>
          <a:ln w="6350">
            <a:solidFill>
              <a:srgbClr val="000000"/>
            </a:solidFill>
          </a:ln>
        </c:spPr>
        <c:txPr>
          <a:bodyPr rot="-5400000" vert="horz"/>
          <a:lstStyle/>
          <a:p>
            <a:pPr>
              <a:defRPr sz="700" b="0" i="0" u="none" strike="noStrike" baseline="0">
                <a:solidFill>
                  <a:srgbClr val="000000"/>
                </a:solidFill>
                <a:latin typeface="Arial Narrow" pitchFamily="34" charset="0"/>
                <a:ea typeface="Times New Roman"/>
                <a:cs typeface="Times New Roman" pitchFamily="18" charset="0"/>
              </a:defRPr>
            </a:pPr>
            <a:endParaRPr lang="lv-LV"/>
          </a:p>
        </c:txPr>
        <c:crossAx val="656485624"/>
        <c:crosses val="autoZero"/>
        <c:auto val="1"/>
        <c:lblAlgn val="ctr"/>
        <c:lblOffset val="0"/>
        <c:noMultiLvlLbl val="0"/>
      </c:catAx>
      <c:valAx>
        <c:axId val="656485624"/>
        <c:scaling>
          <c:orientation val="minMax"/>
          <c:max val="130"/>
          <c:min val="70"/>
        </c:scaling>
        <c:delete val="0"/>
        <c:axPos val="l"/>
        <c:numFmt formatCode="0" sourceLinked="0"/>
        <c:majorTickMark val="cross"/>
        <c:minorTickMark val="none"/>
        <c:tickLblPos val="nextTo"/>
        <c:spPr>
          <a:ln w="6350">
            <a:solidFill>
              <a:sysClr val="windowText" lastClr="000000"/>
            </a:solidFill>
          </a:ln>
        </c:spPr>
        <c:txPr>
          <a:bodyPr rot="0" vert="horz"/>
          <a:lstStyle/>
          <a:p>
            <a:pPr>
              <a:defRPr sz="700" b="0" i="0" u="none" strike="noStrike" baseline="0">
                <a:solidFill>
                  <a:srgbClr val="000000"/>
                </a:solidFill>
                <a:latin typeface="Arial Narrow" pitchFamily="34" charset="0"/>
                <a:ea typeface="Times New Roman"/>
                <a:cs typeface="Times New Roman"/>
              </a:defRPr>
            </a:pPr>
            <a:endParaRPr lang="lv-LV"/>
          </a:p>
        </c:txPr>
        <c:crossAx val="656480528"/>
        <c:crosses val="autoZero"/>
        <c:crossBetween val="between"/>
        <c:majorUnit val="10"/>
      </c:valAx>
      <c:spPr>
        <a:solidFill>
          <a:sysClr val="window" lastClr="FFFFFF"/>
        </a:solidFill>
        <a:ln w="6350">
          <a:noFill/>
        </a:ln>
      </c:spPr>
    </c:plotArea>
    <c:legend>
      <c:legendPos val="t"/>
      <c:layout>
        <c:manualLayout>
          <c:xMode val="edge"/>
          <c:yMode val="edge"/>
          <c:x val="0.14280650412978177"/>
          <c:y val="0.031201248049921998"/>
          <c:w val="0.65805884790716951"/>
          <c:h val="0.19964223582144541"/>
        </c:manualLayout>
      </c:layout>
      <c:overlay val="0"/>
      <c:txPr>
        <a:bodyPr/>
        <a:lstStyle/>
        <a:p>
          <a:pPr>
            <a:defRPr sz="700" b="0">
              <a:latin typeface="Arial Narrow" pitchFamily="34" charset="0"/>
            </a:defRPr>
          </a:pPr>
          <a:endParaRPr lang="lv-LV"/>
        </a:p>
      </c:txPr>
    </c:legend>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3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7354822834645707"/>
          <c:y val="0.054187037037040774"/>
          <c:w val="0.8789631193571017"/>
          <c:h val="0.66218145909699566"/>
        </c:manualLayout>
      </c:layout>
      <c:lineChart>
        <c:grouping val="standard"/>
        <c:varyColors val="0"/>
        <c:ser>
          <c:idx val="9"/>
          <c:order val="0"/>
          <c:tx>
            <c:strRef>
              <c:f>Sheet1!$A$3</c:f>
              <c:strCache>
                <c:ptCount val="1"/>
                <c:pt idx="0">
                  <c:v>Eksports, kopā</c:v>
                </c:pt>
              </c:strCache>
            </c:strRef>
          </c:tx>
          <c:spPr>
            <a:ln w="25400">
              <a:solidFill>
                <a:schemeClr val="accent5">
                  <a:lumMod val="75000"/>
                </a:schemeClr>
              </a:solidFill>
            </a:ln>
            <a:effectLst/>
          </c:spPr>
          <c:marker>
            <c:symbol val="none"/>
          </c:marker>
          <c:cat>
            <c:numRef>
              <c:f>Sheet1!$B$2:$M$2</c:f>
              <c:numCache>
                <c:formatCode>0</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Sheet1!$B$3:$M$3</c:f>
              <c:numCache>
                <c:formatCode>0.0</c:formatCode>
                <c:ptCount val="12"/>
                <c:pt idx="0">
                  <c:v>43.14</c:v>
                </c:pt>
                <c:pt idx="1">
                  <c:v>57.99</c:v>
                </c:pt>
                <c:pt idx="2">
                  <c:v>50.41</c:v>
                </c:pt>
                <c:pt idx="3">
                  <c:v>54.72</c:v>
                </c:pt>
                <c:pt idx="4">
                  <c:v>60.88</c:v>
                </c:pt>
                <c:pt idx="5">
                  <c:v>61.62</c:v>
                </c:pt>
                <c:pt idx="6">
                  <c:v>60.15</c:v>
                </c:pt>
                <c:pt idx="7">
                  <c:v>86.53</c:v>
                </c:pt>
                <c:pt idx="8">
                  <c:v>96.14</c:v>
                </c:pt>
                <c:pt idx="9">
                  <c:v>94</c:v>
                </c:pt>
                <c:pt idx="10">
                  <c:v>104.35</c:v>
                </c:pt>
                <c:pt idx="11" formatCode="0">
                  <c:v>209</c:v>
                </c:pt>
              </c:numCache>
            </c:numRef>
          </c:val>
          <c:smooth val="0"/>
          <c:extLst>
            <c:ext xmlns:c="http://schemas.openxmlformats.org/drawingml/2006/chart" xmlns:c16="http://schemas.microsoft.com/office/drawing/2014/chart" uri="{C3380CC4-5D6E-409C-BE32-E72D297353CC}">
              <c16:uniqueId val="{00000000-09E6-4C87-9B2E-CA8C9A5A5C45}"/>
            </c:ext>
          </c:extLst>
        </c:ser>
        <c:dLbls>
          <c:showLegendKey val="0"/>
          <c:showVal val="0"/>
          <c:showCatName val="0"/>
          <c:showSerName val="0"/>
          <c:showPercent val="0"/>
          <c:showBubbleSize val="0"/>
        </c:dLbls>
        <c:smooth val="0"/>
        <c:axId val="656480920"/>
        <c:axId val="656483664"/>
      </c:lineChart>
      <c:catAx>
        <c:axId val="656480920"/>
        <c:scaling>
          <c:orientation val="minMax"/>
        </c:scaling>
        <c:delete val="0"/>
        <c:axPos val="b"/>
        <c:numFmt formatCode="0" sourceLinked="1"/>
        <c:majorTickMark val="out"/>
        <c:minorTickMark val="none"/>
        <c:tickLblPos val="low"/>
        <c:spPr>
          <a:noFill/>
          <a:ln w="3175">
            <a:solidFill>
              <a:sysClr val="window" lastClr="FFFFFF">
                <a:lumMod val="50000"/>
              </a:sysClr>
            </a:solidFill>
            <a:round/>
          </a:ln>
          <a:effectLst/>
        </c:spPr>
        <c:txPr>
          <a:bodyPr rot="-5400000" vert="horz"/>
          <a:lstStyle/>
          <a:p>
            <a:pPr>
              <a:defRPr sz="700"/>
            </a:pPr>
            <a:endParaRPr lang="lv-LV"/>
          </a:p>
        </c:txPr>
        <c:crossAx val="656483664"/>
        <c:crosses val="autoZero"/>
        <c:lblAlgn val="ctr"/>
        <c:lblOffset val="100"/>
        <c:noMultiLvlLbl val="0"/>
      </c:catAx>
      <c:valAx>
        <c:axId val="656483664"/>
        <c:scaling>
          <c:orientation val="minMax"/>
          <c:max val="210"/>
          <c:min val="0"/>
        </c:scaling>
        <c:delete val="0"/>
        <c:axPos val="l"/>
        <c:numFmt formatCode="0" sourceLinked="0"/>
        <c:majorTickMark val="out"/>
        <c:minorTickMark val="none"/>
        <c:tickLblPos val="nextTo"/>
        <c:spPr>
          <a:noFill/>
          <a:ln w="3175">
            <a:solidFill>
              <a:sysClr val="window" lastClr="FFFFFF">
                <a:lumMod val="50000"/>
              </a:sysClr>
            </a:solidFill>
            <a:round/>
          </a:ln>
          <a:effectLst/>
        </c:spPr>
        <c:txPr>
          <a:bodyPr rot="0"/>
          <a:lstStyle/>
          <a:p>
            <a:pPr>
              <a:defRPr/>
            </a:pPr>
            <a:endParaRPr lang="lv-LV"/>
          </a:p>
        </c:txPr>
        <c:crossAx val="656480920"/>
        <c:crosses val="autoZero"/>
        <c:crossBetween val="between"/>
        <c:majorUnit val="70"/>
      </c:valAx>
      <c:spPr>
        <a:noFill/>
        <a:ln w="24631">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Arial Narrow" panose="020B0606020202030204" pitchFamily="34" charset="0"/>
          <a:ea typeface="Arial"/>
          <a:cs typeface="Arial"/>
        </a:defRPr>
      </a:pPr>
      <a:endParaRPr lang="lv-LV"/>
    </a:p>
  </c:txPr>
  <c:externalData r:id="rId1">
    <c:autoUpdate val="0"/>
  </c:externalData>
</c:chartSpace>
</file>

<file path=word/charts/chart3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5939056398438"/>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B16D-4B6E-889E-5B0DDA709C2C}"/>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B16D-4B6E-889E-5B0DDA709C2C}"/>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Sheet1!$B$2:$L$2</c:f>
              <c:numCache>
                <c:formatCode>0</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Sheet1!$B$3:$L$3</c:f>
              <c:numCache>
                <c:formatCode>0</c:formatCode>
                <c:ptCount val="11"/>
                <c:pt idx="0">
                  <c:v>5.7063492063492065</c:v>
                </c:pt>
                <c:pt idx="1">
                  <c:v>10.191564147627416</c:v>
                </c:pt>
                <c:pt idx="2">
                  <c:v>8.2100977198697063</c:v>
                </c:pt>
                <c:pt idx="3">
                  <c:v>8.9558101472995091</c:v>
                </c:pt>
                <c:pt idx="4">
                  <c:v>10.389078498293514</c:v>
                </c:pt>
                <c:pt idx="5">
                  <c:v>10.068627450980392</c:v>
                </c:pt>
                <c:pt idx="6">
                  <c:v>9.9093904448105423</c:v>
                </c:pt>
                <c:pt idx="7">
                  <c:v>16.234521575984992</c:v>
                </c:pt>
                <c:pt idx="8">
                  <c:v>17.291366906474821</c:v>
                </c:pt>
                <c:pt idx="9">
                  <c:v>17.769376181474481</c:v>
                </c:pt>
                <c:pt idx="10">
                  <c:v>19.21731123388582</c:v>
                </c:pt>
              </c:numCache>
            </c:numRef>
          </c:val>
          <c:extLst>
            <c:ext xmlns:c="http://schemas.openxmlformats.org/drawingml/2006/chart" xmlns:c16="http://schemas.microsoft.com/office/drawing/2014/chart" uri="{C3380CC4-5D6E-409C-BE32-E72D297353CC}">
              <c16:uniqueId val="{00000004-B16D-4B6E-889E-5B0DDA709C2C}"/>
            </c:ext>
          </c:extLst>
        </c:ser>
        <c:dLbls>
          <c:showLegendKey val="0"/>
          <c:showVal val="0"/>
          <c:showCatName val="0"/>
          <c:showSerName val="0"/>
          <c:showPercent val="0"/>
          <c:showBubbleSize val="0"/>
        </c:dLbls>
        <c:gapWidth val="20"/>
        <c:axId val="656487584"/>
        <c:axId val="656479352"/>
      </c:barChart>
      <c:catAx>
        <c:axId val="656487584"/>
        <c:scaling>
          <c:orientation val="minMax"/>
        </c:scaling>
        <c:delete val="0"/>
        <c:axPos val="b"/>
        <c:numFmt formatCode="0" sourceLinked="1"/>
        <c:majorTickMark val="out"/>
        <c:minorTickMark val="none"/>
        <c:tickLblPos val="low"/>
        <c:txPr>
          <a:bodyPr rot="-5400000" vert="horz"/>
          <a:lstStyle/>
          <a:p>
            <a:pPr>
              <a:defRPr/>
            </a:pPr>
            <a:endParaRPr lang="lv-LV"/>
          </a:p>
        </c:txPr>
        <c:crossAx val="656479352"/>
        <c:crosses val="autoZero"/>
        <c:auto val="1"/>
        <c:lblAlgn val="ctr"/>
        <c:lblOffset val="100"/>
        <c:noMultiLvlLbl val="0"/>
      </c:catAx>
      <c:valAx>
        <c:axId val="656479352"/>
        <c:scaling>
          <c:orientation val="minMax"/>
        </c:scaling>
        <c:delete val="0"/>
        <c:axPos val="l"/>
        <c:numFmt formatCode="0" sourceLinked="0"/>
        <c:majorTickMark val="out"/>
        <c:minorTickMark val="none"/>
        <c:tickLblPos val="nextTo"/>
        <c:crossAx val="656487584"/>
        <c:crosses val="autoZero"/>
        <c:crossBetween val="between"/>
        <c:majorUnit val="10"/>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3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572372897835"/>
          <c:y val="0.044057785459744363"/>
          <c:w val="0.9310540474739486"/>
          <c:h val="0.72250176045067538"/>
        </c:manualLayout>
      </c:layout>
      <c:barChart>
        <c:barDir val="col"/>
        <c:grouping val="clustered"/>
        <c:varyColors val="0"/>
        <c:ser>
          <c:idx val="1"/>
          <c:order val="0"/>
          <c:spPr>
            <a:solidFill>
              <a:schemeClr val="accent3">
                <a:lumMod val="50000"/>
              </a:schemeClr>
            </a:solidFill>
            <a:ln w="19050"/>
          </c:spPr>
          <c:invertIfNegative val="0"/>
          <c:dPt>
            <c:idx val="8"/>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1-9E4D-44AC-8DA1-CAC8C892E7BF}"/>
              </c:ext>
            </c:extLst>
          </c:dPt>
          <c:dPt>
            <c:idx val="9"/>
            <c:invertIfNegative val="0"/>
            <c:bubble3D val="0"/>
            <c:extLst>
              <c:ext xmlns:c="http://schemas.openxmlformats.org/drawingml/2006/chart" xmlns:c16="http://schemas.microsoft.com/office/drawing/2014/chart" uri="{C3380CC4-5D6E-409C-BE32-E72D297353CC}">
                <c16:uniqueId val="{00000002-9E4D-44AC-8DA1-CAC8C892E7BF}"/>
              </c:ext>
            </c:extLst>
          </c:dPt>
          <c:dPt>
            <c:idx val="15"/>
            <c:invertIfNegative val="0"/>
            <c:bubble3D val="0"/>
            <c:spPr>
              <a:ln w="19050"/>
            </c:spPr>
            <c:extLst>
              <c:ext xmlns:c="http://schemas.openxmlformats.org/drawingml/2006/chart" xmlns:c16="http://schemas.microsoft.com/office/drawing/2014/chart" uri="{C3380CC4-5D6E-409C-BE32-E72D297353CC}">
                <c16:uniqueId val="{00000004-9E4D-44AC-8DA1-CAC8C892E7BF}"/>
              </c:ext>
            </c:extLst>
          </c:dPt>
          <c:dPt>
            <c:idx val="16"/>
            <c:invertIfNegative val="0"/>
            <c:bubble3D val="0"/>
            <c:extLst>
              <c:ext xmlns:c="http://schemas.openxmlformats.org/drawingml/2006/chart" xmlns:c16="http://schemas.microsoft.com/office/drawing/2014/chart" uri="{C3380CC4-5D6E-409C-BE32-E72D297353CC}">
                <c16:uniqueId val="{00000005-9E4D-44AC-8DA1-CAC8C892E7BF}"/>
              </c:ext>
            </c:extLst>
          </c:dPt>
          <c:dPt>
            <c:idx val="25"/>
            <c:invertIfNegative val="0"/>
            <c:bubble3D val="0"/>
            <c:extLst>
              <c:ext xmlns:c="http://schemas.openxmlformats.org/drawingml/2006/chart" xmlns:c16="http://schemas.microsoft.com/office/drawing/2014/chart" uri="{C3380CC4-5D6E-409C-BE32-E72D297353CC}">
                <c16:uniqueId val="{00000006-9E4D-44AC-8DA1-CAC8C892E7BF}"/>
              </c:ext>
            </c:extLst>
          </c:dPt>
          <c:dLbls>
            <c:dLbl>
              <c:idx val="0"/>
              <c:dLblPos val="inBase"/>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9E4D-44AC-8DA1-CAC8C892E7BF}"/>
                </c:ext>
                <c:ext xmlns:c15="http://schemas.microsoft.com/office/drawing/2012/chart" uri="{CE6537A1-D6FC-4f65-9D91-7224C49458BB}"/>
              </c:extLst>
            </c:dLbl>
            <c:dLbl>
              <c:idx val="15"/>
              <c:spPr>
                <a:noFill/>
                <a:ln>
                  <a:noFill/>
                </a:ln>
                <a:effectLst/>
              </c:spPr>
              <c:txPr>
                <a:bodyPr wrap="square" lIns="38100" tIns="19050" rIns="38100" bIns="19050" anchor="ctr">
                  <a:spAutoFit/>
                </a:bodyPr>
                <a:lstStyle/>
                <a:p>
                  <a:pPr>
                    <a:defRPr sz="600" b="1"/>
                  </a:pPr>
                  <a:endParaRPr lang="lv-LV"/>
                </a:p>
              </c:txPr>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Sheet1!$A$7:$A$31</c:f>
              <c:strCache>
                <c:ptCount val="25"/>
                <c:pt idx="0">
                  <c:v>LU</c:v>
                </c:pt>
                <c:pt idx="1">
                  <c:v>NL</c:v>
                </c:pt>
                <c:pt idx="2">
                  <c:v>BE</c:v>
                </c:pt>
                <c:pt idx="3">
                  <c:v>IE</c:v>
                </c:pt>
                <c:pt idx="4">
                  <c:v>SI</c:v>
                </c:pt>
                <c:pt idx="5">
                  <c:v>AT</c:v>
                </c:pt>
                <c:pt idx="6">
                  <c:v>IT</c:v>
                </c:pt>
                <c:pt idx="7">
                  <c:v>FR</c:v>
                </c:pt>
                <c:pt idx="8">
                  <c:v>EU-28</c:v>
                </c:pt>
                <c:pt idx="9">
                  <c:v>PT</c:v>
                </c:pt>
                <c:pt idx="10">
                  <c:v>EE</c:v>
                </c:pt>
                <c:pt idx="11">
                  <c:v>DK</c:v>
                </c:pt>
                <c:pt idx="12">
                  <c:v>SK</c:v>
                </c:pt>
                <c:pt idx="13">
                  <c:v>DE</c:v>
                </c:pt>
                <c:pt idx="14">
                  <c:v>CZ</c:v>
                </c:pt>
                <c:pt idx="15">
                  <c:v>LV</c:v>
                </c:pt>
                <c:pt idx="16">
                  <c:v>CY</c:v>
                </c:pt>
                <c:pt idx="17">
                  <c:v>LT</c:v>
                </c:pt>
                <c:pt idx="18">
                  <c:v>FI</c:v>
                </c:pt>
                <c:pt idx="19">
                  <c:v>EL</c:v>
                </c:pt>
                <c:pt idx="20">
                  <c:v>RO</c:v>
                </c:pt>
                <c:pt idx="21">
                  <c:v>HR</c:v>
                </c:pt>
                <c:pt idx="22">
                  <c:v>HU</c:v>
                </c:pt>
                <c:pt idx="23">
                  <c:v>BG</c:v>
                </c:pt>
                <c:pt idx="24">
                  <c:v>PL</c:v>
                </c:pt>
              </c:strCache>
            </c:strRef>
          </c:cat>
          <c:val>
            <c:numRef>
              <c:f>Sheet1!$B$7:$B$31</c:f>
              <c:numCache>
                <c:formatCode>0</c:formatCode>
                <c:ptCount val="25"/>
                <c:pt idx="0">
                  <c:v>617.4386920980927</c:v>
                </c:pt>
                <c:pt idx="1">
                  <c:v>131.37666666666667</c:v>
                </c:pt>
                <c:pt idx="2">
                  <c:v>127.66798418972331</c:v>
                </c:pt>
                <c:pt idx="3">
                  <c:v>68.8128772635815</c:v>
                </c:pt>
                <c:pt idx="4">
                  <c:v>64.540229885057471</c:v>
                </c:pt>
                <c:pt idx="5">
                  <c:v>48.4789644012945</c:v>
                </c:pt>
                <c:pt idx="6">
                  <c:v>46.124153498871337</c:v>
                </c:pt>
                <c:pt idx="7">
                  <c:v>44.208333333333336</c:v>
                </c:pt>
                <c:pt idx="8">
                  <c:v>37.037799540025226</c:v>
                </c:pt>
                <c:pt idx="9">
                  <c:v>33.453670276774965</c:v>
                </c:pt>
                <c:pt idx="10">
                  <c:v>27.466666666666669</c:v>
                </c:pt>
                <c:pt idx="11">
                  <c:v>26.992307692307691</c:v>
                </c:pt>
                <c:pt idx="12">
                  <c:v>23.487762237762237</c:v>
                </c:pt>
                <c:pt idx="13">
                  <c:v>22.129032258064516</c:v>
                </c:pt>
                <c:pt idx="14">
                  <c:v>21.516883116883115</c:v>
                </c:pt>
                <c:pt idx="15">
                  <c:v>19.152854511970535</c:v>
                </c:pt>
                <c:pt idx="16">
                  <c:v>16.379310344827587</c:v>
                </c:pt>
                <c:pt idx="17">
                  <c:v>16.282051282051285</c:v>
                </c:pt>
                <c:pt idx="18">
                  <c:v>13.2</c:v>
                </c:pt>
                <c:pt idx="19">
                  <c:v>12.437768240343347</c:v>
                </c:pt>
                <c:pt idx="20">
                  <c:v>8.4825493171471926</c:v>
                </c:pt>
                <c:pt idx="21">
                  <c:v>8.2121471343028229</c:v>
                </c:pt>
                <c:pt idx="22">
                  <c:v>6.498127340823971</c:v>
                </c:pt>
                <c:pt idx="23">
                  <c:v>5</c:v>
                </c:pt>
                <c:pt idx="24">
                  <c:v>3.2014767932489452</c:v>
                </c:pt>
              </c:numCache>
            </c:numRef>
          </c:val>
          <c:extLst>
            <c:ext xmlns:c="http://schemas.openxmlformats.org/drawingml/2006/chart" xmlns:c16="http://schemas.microsoft.com/office/drawing/2014/chart" uri="{C3380CC4-5D6E-409C-BE32-E72D297353CC}">
              <c16:uniqueId val="{00000008-9E4D-44AC-8DA1-CAC8C892E7BF}"/>
            </c:ext>
          </c:extLst>
        </c:ser>
        <c:dLbls>
          <c:showLegendKey val="0"/>
          <c:showVal val="0"/>
          <c:showCatName val="0"/>
          <c:showSerName val="0"/>
          <c:showPercent val="0"/>
          <c:showBubbleSize val="0"/>
        </c:dLbls>
        <c:gapWidth val="20"/>
        <c:axId val="656484840"/>
        <c:axId val="656486408"/>
      </c:barChart>
      <c:catAx>
        <c:axId val="656484840"/>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56486408"/>
        <c:crosses val="autoZero"/>
        <c:auto val="1"/>
        <c:lblAlgn val="ctr"/>
        <c:lblOffset val="100"/>
        <c:tickLblSkip val="1"/>
        <c:noMultiLvlLbl val="0"/>
      </c:catAx>
      <c:valAx>
        <c:axId val="656486408"/>
        <c:scaling>
          <c:orientation val="minMax"/>
          <c:max val="240"/>
          <c:min val="0"/>
        </c:scaling>
        <c:delete val="0"/>
        <c:axPos val="l"/>
        <c:numFmt formatCode="0" sourceLinked="0"/>
        <c:majorTickMark val="out"/>
        <c:minorTickMark val="none"/>
        <c:tickLblPos val="nextTo"/>
        <c:txPr>
          <a:bodyPr/>
          <a:lstStyle/>
          <a:p>
            <a:pPr>
              <a:defRPr sz="600"/>
            </a:pPr>
            <a:endParaRPr lang="lv-LV"/>
          </a:p>
        </c:txPr>
        <c:crossAx val="656484840"/>
        <c:crosses val="autoZero"/>
        <c:crossBetween val="between"/>
        <c:majorUnit val="60"/>
      </c:valAx>
    </c:plotArea>
    <c:plotVisOnly val="1"/>
    <c:dispBlanksAs val="gap"/>
    <c:showDLblsOverMax val="0"/>
  </c:chart>
  <c:spPr>
    <a:ln w="9525">
      <a:noFill/>
    </a:ln>
  </c:spPr>
  <c:externalData r:id="rId1">
    <c:autoUpdate val="0"/>
  </c:externalData>
  <c:userShapes r:id="rId2"/>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A66C-4A29-B548-D3AB6C555DAA}"/>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A66C-4A29-B548-D3AB6C555DAA}"/>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Sheet1!$B$2:$M$2</c:f>
              <c:numCache>
                <c:formatCode>0</c:formatCode>
                <c:ptCount val="12"/>
                <c:pt idx="0">
                  <c:v>2005</c:v>
                </c:pt>
                <c:pt idx="1">
                  <c:v>2006</c:v>
                </c:pt>
                <c:pt idx="2">
                  <c:v>2007</c:v>
                </c:pt>
                <c:pt idx="3">
                  <c:v>2008</c:v>
                </c:pt>
                <c:pt idx="4">
                  <c:v>2009</c:v>
                </c:pt>
                <c:pt idx="5">
                  <c:v>2010</c:v>
                </c:pt>
                <c:pt idx="6">
                  <c:v>2011</c:v>
                </c:pt>
                <c:pt idx="7">
                  <c:v>2012</c:v>
                </c:pt>
                <c:pt idx="8">
                  <c:v>2013</c:v>
                </c:pt>
                <c:pt idx="9" formatCode="General">
                  <c:v>2014</c:v>
                </c:pt>
                <c:pt idx="10" formatCode="General">
                  <c:v>2015</c:v>
                </c:pt>
                <c:pt idx="11" formatCode="General">
                  <c:v>2016</c:v>
                </c:pt>
              </c:numCache>
            </c:numRef>
          </c:cat>
          <c:val>
            <c:numRef>
              <c:f>Sheet1!$B$3:$M$3</c:f>
              <c:numCache>
                <c:formatCode>0.0</c:formatCode>
                <c:ptCount val="12"/>
                <c:pt idx="0">
                  <c:v>7.2052401746724888</c:v>
                </c:pt>
                <c:pt idx="1">
                  <c:v>9.7435897435897445</c:v>
                </c:pt>
                <c:pt idx="2">
                  <c:v>11.673640167364015</c:v>
                </c:pt>
                <c:pt idx="3">
                  <c:v>13.595041322314049</c:v>
                </c:pt>
                <c:pt idx="4">
                  <c:v>13.347457627118645</c:v>
                </c:pt>
                <c:pt idx="5">
                  <c:v>13.665158371040723</c:v>
                </c:pt>
                <c:pt idx="6">
                  <c:v>13.130081300813007</c:v>
                </c:pt>
                <c:pt idx="7">
                  <c:v>12.518796992481201</c:v>
                </c:pt>
                <c:pt idx="8">
                  <c:v>13.909774436090224</c:v>
                </c:pt>
                <c:pt idx="9">
                  <c:v>14.961240310077519</c:v>
                </c:pt>
                <c:pt idx="10">
                  <c:v>15.073529411764705</c:v>
                </c:pt>
                <c:pt idx="11" formatCode="General">
                  <c:v>15.954198473282441</c:v>
                </c:pt>
              </c:numCache>
            </c:numRef>
          </c:val>
          <c:extLst>
            <c:ext xmlns:c="http://schemas.openxmlformats.org/drawingml/2006/chart" xmlns:c16="http://schemas.microsoft.com/office/drawing/2014/chart" uri="{C3380CC4-5D6E-409C-BE32-E72D297353CC}">
              <c16:uniqueId val="{00000004-A66C-4A29-B548-D3AB6C555DAA}"/>
            </c:ext>
          </c:extLst>
        </c:ser>
        <c:dLbls>
          <c:showLegendKey val="0"/>
          <c:showVal val="0"/>
          <c:showCatName val="0"/>
          <c:showSerName val="0"/>
          <c:showPercent val="0"/>
          <c:showBubbleSize val="0"/>
        </c:dLbls>
        <c:gapWidth val="20"/>
        <c:axId val="629847904"/>
        <c:axId val="629847120"/>
      </c:barChart>
      <c:catAx>
        <c:axId val="629847904"/>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29847120"/>
        <c:crosses val="autoZero"/>
        <c:auto val="1"/>
        <c:lblAlgn val="ctr"/>
        <c:lblOffset val="100"/>
        <c:noMultiLvlLbl val="0"/>
      </c:catAx>
      <c:valAx>
        <c:axId val="629847120"/>
        <c:scaling>
          <c:orientation val="minMax"/>
          <c:max val="25"/>
          <c:min val="0"/>
        </c:scaling>
        <c:delete val="0"/>
        <c:axPos val="l"/>
        <c:numFmt formatCode="0" sourceLinked="0"/>
        <c:majorTickMark val="out"/>
        <c:minorTickMark val="none"/>
        <c:tickLblPos val="nextTo"/>
        <c:crossAx val="629847904"/>
        <c:crosses val="autoZero"/>
        <c:crossBetween val="between"/>
        <c:majorUnit val="5"/>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3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449061330451076"/>
          <c:y val="0.15218914041994749"/>
          <c:w val="0.52181675566416263"/>
          <c:h val="0.709344652230971"/>
        </c:manualLayout>
      </c:layout>
      <c:pieChart>
        <c:varyColors val="1"/>
        <c:ser>
          <c:idx val="0"/>
          <c:order val="0"/>
          <c:tx>
            <c:strRef>
              <c:f>Sheet1!$B$1</c:f>
              <c:strCache>
                <c:ptCount val="1"/>
                <c:pt idx="0">
                  <c:v>Column1</c:v>
                </c:pt>
              </c:strCache>
            </c:strRef>
          </c:tx>
          <c:dPt>
            <c:idx val="0"/>
            <c:bubble3D val="0"/>
            <c:spPr>
              <a:solidFill>
                <a:schemeClr val="accent1"/>
              </a:solidFill>
              <a:ln>
                <a:noFill/>
              </a:ln>
              <a:effectLst/>
            </c:spPr>
            <c:extLst>
              <c:ext xmlns:c="http://schemas.openxmlformats.org/drawingml/2006/chart" xmlns:c16="http://schemas.microsoft.com/office/drawing/2014/chart" uri="{C3380CC4-5D6E-409C-BE32-E72D297353CC}">
                <c16:uniqueId val="{00000001-5651-4E54-A3D6-429EB3B9FF0C}"/>
              </c:ext>
            </c:extLst>
          </c:dPt>
          <c:dPt>
            <c:idx val="1"/>
            <c:bubble3D val="0"/>
            <c:spPr>
              <a:solidFill>
                <a:schemeClr val="accent2"/>
              </a:solidFill>
              <a:ln>
                <a:noFill/>
              </a:ln>
              <a:effectLst/>
            </c:spPr>
            <c:extLst>
              <c:ext xmlns:c="http://schemas.openxmlformats.org/drawingml/2006/chart" xmlns:c16="http://schemas.microsoft.com/office/drawing/2014/chart" uri="{C3380CC4-5D6E-409C-BE32-E72D297353CC}">
                <c16:uniqueId val="{00000003-5651-4E54-A3D6-429EB3B9FF0C}"/>
              </c:ext>
            </c:extLst>
          </c:dPt>
          <c:dPt>
            <c:idx val="2"/>
            <c:bubble3D val="0"/>
            <c:spPr>
              <a:solidFill>
                <a:schemeClr val="accent3"/>
              </a:solidFill>
              <a:ln>
                <a:noFill/>
              </a:ln>
              <a:effectLst/>
            </c:spPr>
            <c:extLst>
              <c:ext xmlns:c="http://schemas.openxmlformats.org/drawingml/2006/chart" xmlns:c16="http://schemas.microsoft.com/office/drawing/2014/chart" uri="{C3380CC4-5D6E-409C-BE32-E72D297353CC}">
                <c16:uniqueId val="{00000005-5651-4E54-A3D6-429EB3B9FF0C}"/>
              </c:ext>
            </c:extLst>
          </c:dPt>
          <c:dPt>
            <c:idx val="3"/>
            <c:bubble3D val="0"/>
            <c:spPr>
              <a:solidFill>
                <a:schemeClr val="accent4"/>
              </a:solidFill>
              <a:ln>
                <a:noFill/>
              </a:ln>
              <a:effectLst/>
            </c:spPr>
            <c:extLst>
              <c:ext xmlns:c="http://schemas.openxmlformats.org/drawingml/2006/chart" xmlns:c16="http://schemas.microsoft.com/office/drawing/2014/chart" uri="{C3380CC4-5D6E-409C-BE32-E72D297353CC}">
                <c16:uniqueId val="{00000007-5651-4E54-A3D6-429EB3B9FF0C}"/>
              </c:ext>
            </c:extLst>
          </c:dPt>
          <c:dPt>
            <c:idx val="4"/>
            <c:bubble3D val="0"/>
            <c:spPr>
              <a:solidFill>
                <a:schemeClr val="accent5"/>
              </a:solidFill>
              <a:ln>
                <a:noFill/>
              </a:ln>
              <a:effectLst/>
            </c:spPr>
            <c:extLst>
              <c:ext xmlns:c="http://schemas.openxmlformats.org/drawingml/2006/chart" xmlns:c16="http://schemas.microsoft.com/office/drawing/2014/chart" uri="{C3380CC4-5D6E-409C-BE32-E72D297353CC}">
                <c16:uniqueId val="{00000009-5651-4E54-A3D6-429EB3B9FF0C}"/>
              </c:ext>
            </c:extLst>
          </c:dPt>
          <c:dPt>
            <c:idx val="5"/>
            <c:bubble3D val="0"/>
            <c:spPr>
              <a:solidFill>
                <a:schemeClr val="accent6"/>
              </a:solidFill>
              <a:ln>
                <a:noFill/>
              </a:ln>
              <a:effectLst/>
            </c:spPr>
            <c:extLst>
              <c:ext xmlns:c="http://schemas.openxmlformats.org/drawingml/2006/chart" xmlns:c16="http://schemas.microsoft.com/office/drawing/2014/chart" uri="{C3380CC4-5D6E-409C-BE32-E72D297353CC}">
                <c16:uniqueId val="{0000000B-5651-4E54-A3D6-429EB3B9FF0C}"/>
              </c:ext>
            </c:extLst>
          </c:dPt>
          <c:dPt>
            <c:idx val="6"/>
            <c:bubble3D val="0"/>
            <c:spPr>
              <a:solidFill>
                <a:schemeClr val="accent1">
                  <a:lumMod val="60000"/>
                </a:schemeClr>
              </a:solidFill>
              <a:ln>
                <a:noFill/>
              </a:ln>
              <a:effectLst/>
            </c:spPr>
            <c:extLst>
              <c:ext xmlns:c="http://schemas.openxmlformats.org/drawingml/2006/chart" xmlns:c16="http://schemas.microsoft.com/office/drawing/2014/chart" uri="{C3380CC4-5D6E-409C-BE32-E72D297353CC}">
                <c16:uniqueId val="{0000000D-5651-4E54-A3D6-429EB3B9FF0C}"/>
              </c:ext>
            </c:extLst>
          </c:dPt>
          <c:dLbls>
            <c:dLbl>
              <c:idx val="0"/>
              <c:layout>
                <c:manualLayout>
                  <c:x val="0.022970086436254394"/>
                  <c:y val="0"/>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1-5651-4E54-A3D6-429EB3B9FF0C}"/>
                </c:ext>
                <c:ext xmlns:c15="http://schemas.microsoft.com/office/drawing/2012/chart" uri="{CE6537A1-D6FC-4f65-9D91-7224C49458BB}"/>
              </c:extLst>
            </c:dLbl>
            <c:dLbl>
              <c:idx val="1"/>
              <c:layout>
                <c:manualLayout>
                  <c:x val="0.00093463136300053393"/>
                  <c:y val="0"/>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3-5651-4E54-A3D6-429EB3B9FF0C}"/>
                </c:ext>
                <c:ext xmlns:c15="http://schemas.microsoft.com/office/drawing/2012/chart" uri="{CE6537A1-D6FC-4f65-9D91-7224C49458BB}">
                  <c15:layout>
                    <c:manualLayout>
                      <c:w val="0.15860815069663298"/>
                      <c:h val="0.23486573231270882"/>
                    </c:manualLayout>
                  </c15:layout>
                </c:ext>
              </c:extLst>
            </c:dLbl>
            <c:dLbl>
              <c:idx val="2"/>
              <c:layout>
                <c:manualLayout>
                  <c:x val="0.030651297358336469"/>
                  <c:y val="0.0047587714488333491"/>
                </c:manualLayout>
              </c:layout>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5-5651-4E54-A3D6-429EB3B9FF0C}"/>
                </c:ext>
                <c:ext xmlns:c15="http://schemas.microsoft.com/office/drawing/2012/chart" uri="{CE6537A1-D6FC-4f65-9D91-7224C49458BB}"/>
              </c:extLst>
            </c:dLbl>
            <c:dLbl>
              <c:idx val="3"/>
              <c:layout>
                <c:manualLayout>
                  <c:x val="0.049396427316403729"/>
                  <c:y val="-0.0069645194072189441"/>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7-5651-4E54-A3D6-429EB3B9FF0C}"/>
                </c:ext>
                <c:ext xmlns:c15="http://schemas.microsoft.com/office/drawing/2012/chart" uri="{CE6537A1-D6FC-4f65-9D91-7224C49458BB}">
                  <c15:layout>
                    <c:manualLayout>
                      <c:w val="0.18305329579436722"/>
                      <c:h val="0.24140913444315282"/>
                    </c:manualLayout>
                  </c15:layout>
                </c:ext>
              </c:extLst>
            </c:dLbl>
            <c:dLbl>
              <c:idx val="4"/>
              <c:layout>
                <c:manualLayout>
                  <c:x val="0.0076653277730979394"/>
                  <c:y val="-0.0052093737637194165"/>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9-5651-4E54-A3D6-429EB3B9FF0C}"/>
                </c:ext>
                <c:ext xmlns:c15="http://schemas.microsoft.com/office/drawing/2012/chart" uri="{CE6537A1-D6FC-4f65-9D91-7224C49458BB}">
                  <c15:layout>
                    <c:manualLayout>
                      <c:w val="0.17551485284660462"/>
                      <c:h val="0.24265640193304527"/>
                    </c:manualLayout>
                  </c15:layout>
                </c:ext>
              </c:extLst>
            </c:dLbl>
            <c:dLbl>
              <c:idx val="5"/>
              <c:layout>
                <c:manualLayout>
                  <c:x val="0.047340766122703527"/>
                  <c:y val="-0.031172548417520235"/>
                </c:manualLayout>
              </c:layout>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B-5651-4E54-A3D6-429EB3B9FF0C}"/>
                </c:ext>
                <c:ext xmlns:c15="http://schemas.microsoft.com/office/drawing/2012/chart" uri="{CE6537A1-D6FC-4f65-9D91-7224C49458BB}">
                  <c15:layout>
                    <c:manualLayout>
                      <c:w val="0.25226053639846741"/>
                      <c:h val="0.33640666010498688"/>
                    </c:manualLayout>
                  </c15:layout>
                </c:ext>
              </c:extLst>
            </c:dLbl>
            <c:dLbl>
              <c:idx val="6"/>
              <c:layout>
                <c:manualLayout>
                  <c:x val="0.059489723777471887"/>
                  <c:y val="-0.060068431557475925"/>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D-5651-4E54-A3D6-429EB3B9FF0C}"/>
                </c:ext>
                <c:ext xmlns:c15="http://schemas.microsoft.com/office/drawing/2012/chart" uri="{CE6537A1-D6FC-4f65-9D91-7224C49458BB}">
                  <c15:layout>
                    <c:manualLayout>
                      <c:w val="0.34172228295065166"/>
                      <c:h val="0.29205945357108914"/>
                    </c:manualLayout>
                  </c15:layout>
                </c:ext>
              </c:extLst>
            </c:dLbl>
            <c:dLbl>
              <c:idx val="7"/>
              <c:layout>
                <c:manualLayout>
                  <c:x val="-0.010583877227024167"/>
                  <c:y val="-0.12999071494893222"/>
                </c:manualLayout>
              </c:layout>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E-5651-4E54-A3D6-429EB3B9FF0C}"/>
                </c:ext>
                <c:ext xmlns:c15="http://schemas.microsoft.com/office/drawing/2012/chart" uri="{CE6537A1-D6FC-4f65-9D91-7224C49458BB}"/>
              </c:extLst>
            </c:dLbl>
            <c:dLbl>
              <c:idx val="8"/>
              <c:layout>
                <c:manualLayout>
                  <c:x val="0.045863467983771389"/>
                  <c:y val="-0.11142061281337047"/>
                </c:manualLayout>
              </c:layout>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F-5651-4E54-A3D6-429EB3B9FF0C}"/>
                </c:ext>
                <c:ext xmlns:c15="http://schemas.microsoft.com/office/drawing/2012/chart" uri="{CE6537A1-D6FC-4f65-9D91-7224C49458BB}"/>
              </c:extLst>
            </c:dLbl>
            <c:dLbl>
              <c:idx val="9"/>
              <c:layout>
                <c:manualLayout>
                  <c:x val="0.063503263362145"/>
                  <c:y val="0.046425255338904362"/>
                </c:manualLayout>
              </c:layout>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10-5651-4E54-A3D6-429EB3B9FF0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Candara" panose="020E0502030303020204" pitchFamily="34" charset="0"/>
                    <a:ea typeface="+mn-ea"/>
                    <a:cs typeface="+mn-cs"/>
                  </a:defRPr>
                </a:pPr>
                <a:endParaRPr lang="lv-LV"/>
              </a:p>
            </c:txPr>
            <c:dLblPos val="outEnd"/>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Sheet1!$A$2:$A$11</c:f>
              <c:strCache>
                <c:ptCount val="10"/>
                <c:pt idx="0">
                  <c:v>Malta</c:v>
                </c:pt>
                <c:pt idx="1">
                  <c:v>Zviedrija</c:v>
                </c:pt>
                <c:pt idx="2">
                  <c:v>Krievija</c:v>
                </c:pt>
                <c:pt idx="3">
                  <c:v>Čehija</c:v>
                </c:pt>
                <c:pt idx="4">
                  <c:v>Norvēģija</c:v>
                </c:pt>
                <c:pt idx="5">
                  <c:v>Vācija</c:v>
                </c:pt>
                <c:pt idx="6">
                  <c:v>Apvienotā Karaliste</c:v>
                </c:pt>
                <c:pt idx="7">
                  <c:v>Šveice</c:v>
                </c:pt>
                <c:pt idx="8">
                  <c:v>ASV</c:v>
                </c:pt>
                <c:pt idx="9">
                  <c:v>Citas valstis</c:v>
                </c:pt>
              </c:strCache>
            </c:strRef>
          </c:cat>
          <c:val>
            <c:numRef>
              <c:f>Sheet1!$B$2:$B$11</c:f>
              <c:numCache>
                <c:formatCode>0</c:formatCode>
                <c:ptCount val="10"/>
                <c:pt idx="0">
                  <c:v>17</c:v>
                </c:pt>
                <c:pt idx="1">
                  <c:v>11.7</c:v>
                </c:pt>
                <c:pt idx="2">
                  <c:v>8.5</c:v>
                </c:pt>
                <c:pt idx="3">
                  <c:v>6.4</c:v>
                </c:pt>
                <c:pt idx="4">
                  <c:v>6.4</c:v>
                </c:pt>
                <c:pt idx="5">
                  <c:v>5.3</c:v>
                </c:pt>
                <c:pt idx="6">
                  <c:v>5.3</c:v>
                </c:pt>
                <c:pt idx="7">
                  <c:v>3.2</c:v>
                </c:pt>
                <c:pt idx="8">
                  <c:v>3.2</c:v>
                </c:pt>
                <c:pt idx="9">
                  <c:v>33</c:v>
                </c:pt>
              </c:numCache>
            </c:numRef>
          </c:val>
          <c:extLst>
            <c:ext xmlns:c="http://schemas.openxmlformats.org/drawingml/2006/chart" xmlns:c16="http://schemas.microsoft.com/office/drawing/2014/chart" uri="{C3380CC4-5D6E-409C-BE32-E72D297353CC}">
              <c16:uniqueId val="{00000011-5651-4E54-A3D6-429EB3B9FF0C}"/>
            </c:ext>
          </c:extLst>
        </c:ser>
        <c:dLbls>
          <c:showLegendKey val="0"/>
          <c:showVal val="0"/>
          <c:showCatName val="0"/>
          <c:showSerName val="0"/>
          <c:showPercent val="0"/>
          <c:showBubbleSize val="0"/>
          <c:showLeaderLines val="0"/>
        </c:dLbls>
        <c:firstSliceAng val="70"/>
      </c:pieChart>
      <c:spPr>
        <a:noFill/>
        <a:ln>
          <a:noFill/>
        </a:ln>
        <a:effectLst/>
      </c:spPr>
    </c:plotArea>
    <c:plotVisOnly val="1"/>
    <c:dispBlanksAs val="zero"/>
    <c:showDLblsOverMax val="0"/>
  </c:chart>
  <c:spPr>
    <a:noFill/>
    <a:ln w="9525">
      <a:noFill/>
      <a:round/>
    </a:ln>
    <a:effectLst/>
  </c:spPr>
  <c:txPr>
    <a:bodyPr/>
    <a:lstStyle/>
    <a:p>
      <a:pPr>
        <a:defRPr sz="800">
          <a:latin typeface="Candara" panose="020E0502030303020204" pitchFamily="34" charset="0"/>
        </a:defRPr>
      </a:pPr>
      <a:endParaRPr lang="lv-LV"/>
    </a:p>
  </c:txPr>
  <c:externalData r:id="rId1">
    <c:autoUpdate val="0"/>
  </c:externalData>
</c:chartSpace>
</file>

<file path=word/charts/chart3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BB3B-416B-A7F8-E18EBB7E301F}"/>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BB3B-416B-A7F8-E18EBB7E301F}"/>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Sheet1!$B$2:$L$2</c:f>
              <c:numCache>
                <c:formatCode>0</c:formatCode>
                <c:ptCount val="11"/>
                <c:pt idx="0">
                  <c:v>2005</c:v>
                </c:pt>
                <c:pt idx="1">
                  <c:v>2006</c:v>
                </c:pt>
                <c:pt idx="2">
                  <c:v>2007</c:v>
                </c:pt>
                <c:pt idx="3">
                  <c:v>2008</c:v>
                </c:pt>
                <c:pt idx="4">
                  <c:v>2009</c:v>
                </c:pt>
                <c:pt idx="5">
                  <c:v>2010</c:v>
                </c:pt>
                <c:pt idx="6">
                  <c:v>2011</c:v>
                </c:pt>
                <c:pt idx="7">
                  <c:v>2012</c:v>
                </c:pt>
                <c:pt idx="8">
                  <c:v>2013</c:v>
                </c:pt>
                <c:pt idx="9" formatCode="General">
                  <c:v>2014</c:v>
                </c:pt>
                <c:pt idx="10" formatCode="General">
                  <c:v>2015</c:v>
                </c:pt>
              </c:numCache>
            </c:numRef>
          </c:cat>
          <c:val>
            <c:numRef>
              <c:f>Sheet1!$B$3:$L$3</c:f>
              <c:numCache>
                <c:formatCode>0.0</c:formatCode>
                <c:ptCount val="11"/>
                <c:pt idx="0">
                  <c:v>12.322775263951735</c:v>
                </c:pt>
                <c:pt idx="1">
                  <c:v>17.368421052631579</c:v>
                </c:pt>
                <c:pt idx="2">
                  <c:v>17.020109689213893</c:v>
                </c:pt>
                <c:pt idx="3">
                  <c:v>21.482142857142858</c:v>
                </c:pt>
                <c:pt idx="4">
                  <c:v>22.111111111111111</c:v>
                </c:pt>
                <c:pt idx="5">
                  <c:v>18.945386064030131</c:v>
                </c:pt>
                <c:pt idx="6">
                  <c:v>18.598848368522074</c:v>
                </c:pt>
                <c:pt idx="7">
                  <c:v>22.061855670103096</c:v>
                </c:pt>
                <c:pt idx="8">
                  <c:v>22.851239669421489</c:v>
                </c:pt>
                <c:pt idx="9">
                  <c:v>24.022471910112358</c:v>
                </c:pt>
                <c:pt idx="10" formatCode="General">
                  <c:v>23.811563169164884</c:v>
                </c:pt>
              </c:numCache>
            </c:numRef>
          </c:val>
          <c:extLst>
            <c:ext xmlns:c="http://schemas.openxmlformats.org/drawingml/2006/chart" xmlns:c16="http://schemas.microsoft.com/office/drawing/2014/chart" uri="{C3380CC4-5D6E-409C-BE32-E72D297353CC}">
              <c16:uniqueId val="{00000004-BB3B-416B-A7F8-E18EBB7E301F}"/>
            </c:ext>
          </c:extLst>
        </c:ser>
        <c:dLbls>
          <c:showLegendKey val="0"/>
          <c:showVal val="0"/>
          <c:showCatName val="0"/>
          <c:showSerName val="0"/>
          <c:showPercent val="0"/>
          <c:showBubbleSize val="0"/>
        </c:dLbls>
        <c:gapWidth val="20"/>
        <c:axId val="656475824"/>
        <c:axId val="656481312"/>
      </c:barChart>
      <c:catAx>
        <c:axId val="656475824"/>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56481312"/>
        <c:crosses val="autoZero"/>
        <c:auto val="1"/>
        <c:lblAlgn val="ctr"/>
        <c:lblOffset val="100"/>
        <c:noMultiLvlLbl val="0"/>
      </c:catAx>
      <c:valAx>
        <c:axId val="656481312"/>
        <c:scaling>
          <c:orientation val="minMax"/>
          <c:max val="25"/>
          <c:min val="0"/>
        </c:scaling>
        <c:delete val="0"/>
        <c:axPos val="l"/>
        <c:numFmt formatCode="0" sourceLinked="0"/>
        <c:majorTickMark val="out"/>
        <c:minorTickMark val="none"/>
        <c:tickLblPos val="nextTo"/>
        <c:crossAx val="656475824"/>
        <c:crosses val="autoZero"/>
        <c:crossBetween val="between"/>
        <c:majorUnit val="5"/>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3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1862-4EF5-B420-86EC302E88BE}"/>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1862-4EF5-B420-86EC302E88BE}"/>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Sheet1!$B$2:$L$2</c:f>
              <c:numCache>
                <c:formatCode>0</c:formatCode>
                <c:ptCount val="11"/>
                <c:pt idx="0">
                  <c:v>2005</c:v>
                </c:pt>
                <c:pt idx="1">
                  <c:v>2006</c:v>
                </c:pt>
                <c:pt idx="2">
                  <c:v>2007</c:v>
                </c:pt>
                <c:pt idx="3">
                  <c:v>2008</c:v>
                </c:pt>
                <c:pt idx="4">
                  <c:v>2009</c:v>
                </c:pt>
                <c:pt idx="5">
                  <c:v>2010</c:v>
                </c:pt>
                <c:pt idx="6">
                  <c:v>2011</c:v>
                </c:pt>
                <c:pt idx="7">
                  <c:v>2012</c:v>
                </c:pt>
                <c:pt idx="8">
                  <c:v>2013</c:v>
                </c:pt>
                <c:pt idx="9" formatCode="General">
                  <c:v>2014</c:v>
                </c:pt>
                <c:pt idx="10" formatCode="General">
                  <c:v>2015</c:v>
                </c:pt>
              </c:numCache>
            </c:numRef>
          </c:cat>
          <c:val>
            <c:numRef>
              <c:f>Sheet1!$B$3:$L$3</c:f>
              <c:numCache>
                <c:formatCode>General</c:formatCode>
                <c:ptCount val="11"/>
                <c:pt idx="0">
                  <c:v>55.370370370370374</c:v>
                </c:pt>
                <c:pt idx="1">
                  <c:v>82.724077328646743</c:v>
                </c:pt>
                <c:pt idx="2">
                  <c:v>74.967426710097726</c:v>
                </c:pt>
                <c:pt idx="3">
                  <c:v>71.505728314238951</c:v>
                </c:pt>
                <c:pt idx="4">
                  <c:v>59.931740614334466</c:v>
                </c:pt>
                <c:pt idx="5">
                  <c:v>60.032679738562088</c:v>
                </c:pt>
                <c:pt idx="6">
                  <c:v>59.456342668863257</c:v>
                </c:pt>
                <c:pt idx="7">
                  <c:v>65.722326454033777</c:v>
                </c:pt>
                <c:pt idx="8">
                  <c:v>64.262589928057565</c:v>
                </c:pt>
                <c:pt idx="9">
                  <c:v>64.820415879017</c:v>
                </c:pt>
                <c:pt idx="10">
                  <c:v>62.872928176795583</c:v>
                </c:pt>
              </c:numCache>
            </c:numRef>
          </c:val>
          <c:extLst>
            <c:ext xmlns:c="http://schemas.openxmlformats.org/drawingml/2006/chart" xmlns:c16="http://schemas.microsoft.com/office/drawing/2014/chart" uri="{C3380CC4-5D6E-409C-BE32-E72D297353CC}">
              <c16:uniqueId val="{00000004-1862-4EF5-B420-86EC302E88BE}"/>
            </c:ext>
          </c:extLst>
        </c:ser>
        <c:dLbls>
          <c:showLegendKey val="0"/>
          <c:showVal val="0"/>
          <c:showCatName val="0"/>
          <c:showSerName val="0"/>
          <c:showPercent val="0"/>
          <c:showBubbleSize val="0"/>
        </c:dLbls>
        <c:gapWidth val="20"/>
        <c:axId val="656476216"/>
        <c:axId val="656477000"/>
      </c:barChart>
      <c:catAx>
        <c:axId val="656476216"/>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56477000"/>
        <c:crosses val="autoZero"/>
        <c:auto val="1"/>
        <c:lblAlgn val="ctr"/>
        <c:lblOffset val="100"/>
        <c:noMultiLvlLbl val="0"/>
      </c:catAx>
      <c:valAx>
        <c:axId val="656477000"/>
        <c:scaling>
          <c:orientation val="minMax"/>
        </c:scaling>
        <c:delete val="0"/>
        <c:axPos val="l"/>
        <c:numFmt formatCode="0" sourceLinked="0"/>
        <c:majorTickMark val="out"/>
        <c:minorTickMark val="none"/>
        <c:tickLblPos val="nextTo"/>
        <c:crossAx val="656476216"/>
        <c:crosses val="autoZero"/>
        <c:crossBetween val="between"/>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35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04139946424223"/>
          <c:y val="0.057971014492753624"/>
          <c:w val="0.631092891739048"/>
          <c:h val="0.726718711443121"/>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marker>
              <c:spPr>
                <a:solidFill>
                  <a:srgbClr val="002060"/>
                </a:solidFill>
                <a:ln w="6350">
                  <a:solidFill>
                    <a:sysClr val="windowText" lastClr="000000"/>
                  </a:solidFill>
                </a:ln>
              </c:spPr>
            </c:marker>
            <c:extLst>
              <c:ext xmlns:c="http://schemas.openxmlformats.org/drawingml/2006/chart" xmlns:c16="http://schemas.microsoft.com/office/drawing/2014/chart" uri="{C3380CC4-5D6E-409C-BE32-E72D297353CC}">
                <c16:uniqueId val="{00000000-D9AB-4542-9D7B-F587A2E23129}"/>
              </c:ext>
            </c:extLst>
          </c:dPt>
          <c:dLbls>
            <c:dLbl>
              <c:idx val="0"/>
              <c:layout>
                <c:manualLayout>
                  <c:x val="-0.22962436454935367"/>
                  <c:y val="0.028082211106319"/>
                </c:manualLayout>
              </c:layout>
              <c:tx>
                <c:rich>
                  <a:bodyPr vertOverflow="clip"/>
                  <a:lstStyle/>
                  <a:p>
                    <a:r>
                      <a:rPr lang="en-US"/>
                      <a:t>2005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D9AB-4542-9D7B-F587A2E23129}"/>
                </c:ext>
                <c:ext xmlns:c15="http://schemas.microsoft.com/office/drawing/2012/chart" uri="{CE6537A1-D6FC-4f65-9D91-7224C49458BB}"/>
              </c:extLst>
            </c:dLbl>
            <c:dLbl>
              <c:idx val="1"/>
              <c:layout>
                <c:manualLayout>
                  <c:x val="-0.05497794734421084"/>
                  <c:y val="-0.091459272719115234"/>
                </c:manualLayout>
              </c:layout>
              <c:tx>
                <c:rich>
                  <a:bodyPr vertOverflow="clip"/>
                  <a:lstStyle/>
                  <a:p>
                    <a:r>
                      <a:rPr lang="en-US"/>
                      <a:t>2007</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D9AB-4542-9D7B-F587A2E23129}"/>
                </c:ext>
                <c:ext xmlns:c15="http://schemas.microsoft.com/office/drawing/2012/chart" uri="{CE6537A1-D6FC-4f65-9D91-7224C49458BB}"/>
              </c:extLst>
            </c:dLbl>
            <c:dLbl>
              <c:idx val="2"/>
              <c:layout>
                <c:manualLayout>
                  <c:x val="-0.30576074897854261"/>
                  <c:y val="-0.32361262534490876"/>
                </c:manualLayout>
              </c:layout>
              <c:tx>
                <c:rich>
                  <a:bodyPr vertOverflow="clip"/>
                  <a:lstStyle/>
                  <a:p>
                    <a:r>
                      <a:rPr lang="en-US"/>
                      <a:t>2010</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D9AB-4542-9D7B-F587A2E23129}"/>
                </c:ext>
                <c:ext xmlns:c15="http://schemas.microsoft.com/office/drawing/2012/chart" uri="{CE6537A1-D6FC-4f65-9D91-7224C49458BB}"/>
              </c:extLst>
            </c:dLbl>
            <c:dLbl>
              <c:idx val="3"/>
              <c:layout>
                <c:manualLayout>
                  <c:x val="-0.014028194929242092"/>
                  <c:y val="-0.019373219373219373"/>
                </c:manualLayout>
              </c:layout>
              <c:tx>
                <c:rich>
                  <a:bodyPr vertOverflow="clip"/>
                  <a:lstStyle/>
                  <a:p>
                    <a:r>
                      <a:rPr lang="en-US"/>
                      <a:t>2008</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D9AB-4542-9D7B-F587A2E23129}"/>
                </c:ext>
                <c:ext xmlns:c15="http://schemas.microsoft.com/office/drawing/2012/chart" uri="{CE6537A1-D6FC-4f65-9D91-7224C49458BB}"/>
              </c:extLst>
            </c:dLbl>
            <c:dLbl>
              <c:idx val="4"/>
              <c:layout>
                <c:manualLayout>
                  <c:x val="-0.20602086953701626"/>
                  <c:y val="-0.051292145373800238"/>
                </c:manualLayout>
              </c:layout>
              <c:tx>
                <c:rich>
                  <a:bodyPr vertOverflow="clip"/>
                  <a:lstStyle/>
                  <a:p>
                    <a:r>
                      <a:rPr lang="en-US"/>
                      <a:t>2009</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D9AB-4542-9D7B-F587A2E23129}"/>
                </c:ext>
                <c:ext xmlns:c15="http://schemas.microsoft.com/office/drawing/2012/chart" uri="{CE6537A1-D6FC-4f65-9D91-7224C49458BB}"/>
              </c:extLst>
            </c:dLbl>
            <c:dLbl>
              <c:idx val="5"/>
              <c:delete val="1"/>
              <c:extLst>
                <c:ext xmlns:c="http://schemas.openxmlformats.org/drawingml/2006/chart" xmlns:c16="http://schemas.microsoft.com/office/drawing/2014/chart" uri="{C3380CC4-5D6E-409C-BE32-E72D297353CC}">
                  <c16:uniqueId val="{00000000-D9AB-4542-9D7B-F587A2E23129}"/>
                </c:ext>
                <c:ext xmlns:c15="http://schemas.microsoft.com/office/drawing/2012/chart" uri="{CE6537A1-D6FC-4f65-9D91-7224C49458BB}"/>
              </c:extLst>
            </c:dLbl>
            <c:dLbl>
              <c:idx val="6"/>
              <c:delete val="1"/>
              <c:extLst>
                <c:ext xmlns:c="http://schemas.openxmlformats.org/drawingml/2006/chart" xmlns:c16="http://schemas.microsoft.com/office/drawing/2014/chart" uri="{C3380CC4-5D6E-409C-BE32-E72D297353CC}">
                  <c16:uniqueId val="{00000006-D9AB-4542-9D7B-F587A2E23129}"/>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7-D9AB-4542-9D7B-F587A2E23129}"/>
                </c:ext>
                <c:ext xmlns:c15="http://schemas.microsoft.com/office/drawing/2012/chart" uri="{CE6537A1-D6FC-4f65-9D91-7224C49458BB}"/>
              </c:extLst>
            </c:dLbl>
            <c:dLbl>
              <c:idx val="8"/>
              <c:delete val="1"/>
              <c:extLst>
                <c:ext xmlns:c="http://schemas.openxmlformats.org/drawingml/2006/chart" xmlns:c16="http://schemas.microsoft.com/office/drawing/2014/chart" uri="{C3380CC4-5D6E-409C-BE32-E72D297353CC}">
                  <c16:uniqueId val="{00000008-D9AB-4542-9D7B-F587A2E23129}"/>
                </c:ext>
                <c:ext xmlns:c15="http://schemas.microsoft.com/office/drawing/2012/chart" uri="{CE6537A1-D6FC-4f65-9D91-7224C49458BB}"/>
              </c:extLst>
            </c:dLbl>
            <c:dLbl>
              <c:idx val="9"/>
              <c:delete val="1"/>
              <c:extLst>
                <c:ext xmlns:c="http://schemas.openxmlformats.org/drawingml/2006/chart" xmlns:c16="http://schemas.microsoft.com/office/drawing/2014/chart" uri="{C3380CC4-5D6E-409C-BE32-E72D297353CC}">
                  <c16:uniqueId val="{00000009-D9AB-4542-9D7B-F587A2E23129}"/>
                </c:ext>
                <c:ext xmlns:c15="http://schemas.microsoft.com/office/drawing/2012/chart" uri="{CE6537A1-D6FC-4f65-9D91-7224C49458BB}"/>
              </c:extLst>
            </c:dLbl>
            <c:dLbl>
              <c:idx val="10"/>
              <c:layout>
                <c:manualLayout>
                  <c:x val="-0.048682691305879967"/>
                  <c:y val="-0.05288250515989211"/>
                </c:manualLayout>
              </c:layout>
              <c:tx>
                <c:rich>
                  <a:bodyPr vertOverflow="clip"/>
                  <a:lstStyle/>
                  <a:p>
                    <a:r>
                      <a:rPr lang="en-US"/>
                      <a:t>2015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D9AB-4542-9D7B-F587A2E23129}"/>
                </c:ext>
                <c:ext xmlns:c15="http://schemas.microsoft.com/office/drawing/2012/chart" uri="{CE6537A1-D6FC-4f65-9D91-7224C49458BB}"/>
              </c:extLst>
            </c:dLbl>
            <c:dLbl>
              <c:idx val="11"/>
              <c:layout>
                <c:manualLayout>
                  <c:x val="-0.045473776802943768"/>
                  <c:y val="-0.029435967255112244"/>
                </c:manualLayout>
              </c:layout>
              <c:tx>
                <c:rich>
                  <a:bodyPr/>
                  <a:lstStyle/>
                  <a:p>
                    <a:r>
                      <a:rPr lang="lv-LV"/>
                      <a:t>SK</a:t>
                    </a:r>
                    <a:endParaRPr lang="en-US"/>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D9AB-4542-9D7B-F587A2E23129}"/>
                </c:ext>
                <c:ext xmlns:c15="http://schemas.microsoft.com/office/drawing/2012/chart" uri="{CE6537A1-D6FC-4f65-9D91-7224C49458BB}"/>
              </c:extLst>
            </c:dLbl>
            <c:dLbl>
              <c:idx val="12"/>
              <c:tx>
                <c:rich>
                  <a:bodyPr/>
                  <a:lstStyle/>
                  <a:p>
                    <a:r>
                      <a:rPr lang="lv-LV"/>
                      <a:t>FI</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D9AB-4542-9D7B-F587A2E23129}"/>
                </c:ext>
                <c:ext xmlns:c15="http://schemas.microsoft.com/office/drawing/2012/chart" uri="{CE6537A1-D6FC-4f65-9D91-7224C49458BB}"/>
              </c:extLst>
            </c:dLbl>
            <c:dLbl>
              <c:idx val="13"/>
              <c:tx>
                <c:rich>
                  <a:bodyPr/>
                  <a:lstStyle/>
                  <a:p>
                    <a:r>
                      <a:rPr lang="lv-LV" b="0"/>
                      <a:t>SE</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D9AB-4542-9D7B-F587A2E23129}"/>
                </c:ext>
                <c:ext xmlns:c15="http://schemas.microsoft.com/office/drawing/2012/chart" uri="{CE6537A1-D6FC-4f65-9D91-7224C49458BB}"/>
              </c:extLst>
            </c:dLbl>
            <c:spPr>
              <a:noFill/>
              <a:ln>
                <a:noFill/>
              </a:ln>
              <a:effectLst/>
            </c:spPr>
            <c:txPr>
              <a:bodyPr/>
              <a:lstStyle/>
              <a:p>
                <a:pPr>
                  <a:defRPr b="0"/>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Sheet1!$B$3:$B$13</c:f>
              <c:numCache>
                <c:formatCode>0.0</c:formatCode>
                <c:ptCount val="11"/>
                <c:pt idx="0">
                  <c:v>55.370370370370374</c:v>
                </c:pt>
                <c:pt idx="1">
                  <c:v>82.724077328646743</c:v>
                </c:pt>
                <c:pt idx="2">
                  <c:v>74.967426710097726</c:v>
                </c:pt>
                <c:pt idx="3">
                  <c:v>71.505728314238951</c:v>
                </c:pt>
                <c:pt idx="4">
                  <c:v>59.931740614334466</c:v>
                </c:pt>
                <c:pt idx="5">
                  <c:v>60.032679738562088</c:v>
                </c:pt>
                <c:pt idx="6">
                  <c:v>59.456342668863257</c:v>
                </c:pt>
                <c:pt idx="7">
                  <c:v>65.722326454033777</c:v>
                </c:pt>
                <c:pt idx="8">
                  <c:v>64.262589928057565</c:v>
                </c:pt>
                <c:pt idx="9">
                  <c:v>64.820415879017</c:v>
                </c:pt>
                <c:pt idx="10">
                  <c:v>62.872928176795583</c:v>
                </c:pt>
              </c:numCache>
            </c:numRef>
          </c:xVal>
          <c:yVal>
            <c:numRef>
              <c:f>Sheet1!$C$3:$C$13</c:f>
              <c:numCache>
                <c:formatCode>0.00</c:formatCode>
                <c:ptCount val="11"/>
                <c:pt idx="0">
                  <c:v>0.22255179406468015</c:v>
                </c:pt>
                <c:pt idx="1">
                  <c:v>0.20995605648921539</c:v>
                </c:pt>
                <c:pt idx="2">
                  <c:v>0.22703339885242949</c:v>
                </c:pt>
                <c:pt idx="3">
                  <c:v>0.30042548147663733</c:v>
                </c:pt>
                <c:pt idx="4">
                  <c:v>0.36893824348266263</c:v>
                </c:pt>
                <c:pt idx="5">
                  <c:v>0.31558454739211872</c:v>
                </c:pt>
                <c:pt idx="6">
                  <c:v>0.31281521085322528</c:v>
                </c:pt>
                <c:pt idx="7">
                  <c:v>0.33568281679032114</c:v>
                </c:pt>
                <c:pt idx="8">
                  <c:v>0.35559163885245859</c:v>
                </c:pt>
                <c:pt idx="9">
                  <c:v>0.37060039779671738</c:v>
                </c:pt>
                <c:pt idx="10" formatCode="0.0">
                  <c:v>0.3787252138505135</c:v>
                </c:pt>
              </c:numCache>
            </c:numRef>
          </c:yVal>
          <c:smooth val="1"/>
          <c:extLst>
            <c:ext xmlns:c="http://schemas.openxmlformats.org/drawingml/2006/chart" xmlns:c16="http://schemas.microsoft.com/office/drawing/2014/chart" uri="{C3380CC4-5D6E-409C-BE32-E72D297353CC}">
              <c16:uniqueId val="{0000000E-D9AB-4542-9D7B-F587A2E23129}"/>
            </c:ext>
          </c:extLst>
        </c:ser>
        <c:dLbls>
          <c:showLegendKey val="0"/>
          <c:showVal val="0"/>
          <c:showCatName val="0"/>
          <c:showSerName val="0"/>
          <c:showPercent val="0"/>
          <c:showBubbleSize val="0"/>
        </c:dLbls>
        <c:axId val="656482488"/>
        <c:axId val="656485232"/>
      </c:scatterChart>
      <c:valAx>
        <c:axId val="656482488"/>
        <c:scaling>
          <c:orientation val="minMax"/>
          <c:max val="100"/>
        </c:scaling>
        <c:delete val="0"/>
        <c:axPos val="b"/>
        <c:title>
          <c:tx>
            <c:rich>
              <a:bodyPr vertOverflow="clip"/>
              <a:lstStyle/>
              <a:p>
                <a:pPr>
                  <a:defRPr sz="700" b="0">
                    <a:latin typeface="Arial Narrow" pitchFamily="34" charset="0"/>
                  </a:defRPr>
                </a:pPr>
                <a:r>
                  <a:rPr lang="lv-LV" sz="700" b="0">
                    <a:latin typeface="Arial Narrow" pitchFamily="34" charset="0"/>
                  </a:rPr>
                  <a:t>Produktivitāte (pievienotā vērtība </a:t>
                </a:r>
                <a:br>
                  <a:rPr lang="lv-LV" sz="700" b="0">
                    <a:latin typeface="Arial Narrow" pitchFamily="34" charset="0"/>
                  </a:rPr>
                </a:br>
                <a:r>
                  <a:rPr lang="lv-LV" sz="700" b="0">
                    <a:latin typeface="Arial Narrow" pitchFamily="34" charset="0"/>
                  </a:rPr>
                  <a:t>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56485232"/>
        <c:crosses val="autoZero"/>
        <c:crossBetween val="midCat"/>
        <c:majorUnit val="20"/>
      </c:valAx>
      <c:valAx>
        <c:axId val="656485232"/>
        <c:scaling>
          <c:orientation val="minMax"/>
          <c:min val="0.2"/>
        </c:scaling>
        <c:delete val="0"/>
        <c:axPos val="l"/>
        <c:title>
          <c:tx>
            <c:rich>
              <a:bodyPr vertOverflow="clip"/>
              <a:lstStyle/>
              <a:p>
                <a:pPr>
                  <a:defRPr sz="700" b="0"/>
                </a:pPr>
                <a:r>
                  <a:rPr lang="lv-LV" sz="700" b="0">
                    <a:latin typeface="Arial Narrow" pitchFamily="34" charset="0"/>
                  </a:rPr>
                  <a:t>Darbaspēka izmaksas </a:t>
                </a:r>
                <a:br>
                  <a:rPr lang="lv-LV" sz="700" b="0">
                    <a:latin typeface="Arial Narrow" pitchFamily="34" charset="0"/>
                  </a:rPr>
                </a:br>
                <a:r>
                  <a:rPr lang="lv-LV" sz="700" b="0">
                    <a:latin typeface="Arial Narrow" pitchFamily="34" charset="0"/>
                  </a:rPr>
                  <a:t>uz 1 produkcijas vienību, EUR</a:t>
                </a:r>
              </a:p>
            </c:rich>
          </c:tx>
          <c:layout/>
          <c:overlay val="0"/>
        </c:title>
        <c:numFmt formatCode="0.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56482488"/>
        <c:crosses val="autoZero"/>
        <c:crossBetween val="midCat"/>
        <c:majorUnit val="0.050000000000000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3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8"/>
          <c:y val="0.046005165816941182"/>
          <c:w val="0.85762258292899962"/>
          <c:h val="0.831279863372076"/>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Sheet1!$B$1:$J$1</c:f>
              <c:strCache>
                <c:ptCount val="9"/>
                <c:pt idx="0">
                  <c:v>2007</c:v>
                </c:pt>
                <c:pt idx="1">
                  <c:v>2008</c:v>
                </c:pt>
                <c:pt idx="2">
                  <c:v>2009</c:v>
                </c:pt>
                <c:pt idx="3">
                  <c:v>2010</c:v>
                </c:pt>
                <c:pt idx="4">
                  <c:v>2011</c:v>
                </c:pt>
                <c:pt idx="5">
                  <c:v>2012</c:v>
                </c:pt>
                <c:pt idx="6">
                  <c:v>2013</c:v>
                </c:pt>
                <c:pt idx="7">
                  <c:v>2014</c:v>
                </c:pt>
                <c:pt idx="8">
                  <c:v>2015</c:v>
                </c:pt>
              </c:strCache>
            </c:strRef>
          </c:cat>
          <c:val>
            <c:numRef>
              <c:f>Sheet1!$B$2:$J$2</c:f>
              <c:numCache>
                <c:formatCode>0</c:formatCode>
                <c:ptCount val="9"/>
                <c:pt idx="0">
                  <c:v>33.721439159401655</c:v>
                </c:pt>
                <c:pt idx="1">
                  <c:v>39.357747157592392</c:v>
                </c:pt>
                <c:pt idx="2">
                  <c:v>35.257643303741311</c:v>
                </c:pt>
                <c:pt idx="3">
                  <c:v>31.604252389710798</c:v>
                </c:pt>
                <c:pt idx="4">
                  <c:v>31.875002820972814</c:v>
                </c:pt>
                <c:pt idx="5">
                  <c:v>33.804118310790848</c:v>
                </c:pt>
                <c:pt idx="6">
                  <c:v>35.156533977007385</c:v>
                </c:pt>
                <c:pt idx="7">
                  <c:v>37.421947439091205</c:v>
                </c:pt>
                <c:pt idx="8">
                  <c:v>38.817831590130616</c:v>
                </c:pt>
              </c:numCache>
            </c:numRef>
          </c:val>
          <c:extLst>
            <c:ext xmlns:c="http://schemas.openxmlformats.org/drawingml/2006/chart" xmlns:c16="http://schemas.microsoft.com/office/drawing/2014/chart" uri="{C3380CC4-5D6E-409C-BE32-E72D297353CC}">
              <c16:uniqueId val="{00000000-6764-4B6D-9D33-3727D0CB9635}"/>
            </c:ext>
          </c:extLst>
        </c:ser>
        <c:ser>
          <c:idx val="1"/>
          <c:order val="1"/>
          <c:tx>
            <c:strRef>
              <c:f>Sheet1!$A$3</c:f>
              <c:strCache>
                <c:ptCount val="1"/>
                <c:pt idx="0">
                  <c:v>Telekomunikācija</c:v>
                </c:pt>
              </c:strCache>
            </c:strRef>
          </c:tx>
          <c:spPr>
            <a:ln>
              <a:solidFill>
                <a:sysClr val="windowText" lastClr="000000"/>
              </a:solidFill>
            </a:ln>
          </c:spPr>
          <c:invertIfNegative val="0"/>
          <c:dLbls>
            <c:numFmt formatCode="#,##0" sourceLinked="0"/>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2007</c:v>
                </c:pt>
                <c:pt idx="1">
                  <c:v>2008</c:v>
                </c:pt>
                <c:pt idx="2">
                  <c:v>2009</c:v>
                </c:pt>
                <c:pt idx="3">
                  <c:v>2010</c:v>
                </c:pt>
                <c:pt idx="4">
                  <c:v>2011</c:v>
                </c:pt>
                <c:pt idx="5">
                  <c:v>2012</c:v>
                </c:pt>
                <c:pt idx="6">
                  <c:v>2013</c:v>
                </c:pt>
                <c:pt idx="7">
                  <c:v>2014</c:v>
                </c:pt>
                <c:pt idx="8">
                  <c:v>2015</c:v>
                </c:pt>
              </c:strCache>
            </c:strRef>
          </c:cat>
          <c:val>
            <c:numRef>
              <c:f>Sheet1!$B$3:$J$3</c:f>
              <c:numCache>
                <c:formatCode>0</c:formatCode>
                <c:ptCount val="9"/>
                <c:pt idx="0">
                  <c:v>31.650060231463566</c:v>
                </c:pt>
                <c:pt idx="1">
                  <c:v>40.979146749891584</c:v>
                </c:pt>
                <c:pt idx="2">
                  <c:v>44.285434497918722</c:v>
                </c:pt>
                <c:pt idx="3">
                  <c:v>35.80277004151597</c:v>
                </c:pt>
                <c:pt idx="4">
                  <c:v>34.116289917667771</c:v>
                </c:pt>
                <c:pt idx="5">
                  <c:v>38.607419647816613</c:v>
                </c:pt>
                <c:pt idx="6">
                  <c:v>39.763759285707181</c:v>
                </c:pt>
                <c:pt idx="7">
                  <c:v>41.798966390876089</c:v>
                </c:pt>
                <c:pt idx="8">
                  <c:v>39.688764599490874</c:v>
                </c:pt>
              </c:numCache>
            </c:numRef>
          </c:val>
          <c:extLst>
            <c:ext xmlns:c="http://schemas.openxmlformats.org/drawingml/2006/chart" xmlns:c16="http://schemas.microsoft.com/office/drawing/2014/chart" uri="{C3380CC4-5D6E-409C-BE32-E72D297353CC}">
              <c16:uniqueId val="{00000001-6764-4B6D-9D33-3727D0CB9635}"/>
            </c:ext>
          </c:extLst>
        </c:ser>
        <c:dLbls>
          <c:showLegendKey val="0"/>
          <c:showVal val="0"/>
          <c:showCatName val="0"/>
          <c:showSerName val="0"/>
          <c:showPercent val="0"/>
          <c:showBubbleSize val="0"/>
        </c:dLbls>
        <c:gapWidth val="50"/>
        <c:overlap val="52"/>
        <c:axId val="656484448"/>
        <c:axId val="656483272"/>
      </c:barChart>
      <c:catAx>
        <c:axId val="656484448"/>
        <c:scaling>
          <c:orientation val="minMax"/>
        </c:scaling>
        <c:delete val="0"/>
        <c:axPos val="b"/>
        <c:numFmt formatCode="General" sourceLinked="0"/>
        <c:majorTickMark val="out"/>
        <c:minorTickMark val="none"/>
        <c:tickLblPos val="nextTo"/>
        <c:txPr>
          <a:bodyPr/>
          <a:lstStyle/>
          <a:p>
            <a:pPr>
              <a:defRPr sz="700"/>
            </a:pPr>
            <a:endParaRPr lang="lv-LV"/>
          </a:p>
        </c:txPr>
        <c:crossAx val="656483272"/>
        <c:crosses val="autoZero"/>
        <c:auto val="1"/>
        <c:lblAlgn val="ctr"/>
        <c:lblOffset val="100"/>
        <c:noMultiLvlLbl val="0"/>
      </c:catAx>
      <c:valAx>
        <c:axId val="656483272"/>
        <c:scaling>
          <c:orientation val="minMax"/>
          <c:max val="80"/>
        </c:scaling>
        <c:delete val="0"/>
        <c:axPos val="l"/>
        <c:numFmt formatCode="0" sourceLinked="0"/>
        <c:majorTickMark val="out"/>
        <c:minorTickMark val="none"/>
        <c:tickLblPos val="nextTo"/>
        <c:txPr>
          <a:bodyPr/>
          <a:lstStyle/>
          <a:p>
            <a:pPr>
              <a:defRPr sz="800"/>
            </a:pPr>
            <a:endParaRPr lang="lv-LV"/>
          </a:p>
        </c:txPr>
        <c:crossAx val="656484448"/>
        <c:crosses val="autoZero"/>
        <c:crossBetween val="between"/>
        <c:majorUnit val="20"/>
      </c:valAx>
      <c:spPr>
        <a:ln>
          <a:noFill/>
        </a:ln>
      </c:spPr>
    </c:plotArea>
    <c:legend>
      <c:legendPos val="r"/>
      <c:layout>
        <c:manualLayout>
          <c:xMode val="edge"/>
          <c:yMode val="edge"/>
          <c:x val="0.1972511805244323"/>
          <c:y val="0.049528317790409886"/>
          <c:w val="0.53767545872909384"/>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3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738"/>
          <c:y val="0.046005165816941182"/>
          <c:w val="0.85762258292899962"/>
          <c:h val="0.83127986337207582"/>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Sheet1!$B$1:$J$1</c:f>
              <c:strCache>
                <c:ptCount val="9"/>
                <c:pt idx="0">
                  <c:v>2007</c:v>
                </c:pt>
                <c:pt idx="1">
                  <c:v>2008</c:v>
                </c:pt>
                <c:pt idx="2">
                  <c:v>2009</c:v>
                </c:pt>
                <c:pt idx="3">
                  <c:v>2010</c:v>
                </c:pt>
                <c:pt idx="4">
                  <c:v>2011</c:v>
                </c:pt>
                <c:pt idx="5">
                  <c:v>2012</c:v>
                </c:pt>
                <c:pt idx="6">
                  <c:v>2013</c:v>
                </c:pt>
                <c:pt idx="7">
                  <c:v>2014</c:v>
                </c:pt>
                <c:pt idx="8">
                  <c:v>2015</c:v>
                </c:pt>
              </c:strCache>
            </c:strRef>
          </c:cat>
          <c:val>
            <c:numRef>
              <c:f>Sheet1!$B$2:$J$2</c:f>
              <c:numCache>
                <c:formatCode>0</c:formatCode>
                <c:ptCount val="9"/>
                <c:pt idx="0">
                  <c:v>37.571008081742491</c:v>
                </c:pt>
                <c:pt idx="1">
                  <c:v>40.886874357448278</c:v>
                </c:pt>
                <c:pt idx="2">
                  <c:v>38.340696631750923</c:v>
                </c:pt>
                <c:pt idx="3">
                  <c:v>37.13786218879887</c:v>
                </c:pt>
                <c:pt idx="4">
                  <c:v>40.358416265069444</c:v>
                </c:pt>
                <c:pt idx="5">
                  <c:v>42.444824679460964</c:v>
                </c:pt>
                <c:pt idx="6">
                  <c:v>42.534590211759</c:v>
                </c:pt>
                <c:pt idx="7">
                  <c:v>43.637999214462909</c:v>
                </c:pt>
                <c:pt idx="8">
                  <c:v>42.77599222315655</c:v>
                </c:pt>
              </c:numCache>
            </c:numRef>
          </c:val>
          <c:extLst>
            <c:ext xmlns:c="http://schemas.openxmlformats.org/drawingml/2006/chart" xmlns:c16="http://schemas.microsoft.com/office/drawing/2014/chart" uri="{C3380CC4-5D6E-409C-BE32-E72D297353CC}">
              <c16:uniqueId val="{00000000-0B60-43B2-AA30-251BB2E8E685}"/>
            </c:ext>
          </c:extLst>
        </c:ser>
        <c:ser>
          <c:idx val="1"/>
          <c:order val="1"/>
          <c:tx>
            <c:strRef>
              <c:f>Sheet1!$A$3</c:f>
              <c:strCache>
                <c:ptCount val="1"/>
                <c:pt idx="0">
                  <c:v>Telekomunikācija</c:v>
                </c:pt>
              </c:strCache>
            </c:strRef>
          </c:tx>
          <c:spPr>
            <a:ln>
              <a:solidFill>
                <a:sysClr val="windowText" lastClr="000000"/>
              </a:solidFill>
            </a:ln>
          </c:spPr>
          <c:invertIfNegative val="0"/>
          <c:dLbls>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2007</c:v>
                </c:pt>
                <c:pt idx="1">
                  <c:v>2008</c:v>
                </c:pt>
                <c:pt idx="2">
                  <c:v>2009</c:v>
                </c:pt>
                <c:pt idx="3">
                  <c:v>2010</c:v>
                </c:pt>
                <c:pt idx="4">
                  <c:v>2011</c:v>
                </c:pt>
                <c:pt idx="5">
                  <c:v>2012</c:v>
                </c:pt>
                <c:pt idx="6">
                  <c:v>2013</c:v>
                </c:pt>
                <c:pt idx="7">
                  <c:v>2014</c:v>
                </c:pt>
                <c:pt idx="8">
                  <c:v>2015</c:v>
                </c:pt>
              </c:strCache>
            </c:strRef>
          </c:cat>
          <c:val>
            <c:numRef>
              <c:f>Sheet1!$B$3:$J$3</c:f>
              <c:numCache>
                <c:formatCode>0</c:formatCode>
                <c:ptCount val="9"/>
                <c:pt idx="0">
                  <c:v>39.999902180082884</c:v>
                </c:pt>
                <c:pt idx="1">
                  <c:v>43.421773447355847</c:v>
                </c:pt>
                <c:pt idx="2">
                  <c:v>37.795313849143994</c:v>
                </c:pt>
                <c:pt idx="3">
                  <c:v>35.94958960747077</c:v>
                </c:pt>
                <c:pt idx="4">
                  <c:v>35.020071269937979</c:v>
                </c:pt>
                <c:pt idx="5">
                  <c:v>39.227077967039484</c:v>
                </c:pt>
                <c:pt idx="6">
                  <c:v>37.308265914288931</c:v>
                </c:pt>
                <c:pt idx="7">
                  <c:v>37.000020981808767</c:v>
                </c:pt>
                <c:pt idx="8">
                  <c:v>36.073643864724744</c:v>
                </c:pt>
              </c:numCache>
            </c:numRef>
          </c:val>
          <c:extLst>
            <c:ext xmlns:c="http://schemas.openxmlformats.org/drawingml/2006/chart" xmlns:c16="http://schemas.microsoft.com/office/drawing/2014/chart" uri="{C3380CC4-5D6E-409C-BE32-E72D297353CC}">
              <c16:uniqueId val="{00000001-0B60-43B2-AA30-251BB2E8E685}"/>
            </c:ext>
          </c:extLst>
        </c:ser>
        <c:dLbls>
          <c:showLegendKey val="0"/>
          <c:showVal val="0"/>
          <c:showCatName val="0"/>
          <c:showSerName val="0"/>
          <c:showPercent val="0"/>
          <c:showBubbleSize val="0"/>
        </c:dLbls>
        <c:gapWidth val="50"/>
        <c:overlap val="52"/>
        <c:axId val="656476608"/>
        <c:axId val="656478176"/>
      </c:barChart>
      <c:catAx>
        <c:axId val="656476608"/>
        <c:scaling>
          <c:orientation val="minMax"/>
        </c:scaling>
        <c:delete val="0"/>
        <c:axPos val="b"/>
        <c:numFmt formatCode="General" sourceLinked="0"/>
        <c:majorTickMark val="out"/>
        <c:minorTickMark val="none"/>
        <c:tickLblPos val="nextTo"/>
        <c:txPr>
          <a:bodyPr/>
          <a:lstStyle/>
          <a:p>
            <a:pPr>
              <a:defRPr sz="700"/>
            </a:pPr>
            <a:endParaRPr lang="lv-LV"/>
          </a:p>
        </c:txPr>
        <c:crossAx val="656478176"/>
        <c:crosses val="autoZero"/>
        <c:auto val="1"/>
        <c:lblAlgn val="ctr"/>
        <c:lblOffset val="100"/>
        <c:noMultiLvlLbl val="0"/>
      </c:catAx>
      <c:valAx>
        <c:axId val="656478176"/>
        <c:scaling>
          <c:orientation val="minMax"/>
          <c:max val="80"/>
        </c:scaling>
        <c:delete val="0"/>
        <c:axPos val="l"/>
        <c:numFmt formatCode="0" sourceLinked="1"/>
        <c:majorTickMark val="out"/>
        <c:minorTickMark val="none"/>
        <c:tickLblPos val="nextTo"/>
        <c:txPr>
          <a:bodyPr/>
          <a:lstStyle/>
          <a:p>
            <a:pPr>
              <a:defRPr sz="800"/>
            </a:pPr>
            <a:endParaRPr lang="lv-LV"/>
          </a:p>
        </c:txPr>
        <c:crossAx val="656476608"/>
        <c:crosses val="autoZero"/>
        <c:crossBetween val="between"/>
        <c:majorUnit val="20"/>
      </c:valAx>
      <c:spPr>
        <a:ln>
          <a:noFill/>
        </a:ln>
      </c:spPr>
    </c:plotArea>
    <c:legend>
      <c:legendPos val="r"/>
      <c:layout>
        <c:manualLayout>
          <c:xMode val="edge"/>
          <c:yMode val="edge"/>
          <c:x val="0.19725118052443219"/>
          <c:y val="0.0495283177904099"/>
          <c:w val="0.58747156605424322"/>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3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46717244654"/>
          <c:y val="0.044057617797775277"/>
          <c:w val="0.9310540474739486"/>
          <c:h val="0.69864201757389022"/>
        </c:manualLayout>
      </c:layout>
      <c:barChart>
        <c:barDir val="col"/>
        <c:grouping val="clustered"/>
        <c:varyColors val="0"/>
        <c:ser>
          <c:idx val="1"/>
          <c:order val="0"/>
          <c:tx>
            <c:strRef>
              <c:f>Sheet1!$B$3</c:f>
              <c:strCache>
                <c:ptCount val="1"/>
                <c:pt idx="0">
                  <c:v>Compensation per employees 1000 of euro</c:v>
                </c:pt>
              </c:strCache>
            </c:strRef>
          </c:tx>
          <c:spPr>
            <a:solidFill>
              <a:schemeClr val="accent3">
                <a:lumMod val="50000"/>
              </a:schemeClr>
            </a:solidFill>
            <a:ln w="19050"/>
          </c:spPr>
          <c:invertIfNegative val="0"/>
          <c:dPt>
            <c:idx val="9"/>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1-2F35-40F2-94A3-3B261DA42258}"/>
              </c:ext>
            </c:extLst>
          </c:dPt>
          <c:dPt>
            <c:idx val="12"/>
            <c:invertIfNegative val="0"/>
            <c:bubble3D val="0"/>
            <c:extLst>
              <c:ext xmlns:c="http://schemas.openxmlformats.org/drawingml/2006/chart" xmlns:c16="http://schemas.microsoft.com/office/drawing/2014/chart" uri="{C3380CC4-5D6E-409C-BE32-E72D297353CC}">
                <c16:uniqueId val="{00000002-2F35-40F2-94A3-3B261DA42258}"/>
              </c:ext>
            </c:extLst>
          </c:dPt>
          <c:dPt>
            <c:idx val="20"/>
            <c:invertIfNegative val="0"/>
            <c:bubble3D val="0"/>
            <c:spPr>
              <a:ln w="19050"/>
            </c:spPr>
            <c:extLst>
              <c:ext xmlns:c="http://schemas.openxmlformats.org/drawingml/2006/chart" xmlns:c16="http://schemas.microsoft.com/office/drawing/2014/chart" uri="{C3380CC4-5D6E-409C-BE32-E72D297353CC}">
                <c16:uniqueId val="{00000004-2F35-40F2-94A3-3B261DA42258}"/>
              </c:ext>
            </c:extLst>
          </c:dPt>
          <c:dPt>
            <c:idx val="21"/>
            <c:invertIfNegative val="0"/>
            <c:bubble3D val="0"/>
            <c:extLst>
              <c:ext xmlns:c="http://schemas.openxmlformats.org/drawingml/2006/chart" xmlns:c16="http://schemas.microsoft.com/office/drawing/2014/chart" uri="{C3380CC4-5D6E-409C-BE32-E72D297353CC}">
                <c16:uniqueId val="{00000005-2F35-40F2-94A3-3B261DA42258}"/>
              </c:ext>
            </c:extLst>
          </c:dPt>
          <c:dPt>
            <c:idx val="22"/>
            <c:invertIfNegative val="0"/>
            <c:bubble3D val="0"/>
            <c:extLst>
              <c:ext xmlns:c="http://schemas.openxmlformats.org/drawingml/2006/chart" xmlns:c16="http://schemas.microsoft.com/office/drawing/2014/chart" uri="{C3380CC4-5D6E-409C-BE32-E72D297353CC}">
                <c16:uniqueId val="{00000006-2F35-40F2-94A3-3B261DA42258}"/>
              </c:ext>
            </c:extLst>
          </c:dPt>
          <c:dPt>
            <c:idx val="23"/>
            <c:invertIfNegative val="0"/>
            <c:bubble3D val="0"/>
            <c:extLst>
              <c:ext xmlns:c="http://schemas.openxmlformats.org/drawingml/2006/chart" xmlns:c16="http://schemas.microsoft.com/office/drawing/2014/chart" uri="{C3380CC4-5D6E-409C-BE32-E72D297353CC}">
                <c16:uniqueId val="{00000007-2F35-40F2-94A3-3B261DA42258}"/>
              </c:ext>
            </c:extLst>
          </c:dPt>
          <c:dPt>
            <c:idx val="25"/>
            <c:invertIfNegative val="0"/>
            <c:bubble3D val="0"/>
            <c:extLst>
              <c:ext xmlns:c="http://schemas.openxmlformats.org/drawingml/2006/chart" xmlns:c16="http://schemas.microsoft.com/office/drawing/2014/chart" uri="{C3380CC4-5D6E-409C-BE32-E72D297353CC}">
                <c16:uniqueId val="{00000008-2F35-40F2-94A3-3B261DA42258}"/>
              </c:ext>
            </c:extLst>
          </c:dPt>
          <c:dLbls>
            <c:dLbl>
              <c:idx val="20"/>
              <c:numFmt formatCode="#,##0" sourceLinked="0"/>
              <c:spPr>
                <a:noFill/>
                <a:ln>
                  <a:noFill/>
                </a:ln>
                <a:effectLst/>
              </c:spPr>
              <c:txPr>
                <a:bodyPr/>
                <a:lstStyle/>
                <a:p>
                  <a:pPr>
                    <a:defRPr sz="600" b="1"/>
                  </a:pPr>
                  <a:endParaRPr lang="lv-LV"/>
                </a:p>
              </c:txPr>
              <c:showLegendKey val="0"/>
              <c:showVal val="1"/>
              <c:showCatName val="0"/>
              <c:showSerName val="0"/>
              <c:showPercent val="0"/>
              <c:showBubbleSize val="0"/>
            </c:dLbl>
            <c:dLbl>
              <c:idx val="21"/>
              <c:layout>
                <c:manualLayout>
                  <c:x val="0"/>
                  <c:y val="0.010784627531314683"/>
                </c:manualLayout>
              </c:layout>
              <c:numFmt formatCode="#,##0" sourceLinked="0"/>
              <c:spPr>
                <a:noFill/>
                <a:ln>
                  <a:noFill/>
                </a:ln>
                <a:effectLst/>
              </c:spPr>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2F35-40F2-94A3-3B261DA42258}"/>
                </c:ext>
                <c:ext xmlns:c15="http://schemas.microsoft.com/office/drawing/2012/chart" uri="{CE6537A1-D6FC-4f65-9D91-7224C49458BB}"/>
              </c:extLst>
            </c:dLbl>
            <c:dLbl>
              <c:idx val="22"/>
              <c:layout>
                <c:manualLayout>
                  <c:x val="0"/>
                  <c:y val="0.010957045003520901"/>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2F35-40F2-94A3-3B261DA42258}"/>
                </c:ext>
                <c:ext xmlns:c15="http://schemas.microsoft.com/office/drawing/2012/chart" uri="{CE6537A1-D6FC-4f65-9D91-7224C49458BB}"/>
              </c:extLst>
            </c:dLbl>
            <c:dLbl>
              <c:idx val="23"/>
              <c:layout>
                <c:manualLayout>
                  <c:x val="0"/>
                  <c:y val="0.010895354832200591"/>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2F35-40F2-94A3-3B261DA42258}"/>
                </c:ext>
                <c:ext xmlns:c15="http://schemas.microsoft.com/office/drawing/2012/chart" uri="{CE6537A1-D6FC-4f65-9D91-7224C49458BB}"/>
              </c:extLst>
            </c:dLbl>
            <c:dLbl>
              <c:idx val="24"/>
              <c:layout>
                <c:manualLayout>
                  <c:x val="0"/>
                  <c:y val="0.021680216802168022"/>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2F35-40F2-94A3-3B261DA42258}"/>
                </c:ext>
                <c:ext xmlns:c15="http://schemas.microsoft.com/office/drawing/2012/chart" uri="{CE6537A1-D6FC-4f65-9D91-7224C49458BB}"/>
              </c:extLst>
            </c:dLbl>
            <c:dLbl>
              <c:idx val="25"/>
              <c:layout>
                <c:manualLayout>
                  <c:x val="0"/>
                  <c:y val="0.0047350290403144375"/>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2F35-40F2-94A3-3B261DA42258}"/>
                </c:ext>
                <c:ext xmlns:c15="http://schemas.microsoft.com/office/drawing/2012/chart" uri="{CE6537A1-D6FC-4f65-9D91-7224C49458BB}"/>
              </c:extLst>
            </c:dLbl>
            <c:numFmt formatCode="#,##0" sourceLinked="0"/>
            <c:spPr>
              <a:noFill/>
              <a:ln>
                <a:noFill/>
              </a:ln>
              <a:effectLst/>
            </c:spPr>
            <c:txPr>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Sheet1!$A$4:$A$30</c:f>
              <c:strCache>
                <c:ptCount val="27"/>
                <c:pt idx="0">
                  <c:v>UK</c:v>
                </c:pt>
                <c:pt idx="1">
                  <c:v>LU</c:v>
                </c:pt>
                <c:pt idx="2">
                  <c:v>BE</c:v>
                </c:pt>
                <c:pt idx="3">
                  <c:v>IE</c:v>
                </c:pt>
                <c:pt idx="4">
                  <c:v>NL</c:v>
                </c:pt>
                <c:pt idx="5">
                  <c:v>DK</c:v>
                </c:pt>
                <c:pt idx="6">
                  <c:v>FR</c:v>
                </c:pt>
                <c:pt idx="7">
                  <c:v>AT</c:v>
                </c:pt>
                <c:pt idx="8">
                  <c:v>DE</c:v>
                </c:pt>
                <c:pt idx="9">
                  <c:v>EU-28</c:v>
                </c:pt>
                <c:pt idx="10">
                  <c:v>ES</c:v>
                </c:pt>
                <c:pt idx="11">
                  <c:v>IT</c:v>
                </c:pt>
                <c:pt idx="12">
                  <c:v>FI</c:v>
                </c:pt>
                <c:pt idx="13">
                  <c:v>SI</c:v>
                </c:pt>
                <c:pt idx="14">
                  <c:v>PT</c:v>
                </c:pt>
                <c:pt idx="15">
                  <c:v>EL</c:v>
                </c:pt>
                <c:pt idx="16">
                  <c:v>CY</c:v>
                </c:pt>
                <c:pt idx="17">
                  <c:v>LT</c:v>
                </c:pt>
                <c:pt idx="18">
                  <c:v>SK</c:v>
                </c:pt>
                <c:pt idx="19">
                  <c:v>CZ</c:v>
                </c:pt>
                <c:pt idx="20">
                  <c:v>LV</c:v>
                </c:pt>
                <c:pt idx="21">
                  <c:v>HU</c:v>
                </c:pt>
                <c:pt idx="22">
                  <c:v>HR</c:v>
                </c:pt>
                <c:pt idx="23">
                  <c:v>EE</c:v>
                </c:pt>
                <c:pt idx="24">
                  <c:v>BG</c:v>
                </c:pt>
                <c:pt idx="25">
                  <c:v>PL</c:v>
                </c:pt>
                <c:pt idx="26">
                  <c:v>RO</c:v>
                </c:pt>
              </c:strCache>
            </c:strRef>
          </c:cat>
          <c:val>
            <c:numRef>
              <c:f>Sheet1!$B$4:$B$30</c:f>
              <c:numCache>
                <c:formatCode>0.0</c:formatCode>
                <c:ptCount val="27"/>
                <c:pt idx="0">
                  <c:v>96.154348637551323</c:v>
                </c:pt>
                <c:pt idx="1">
                  <c:v>86.857923497267748</c:v>
                </c:pt>
                <c:pt idx="2">
                  <c:v>80.57709251101322</c:v>
                </c:pt>
                <c:pt idx="3">
                  <c:v>77.904656319290481</c:v>
                </c:pt>
                <c:pt idx="4">
                  <c:v>77.8</c:v>
                </c:pt>
                <c:pt idx="5">
                  <c:v>75.91538461538461</c:v>
                </c:pt>
                <c:pt idx="6">
                  <c:v>72.008403361344534</c:v>
                </c:pt>
                <c:pt idx="7">
                  <c:v>71.08552631578948</c:v>
                </c:pt>
                <c:pt idx="8">
                  <c:v>69.3</c:v>
                </c:pt>
                <c:pt idx="9">
                  <c:v>59.9957277820392</c:v>
                </c:pt>
                <c:pt idx="10">
                  <c:v>59.667673716012082</c:v>
                </c:pt>
                <c:pt idx="11">
                  <c:v>59.554621848739494</c:v>
                </c:pt>
                <c:pt idx="12">
                  <c:v>58.548387096774192</c:v>
                </c:pt>
                <c:pt idx="13">
                  <c:v>39.431372549019606</c:v>
                </c:pt>
                <c:pt idx="14">
                  <c:v>38.815628815628813</c:v>
                </c:pt>
                <c:pt idx="15">
                  <c:v>36.689986882378662</c:v>
                </c:pt>
                <c:pt idx="16">
                  <c:v>36.24277456647399</c:v>
                </c:pt>
                <c:pt idx="17">
                  <c:v>32.168141592920357</c:v>
                </c:pt>
                <c:pt idx="18">
                  <c:v>32.085889570552148</c:v>
                </c:pt>
                <c:pt idx="19">
                  <c:v>28.910052910052912</c:v>
                </c:pt>
                <c:pt idx="20">
                  <c:v>23.811563169164884</c:v>
                </c:pt>
                <c:pt idx="21">
                  <c:v>22.855778414517669</c:v>
                </c:pt>
                <c:pt idx="22">
                  <c:v>22.696035242290751</c:v>
                </c:pt>
                <c:pt idx="23">
                  <c:v>19.525423728813557</c:v>
                </c:pt>
                <c:pt idx="24">
                  <c:v>18.272900763358777</c:v>
                </c:pt>
                <c:pt idx="25">
                  <c:v>11.788087056128292</c:v>
                </c:pt>
                <c:pt idx="26">
                  <c:v>11.668439716312058</c:v>
                </c:pt>
              </c:numCache>
            </c:numRef>
          </c:val>
          <c:extLst>
            <c:ext xmlns:c="http://schemas.openxmlformats.org/drawingml/2006/chart" xmlns:c16="http://schemas.microsoft.com/office/drawing/2014/chart" uri="{C3380CC4-5D6E-409C-BE32-E72D297353CC}">
              <c16:uniqueId val="{0000000A-2F35-40F2-94A3-3B261DA42258}"/>
            </c:ext>
          </c:extLst>
        </c:ser>
        <c:dLbls>
          <c:showLegendKey val="0"/>
          <c:showVal val="0"/>
          <c:showCatName val="0"/>
          <c:showSerName val="0"/>
          <c:showPercent val="0"/>
          <c:showBubbleSize val="0"/>
        </c:dLbls>
        <c:gapWidth val="20"/>
        <c:axId val="656488368"/>
        <c:axId val="656489152"/>
      </c:barChart>
      <c:catAx>
        <c:axId val="656488368"/>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56489152"/>
        <c:crosses val="autoZero"/>
        <c:auto val="1"/>
        <c:lblAlgn val="ctr"/>
        <c:lblOffset val="100"/>
        <c:tickLblSkip val="1"/>
        <c:noMultiLvlLbl val="0"/>
      </c:catAx>
      <c:valAx>
        <c:axId val="656489152"/>
        <c:scaling>
          <c:orientation val="minMax"/>
        </c:scaling>
        <c:delete val="0"/>
        <c:axPos val="l"/>
        <c:numFmt formatCode="0" sourceLinked="0"/>
        <c:majorTickMark val="out"/>
        <c:minorTickMark val="none"/>
        <c:tickLblPos val="nextTo"/>
        <c:txPr>
          <a:bodyPr/>
          <a:lstStyle/>
          <a:p>
            <a:pPr>
              <a:defRPr sz="600"/>
            </a:pPr>
            <a:endParaRPr lang="lv-LV"/>
          </a:p>
        </c:txPr>
        <c:crossAx val="656488368"/>
        <c:crosses val="autoZero"/>
        <c:crossBetween val="between"/>
      </c:valAx>
    </c:plotArea>
    <c:plotVisOnly val="1"/>
    <c:dispBlanksAs val="gap"/>
    <c:showDLblsOverMax val="0"/>
  </c:chart>
  <c:spPr>
    <a:ln w="9525">
      <a:noFill/>
    </a:ln>
  </c:spPr>
  <c:externalData r:id="rId1">
    <c:autoUpdate val="0"/>
  </c:externalData>
</c:chartSpace>
</file>

<file path=word/charts/chart3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46717244654"/>
          <c:y val="0.044057617797775277"/>
          <c:w val="0.9310540474739486"/>
          <c:h val="0.69738485247345272"/>
        </c:manualLayout>
      </c:layout>
      <c:barChart>
        <c:barDir val="col"/>
        <c:grouping val="clustered"/>
        <c:varyColors val="0"/>
        <c:ser>
          <c:idx val="1"/>
          <c:order val="0"/>
          <c:tx>
            <c:strRef>
              <c:f>Sheet1!$B$3</c:f>
              <c:strCache>
                <c:ptCount val="1"/>
                <c:pt idx="0">
                  <c:v>Resource productivity</c:v>
                </c:pt>
              </c:strCache>
            </c:strRef>
          </c:tx>
          <c:spPr>
            <a:solidFill>
              <a:schemeClr val="accent3">
                <a:lumMod val="50000"/>
              </a:schemeClr>
            </a:solidFill>
            <a:ln w="19050"/>
          </c:spPr>
          <c:invertIfNegative val="0"/>
          <c:dPt>
            <c:idx val="10"/>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1-6EAA-4C37-90A2-D9AF41CB9048}"/>
              </c:ext>
            </c:extLst>
          </c:dPt>
          <c:dPt>
            <c:idx val="16"/>
            <c:invertIfNegative val="0"/>
            <c:bubble3D val="0"/>
            <c:extLst>
              <c:ext xmlns:c="http://schemas.openxmlformats.org/drawingml/2006/chart" xmlns:c16="http://schemas.microsoft.com/office/drawing/2014/chart" uri="{C3380CC4-5D6E-409C-BE32-E72D297353CC}">
                <c16:uniqueId val="{00000002-6EAA-4C37-90A2-D9AF41CB9048}"/>
              </c:ext>
            </c:extLst>
          </c:dPt>
          <c:dPt>
            <c:idx val="17"/>
            <c:invertIfNegative val="0"/>
            <c:bubble3D val="0"/>
            <c:extLst>
              <c:ext xmlns:c="http://schemas.openxmlformats.org/drawingml/2006/chart" xmlns:c16="http://schemas.microsoft.com/office/drawing/2014/chart" uri="{C3380CC4-5D6E-409C-BE32-E72D297353CC}">
                <c16:uniqueId val="{00000003-6EAA-4C37-90A2-D9AF41CB9048}"/>
              </c:ext>
            </c:extLst>
          </c:dPt>
          <c:dPt>
            <c:idx val="24"/>
            <c:invertIfNegative val="0"/>
            <c:bubble3D val="0"/>
            <c:spPr>
              <a:ln w="19050"/>
            </c:spPr>
            <c:extLst>
              <c:ext xmlns:c="http://schemas.openxmlformats.org/drawingml/2006/chart" xmlns:c16="http://schemas.microsoft.com/office/drawing/2014/chart" uri="{C3380CC4-5D6E-409C-BE32-E72D297353CC}">
                <c16:uniqueId val="{00000005-6EAA-4C37-90A2-D9AF41CB9048}"/>
              </c:ext>
            </c:extLst>
          </c:dPt>
          <c:dPt>
            <c:idx val="25"/>
            <c:invertIfNegative val="0"/>
            <c:bubble3D val="0"/>
            <c:extLst>
              <c:ext xmlns:c="http://schemas.openxmlformats.org/drawingml/2006/chart" xmlns:c16="http://schemas.microsoft.com/office/drawing/2014/chart" uri="{C3380CC4-5D6E-409C-BE32-E72D297353CC}">
                <c16:uniqueId val="{00000006-6EAA-4C37-90A2-D9AF41CB9048}"/>
              </c:ext>
            </c:extLst>
          </c:dPt>
          <c:dPt>
            <c:idx val="26"/>
            <c:invertIfNegative val="0"/>
            <c:bubble3D val="0"/>
            <c:extLst>
              <c:ext xmlns:c="http://schemas.openxmlformats.org/drawingml/2006/chart" xmlns:c16="http://schemas.microsoft.com/office/drawing/2014/chart" uri="{C3380CC4-5D6E-409C-BE32-E72D297353CC}">
                <c16:uniqueId val="{00000007-6EAA-4C37-90A2-D9AF41CB9048}"/>
              </c:ext>
            </c:extLst>
          </c:dPt>
          <c:dLbls>
            <c:dLbl>
              <c:idx val="24"/>
              <c:numFmt formatCode="#,##0" sourceLinked="0"/>
              <c:spPr>
                <a:noFill/>
                <a:ln>
                  <a:noFill/>
                </a:ln>
                <a:effectLst/>
              </c:spPr>
              <c:txPr>
                <a:bodyPr/>
                <a:lstStyle/>
                <a:p>
                  <a:pPr>
                    <a:defRPr sz="500" b="1"/>
                  </a:pPr>
                  <a:endParaRPr lang="lv-LV"/>
                </a:p>
              </c:txPr>
              <c:showLegendKey val="0"/>
              <c:showVal val="1"/>
              <c:showCatName val="0"/>
              <c:showSerName val="0"/>
              <c:showPercent val="0"/>
              <c:showBubbleSize val="0"/>
            </c:dLbl>
            <c:dLbl>
              <c:idx val="25"/>
              <c:layout>
                <c:manualLayout>
                  <c:x val="-1.4769886443141018E-16"/>
                  <c:y val="0.0045443100100292346"/>
                </c:manualLayout>
              </c:layout>
              <c:numFmt formatCode="#,##0" sourceLinked="0"/>
              <c:txPr>
                <a:bodyPr/>
                <a:lstStyle/>
                <a:p>
                  <a:pPr>
                    <a:defRPr sz="5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6EAA-4C37-90A2-D9AF41CB9048}"/>
                </c:ext>
                <c:ext xmlns:c15="http://schemas.microsoft.com/office/drawing/2012/chart" uri="{CE6537A1-D6FC-4f65-9D91-7224C49458BB}"/>
              </c:extLst>
            </c:dLbl>
            <c:dLbl>
              <c:idx val="26"/>
              <c:layout>
                <c:manualLayout>
                  <c:x val="0"/>
                  <c:y val="8.791583978831914E-05"/>
                </c:manualLayout>
              </c:layout>
              <c:numFmt formatCode="#,##0" sourceLinked="0"/>
              <c:txPr>
                <a:bodyPr/>
                <a:lstStyle/>
                <a:p>
                  <a:pPr>
                    <a:defRPr sz="5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6EAA-4C37-90A2-D9AF41CB9048}"/>
                </c:ext>
                <c:ext xmlns:c15="http://schemas.microsoft.com/office/drawing/2012/chart" uri="{CE6537A1-D6FC-4f65-9D91-7224C49458BB}"/>
              </c:extLst>
            </c:dLbl>
            <c:numFmt formatCode="#,##0" sourceLinked="0"/>
            <c:spPr>
              <a:noFill/>
              <a:ln>
                <a:noFill/>
              </a:ln>
              <a:effectLst/>
            </c:spPr>
            <c:txPr>
              <a:bodyPr/>
              <a:lstStyle/>
              <a:p>
                <a:pPr>
                  <a:defRPr sz="5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Sheet1!$A$4:$A$30</c:f>
              <c:strCache>
                <c:ptCount val="27"/>
                <c:pt idx="0">
                  <c:v>LU</c:v>
                </c:pt>
                <c:pt idx="1">
                  <c:v>ES</c:v>
                </c:pt>
                <c:pt idx="2">
                  <c:v>DK</c:v>
                </c:pt>
                <c:pt idx="3">
                  <c:v>FR</c:v>
                </c:pt>
                <c:pt idx="4">
                  <c:v>BE</c:v>
                </c:pt>
                <c:pt idx="5">
                  <c:v>IT</c:v>
                </c:pt>
                <c:pt idx="6">
                  <c:v>NL</c:v>
                </c:pt>
                <c:pt idx="7">
                  <c:v>IE</c:v>
                </c:pt>
                <c:pt idx="8">
                  <c:v>DE</c:v>
                </c:pt>
                <c:pt idx="9">
                  <c:v>FI</c:v>
                </c:pt>
                <c:pt idx="10">
                  <c:v>EU-28</c:v>
                </c:pt>
                <c:pt idx="11">
                  <c:v>CZ</c:v>
                </c:pt>
                <c:pt idx="12">
                  <c:v>PT</c:v>
                </c:pt>
                <c:pt idx="13">
                  <c:v>EL</c:v>
                </c:pt>
                <c:pt idx="14">
                  <c:v>AT</c:v>
                </c:pt>
                <c:pt idx="15">
                  <c:v>UK</c:v>
                </c:pt>
                <c:pt idx="16">
                  <c:v>LT</c:v>
                </c:pt>
                <c:pt idx="17">
                  <c:v>SI</c:v>
                </c:pt>
                <c:pt idx="18">
                  <c:v>SK</c:v>
                </c:pt>
                <c:pt idx="19">
                  <c:v>HU</c:v>
                </c:pt>
                <c:pt idx="20">
                  <c:v>CY</c:v>
                </c:pt>
                <c:pt idx="21">
                  <c:v>HR</c:v>
                </c:pt>
                <c:pt idx="22">
                  <c:v>PL</c:v>
                </c:pt>
                <c:pt idx="23">
                  <c:v>EE</c:v>
                </c:pt>
                <c:pt idx="24">
                  <c:v>LV</c:v>
                </c:pt>
                <c:pt idx="25">
                  <c:v>RO</c:v>
                </c:pt>
                <c:pt idx="26">
                  <c:v>BG</c:v>
                </c:pt>
              </c:strCache>
            </c:strRef>
          </c:cat>
          <c:val>
            <c:numRef>
              <c:f>Sheet1!$B$4:$B$30</c:f>
              <c:numCache>
                <c:formatCode>0.0</c:formatCode>
                <c:ptCount val="27"/>
                <c:pt idx="0">
                  <c:v>476.26702997275208</c:v>
                </c:pt>
                <c:pt idx="1">
                  <c:v>401.01744186046511</c:v>
                </c:pt>
                <c:pt idx="2">
                  <c:v>350.31538461538463</c:v>
                </c:pt>
                <c:pt idx="3">
                  <c:v>325.425</c:v>
                </c:pt>
                <c:pt idx="4">
                  <c:v>306.99209486166006</c:v>
                </c:pt>
                <c:pt idx="5">
                  <c:v>283.87020316027093</c:v>
                </c:pt>
                <c:pt idx="6">
                  <c:v>282.4</c:v>
                </c:pt>
                <c:pt idx="7">
                  <c:v>280.83501006036221</c:v>
                </c:pt>
                <c:pt idx="8">
                  <c:v>257.63870967741934</c:v>
                </c:pt>
                <c:pt idx="9">
                  <c:v>223.12</c:v>
                </c:pt>
                <c:pt idx="10">
                  <c:v>198.10779731434081</c:v>
                </c:pt>
                <c:pt idx="11">
                  <c:v>165.20519480519479</c:v>
                </c:pt>
                <c:pt idx="12">
                  <c:v>158.58002406738868</c:v>
                </c:pt>
                <c:pt idx="13">
                  <c:v>153.0772532188841</c:v>
                </c:pt>
                <c:pt idx="14">
                  <c:v>141.19741100323625</c:v>
                </c:pt>
                <c:pt idx="15">
                  <c:v>124.5010492476671</c:v>
                </c:pt>
                <c:pt idx="16">
                  <c:v>114.42307692307693</c:v>
                </c:pt>
                <c:pt idx="17">
                  <c:v>100.17241379310344</c:v>
                </c:pt>
                <c:pt idx="18">
                  <c:v>93.251748251748253</c:v>
                </c:pt>
                <c:pt idx="19">
                  <c:v>91.245318352059925</c:v>
                </c:pt>
                <c:pt idx="20">
                  <c:v>91.005747126436773</c:v>
                </c:pt>
                <c:pt idx="21">
                  <c:v>86.278870829769033</c:v>
                </c:pt>
                <c:pt idx="22">
                  <c:v>76.279535864978911</c:v>
                </c:pt>
                <c:pt idx="23">
                  <c:v>68.5</c:v>
                </c:pt>
                <c:pt idx="24">
                  <c:v>62.872928176795583</c:v>
                </c:pt>
                <c:pt idx="25">
                  <c:v>44.453717754172985</c:v>
                </c:pt>
                <c:pt idx="26">
                  <c:v>38.653508771929822</c:v>
                </c:pt>
              </c:numCache>
            </c:numRef>
          </c:val>
          <c:extLst>
            <c:ext xmlns:c="http://schemas.openxmlformats.org/drawingml/2006/chart" xmlns:c16="http://schemas.microsoft.com/office/drawing/2014/chart" uri="{C3380CC4-5D6E-409C-BE32-E72D297353CC}">
              <c16:uniqueId val="{00000008-6EAA-4C37-90A2-D9AF41CB9048}"/>
            </c:ext>
          </c:extLst>
        </c:ser>
        <c:dLbls>
          <c:showLegendKey val="0"/>
          <c:showVal val="0"/>
          <c:showCatName val="0"/>
          <c:showSerName val="0"/>
          <c:showPercent val="0"/>
          <c:showBubbleSize val="0"/>
        </c:dLbls>
        <c:gapWidth val="20"/>
        <c:axId val="656489544"/>
        <c:axId val="656487976"/>
      </c:barChart>
      <c:catAx>
        <c:axId val="656489544"/>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56487976"/>
        <c:crosses val="autoZero"/>
        <c:auto val="1"/>
        <c:lblAlgn val="ctr"/>
        <c:lblOffset val="100"/>
        <c:tickLblSkip val="1"/>
        <c:noMultiLvlLbl val="0"/>
      </c:catAx>
      <c:valAx>
        <c:axId val="656487976"/>
        <c:scaling>
          <c:orientation val="minMax"/>
        </c:scaling>
        <c:delete val="0"/>
        <c:axPos val="l"/>
        <c:numFmt formatCode="0" sourceLinked="0"/>
        <c:majorTickMark val="out"/>
        <c:minorTickMark val="none"/>
        <c:tickLblPos val="nextTo"/>
        <c:txPr>
          <a:bodyPr/>
          <a:lstStyle/>
          <a:p>
            <a:pPr>
              <a:defRPr sz="600"/>
            </a:pPr>
            <a:endParaRPr lang="lv-LV"/>
          </a:p>
        </c:txPr>
        <c:crossAx val="656489544"/>
        <c:crosses val="autoZero"/>
        <c:crossBetween val="between"/>
      </c:valAx>
    </c:plotArea>
    <c:plotVisOnly val="1"/>
    <c:dispBlanksAs val="gap"/>
    <c:showDLblsOverMax val="0"/>
  </c:chart>
  <c:spPr>
    <a:ln w="9525">
      <a:noFill/>
    </a:ln>
  </c:spPr>
  <c:externalData r:id="rId1">
    <c:autoUpdate val="0"/>
  </c:externalData>
</c:chartSpace>
</file>

<file path=word/charts/chart35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0667416572928377"/>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94F2-4AF0-9A8A-6FE58DA3AAF7}"/>
              </c:ext>
            </c:extLst>
          </c:dPt>
          <c:dPt>
            <c:idx val="5"/>
            <c:bubble3D val="0"/>
            <c:extLst>
              <c:ext xmlns:c="http://schemas.openxmlformats.org/drawingml/2006/chart" xmlns:c16="http://schemas.microsoft.com/office/drawing/2014/chart" uri="{C3380CC4-5D6E-409C-BE32-E72D297353CC}">
                <c16:uniqueId val="{00000001-94F2-4AF0-9A8A-6FE58DA3AAF7}"/>
              </c:ext>
            </c:extLst>
          </c:dPt>
          <c:dPt>
            <c:idx val="11"/>
            <c:bubble3D val="0"/>
            <c:extLst>
              <c:ext xmlns:c="http://schemas.openxmlformats.org/drawingml/2006/chart" xmlns:c16="http://schemas.microsoft.com/office/drawing/2014/chart" uri="{C3380CC4-5D6E-409C-BE32-E72D297353CC}">
                <c16:uniqueId val="{00000002-94F2-4AF0-9A8A-6FE58DA3AAF7}"/>
              </c:ext>
            </c:extLst>
          </c:dPt>
          <c:dPt>
            <c:idx val="12"/>
            <c:bubble3D val="0"/>
            <c:extLst>
              <c:ext xmlns:c="http://schemas.openxmlformats.org/drawingml/2006/chart" xmlns:c16="http://schemas.microsoft.com/office/drawing/2014/chart" uri="{C3380CC4-5D6E-409C-BE32-E72D297353CC}">
                <c16:uniqueId val="{00000003-94F2-4AF0-9A8A-6FE58DA3AAF7}"/>
              </c:ext>
            </c:extLst>
          </c:dPt>
          <c:dPt>
            <c:idx val="13"/>
            <c:bubble3D val="0"/>
            <c:extLst>
              <c:ext xmlns:c="http://schemas.openxmlformats.org/drawingml/2006/chart" xmlns:c16="http://schemas.microsoft.com/office/drawing/2014/chart" uri="{C3380CC4-5D6E-409C-BE32-E72D297353CC}">
                <c16:uniqueId val="{00000004-94F2-4AF0-9A8A-6FE58DA3AAF7}"/>
              </c:ext>
            </c:extLst>
          </c:dPt>
          <c:dPt>
            <c:idx val="14"/>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5-94F2-4AF0-9A8A-6FE58DA3AAF7}"/>
              </c:ext>
            </c:extLst>
          </c:dPt>
          <c:dLbls>
            <c:dLbl>
              <c:idx val="0"/>
              <c:layout>
                <c:manualLayout>
                  <c:x val="-0.12876427829698858"/>
                  <c:y val="0.019047619047619049"/>
                </c:manualLayout>
              </c:layout>
              <c:tx>
                <c:rich>
                  <a:bodyPr vertOverflow="clip"/>
                  <a:lstStyle/>
                  <a:p>
                    <a:r>
                      <a:rPr lang="en-US"/>
                      <a:t>EU-28</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94F2-4AF0-9A8A-6FE58DA3AAF7}"/>
                </c:ext>
                <c:ext xmlns:c15="http://schemas.microsoft.com/office/drawing/2012/chart" uri="{CE6537A1-D6FC-4f65-9D91-7224C49458BB}"/>
              </c:extLst>
            </c:dLbl>
            <c:dLbl>
              <c:idx val="1"/>
              <c:layout>
                <c:manualLayout>
                  <c:x val="-0.020768431983385256"/>
                  <c:y val="-0.028571428571428571"/>
                </c:manualLayout>
              </c:layout>
              <c:tx>
                <c:rich>
                  <a:bodyPr vertOverflow="clip"/>
                  <a:lstStyle/>
                  <a:p>
                    <a:r>
                      <a:rPr lang="en-US"/>
                      <a:t>BE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94F2-4AF0-9A8A-6FE58DA3AAF7}"/>
                </c:ext>
                <c:ext xmlns:c15="http://schemas.microsoft.com/office/drawing/2012/chart" uri="{CE6537A1-D6FC-4f65-9D91-7224C49458BB}"/>
              </c:extLst>
            </c:dLbl>
            <c:dLbl>
              <c:idx val="2"/>
              <c:layout>
                <c:manualLayout>
                  <c:x val="-0.037383177570093455"/>
                  <c:y val="0.09523809523809533"/>
                </c:manualLayout>
              </c:layout>
              <c:tx>
                <c:rich>
                  <a:bodyPr vertOverflow="clip"/>
                  <a:lstStyle/>
                  <a:p>
                    <a:r>
                      <a:rPr lang="en-US"/>
                      <a:t>BG</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94F2-4AF0-9A8A-6FE58DA3AAF7}"/>
                </c:ext>
                <c:ext xmlns:c15="http://schemas.microsoft.com/office/drawing/2012/chart" uri="{CE6537A1-D6FC-4f65-9D91-7224C49458BB}"/>
              </c:extLst>
            </c:dLbl>
            <c:dLbl>
              <c:idx val="3"/>
              <c:layout>
                <c:manualLayout>
                  <c:x val="-0.041536863966770511"/>
                  <c:y val="0.0761904761904762"/>
                </c:manualLayout>
              </c:layout>
              <c:tx>
                <c:rich>
                  <a:bodyPr vertOverflow="clip"/>
                  <a:lstStyle/>
                  <a:p>
                    <a:r>
                      <a:rPr lang="en-US"/>
                      <a:t>CZ</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94F2-4AF0-9A8A-6FE58DA3AAF7}"/>
                </c:ext>
                <c:ext xmlns:c15="http://schemas.microsoft.com/office/drawing/2012/chart" uri="{CE6537A1-D6FC-4f65-9D91-7224C49458BB}"/>
              </c:extLst>
            </c:dLbl>
            <c:dLbl>
              <c:idx val="4"/>
              <c:layout>
                <c:manualLayout>
                  <c:x val="-0.012461059190031152"/>
                  <c:y val="0"/>
                </c:manualLayout>
              </c:layout>
              <c:tx>
                <c:rich>
                  <a:bodyPr vertOverflow="clip"/>
                  <a:lstStyle/>
                  <a:p>
                    <a:r>
                      <a:rPr lang="en-US"/>
                      <a:t>DK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94F2-4AF0-9A8A-6FE58DA3AAF7}"/>
                </c:ext>
                <c:ext xmlns:c15="http://schemas.microsoft.com/office/drawing/2012/chart" uri="{CE6537A1-D6FC-4f65-9D91-7224C49458BB}"/>
              </c:extLst>
            </c:dLbl>
            <c:dLbl>
              <c:idx val="5"/>
              <c:layout>
                <c:manualLayout>
                  <c:x val="-0.024922118380062305"/>
                  <c:y val="-0.028571428571428571"/>
                </c:manualLayout>
              </c:layout>
              <c:tx>
                <c:rich>
                  <a:bodyPr vertOverflow="clip"/>
                  <a:lstStyle/>
                  <a:p>
                    <a:r>
                      <a:rPr lang="en-US"/>
                      <a:t>DE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94F2-4AF0-9A8A-6FE58DA3AAF7}"/>
                </c:ext>
                <c:ext xmlns:c15="http://schemas.microsoft.com/office/drawing/2012/chart" uri="{CE6537A1-D6FC-4f65-9D91-7224C49458BB}"/>
              </c:extLst>
            </c:dLbl>
            <c:dLbl>
              <c:idx val="6"/>
              <c:layout>
                <c:manualLayout>
                  <c:x val="-0.058151609553478714"/>
                  <c:y val="0.066666666666666666"/>
                </c:manualLayout>
              </c:layout>
              <c:tx>
                <c:rich>
                  <a:bodyPr vertOverflow="clip"/>
                  <a:lstStyle/>
                  <a:p>
                    <a:r>
                      <a:rPr lang="en-US"/>
                      <a:t>EE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94F2-4AF0-9A8A-6FE58DA3AAF7}"/>
                </c:ext>
                <c:ext xmlns:c15="http://schemas.microsoft.com/office/drawing/2012/chart" uri="{CE6537A1-D6FC-4f65-9D91-7224C49458BB}"/>
              </c:extLst>
            </c:dLbl>
            <c:dLbl>
              <c:idx val="7"/>
              <c:layout>
                <c:manualLayout>
                  <c:x val="-0.020768431983385179"/>
                  <c:y val="-0.028571428571428571"/>
                </c:manualLayout>
              </c:layout>
              <c:tx>
                <c:rich>
                  <a:bodyPr vertOverflow="clip"/>
                  <a:lstStyle/>
                  <a:p>
                    <a:r>
                      <a:rPr lang="en-US"/>
                      <a:t>IE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94F2-4AF0-9A8A-6FE58DA3AAF7}"/>
                </c:ext>
                <c:ext xmlns:c15="http://schemas.microsoft.com/office/drawing/2012/chart" uri="{CE6537A1-D6FC-4f65-9D91-7224C49458BB}"/>
              </c:extLst>
            </c:dLbl>
            <c:dLbl>
              <c:idx val="8"/>
              <c:layout>
                <c:manualLayout>
                  <c:x val="-0.041536863966770435"/>
                  <c:y val="-0.085715035620547428"/>
                </c:manualLayout>
              </c:layout>
              <c:tx>
                <c:rich>
                  <a:bodyPr vertOverflow="clip"/>
                  <a:lstStyle/>
                  <a:p>
                    <a:r>
                      <a:rPr lang="en-US"/>
                      <a:t>EL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94F2-4AF0-9A8A-6FE58DA3AAF7}"/>
                </c:ext>
                <c:ext xmlns:c15="http://schemas.microsoft.com/office/drawing/2012/chart" uri="{CE6537A1-D6FC-4f65-9D91-7224C49458BB}"/>
              </c:extLst>
            </c:dLbl>
            <c:dLbl>
              <c:idx val="9"/>
              <c:layout>
                <c:manualLayout>
                  <c:x val="-0.04569055036344756"/>
                  <c:y val="-0.066666666666666666"/>
                </c:manualLayout>
              </c:layout>
              <c:tx>
                <c:rich>
                  <a:bodyPr vertOverflow="clip"/>
                  <a:lstStyle/>
                  <a:p>
                    <a:r>
                      <a:rPr lang="en-US"/>
                      <a:t>ES</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94F2-4AF0-9A8A-6FE58DA3AAF7}"/>
                </c:ext>
                <c:ext xmlns:c15="http://schemas.microsoft.com/office/drawing/2012/chart" uri="{CE6537A1-D6FC-4f65-9D91-7224C49458BB}"/>
              </c:extLst>
            </c:dLbl>
            <c:dLbl>
              <c:idx val="10"/>
              <c:layout>
                <c:manualLayout>
                  <c:x val="-0.012461059190031152"/>
                  <c:y val="-0.028571428571428571"/>
                </c:manualLayout>
              </c:layout>
              <c:tx>
                <c:rich>
                  <a:bodyPr vertOverflow="clip"/>
                  <a:lstStyle/>
                  <a:p>
                    <a:r>
                      <a:rPr lang="en-US"/>
                      <a:t>FR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E-94F2-4AF0-9A8A-6FE58DA3AAF7}"/>
                </c:ext>
                <c:ext xmlns:c15="http://schemas.microsoft.com/office/drawing/2012/chart" uri="{CE6537A1-D6FC-4f65-9D91-7224C49458BB}"/>
              </c:extLst>
            </c:dLbl>
            <c:dLbl>
              <c:idx val="11"/>
              <c:layout>
                <c:manualLayout>
                  <c:x val="-0.04569055036344756"/>
                  <c:y val="-0.085714285714285715"/>
                </c:manualLayout>
              </c:layout>
              <c:tx>
                <c:rich>
                  <a:bodyPr vertOverflow="clip"/>
                  <a:lstStyle/>
                  <a:p>
                    <a:r>
                      <a:rPr lang="en-US"/>
                      <a:t>LT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94F2-4AF0-9A8A-6FE58DA3AAF7}"/>
                </c:ext>
                <c:ext xmlns:c15="http://schemas.microsoft.com/office/drawing/2012/chart" uri="{CE6537A1-D6FC-4f65-9D91-7224C49458BB}"/>
              </c:extLst>
            </c:dLbl>
            <c:dLbl>
              <c:idx val="12"/>
              <c:layout>
                <c:manualLayout>
                  <c:x val="-0.037383177570093455"/>
                  <c:y val="-0.0761904761904762"/>
                </c:manualLayout>
              </c:layout>
              <c:tx>
                <c:rich>
                  <a:bodyPr vertOverflow="clip"/>
                  <a:lstStyle/>
                  <a:p>
                    <a:r>
                      <a:rPr lang="en-US"/>
                      <a:t>IT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94F2-4AF0-9A8A-6FE58DA3AAF7}"/>
                </c:ext>
                <c:ext xmlns:c15="http://schemas.microsoft.com/office/drawing/2012/chart" uri="{CE6537A1-D6FC-4f65-9D91-7224C49458BB}"/>
              </c:extLst>
            </c:dLbl>
            <c:dLbl>
              <c:idx val="13"/>
              <c:layout>
                <c:manualLayout>
                  <c:x val="-0.012461059190031152"/>
                  <c:y val="0.0095238095238095247"/>
                </c:manualLayout>
              </c:layout>
              <c:tx>
                <c:rich>
                  <a:bodyPr vertOverflow="clip"/>
                  <a:lstStyle/>
                  <a:p>
                    <a:r>
                      <a:rPr lang="en-US"/>
                      <a:t>CY</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94F2-4AF0-9A8A-6FE58DA3AAF7}"/>
                </c:ext>
                <c:ext xmlns:c15="http://schemas.microsoft.com/office/drawing/2012/chart" uri="{CE6537A1-D6FC-4f65-9D91-7224C49458BB}"/>
              </c:extLst>
            </c:dLbl>
            <c:dLbl>
              <c:idx val="14"/>
              <c:layout>
                <c:manualLayout>
                  <c:x val="-0.053997923156801658"/>
                  <c:y val="-0.0761904761904762"/>
                </c:manualLayout>
              </c:layout>
              <c:tx>
                <c:rich>
                  <a:bodyPr vertOverflow="clip"/>
                  <a:lstStyle/>
                  <a:p>
                    <a:r>
                      <a:rPr lang="en-US"/>
                      <a:t>LV</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94F2-4AF0-9A8A-6FE58DA3AAF7}"/>
                </c:ext>
                <c:ext xmlns:c15="http://schemas.microsoft.com/office/drawing/2012/chart" uri="{CE6537A1-D6FC-4f65-9D91-7224C49458BB}"/>
              </c:extLst>
            </c:dLbl>
            <c:dLbl>
              <c:idx val="15"/>
              <c:layout>
                <c:manualLayout>
                  <c:x val="-0.058151609553478714"/>
                  <c:y val="0.0761904761904762"/>
                </c:manualLayout>
              </c:layout>
              <c:tx>
                <c:rich>
                  <a:bodyPr vertOverflow="clip"/>
                  <a:lstStyle/>
                  <a:p>
                    <a:r>
                      <a:rPr lang="en-US"/>
                      <a:t>HR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F-94F2-4AF0-9A8A-6FE58DA3AAF7}"/>
                </c:ext>
                <c:ext xmlns:c15="http://schemas.microsoft.com/office/drawing/2012/chart" uri="{CE6537A1-D6FC-4f65-9D91-7224C49458BB}"/>
              </c:extLst>
            </c:dLbl>
            <c:dLbl>
              <c:idx val="16"/>
              <c:layout>
                <c:manualLayout>
                  <c:x val="-0.037383177570093455"/>
                  <c:y val="-0.066666666666666624"/>
                </c:manualLayout>
              </c:layout>
              <c:tx>
                <c:rich>
                  <a:bodyPr vertOverflow="clip"/>
                  <a:lstStyle/>
                  <a:p>
                    <a:r>
                      <a:rPr lang="en-US"/>
                      <a:t>HU</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0-94F2-4AF0-9A8A-6FE58DA3AAF7}"/>
                </c:ext>
                <c:ext xmlns:c15="http://schemas.microsoft.com/office/drawing/2012/chart" uri="{CE6537A1-D6FC-4f65-9D91-7224C49458BB}"/>
              </c:extLst>
            </c:dLbl>
            <c:dLbl>
              <c:idx val="17"/>
              <c:layout>
                <c:manualLayout>
                  <c:x val="-0.020768431983385256"/>
                  <c:y val="0.066666666666666666"/>
                </c:manualLayout>
              </c:layout>
              <c:tx>
                <c:rich>
                  <a:bodyPr vertOverflow="clip"/>
                  <a:lstStyle/>
                  <a:p>
                    <a:r>
                      <a:rPr lang="en-US"/>
                      <a:t>NL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1-94F2-4AF0-9A8A-6FE58DA3AAF7}"/>
                </c:ext>
                <c:ext xmlns:c15="http://schemas.microsoft.com/office/drawing/2012/chart" uri="{CE6537A1-D6FC-4f65-9D91-7224C49458BB}"/>
              </c:extLst>
            </c:dLbl>
            <c:dLbl>
              <c:idx val="18"/>
              <c:layout>
                <c:manualLayout>
                  <c:x val="-0.070612668743509868"/>
                  <c:y val="-0.066666666666666666"/>
                </c:manualLayout>
              </c:layout>
              <c:tx>
                <c:rich>
                  <a:bodyPr vertOverflow="clip"/>
                  <a:lstStyle/>
                  <a:p>
                    <a:r>
                      <a:rPr lang="en-US"/>
                      <a:t>AT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2-94F2-4AF0-9A8A-6FE58DA3AAF7}"/>
                </c:ext>
                <c:ext xmlns:c15="http://schemas.microsoft.com/office/drawing/2012/chart" uri="{CE6537A1-D6FC-4f65-9D91-7224C49458BB}"/>
              </c:extLst>
            </c:dLbl>
            <c:dLbl>
              <c:idx val="19"/>
              <c:layout>
                <c:manualLayout>
                  <c:x val="-0.016614745586708203"/>
                  <c:y val="0.0761904761904762"/>
                </c:manualLayout>
              </c:layout>
              <c:tx>
                <c:rich>
                  <a:bodyPr vertOverflow="clip"/>
                  <a:lstStyle/>
                  <a:p>
                    <a:r>
                      <a:rPr lang="en-US"/>
                      <a:t>PL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3-94F2-4AF0-9A8A-6FE58DA3AAF7}"/>
                </c:ext>
                <c:ext xmlns:c15="http://schemas.microsoft.com/office/drawing/2012/chart" uri="{CE6537A1-D6FC-4f65-9D91-7224C49458BB}"/>
              </c:extLst>
            </c:dLbl>
            <c:dLbl>
              <c:idx val="20"/>
              <c:layout>
                <c:manualLayout>
                  <c:x val="-0.041536863966770511"/>
                  <c:y val="0.0761904761904762"/>
                </c:manualLayout>
              </c:layout>
              <c:tx>
                <c:rich>
                  <a:bodyPr vertOverflow="clip"/>
                  <a:lstStyle/>
                  <a:p>
                    <a:r>
                      <a:rPr lang="en-US"/>
                      <a:t>PT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4-94F2-4AF0-9A8A-6FE58DA3AAF7}"/>
                </c:ext>
                <c:ext xmlns:c15="http://schemas.microsoft.com/office/drawing/2012/chart" uri="{CE6537A1-D6FC-4f65-9D91-7224C49458BB}"/>
              </c:extLst>
            </c:dLbl>
            <c:dLbl>
              <c:idx val="21"/>
              <c:layout>
                <c:manualLayout>
                  <c:x val="-0.012461059190031114"/>
                  <c:y val="0"/>
                </c:manualLayout>
              </c:layout>
              <c:tx>
                <c:rich>
                  <a:bodyPr vertOverflow="clip"/>
                  <a:lstStyle/>
                  <a:p>
                    <a:r>
                      <a:rPr lang="en-US"/>
                      <a:t>RO</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5-94F2-4AF0-9A8A-6FE58DA3AAF7}"/>
                </c:ext>
                <c:ext xmlns:c15="http://schemas.microsoft.com/office/drawing/2012/chart" uri="{CE6537A1-D6FC-4f65-9D91-7224C49458BB}"/>
              </c:extLst>
            </c:dLbl>
            <c:dLbl>
              <c:idx val="22"/>
              <c:layout>
                <c:manualLayout>
                  <c:x val="-0.016614745586708203"/>
                  <c:y val="0.028571428571428571"/>
                </c:manualLayout>
              </c:layout>
              <c:tx>
                <c:rich>
                  <a:bodyPr vertOverflow="clip"/>
                  <a:lstStyle/>
                  <a:p>
                    <a:r>
                      <a:rPr lang="en-US"/>
                      <a:t>SI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6-94F2-4AF0-9A8A-6FE58DA3AAF7}"/>
                </c:ext>
                <c:ext xmlns:c15="http://schemas.microsoft.com/office/drawing/2012/chart" uri="{CE6537A1-D6FC-4f65-9D91-7224C49458BB}"/>
              </c:extLst>
            </c:dLbl>
            <c:dLbl>
              <c:idx val="23"/>
              <c:layout>
                <c:manualLayout>
                  <c:x val="-0.024922118380062305"/>
                  <c:y val="-0.057142857142857141"/>
                </c:manualLayout>
              </c:layout>
              <c:tx>
                <c:rich>
                  <a:bodyPr vertOverflow="clip"/>
                  <a:lstStyle/>
                  <a:p>
                    <a:r>
                      <a:rPr lang="en-US"/>
                      <a:t>SK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7-94F2-4AF0-9A8A-6FE58DA3AAF7}"/>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Sheet1!$B$3:$B$26</c:f>
              <c:numCache>
                <c:formatCode>0</c:formatCode>
                <c:ptCount val="24"/>
                <c:pt idx="0">
                  <c:v>165.84589733584025</c:v>
                </c:pt>
                <c:pt idx="1">
                  <c:v>200.49473684210528</c:v>
                </c:pt>
                <c:pt idx="2">
                  <c:v>35.782590927666533</c:v>
                </c:pt>
                <c:pt idx="3">
                  <c:v>135.89394650398876</c:v>
                </c:pt>
                <c:pt idx="4">
                  <c:v>155.5</c:v>
                </c:pt>
                <c:pt idx="5">
                  <c:v>190.77777777777777</c:v>
                </c:pt>
                <c:pt idx="6">
                  <c:v>196.49999999999997</c:v>
                </c:pt>
                <c:pt idx="7">
                  <c:v>129.67071935157043</c:v>
                </c:pt>
                <c:pt idx="8">
                  <c:v>173.96873938158342</c:v>
                </c:pt>
                <c:pt idx="9">
                  <c:v>259.97389033942562</c:v>
                </c:pt>
                <c:pt idx="10">
                  <c:v>212.4</c:v>
                </c:pt>
                <c:pt idx="11">
                  <c:v>102.92725679228748</c:v>
                </c:pt>
                <c:pt idx="12">
                  <c:v>235.34810710987998</c:v>
                </c:pt>
                <c:pt idx="13">
                  <c:v>107.85714285714286</c:v>
                </c:pt>
                <c:pt idx="14">
                  <c:v>60.032679738562088</c:v>
                </c:pt>
                <c:pt idx="15">
                  <c:v>102.87850467289719</c:v>
                </c:pt>
                <c:pt idx="16">
                  <c:v>76.889726672950047</c:v>
                </c:pt>
                <c:pt idx="17">
                  <c:v>277.60606060606062</c:v>
                </c:pt>
                <c:pt idx="18">
                  <c:v>159.36004451864218</c:v>
                </c:pt>
                <c:pt idx="19">
                  <c:v>51.070140280561127</c:v>
                </c:pt>
                <c:pt idx="20">
                  <c:v>215.73758865248229</c:v>
                </c:pt>
                <c:pt idx="21">
                  <c:v>55.120098039215691</c:v>
                </c:pt>
                <c:pt idx="22">
                  <c:v>105.0891089108911</c:v>
                </c:pt>
                <c:pt idx="23">
                  <c:v>117.1297242083759</c:v>
                </c:pt>
              </c:numCache>
            </c:numRef>
          </c:xVal>
          <c:yVal>
            <c:numRef>
              <c:f>Sheet1!$C$3:$C$26</c:f>
              <c:numCache>
                <c:formatCode>0.0</c:formatCode>
                <c:ptCount val="24"/>
                <c:pt idx="0" formatCode="0.00">
                  <c:v>0.31734351578538439</c:v>
                </c:pt>
                <c:pt idx="1">
                  <c:v>0.382812732111468</c:v>
                </c:pt>
                <c:pt idx="2">
                  <c:v>0.24422855383637557</c:v>
                </c:pt>
                <c:pt idx="3">
                  <c:v>0.21946323843598037</c:v>
                </c:pt>
                <c:pt idx="4">
                  <c:v>0.43846463022508042</c:v>
                </c:pt>
                <c:pt idx="5">
                  <c:v>0.31371578334304018</c:v>
                </c:pt>
                <c:pt idx="6">
                  <c:v>0.25795165394402036</c:v>
                </c:pt>
                <c:pt idx="7">
                  <c:v>0.49584343780958468</c:v>
                </c:pt>
                <c:pt idx="8">
                  <c:v>0.3035378938751141</c:v>
                </c:pt>
                <c:pt idx="9">
                  <c:v>0.24122195238181898</c:v>
                </c:pt>
                <c:pt idx="10">
                  <c:v>0.29637135292993805</c:v>
                </c:pt>
                <c:pt idx="11">
                  <c:v>0.24799857117551741</c:v>
                </c:pt>
                <c:pt idx="12">
                  <c:v>0.23122989078135292</c:v>
                </c:pt>
                <c:pt idx="13">
                  <c:v>0.42289216170801619</c:v>
                </c:pt>
                <c:pt idx="14" formatCode="0.00">
                  <c:v>0.31558454739211872</c:v>
                </c:pt>
                <c:pt idx="15">
                  <c:v>0.24997464037974121</c:v>
                </c:pt>
                <c:pt idx="16">
                  <c:v>0.31889602238259734</c:v>
                </c:pt>
                <c:pt idx="17">
                  <c:v>0.23966065385874902</c:v>
                </c:pt>
                <c:pt idx="18">
                  <c:v>0.35201772906788675</c:v>
                </c:pt>
                <c:pt idx="19">
                  <c:v>0.245593556387375</c:v>
                </c:pt>
                <c:pt idx="20">
                  <c:v>0.20688358074398552</c:v>
                </c:pt>
                <c:pt idx="21">
                  <c:v>0.2615010785544476</c:v>
                </c:pt>
                <c:pt idx="22">
                  <c:v>0.36791602871160151</c:v>
                </c:pt>
                <c:pt idx="23">
                  <c:v>0.24429292591955235</c:v>
                </c:pt>
              </c:numCache>
            </c:numRef>
          </c:yVal>
          <c:smooth val="0"/>
          <c:extLst>
            <c:ext xmlns:c="http://schemas.openxmlformats.org/drawingml/2006/chart" xmlns:c16="http://schemas.microsoft.com/office/drawing/2014/chart" uri="{C3380CC4-5D6E-409C-BE32-E72D297353CC}">
              <c16:uniqueId val="{00000018-94F2-4AF0-9A8A-6FE58DA3AAF7}"/>
            </c:ext>
          </c:extLst>
        </c:ser>
        <c:dLbls>
          <c:showLegendKey val="0"/>
          <c:showVal val="0"/>
          <c:showCatName val="0"/>
          <c:showSerName val="0"/>
          <c:showPercent val="0"/>
          <c:showBubbleSize val="0"/>
        </c:dLbls>
        <c:axId val="656232392"/>
        <c:axId val="656235920"/>
      </c:scatterChart>
      <c:valAx>
        <c:axId val="656232392"/>
        <c:scaling>
          <c:orientation val="minMax"/>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56235920"/>
        <c:crosses val="autoZero"/>
        <c:crossBetween val="midCat"/>
      </c:valAx>
      <c:valAx>
        <c:axId val="656235920"/>
        <c:scaling>
          <c:orientation val="minMax"/>
          <c:max val="0.5"/>
          <c:min val="0.1"/>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56232392"/>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359.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0667416572928377"/>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61CB-4A6A-8D20-203E39F83E60}"/>
              </c:ext>
            </c:extLst>
          </c:dPt>
          <c:dPt>
            <c:idx val="5"/>
            <c:bubble3D val="0"/>
            <c:extLst>
              <c:ext xmlns:c="http://schemas.openxmlformats.org/drawingml/2006/chart" xmlns:c16="http://schemas.microsoft.com/office/drawing/2014/chart" uri="{C3380CC4-5D6E-409C-BE32-E72D297353CC}">
                <c16:uniqueId val="{00000001-61CB-4A6A-8D20-203E39F83E60}"/>
              </c:ext>
            </c:extLst>
          </c:dPt>
          <c:dPt>
            <c:idx val="11"/>
            <c:bubble3D val="0"/>
            <c:extLst>
              <c:ext xmlns:c="http://schemas.openxmlformats.org/drawingml/2006/chart" xmlns:c16="http://schemas.microsoft.com/office/drawing/2014/chart" uri="{C3380CC4-5D6E-409C-BE32-E72D297353CC}">
                <c16:uniqueId val="{00000002-61CB-4A6A-8D20-203E39F83E60}"/>
              </c:ext>
            </c:extLst>
          </c:dPt>
          <c:dPt>
            <c:idx val="12"/>
            <c:bubble3D val="0"/>
            <c:extLst>
              <c:ext xmlns:c="http://schemas.openxmlformats.org/drawingml/2006/chart" xmlns:c16="http://schemas.microsoft.com/office/drawing/2014/chart" uri="{C3380CC4-5D6E-409C-BE32-E72D297353CC}">
                <c16:uniqueId val="{00000003-61CB-4A6A-8D20-203E39F83E60}"/>
              </c:ext>
            </c:extLst>
          </c:dPt>
          <c:dPt>
            <c:idx val="13"/>
            <c:bubble3D val="0"/>
            <c:extLst>
              <c:ext xmlns:c="http://schemas.openxmlformats.org/drawingml/2006/chart" xmlns:c16="http://schemas.microsoft.com/office/drawing/2014/chart" uri="{C3380CC4-5D6E-409C-BE32-E72D297353CC}">
                <c16:uniqueId val="{00000004-61CB-4A6A-8D20-203E39F83E60}"/>
              </c:ext>
            </c:extLst>
          </c:dPt>
          <c:dPt>
            <c:idx val="14"/>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5-61CB-4A6A-8D20-203E39F83E60}"/>
              </c:ext>
            </c:extLst>
          </c:dPt>
          <c:dLbls>
            <c:dLbl>
              <c:idx val="0"/>
              <c:tx>
                <c:rich>
                  <a:bodyPr vertOverflow="clip"/>
                  <a:lstStyle/>
                  <a:p>
                    <a:fld id="{31aed65f-d84a-40f3-bbc3-180e435fc404}" type="CELLRANGE">
                      <a:rPr lang="en-US"/>
                      <a:t>EU-28</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0-61CB-4A6A-8D20-203E39F83E60}"/>
                </c:ext>
                <c:ext xmlns:c15="http://schemas.microsoft.com/office/drawing/2012/chart" uri="{CE6537A1-D6FC-4f65-9D91-7224C49458BB}">
                  <c15:showDataLabelsRange val="1"/>
                </c:ext>
              </c:extLst>
            </c:dLbl>
            <c:dLbl>
              <c:idx val="1"/>
              <c:tx>
                <c:rich>
                  <a:bodyPr/>
                  <a:lstStyle/>
                  <a:p>
                    <a:fld id="{1d47fa22-e530-461f-9271-92134e1fadfd}" type="CELLRANGE">
                      <a:rPr lang="lv-LV"/>
                      <a:t>BE</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2"/>
              <c:tx>
                <c:rich>
                  <a:bodyPr vertOverflow="clip"/>
                  <a:lstStyle/>
                  <a:p>
                    <a:fld id="{2f6d32c0-eddc-4019-b4fa-a45da3729e8b}" type="CELLRANGE">
                      <a:rPr lang="lv-LV"/>
                      <a:t>BG</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3"/>
              <c:tx>
                <c:rich>
                  <a:bodyPr vertOverflow="clip"/>
                  <a:lstStyle/>
                  <a:p>
                    <a:fld id="{3c3d3c03-3286-4283-95da-94b76391abda}" type="CELLRANGE">
                      <a:rPr lang="lv-LV"/>
                      <a:t>CZ</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4"/>
              <c:tx>
                <c:rich>
                  <a:bodyPr/>
                  <a:lstStyle/>
                  <a:p>
                    <a:fld id="{c90b9391-4a35-4db9-93e1-83ed1176803a}" type="CELLRANGE">
                      <a:rPr lang="lv-LV"/>
                      <a:t>DK</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5"/>
              <c:tx>
                <c:rich>
                  <a:bodyPr vertOverflow="clip"/>
                  <a:lstStyle/>
                  <a:p>
                    <a:fld id="{68e9d99d-5137-4996-a2bc-9111b964ffec}" type="CELLRANGE">
                      <a:rPr lang="en-US"/>
                      <a:t>DE</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1-61CB-4A6A-8D20-203E39F83E60}"/>
                </c:ext>
                <c:ext xmlns:c15="http://schemas.microsoft.com/office/drawing/2012/chart" uri="{CE6537A1-D6FC-4f65-9D91-7224C49458BB}">
                  <c15:showDataLabelsRange val="1"/>
                </c:ext>
              </c:extLst>
            </c:dLbl>
            <c:dLbl>
              <c:idx val="6"/>
              <c:layout>
                <c:manualLayout>
                  <c:x val="-0.054669987546699952"/>
                  <c:y val="-0.07624665681635405"/>
                </c:manualLayout>
              </c:layout>
              <c:tx>
                <c:rich>
                  <a:bodyPr vertOverflow="clip"/>
                  <a:lstStyle/>
                  <a:p>
                    <a:fld id="{c24e6840-720d-4ff5-8f00-97e83d90dc50}" type="CELLRANGE">
                      <a:rPr lang="en-US"/>
                      <a:t>EE</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A-61CB-4A6A-8D20-203E39F83E60}"/>
                </c:ext>
                <c:ext xmlns:c15="http://schemas.microsoft.com/office/drawing/2012/chart" uri="{CE6537A1-D6FC-4f65-9D91-7224C49458BB}">
                  <c15:showDataLabelsRange val="1"/>
                </c:ext>
              </c:extLst>
            </c:dLbl>
            <c:dLbl>
              <c:idx val="7"/>
              <c:tx>
                <c:rich>
                  <a:bodyPr vertOverflow="clip"/>
                  <a:lstStyle/>
                  <a:p>
                    <a:fld id="{9a98e0f6-fc57-4327-863c-a60047945a7b}" type="CELLRANGE">
                      <a:rPr lang="lv-LV"/>
                      <a:t>IE</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8"/>
              <c:tx>
                <c:rich>
                  <a:bodyPr vertOverflow="clip"/>
                  <a:lstStyle/>
                  <a:p>
                    <a:fld id="{91fd2927-e7ee-4149-9ee2-04d009ea55e0}" type="CELLRANGE">
                      <a:rPr lang="lv-LV"/>
                      <a:t>EL</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9"/>
              <c:tx>
                <c:rich>
                  <a:bodyPr/>
                  <a:lstStyle/>
                  <a:p>
                    <a:fld id="{d305392b-f75b-46d9-b528-6ca1be9fafd7}" type="CELLRANGE">
                      <a:rPr lang="lv-LV"/>
                      <a:t>SP</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0"/>
              <c:tx>
                <c:rich>
                  <a:bodyPr/>
                  <a:lstStyle/>
                  <a:p>
                    <a:fld id="{556ef11a-309d-4969-853e-2f349d5986d8}" type="CELLRANGE">
                      <a:rPr lang="lv-LV"/>
                      <a:t>FR</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1"/>
              <c:layout>
                <c:manualLayout>
                  <c:x val="-0.012453300124533"/>
                  <c:y val="-0.0095011876484560574"/>
                </c:manualLayout>
              </c:layout>
              <c:tx>
                <c:rich>
                  <a:bodyPr vertOverflow="clip"/>
                  <a:lstStyle/>
                  <a:p>
                    <a:fld id="{ee204cb8-30c3-42aa-a534-406f8c6bb422}" type="CELLRANGE">
                      <a:rPr lang="en-US"/>
                      <a:t>HR</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2-61CB-4A6A-8D20-203E39F83E60}"/>
                </c:ext>
                <c:ext xmlns:c15="http://schemas.microsoft.com/office/drawing/2012/chart" uri="{CE6537A1-D6FC-4f65-9D91-7224C49458BB}">
                  <c15:showDataLabelsRange val="1"/>
                </c:ext>
              </c:extLst>
            </c:dLbl>
            <c:dLbl>
              <c:idx val="12"/>
              <c:tx>
                <c:rich>
                  <a:bodyPr vertOverflow="clip"/>
                  <a:lstStyle/>
                  <a:p>
                    <a:fld id="{86095612-e1c8-4f28-b3fa-c81f9251c7be}" type="CELLRANGE">
                      <a:rPr lang="lv-LV"/>
                      <a:t>IT</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3"/>
              <c:tx>
                <c:rich>
                  <a:bodyPr vertOverflow="clip"/>
                  <a:lstStyle/>
                  <a:p>
                    <a:fld id="{62f75ad7-0a54-4a7e-a4a4-16da5e469b83}" type="CELLRANGE">
                      <a:rPr lang="en-US"/>
                      <a:t>CY</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4-61CB-4A6A-8D20-203E39F83E60}"/>
                </c:ext>
                <c:ext xmlns:c15="http://schemas.microsoft.com/office/drawing/2012/chart" uri="{CE6537A1-D6FC-4f65-9D91-7224C49458BB}">
                  <c15:showDataLabelsRange val="1"/>
                </c:ext>
              </c:extLst>
            </c:dLbl>
            <c:dLbl>
              <c:idx val="14"/>
              <c:layout>
                <c:manualLayout>
                  <c:x val="-0.10197160909058223"/>
                  <c:y val="0"/>
                </c:manualLayout>
              </c:layout>
              <c:tx>
                <c:rich>
                  <a:bodyPr vertOverflow="clip"/>
                  <a:lstStyle/>
                  <a:p>
                    <a:fld id="{840ff995-6d45-4eb6-acf5-c4ded9cdb121}" type="CELLRANGE">
                      <a:rPr lang="en-US"/>
                      <a:t>LV</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5-61CB-4A6A-8D20-203E39F83E60}"/>
                </c:ext>
                <c:ext xmlns:c15="http://schemas.microsoft.com/office/drawing/2012/chart" uri="{CE6537A1-D6FC-4f65-9D91-7224C49458BB}">
                  <c15:showDataLabelsRange val="1"/>
                </c:ext>
              </c:extLst>
            </c:dLbl>
            <c:dLbl>
              <c:idx val="15"/>
              <c:tx>
                <c:rich>
                  <a:bodyPr vertOverflow="clip"/>
                  <a:lstStyle/>
                  <a:p>
                    <a:fld id="{d70cbca6-9c46-4e65-b695-27952fc1610a}" type="CELLRANGE">
                      <a:rPr lang="lv-LV"/>
                      <a:t>LT</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6"/>
              <c:tx>
                <c:rich>
                  <a:bodyPr/>
                  <a:lstStyle/>
                  <a:p>
                    <a:fld id="{d9799e95-f59a-4c35-bd93-8e04f20f4400}" type="CELLRANGE">
                      <a:rPr lang="lv-LV"/>
                      <a:t>LU</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7"/>
              <c:layout>
                <c:manualLayout>
                  <c:x val="-0.0562683244918171"/>
                  <c:y val="0.0762474049413657"/>
                </c:manualLayout>
              </c:layout>
              <c:tx>
                <c:rich>
                  <a:bodyPr vertOverflow="clip"/>
                  <a:lstStyle/>
                  <a:p>
                    <a:fld id="{b8ebe91e-ffbf-4d72-84c7-a68a3a4a89f5}" type="CELLRANGE">
                      <a:rPr lang="en-US"/>
                      <a:t>HU</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1-61CB-4A6A-8D20-203E39F83E60}"/>
                </c:ext>
                <c:ext xmlns:c15="http://schemas.microsoft.com/office/drawing/2012/chart" uri="{CE6537A1-D6FC-4f65-9D91-7224C49458BB}">
                  <c15:showDataLabelsRange val="1"/>
                </c:ext>
              </c:extLst>
            </c:dLbl>
            <c:dLbl>
              <c:idx val="18"/>
              <c:layout>
                <c:manualLayout>
                  <c:x val="-0.082814445828144456"/>
                  <c:y val="0.0095011876484560574"/>
                </c:manualLayout>
              </c:layout>
              <c:tx>
                <c:rich>
                  <a:bodyPr vertOverflow="clip"/>
                  <a:lstStyle/>
                  <a:p>
                    <a:fld id="{db1d407f-ed4f-4030-b353-330f38944e32}" type="CELLRANGE">
                      <a:rPr lang="en-US"/>
                      <a:t>NL</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2-61CB-4A6A-8D20-203E39F83E60}"/>
                </c:ext>
                <c:ext xmlns:c15="http://schemas.microsoft.com/office/drawing/2012/chart" uri="{CE6537A1-D6FC-4f65-9D91-7224C49458BB}">
                  <c15:showDataLabelsRange val="1"/>
                </c:ext>
              </c:extLst>
            </c:dLbl>
            <c:dLbl>
              <c:idx val="19"/>
              <c:tx>
                <c:rich>
                  <a:bodyPr/>
                  <a:lstStyle/>
                  <a:p>
                    <a:fld id="{de3aa427-18b5-4916-96ca-9c616f53610c}" type="CELLRANGE">
                      <a:rPr lang="lv-LV"/>
                      <a:t>AT</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20"/>
              <c:tx>
                <c:rich>
                  <a:bodyPr vertOverflow="clip"/>
                  <a:lstStyle/>
                  <a:p>
                    <a:fld id="{4532b57b-4972-4875-921b-eae8ed5ca891}" type="CELLRANGE">
                      <a:rPr lang="lv-LV"/>
                      <a:t>PL</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21"/>
              <c:tx>
                <c:rich>
                  <a:bodyPr vertOverflow="clip"/>
                  <a:lstStyle/>
                  <a:p>
                    <a:fld id="{244bf059-73ec-4a0e-bb0a-c02a14f26c30}" type="CELLRANGE">
                      <a:rPr lang="en-US"/>
                      <a:t>PT</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5-61CB-4A6A-8D20-203E39F83E60}"/>
                </c:ext>
                <c:ext xmlns:c15="http://schemas.microsoft.com/office/drawing/2012/chart" uri="{CE6537A1-D6FC-4f65-9D91-7224C49458BB}">
                  <c15:showDataLabelsRange val="1"/>
                </c:ext>
              </c:extLst>
            </c:dLbl>
            <c:dLbl>
              <c:idx val="22"/>
              <c:tx>
                <c:rich>
                  <a:bodyPr vertOverflow="clip"/>
                  <a:lstStyle/>
                  <a:p>
                    <a:fld id="{e906638d-25c3-41a4-8f99-629c22754b77}" type="CELLRANGE">
                      <a:rPr lang="en-US"/>
                      <a:t>RO</a:t>
                    </a:fld>
                    <a:endParaRPr lang="lv-LV"/>
                  </a:p>
                </c:rich>
              </c:tx>
              <c:dLblPos val="l"/>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6-61CB-4A6A-8D20-203E39F83E60}"/>
                </c:ext>
                <c:ext xmlns:c15="http://schemas.microsoft.com/office/drawing/2012/chart" uri="{CE6537A1-D6FC-4f65-9D91-7224C49458BB}">
                  <c15:showDataLabelsRange val="1"/>
                </c:ext>
              </c:extLst>
            </c:dLbl>
            <c:dLbl>
              <c:idx val="23"/>
              <c:tx>
                <c:rich>
                  <a:bodyPr vertOverflow="clip"/>
                  <a:lstStyle/>
                  <a:p>
                    <a:fld id="{06b3ceee-862f-4d51-be3d-642d208604db}" type="CELLRANGE">
                      <a:rPr lang="lv-LV"/>
                      <a:t>SI</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24"/>
              <c:tx>
                <c:rich>
                  <a:bodyPr vertOverflow="clip"/>
                  <a:lstStyle/>
                  <a:p>
                    <a:fld id="{5edbe498-a81b-48c2-a956-92e03f1726e8}" type="CELLRANGE">
                      <a:rPr lang="lv-LV"/>
                      <a:t>SK</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25"/>
              <c:tx>
                <c:rich>
                  <a:bodyPr vertOverflow="clip"/>
                  <a:lstStyle/>
                  <a:p>
                    <a:fld id="{db3878be-a9be-4018-b376-79573f77e0f1}" type="CELLRANGE">
                      <a:rPr lang="lv-LV"/>
                      <a:t>FI</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26"/>
              <c:tx>
                <c:rich>
                  <a:bodyPr/>
                  <a:lstStyle/>
                  <a:p>
                    <a:fld id="{baac4e1f-7bdb-4727-8f1d-894b6453de03}" type="CELLRANGE">
                      <a:rPr lang="lv-LV"/>
                      <a:t>UK</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Sheet1!$B$3:$B$29</c:f>
              <c:numCache>
                <c:formatCode>0</c:formatCode>
                <c:ptCount val="27"/>
                <c:pt idx="0">
                  <c:v>198.10779731434081</c:v>
                </c:pt>
                <c:pt idx="1">
                  <c:v>306.99209486166006</c:v>
                </c:pt>
                <c:pt idx="2">
                  <c:v>38.653508771929822</c:v>
                </c:pt>
                <c:pt idx="3">
                  <c:v>165.20519480519479</c:v>
                </c:pt>
                <c:pt idx="4">
                  <c:v>350.31538461538463</c:v>
                </c:pt>
                <c:pt idx="5">
                  <c:v>257.63870967741934</c:v>
                </c:pt>
                <c:pt idx="6">
                  <c:v>68.5</c:v>
                </c:pt>
                <c:pt idx="7">
                  <c:v>280.83501006036221</c:v>
                </c:pt>
                <c:pt idx="8">
                  <c:v>153.0772532188841</c:v>
                </c:pt>
                <c:pt idx="9">
                  <c:v>401.01744186046511</c:v>
                </c:pt>
                <c:pt idx="10">
                  <c:v>325.425</c:v>
                </c:pt>
                <c:pt idx="11">
                  <c:v>86.278870829769033</c:v>
                </c:pt>
                <c:pt idx="12">
                  <c:v>283.87020316027093</c:v>
                </c:pt>
                <c:pt idx="13">
                  <c:v>91.005747126436773</c:v>
                </c:pt>
                <c:pt idx="14">
                  <c:v>62.872928176795583</c:v>
                </c:pt>
                <c:pt idx="15">
                  <c:v>114.42307692307693</c:v>
                </c:pt>
                <c:pt idx="16">
                  <c:v>476.26702997275208</c:v>
                </c:pt>
                <c:pt idx="17">
                  <c:v>91.245318352059925</c:v>
                </c:pt>
                <c:pt idx="18">
                  <c:v>282.4</c:v>
                </c:pt>
                <c:pt idx="19">
                  <c:v>141.19741100323625</c:v>
                </c:pt>
                <c:pt idx="20">
                  <c:v>76.279535864978911</c:v>
                </c:pt>
                <c:pt idx="21">
                  <c:v>158.58002406738868</c:v>
                </c:pt>
                <c:pt idx="22">
                  <c:v>44.453717754172985</c:v>
                </c:pt>
                <c:pt idx="23">
                  <c:v>100.17241379310344</c:v>
                </c:pt>
                <c:pt idx="24">
                  <c:v>93.251748251748253</c:v>
                </c:pt>
                <c:pt idx="25">
                  <c:v>223.12</c:v>
                </c:pt>
                <c:pt idx="26" formatCode="#,##0.0">
                  <c:v>124.5010492476671</c:v>
                </c:pt>
              </c:numCache>
            </c:numRef>
          </c:xVal>
          <c:yVal>
            <c:numRef>
              <c:f>Sheet1!$C$3:$C$29</c:f>
              <c:numCache>
                <c:formatCode>0.0</c:formatCode>
                <c:ptCount val="27"/>
                <c:pt idx="0">
                  <c:v>0.30284384862874941</c:v>
                </c:pt>
                <c:pt idx="1">
                  <c:v>0.26247285796503556</c:v>
                </c:pt>
                <c:pt idx="2">
                  <c:v>0.47273588721727011</c:v>
                </c:pt>
                <c:pt idx="3">
                  <c:v>0.17499481747013351</c:v>
                </c:pt>
                <c:pt idx="4">
                  <c:v>0.2167058255198612</c:v>
                </c:pt>
                <c:pt idx="5">
                  <c:v>0.26898131917664148</c:v>
                </c:pt>
                <c:pt idx="6">
                  <c:v>0.2850426821724607</c:v>
                </c:pt>
                <c:pt idx="7">
                  <c:v>0.27740364815108265</c:v>
                </c:pt>
                <c:pt idx="8">
                  <c:v>0.23968281446699272</c:v>
                </c:pt>
                <c:pt idx="9">
                  <c:v>0.1487907195237996</c:v>
                </c:pt>
                <c:pt idx="10">
                  <c:v>0.22127495847382508</c:v>
                </c:pt>
                <c:pt idx="11">
                  <c:v>0.26305438427759159</c:v>
                </c:pt>
                <c:pt idx="12">
                  <c:v>0.20979525566871635</c:v>
                </c:pt>
                <c:pt idx="13">
                  <c:v>0.39824709659403063</c:v>
                </c:pt>
                <c:pt idx="14">
                  <c:v>0.3787252138505135</c:v>
                </c:pt>
                <c:pt idx="15">
                  <c:v>0.28113333829106862</c:v>
                </c:pt>
                <c:pt idx="16">
                  <c:v>0.18237232063331577</c:v>
                </c:pt>
                <c:pt idx="17">
                  <c:v>0.25048713542026546</c:v>
                </c:pt>
                <c:pt idx="18">
                  <c:v>0.2754957507082153</c:v>
                </c:pt>
                <c:pt idx="19">
                  <c:v>0.50344780269491052</c:v>
                </c:pt>
                <c:pt idx="20">
                  <c:v>0.15453800186978303</c:v>
                </c:pt>
                <c:pt idx="21">
                  <c:v>0.24476997682339918</c:v>
                </c:pt>
                <c:pt idx="22">
                  <c:v>0.26248512623484033</c:v>
                </c:pt>
                <c:pt idx="23">
                  <c:v>0.39363504437919744</c:v>
                </c:pt>
                <c:pt idx="24">
                  <c:v>0.34407815587468743</c:v>
                </c:pt>
                <c:pt idx="25">
                  <c:v>0.26240761517019628</c:v>
                </c:pt>
                <c:pt idx="26" formatCode="#,##0.0">
                  <c:v>0.77231757658743638</c:v>
                </c:pt>
              </c:numCache>
            </c:numRef>
          </c:yVal>
          <c:smooth val="0"/>
          <c:extLst>
            <c:ext xmlns:c="http://schemas.openxmlformats.org/drawingml/2006/chart" xmlns:c16="http://schemas.microsoft.com/office/drawing/2014/chart" uri="{C3380CC4-5D6E-409C-BE32-E72D297353CC}">
              <c16:uniqueId val="{0000001A-61CB-4A6A-8D20-203E39F83E60}"/>
            </c:ext>
            <c:ext xmlns:c15="http://schemas.microsoft.com/office/drawing/2012/chart" uri="{02D57815-91ED-43cb-92C2-25804820EDAC}">
              <c15:datalabelsRange>
                <c15:f>Sheet1!$A$3:$A$29</c15:f>
                <c15:dlblRangeCache>
                  <c:ptCount val="27"/>
                  <c:pt idx="0">
                    <c:v>EU-28</c:v>
                  </c:pt>
                  <c:pt idx="1">
                    <c:v>BE</c:v>
                  </c:pt>
                  <c:pt idx="2">
                    <c:v>BG</c:v>
                  </c:pt>
                  <c:pt idx="3">
                    <c:v>CZ</c:v>
                  </c:pt>
                  <c:pt idx="4">
                    <c:v>DK</c:v>
                  </c:pt>
                  <c:pt idx="5">
                    <c:v>DE</c:v>
                  </c:pt>
                  <c:pt idx="6">
                    <c:v>EE</c:v>
                  </c:pt>
                  <c:pt idx="7">
                    <c:v>IE</c:v>
                  </c:pt>
                  <c:pt idx="8">
                    <c:v>EL</c:v>
                  </c:pt>
                  <c:pt idx="9">
                    <c:v>SP</c:v>
                  </c:pt>
                  <c:pt idx="10">
                    <c:v>FR</c:v>
                  </c:pt>
                  <c:pt idx="11">
                    <c:v>HR</c:v>
                  </c:pt>
                  <c:pt idx="12">
                    <c:v>IT</c:v>
                  </c:pt>
                  <c:pt idx="13">
                    <c:v>CY</c:v>
                  </c:pt>
                  <c:pt idx="14">
                    <c:v>LV</c:v>
                  </c:pt>
                  <c:pt idx="15">
                    <c:v>LT</c:v>
                  </c:pt>
                  <c:pt idx="16">
                    <c:v>LU</c:v>
                  </c:pt>
                  <c:pt idx="17">
                    <c:v>HU</c:v>
                  </c:pt>
                  <c:pt idx="18">
                    <c:v>NL</c:v>
                  </c:pt>
                  <c:pt idx="19">
                    <c:v>AT</c:v>
                  </c:pt>
                  <c:pt idx="20">
                    <c:v>PL</c:v>
                  </c:pt>
                  <c:pt idx="21">
                    <c:v>PT</c:v>
                  </c:pt>
                  <c:pt idx="22">
                    <c:v>RO</c:v>
                  </c:pt>
                  <c:pt idx="23">
                    <c:v>SI</c:v>
                  </c:pt>
                  <c:pt idx="24">
                    <c:v>SK</c:v>
                  </c:pt>
                  <c:pt idx="25">
                    <c:v>FI</c:v>
                  </c:pt>
                  <c:pt idx="26">
                    <c:v>UK</c:v>
                  </c:pt>
                </c15:dlblRangeCache>
              </c15:datalabelsRange>
            </c:ext>
          </c:extLst>
        </c:ser>
        <c:dLbls>
          <c:showLegendKey val="0"/>
          <c:showVal val="0"/>
          <c:showCatName val="0"/>
          <c:showSerName val="0"/>
          <c:showPercent val="0"/>
          <c:showBubbleSize val="0"/>
        </c:dLbls>
        <c:axId val="656231608"/>
        <c:axId val="656224552"/>
      </c:scatterChart>
      <c:valAx>
        <c:axId val="656231608"/>
        <c:scaling>
          <c:orientation val="minMax"/>
          <c:max val="300"/>
          <c:min val="0"/>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56224552"/>
        <c:crosses val="autoZero"/>
        <c:crossBetween val="midCat"/>
        <c:majorUnit val="50"/>
      </c:valAx>
      <c:valAx>
        <c:axId val="656224552"/>
        <c:scaling>
          <c:orientation val="minMax"/>
          <c:max val="0.5"/>
          <c:min val="0.1"/>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56231608"/>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18D9-4748-8300-92DA1EF585BE}"/>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18D9-4748-8300-92DA1EF585BE}"/>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Sheet1!$B$2:$M$2</c:f>
              <c:numCache>
                <c:formatCode>0</c:formatCode>
                <c:ptCount val="12"/>
                <c:pt idx="0">
                  <c:v>2005</c:v>
                </c:pt>
                <c:pt idx="1">
                  <c:v>2006</c:v>
                </c:pt>
                <c:pt idx="2">
                  <c:v>2007</c:v>
                </c:pt>
                <c:pt idx="3">
                  <c:v>2008</c:v>
                </c:pt>
                <c:pt idx="4">
                  <c:v>2009</c:v>
                </c:pt>
                <c:pt idx="5">
                  <c:v>2010</c:v>
                </c:pt>
                <c:pt idx="6">
                  <c:v>2011</c:v>
                </c:pt>
                <c:pt idx="7">
                  <c:v>2012</c:v>
                </c:pt>
                <c:pt idx="8">
                  <c:v>2013</c:v>
                </c:pt>
                <c:pt idx="9" formatCode="General">
                  <c:v>2014</c:v>
                </c:pt>
                <c:pt idx="10" formatCode="General">
                  <c:v>2015</c:v>
                </c:pt>
                <c:pt idx="11" formatCode="General">
                  <c:v>2016</c:v>
                </c:pt>
              </c:numCache>
            </c:numRef>
          </c:cat>
          <c:val>
            <c:numRef>
              <c:f>Sheet1!$B$3:$M$3</c:f>
              <c:numCache>
                <c:formatCode>General</c:formatCode>
                <c:ptCount val="12"/>
                <c:pt idx="0">
                  <c:v>21.1353711790393</c:v>
                </c:pt>
                <c:pt idx="1">
                  <c:v>24.487179487179489</c:v>
                </c:pt>
                <c:pt idx="2">
                  <c:v>24.855072463768117</c:v>
                </c:pt>
                <c:pt idx="3">
                  <c:v>25.129151291512912</c:v>
                </c:pt>
                <c:pt idx="4">
                  <c:v>30.73170731707317</c:v>
                </c:pt>
                <c:pt idx="5">
                  <c:v>31.046511627906973</c:v>
                </c:pt>
                <c:pt idx="6">
                  <c:v>27.591240875912405</c:v>
                </c:pt>
                <c:pt idx="7">
                  <c:v>28.169014084507044</c:v>
                </c:pt>
                <c:pt idx="8">
                  <c:v>30.105633802816904</c:v>
                </c:pt>
                <c:pt idx="9">
                  <c:v>29.578544061302683</c:v>
                </c:pt>
                <c:pt idx="10">
                  <c:v>29.711191335740072</c:v>
                </c:pt>
                <c:pt idx="11">
                  <c:v>31.641221374045802</c:v>
                </c:pt>
              </c:numCache>
            </c:numRef>
          </c:val>
          <c:extLst>
            <c:ext xmlns:c="http://schemas.openxmlformats.org/drawingml/2006/chart" xmlns:c16="http://schemas.microsoft.com/office/drawing/2014/chart" uri="{C3380CC4-5D6E-409C-BE32-E72D297353CC}">
              <c16:uniqueId val="{00000004-18D9-4748-8300-92DA1EF585BE}"/>
            </c:ext>
          </c:extLst>
        </c:ser>
        <c:dLbls>
          <c:showLegendKey val="0"/>
          <c:showVal val="0"/>
          <c:showCatName val="0"/>
          <c:showSerName val="0"/>
          <c:showPercent val="0"/>
          <c:showBubbleSize val="0"/>
        </c:dLbls>
        <c:gapWidth val="20"/>
        <c:axId val="629850648"/>
        <c:axId val="629845944"/>
      </c:barChart>
      <c:catAx>
        <c:axId val="629850648"/>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29845944"/>
        <c:crosses val="autoZero"/>
        <c:auto val="1"/>
        <c:lblAlgn val="ctr"/>
        <c:lblOffset val="100"/>
        <c:noMultiLvlLbl val="0"/>
      </c:catAx>
      <c:valAx>
        <c:axId val="629845944"/>
        <c:scaling>
          <c:orientation val="minMax"/>
        </c:scaling>
        <c:delete val="0"/>
        <c:axPos val="l"/>
        <c:numFmt formatCode="0" sourceLinked="0"/>
        <c:majorTickMark val="out"/>
        <c:minorTickMark val="none"/>
        <c:tickLblPos val="nextTo"/>
        <c:crossAx val="629850648"/>
        <c:crosses val="autoZero"/>
        <c:crossBetween val="between"/>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3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59412201441466"/>
          <c:y val="0.098301682877875565"/>
          <c:w val="0.77357359176256812"/>
          <c:h val="0.71576139346218082"/>
        </c:manualLayout>
      </c:layout>
      <c:barChart>
        <c:barDir val="col"/>
        <c:grouping val="clustered"/>
        <c:varyColors val="0"/>
        <c:ser>
          <c:idx val="4"/>
          <c:order val="0"/>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13B2-4D10-BBE5-FA510FEBE55E}"/>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13B2-4D10-BBE5-FA510FEBE55E}"/>
              </c:ext>
            </c:extLst>
          </c:dPt>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Sheet1!$A$3:$A$5</c:f>
              <c:strCache>
                <c:ptCount val="3"/>
                <c:pt idx="0">
                  <c:v>2005</c:v>
                </c:pt>
                <c:pt idx="1">
                  <c:v>2010</c:v>
                </c:pt>
                <c:pt idx="2">
                  <c:v>2015</c:v>
                </c:pt>
              </c:strCache>
            </c:strRef>
          </c:cat>
          <c:val>
            <c:numRef>
              <c:f>Sheet1!$B$3:$B$5</c:f>
              <c:numCache>
                <c:formatCode>0.0</c:formatCode>
                <c:ptCount val="3"/>
                <c:pt idx="0">
                  <c:v>0.82053888337855452</c:v>
                </c:pt>
                <c:pt idx="1">
                  <c:v>1.5604771301801181</c:v>
                </c:pt>
                <c:pt idx="2">
                  <c:v>2.5</c:v>
                </c:pt>
              </c:numCache>
            </c:numRef>
          </c:val>
          <c:extLst>
            <c:ext xmlns:c="http://schemas.openxmlformats.org/drawingml/2006/chart" xmlns:c16="http://schemas.microsoft.com/office/drawing/2014/chart" uri="{C3380CC4-5D6E-409C-BE32-E72D297353CC}">
              <c16:uniqueId val="{00000004-13B2-4D10-BBE5-FA510FEBE55E}"/>
            </c:ext>
          </c:extLst>
        </c:ser>
        <c:dLbls>
          <c:showLegendKey val="0"/>
          <c:showVal val="0"/>
          <c:showCatName val="0"/>
          <c:showSerName val="0"/>
          <c:showPercent val="0"/>
          <c:showBubbleSize val="0"/>
        </c:dLbls>
        <c:gapWidth val="20"/>
        <c:axId val="656231216"/>
        <c:axId val="656235528"/>
      </c:barChart>
      <c:catAx>
        <c:axId val="656231216"/>
        <c:scaling>
          <c:orientation val="minMax"/>
        </c:scaling>
        <c:delete val="0"/>
        <c:axPos val="b"/>
        <c:numFmt formatCode="General" sourceLinked="0"/>
        <c:majorTickMark val="out"/>
        <c:minorTickMark val="none"/>
        <c:tickLblPos val="nextTo"/>
        <c:crossAx val="656235528"/>
        <c:crosses val="autoZero"/>
        <c:auto val="1"/>
        <c:lblAlgn val="ctr"/>
        <c:lblOffset val="100"/>
        <c:noMultiLvlLbl val="0"/>
      </c:catAx>
      <c:valAx>
        <c:axId val="656235528"/>
        <c:scaling>
          <c:orientation val="minMax"/>
          <c:max val="3"/>
          <c:min val="0"/>
        </c:scaling>
        <c:delete val="0"/>
        <c:axPos val="l"/>
        <c:numFmt formatCode="0" sourceLinked="0"/>
        <c:majorTickMark val="out"/>
        <c:minorTickMark val="none"/>
        <c:tickLblPos val="nextTo"/>
        <c:crossAx val="656231216"/>
        <c:crosses val="autoZero"/>
        <c:crossBetween val="between"/>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mbria Math" panose="02040503050406030204" pitchFamily="18" charset="0"/>
          <a:ea typeface="Cambria Math" panose="02040503050406030204" pitchFamily="18" charset="0"/>
          <a:cs typeface="Arial"/>
        </a:defRPr>
      </a:pPr>
      <a:endParaRPr lang="lv-LV"/>
    </a:p>
  </c:txPr>
  <c:externalData r:id="rId1">
    <c:autoUpdate val="0"/>
  </c:externalData>
</c:chartSpace>
</file>

<file path=word/charts/chart36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73546128124922"/>
          <c:y val="0.048706240487062395"/>
          <c:w val="0.84631315184653555"/>
          <c:h val="0.73779794474843186"/>
        </c:manualLayout>
      </c:layout>
      <c:lineChart>
        <c:grouping val="standard"/>
        <c:varyColors val="0"/>
        <c:ser>
          <c:idx val="0"/>
          <c:order val="0"/>
          <c:tx>
            <c:strRef>
              <c:f>Sheet1!$A$2</c:f>
              <c:strCache>
                <c:ptCount val="1"/>
                <c:pt idx="0">
                  <c:v>Nodarbinātie</c:v>
                </c:pt>
              </c:strCache>
            </c:strRef>
          </c:tx>
          <c:spPr>
            <a:ln w="19050">
              <a:solidFill>
                <a:srgbClr val="0070C0"/>
              </a:solidFill>
              <a:prstDash val="dash"/>
            </a:ln>
          </c:spPr>
          <c:marker>
            <c:symbol val="none"/>
          </c:marker>
          <c:cat>
            <c:numRef>
              <c:f>Sheet1!$B$1:$K$1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Sheet1!$B$2:$K$2</c:f>
              <c:numCache>
                <c:formatCode>0.0</c:formatCode>
                <c:ptCount val="10"/>
                <c:pt idx="0">
                  <c:v>129.03791365329826</c:v>
                </c:pt>
                <c:pt idx="1">
                  <c:v>174.38088976550515</c:v>
                </c:pt>
                <c:pt idx="2">
                  <c:v>180.67061143984222</c:v>
                </c:pt>
                <c:pt idx="3">
                  <c:v>163.86149463072542</c:v>
                </c:pt>
                <c:pt idx="4">
                  <c:v>161.18781503396889</c:v>
                </c:pt>
                <c:pt idx="5">
                  <c:v>198.90422967346043</c:v>
                </c:pt>
                <c:pt idx="6">
                  <c:v>257.44028051720358</c:v>
                </c:pt>
                <c:pt idx="7">
                  <c:v>288.7135656366425</c:v>
                </c:pt>
                <c:pt idx="8">
                  <c:v>346.7455621301774</c:v>
                </c:pt>
                <c:pt idx="9">
                  <c:v>385.95222441376279</c:v>
                </c:pt>
              </c:numCache>
            </c:numRef>
          </c:val>
          <c:smooth val="0"/>
          <c:extLst>
            <c:ext xmlns:c="http://schemas.openxmlformats.org/drawingml/2006/chart" xmlns:c16="http://schemas.microsoft.com/office/drawing/2014/chart" uri="{C3380CC4-5D6E-409C-BE32-E72D297353CC}">
              <c16:uniqueId val="{00000000-4B12-4101-9EA6-197C3CE663E3}"/>
            </c:ext>
          </c:extLst>
        </c:ser>
        <c:ser>
          <c:idx val="1"/>
          <c:order val="1"/>
          <c:tx>
            <c:strRef>
              <c:f>Sheet1!$A$3</c:f>
              <c:strCache>
                <c:ptCount val="1"/>
                <c:pt idx="0">
                  <c:v>Ražošanas apjomi</c:v>
                </c:pt>
              </c:strCache>
            </c:strRef>
          </c:tx>
          <c:marker>
            <c:symbol val="none"/>
          </c:marker>
          <c:cat>
            <c:numRef>
              <c:f>Sheet1!$B$1:$K$1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Sheet1!$B$3:$K$3</c:f>
              <c:numCache>
                <c:formatCode>0.0</c:formatCode>
                <c:ptCount val="10"/>
                <c:pt idx="0">
                  <c:v>108.54579792256847</c:v>
                </c:pt>
                <c:pt idx="1">
                  <c:v>125.07082152974503</c:v>
                </c:pt>
                <c:pt idx="2">
                  <c:v>152.07743153918793</c:v>
                </c:pt>
                <c:pt idx="3">
                  <c:v>126.01510859301226</c:v>
                </c:pt>
                <c:pt idx="4">
                  <c:v>117.233238904627</c:v>
                </c:pt>
                <c:pt idx="5">
                  <c:v>134.18319169027382</c:v>
                </c:pt>
                <c:pt idx="6">
                  <c:v>164.16430594900848</c:v>
                </c:pt>
                <c:pt idx="7">
                  <c:v>183.52219074598676</c:v>
                </c:pt>
                <c:pt idx="8">
                  <c:v>180.07554296506135</c:v>
                </c:pt>
                <c:pt idx="9">
                  <c:v>190.32105760151086</c:v>
                </c:pt>
              </c:numCache>
            </c:numRef>
          </c:val>
          <c:smooth val="0"/>
          <c:extLst>
            <c:ext xmlns:c="http://schemas.openxmlformats.org/drawingml/2006/chart" xmlns:c16="http://schemas.microsoft.com/office/drawing/2014/chart" uri="{C3380CC4-5D6E-409C-BE32-E72D297353CC}">
              <c16:uniqueId val="{00000001-4B12-4101-9EA6-197C3CE663E3}"/>
            </c:ext>
          </c:extLst>
        </c:ser>
        <c:dLbls>
          <c:showLegendKey val="0"/>
          <c:showVal val="0"/>
          <c:showCatName val="0"/>
          <c:showSerName val="0"/>
          <c:showPercent val="0"/>
          <c:showBubbleSize val="0"/>
        </c:dLbls>
        <c:smooth val="0"/>
        <c:axId val="656227296"/>
        <c:axId val="656228472"/>
      </c:lineChart>
      <c:catAx>
        <c:axId val="656227296"/>
        <c:scaling>
          <c:orientation val="minMax"/>
        </c:scaling>
        <c:delete val="0"/>
        <c:axPos val="b"/>
        <c:numFmt formatCode="General" sourceLinked="1"/>
        <c:majorTickMark val="cross"/>
        <c:minorTickMark val="none"/>
        <c:tickLblPos val="nextTo"/>
        <c:spPr>
          <a:ln w="6350">
            <a:solidFill>
              <a:srgbClr val="000000"/>
            </a:solidFill>
          </a:ln>
        </c:spPr>
        <c:txPr>
          <a:bodyPr rot="-5400000" vert="horz"/>
          <a:lstStyle/>
          <a:p>
            <a:pPr>
              <a:defRPr sz="700" b="0" i="0" u="none" strike="noStrike" baseline="0">
                <a:solidFill>
                  <a:srgbClr val="000000"/>
                </a:solidFill>
                <a:latin typeface="Arial Narrow" pitchFamily="34" charset="0"/>
                <a:ea typeface="Times New Roman"/>
                <a:cs typeface="Times New Roman" pitchFamily="18" charset="0"/>
              </a:defRPr>
            </a:pPr>
            <a:endParaRPr lang="lv-LV"/>
          </a:p>
        </c:txPr>
        <c:crossAx val="656228472"/>
        <c:crosses val="autoZero"/>
        <c:auto val="1"/>
        <c:lblAlgn val="ctr"/>
        <c:lblOffset val="0"/>
        <c:noMultiLvlLbl val="0"/>
      </c:catAx>
      <c:valAx>
        <c:axId val="656228472"/>
        <c:scaling>
          <c:orientation val="minMax"/>
          <c:max val="400"/>
          <c:min val="50"/>
        </c:scaling>
        <c:delete val="0"/>
        <c:axPos val="l"/>
        <c:numFmt formatCode="0" sourceLinked="0"/>
        <c:majorTickMark val="cross"/>
        <c:minorTickMark val="none"/>
        <c:tickLblPos val="nextTo"/>
        <c:spPr>
          <a:ln w="6350">
            <a:solidFill>
              <a:sysClr val="windowText" lastClr="000000"/>
            </a:solidFill>
          </a:ln>
        </c:spPr>
        <c:txPr>
          <a:bodyPr rot="0" vert="horz"/>
          <a:lstStyle/>
          <a:p>
            <a:pPr>
              <a:defRPr sz="700" b="0" i="0" u="none" strike="noStrike" baseline="0">
                <a:solidFill>
                  <a:srgbClr val="000000"/>
                </a:solidFill>
                <a:latin typeface="Arial Narrow" pitchFamily="34" charset="0"/>
                <a:ea typeface="Times New Roman"/>
                <a:cs typeface="Times New Roman"/>
              </a:defRPr>
            </a:pPr>
            <a:endParaRPr lang="lv-LV"/>
          </a:p>
        </c:txPr>
        <c:crossAx val="656227296"/>
        <c:crosses val="autoZero"/>
        <c:crossBetween val="between"/>
        <c:majorUnit val="70"/>
      </c:valAx>
      <c:spPr>
        <a:solidFill>
          <a:sysClr val="window" lastClr="FFFFFF"/>
        </a:solidFill>
        <a:ln w="6350">
          <a:noFill/>
        </a:ln>
      </c:spPr>
    </c:plotArea>
    <c:legend>
      <c:legendPos val="t"/>
      <c:layout>
        <c:manualLayout>
          <c:xMode val="edge"/>
          <c:yMode val="edge"/>
          <c:x val="0.14280650412978177"/>
          <c:y val="0.031201248049921998"/>
          <c:w val="0.65805884790716951"/>
          <c:h val="0.19964223582144541"/>
        </c:manualLayout>
      </c:layout>
      <c:overlay val="0"/>
      <c:txPr>
        <a:bodyPr/>
        <a:lstStyle/>
        <a:p>
          <a:pPr>
            <a:defRPr sz="700" b="0">
              <a:latin typeface="Arial Narrow" pitchFamily="34" charset="0"/>
            </a:defRPr>
          </a:pPr>
          <a:endParaRPr lang="lv-LV"/>
        </a:p>
      </c:txPr>
    </c:legend>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3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7354822834645707"/>
          <c:y val="0.054187037037040774"/>
          <c:w val="0.8789631193571017"/>
          <c:h val="0.64919022614008648"/>
        </c:manualLayout>
      </c:layout>
      <c:lineChart>
        <c:grouping val="standard"/>
        <c:varyColors val="0"/>
        <c:ser>
          <c:idx val="9"/>
          <c:order val="0"/>
          <c:tx>
            <c:strRef>
              <c:f>Sheet1!$A$3</c:f>
              <c:strCache>
                <c:ptCount val="1"/>
                <c:pt idx="0">
                  <c:v>Eksports, kopā</c:v>
                </c:pt>
              </c:strCache>
            </c:strRef>
          </c:tx>
          <c:spPr>
            <a:ln w="25400">
              <a:solidFill>
                <a:schemeClr val="accent5">
                  <a:lumMod val="75000"/>
                </a:schemeClr>
              </a:solidFill>
            </a:ln>
            <a:effectLst/>
          </c:spPr>
          <c:marker>
            <c:symbol val="none"/>
          </c:marker>
          <c:cat>
            <c:numRef>
              <c:f>Sheet1!$B$2:$M$2</c:f>
              <c:numCache>
                <c:formatCode>0</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Sheet1!$B$3:$M$3</c:f>
              <c:numCache>
                <c:formatCode>0.0</c:formatCode>
                <c:ptCount val="12"/>
                <c:pt idx="0">
                  <c:v>43.77</c:v>
                </c:pt>
                <c:pt idx="1">
                  <c:v>57.86</c:v>
                </c:pt>
                <c:pt idx="2">
                  <c:v>71.86</c:v>
                </c:pt>
                <c:pt idx="3">
                  <c:v>95.08</c:v>
                </c:pt>
                <c:pt idx="4">
                  <c:v>90.15</c:v>
                </c:pt>
                <c:pt idx="5">
                  <c:v>99.71</c:v>
                </c:pt>
                <c:pt idx="6">
                  <c:v>126.25</c:v>
                </c:pt>
                <c:pt idx="7">
                  <c:v>151.86</c:v>
                </c:pt>
                <c:pt idx="8">
                  <c:v>185.03</c:v>
                </c:pt>
                <c:pt idx="9">
                  <c:v>197.44</c:v>
                </c:pt>
                <c:pt idx="10">
                  <c:v>256.98</c:v>
                </c:pt>
                <c:pt idx="11">
                  <c:v>324</c:v>
                </c:pt>
              </c:numCache>
            </c:numRef>
          </c:val>
          <c:smooth val="0"/>
          <c:extLst>
            <c:ext xmlns:c="http://schemas.openxmlformats.org/drawingml/2006/chart" xmlns:c16="http://schemas.microsoft.com/office/drawing/2014/chart" uri="{C3380CC4-5D6E-409C-BE32-E72D297353CC}">
              <c16:uniqueId val="{00000000-F54A-4CE9-BE5D-63CE743C4182}"/>
            </c:ext>
          </c:extLst>
        </c:ser>
        <c:dLbls>
          <c:showLegendKey val="0"/>
          <c:showVal val="0"/>
          <c:showCatName val="0"/>
          <c:showSerName val="0"/>
          <c:showPercent val="0"/>
          <c:showBubbleSize val="0"/>
        </c:dLbls>
        <c:smooth val="0"/>
        <c:axId val="656226904"/>
        <c:axId val="656227688"/>
      </c:lineChart>
      <c:catAx>
        <c:axId val="656226904"/>
        <c:scaling>
          <c:orientation val="minMax"/>
        </c:scaling>
        <c:delete val="0"/>
        <c:axPos val="b"/>
        <c:numFmt formatCode="0" sourceLinked="1"/>
        <c:majorTickMark val="out"/>
        <c:minorTickMark val="none"/>
        <c:tickLblPos val="low"/>
        <c:spPr>
          <a:noFill/>
          <a:ln w="3175">
            <a:solidFill>
              <a:sysClr val="window" lastClr="FFFFFF">
                <a:lumMod val="50000"/>
              </a:sysClr>
            </a:solidFill>
            <a:round/>
          </a:ln>
          <a:effectLst/>
        </c:spPr>
        <c:txPr>
          <a:bodyPr rot="-5400000" vert="horz"/>
          <a:lstStyle/>
          <a:p>
            <a:pPr>
              <a:defRPr sz="700"/>
            </a:pPr>
            <a:endParaRPr lang="lv-LV"/>
          </a:p>
        </c:txPr>
        <c:crossAx val="656227688"/>
        <c:crosses val="autoZero"/>
        <c:lblAlgn val="ctr"/>
        <c:lblOffset val="100"/>
        <c:noMultiLvlLbl val="0"/>
      </c:catAx>
      <c:valAx>
        <c:axId val="656227688"/>
        <c:scaling>
          <c:orientation val="minMax"/>
          <c:max val="360"/>
          <c:min val="0"/>
        </c:scaling>
        <c:delete val="0"/>
        <c:axPos val="l"/>
        <c:numFmt formatCode="0" sourceLinked="0"/>
        <c:majorTickMark val="out"/>
        <c:minorTickMark val="none"/>
        <c:tickLblPos val="nextTo"/>
        <c:spPr>
          <a:noFill/>
          <a:ln w="3175">
            <a:solidFill>
              <a:sysClr val="window" lastClr="FFFFFF">
                <a:lumMod val="50000"/>
              </a:sysClr>
            </a:solidFill>
            <a:round/>
          </a:ln>
          <a:effectLst/>
        </c:spPr>
        <c:txPr>
          <a:bodyPr rot="0"/>
          <a:lstStyle/>
          <a:p>
            <a:pPr>
              <a:defRPr/>
            </a:pPr>
            <a:endParaRPr lang="lv-LV"/>
          </a:p>
        </c:txPr>
        <c:crossAx val="656226904"/>
        <c:crosses val="autoZero"/>
        <c:crossBetween val="between"/>
        <c:majorUnit val="120"/>
      </c:valAx>
      <c:spPr>
        <a:noFill/>
        <a:ln w="24631">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Arial Narrow" panose="020B0606020202030204" pitchFamily="34" charset="0"/>
          <a:ea typeface="Arial"/>
          <a:cs typeface="Arial"/>
        </a:defRPr>
      </a:pPr>
      <a:endParaRPr lang="lv-LV"/>
    </a:p>
  </c:txPr>
  <c:externalData r:id="rId1">
    <c:autoUpdate val="0"/>
  </c:externalData>
</c:chartSpace>
</file>

<file path=word/charts/chart3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5939056398438"/>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7148-4561-8DED-FC62A3C10DC6}"/>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7148-4561-8DED-FC62A3C10DC6}"/>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Sheet1!$B$2:$M$2</c:f>
              <c:numCache>
                <c:formatCode>0</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formatCode="General">
                  <c:v>2016</c:v>
                </c:pt>
              </c:numCache>
            </c:numRef>
          </c:cat>
          <c:val>
            <c:numRef>
              <c:f>Sheet1!$B$3:$M$3</c:f>
              <c:numCache>
                <c:formatCode>0</c:formatCode>
                <c:ptCount val="12"/>
                <c:pt idx="0">
                  <c:v>8.78243512974052</c:v>
                </c:pt>
                <c:pt idx="1">
                  <c:v>9.477124183006536</c:v>
                </c:pt>
                <c:pt idx="2">
                  <c:v>8.6538461538461533</c:v>
                </c:pt>
                <c:pt idx="3">
                  <c:v>10.698198198198197</c:v>
                </c:pt>
                <c:pt idx="4">
                  <c:v>10.989010989010989</c:v>
                </c:pt>
                <c:pt idx="5">
                  <c:v>11.627906976744187</c:v>
                </c:pt>
                <c:pt idx="6">
                  <c:v>11.898016997167138</c:v>
                </c:pt>
                <c:pt idx="7">
                  <c:v>12.561983471074381</c:v>
                </c:pt>
                <c:pt idx="8">
                  <c:v>13.083451202263083</c:v>
                </c:pt>
                <c:pt idx="9">
                  <c:v>11.433546140452698</c:v>
                </c:pt>
                <c:pt idx="10">
                  <c:v>13.569165786694825</c:v>
                </c:pt>
                <c:pt idx="11">
                  <c:v>18.804410911201394</c:v>
                </c:pt>
              </c:numCache>
            </c:numRef>
          </c:val>
          <c:extLst>
            <c:ext xmlns:c="http://schemas.openxmlformats.org/drawingml/2006/chart" xmlns:c16="http://schemas.microsoft.com/office/drawing/2014/chart" uri="{C3380CC4-5D6E-409C-BE32-E72D297353CC}">
              <c16:uniqueId val="{00000004-7148-4561-8DED-FC62A3C10DC6}"/>
            </c:ext>
          </c:extLst>
        </c:ser>
        <c:dLbls>
          <c:showLegendKey val="0"/>
          <c:showVal val="0"/>
          <c:showCatName val="0"/>
          <c:showSerName val="0"/>
          <c:showPercent val="0"/>
          <c:showBubbleSize val="0"/>
        </c:dLbls>
        <c:gapWidth val="20"/>
        <c:axId val="656230040"/>
        <c:axId val="656233176"/>
      </c:barChart>
      <c:catAx>
        <c:axId val="656230040"/>
        <c:scaling>
          <c:orientation val="minMax"/>
        </c:scaling>
        <c:delete val="0"/>
        <c:axPos val="b"/>
        <c:numFmt formatCode="0" sourceLinked="1"/>
        <c:majorTickMark val="out"/>
        <c:minorTickMark val="none"/>
        <c:tickLblPos val="low"/>
        <c:txPr>
          <a:bodyPr rot="-5400000" vert="horz"/>
          <a:lstStyle/>
          <a:p>
            <a:pPr>
              <a:defRPr/>
            </a:pPr>
            <a:endParaRPr lang="lv-LV"/>
          </a:p>
        </c:txPr>
        <c:crossAx val="656233176"/>
        <c:crosses val="autoZero"/>
        <c:auto val="1"/>
        <c:lblAlgn val="ctr"/>
        <c:lblOffset val="100"/>
        <c:noMultiLvlLbl val="0"/>
      </c:catAx>
      <c:valAx>
        <c:axId val="656233176"/>
        <c:scaling>
          <c:orientation val="minMax"/>
          <c:max val="20"/>
          <c:min val="0"/>
        </c:scaling>
        <c:delete val="0"/>
        <c:axPos val="l"/>
        <c:numFmt formatCode="0" sourceLinked="0"/>
        <c:majorTickMark val="out"/>
        <c:minorTickMark val="none"/>
        <c:tickLblPos val="nextTo"/>
        <c:crossAx val="656230040"/>
        <c:crosses val="autoZero"/>
        <c:crossBetween val="between"/>
        <c:majorUnit val="5"/>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3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572372897835"/>
          <c:y val="0.05489789386082837"/>
          <c:w val="0.9310540474739486"/>
          <c:h val="0.68998143524742339"/>
        </c:manualLayout>
      </c:layout>
      <c:barChart>
        <c:barDir val="col"/>
        <c:grouping val="clustered"/>
        <c:varyColors val="0"/>
        <c:ser>
          <c:idx val="1"/>
          <c:order val="0"/>
          <c:spPr>
            <a:solidFill>
              <a:schemeClr val="accent3">
                <a:lumMod val="50000"/>
              </a:schemeClr>
            </a:solidFill>
            <a:ln w="19050"/>
          </c:spPr>
          <c:invertIfNegative val="0"/>
          <c:dPt>
            <c:idx val="6"/>
            <c:invertIfNegative val="0"/>
            <c:bubble3D val="0"/>
            <c:extLst>
              <c:ext xmlns:c="http://schemas.openxmlformats.org/drawingml/2006/chart" xmlns:c16="http://schemas.microsoft.com/office/drawing/2014/chart" uri="{C3380CC4-5D6E-409C-BE32-E72D297353CC}">
                <c16:uniqueId val="{00000000-22E0-487A-B244-F0CD2444D580}"/>
              </c:ext>
            </c:extLst>
          </c:dPt>
          <c:dPt>
            <c:idx val="7"/>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2-22E0-487A-B244-F0CD2444D580}"/>
              </c:ext>
            </c:extLst>
          </c:dPt>
          <c:dPt>
            <c:idx val="9"/>
            <c:invertIfNegative val="0"/>
            <c:bubble3D val="0"/>
            <c:extLst>
              <c:ext xmlns:c="http://schemas.openxmlformats.org/drawingml/2006/chart" xmlns:c16="http://schemas.microsoft.com/office/drawing/2014/chart" uri="{C3380CC4-5D6E-409C-BE32-E72D297353CC}">
                <c16:uniqueId val="{00000003-22E0-487A-B244-F0CD2444D580}"/>
              </c:ext>
            </c:extLst>
          </c:dPt>
          <c:dPt>
            <c:idx val="18"/>
            <c:invertIfNegative val="0"/>
            <c:bubble3D val="0"/>
            <c:spPr>
              <a:ln w="19050"/>
            </c:spPr>
            <c:extLst>
              <c:ext xmlns:c="http://schemas.openxmlformats.org/drawingml/2006/chart" xmlns:c16="http://schemas.microsoft.com/office/drawing/2014/chart" uri="{C3380CC4-5D6E-409C-BE32-E72D297353CC}">
                <c16:uniqueId val="{00000005-22E0-487A-B244-F0CD2444D580}"/>
              </c:ext>
            </c:extLst>
          </c:dPt>
          <c:dPt>
            <c:idx val="19"/>
            <c:invertIfNegative val="0"/>
            <c:bubble3D val="0"/>
            <c:extLst>
              <c:ext xmlns:c="http://schemas.openxmlformats.org/drawingml/2006/chart" xmlns:c16="http://schemas.microsoft.com/office/drawing/2014/chart" uri="{C3380CC4-5D6E-409C-BE32-E72D297353CC}">
                <c16:uniqueId val="{00000006-22E0-487A-B244-F0CD2444D580}"/>
              </c:ext>
            </c:extLst>
          </c:dPt>
          <c:dPt>
            <c:idx val="25"/>
            <c:invertIfNegative val="0"/>
            <c:bubble3D val="0"/>
            <c:extLst>
              <c:ext xmlns:c="http://schemas.openxmlformats.org/drawingml/2006/chart" xmlns:c16="http://schemas.microsoft.com/office/drawing/2014/chart" uri="{C3380CC4-5D6E-409C-BE32-E72D297353CC}">
                <c16:uniqueId val="{00000007-22E0-487A-B244-F0CD2444D580}"/>
              </c:ext>
            </c:extLst>
          </c:dPt>
          <c:dLbls>
            <c:dLbl>
              <c:idx val="0"/>
              <c:spPr>
                <a:noFill/>
                <a:ln>
                  <a:noFill/>
                </a:ln>
                <a:effectLst/>
              </c:spPr>
              <c:txPr>
                <a:bodyPr wrap="square" lIns="38100" tIns="19050" rIns="38100" bIns="19050" anchor="ctr">
                  <a:spAutoFit/>
                </a:bodyPr>
                <a:lstStyle/>
                <a:p>
                  <a:pPr>
                    <a:defRPr sz="600">
                      <a:solidFill>
                        <a:schemeClr val="bg1"/>
                      </a:solidFill>
                    </a:defRPr>
                  </a:pPr>
                  <a:endParaRPr lang="lv-LV"/>
                </a:p>
              </c:txPr>
              <c:dLblPos val="inBase"/>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22E0-487A-B244-F0CD2444D580}"/>
                </c:ext>
                <c:ext xmlns:c15="http://schemas.microsoft.com/office/drawing/2012/chart" uri="{CE6537A1-D6FC-4f65-9D91-7224C49458BB}"/>
              </c:extLst>
            </c:dLbl>
            <c:dLbl>
              <c:idx val="18"/>
              <c:spPr>
                <a:noFill/>
                <a:ln>
                  <a:noFill/>
                </a:ln>
                <a:effectLst/>
              </c:spPr>
              <c:txPr>
                <a:bodyPr wrap="square" lIns="38100" tIns="19050" rIns="38100" bIns="19050" anchor="ctr">
                  <a:spAutoFit/>
                </a:bodyPr>
                <a:lstStyle/>
                <a:p>
                  <a:pPr>
                    <a:defRPr sz="600" b="1"/>
                  </a:pPr>
                  <a:endParaRPr lang="lv-LV"/>
                </a:p>
              </c:txPr>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Sheet1!$A$4:$A$26</c:f>
              <c:strCache>
                <c:ptCount val="23"/>
                <c:pt idx="0">
                  <c:v>IE</c:v>
                </c:pt>
                <c:pt idx="1">
                  <c:v>CY</c:v>
                </c:pt>
                <c:pt idx="2">
                  <c:v>NL</c:v>
                </c:pt>
                <c:pt idx="3">
                  <c:v>FI</c:v>
                </c:pt>
                <c:pt idx="4">
                  <c:v>BE</c:v>
                </c:pt>
                <c:pt idx="5">
                  <c:v>AT</c:v>
                </c:pt>
                <c:pt idx="6">
                  <c:v>DK</c:v>
                </c:pt>
                <c:pt idx="7">
                  <c:v>EU-28</c:v>
                </c:pt>
                <c:pt idx="8">
                  <c:v>DE</c:v>
                </c:pt>
                <c:pt idx="9">
                  <c:v>HR</c:v>
                </c:pt>
                <c:pt idx="10">
                  <c:v>RO</c:v>
                </c:pt>
                <c:pt idx="11">
                  <c:v>CZ</c:v>
                </c:pt>
                <c:pt idx="12">
                  <c:v>HU</c:v>
                </c:pt>
                <c:pt idx="13">
                  <c:v>EL</c:v>
                </c:pt>
                <c:pt idx="14">
                  <c:v>FR</c:v>
                </c:pt>
                <c:pt idx="15">
                  <c:v>EE</c:v>
                </c:pt>
                <c:pt idx="16">
                  <c:v>PL</c:v>
                </c:pt>
                <c:pt idx="17">
                  <c:v>PT</c:v>
                </c:pt>
                <c:pt idx="18">
                  <c:v>LV</c:v>
                </c:pt>
                <c:pt idx="19">
                  <c:v>SK</c:v>
                </c:pt>
                <c:pt idx="20">
                  <c:v>BG</c:v>
                </c:pt>
                <c:pt idx="21">
                  <c:v>LT</c:v>
                </c:pt>
                <c:pt idx="22">
                  <c:v>IT</c:v>
                </c:pt>
              </c:strCache>
            </c:strRef>
          </c:cat>
          <c:val>
            <c:numRef>
              <c:f>Sheet1!$B$4:$B$26</c:f>
              <c:numCache>
                <c:formatCode>0</c:formatCode>
                <c:ptCount val="23"/>
                <c:pt idx="0">
                  <c:v>1354.9186128803963</c:v>
                </c:pt>
                <c:pt idx="1">
                  <c:v>328.32369942196533</c:v>
                </c:pt>
                <c:pt idx="2">
                  <c:v>127.24098360655736</c:v>
                </c:pt>
                <c:pt idx="3">
                  <c:v>116.92561983471074</c:v>
                </c:pt>
                <c:pt idx="4">
                  <c:v>96.6984126984127</c:v>
                </c:pt>
                <c:pt idx="5">
                  <c:v>61.165480427046262</c:v>
                </c:pt>
                <c:pt idx="6">
                  <c:v>61.062</c:v>
                </c:pt>
                <c:pt idx="7">
                  <c:v>46.149748656877243</c:v>
                </c:pt>
                <c:pt idx="8">
                  <c:v>29.162337662337663</c:v>
                </c:pt>
                <c:pt idx="9">
                  <c:v>24.818959842001316</c:v>
                </c:pt>
                <c:pt idx="10">
                  <c:v>23.38532110091743</c:v>
                </c:pt>
                <c:pt idx="11">
                  <c:v>22.784624081401919</c:v>
                </c:pt>
                <c:pt idx="12">
                  <c:v>20.927499291985274</c:v>
                </c:pt>
                <c:pt idx="13">
                  <c:v>20.86790855207451</c:v>
                </c:pt>
                <c:pt idx="14">
                  <c:v>19.598765432098766</c:v>
                </c:pt>
                <c:pt idx="15">
                  <c:v>18.70422535211268</c:v>
                </c:pt>
                <c:pt idx="16">
                  <c:v>18.117615467239528</c:v>
                </c:pt>
                <c:pt idx="17">
                  <c:v>14.903746636307183</c:v>
                </c:pt>
                <c:pt idx="18">
                  <c:v>14</c:v>
                </c:pt>
                <c:pt idx="19">
                  <c:v>12.223113964686997</c:v>
                </c:pt>
                <c:pt idx="20">
                  <c:v>11.475770925110133</c:v>
                </c:pt>
                <c:pt idx="21">
                  <c:v>9.5095693779904309</c:v>
                </c:pt>
                <c:pt idx="22">
                  <c:v>8.9223014507007612</c:v>
                </c:pt>
              </c:numCache>
            </c:numRef>
          </c:val>
          <c:extLst>
            <c:ext xmlns:c="http://schemas.openxmlformats.org/drawingml/2006/chart" xmlns:c16="http://schemas.microsoft.com/office/drawing/2014/chart" uri="{C3380CC4-5D6E-409C-BE32-E72D297353CC}">
              <c16:uniqueId val="{00000009-22E0-487A-B244-F0CD2444D580}"/>
            </c:ext>
          </c:extLst>
        </c:ser>
        <c:dLbls>
          <c:showLegendKey val="0"/>
          <c:showVal val="0"/>
          <c:showCatName val="0"/>
          <c:showSerName val="0"/>
          <c:showPercent val="0"/>
          <c:showBubbleSize val="0"/>
        </c:dLbls>
        <c:gapWidth val="20"/>
        <c:axId val="656236704"/>
        <c:axId val="656228080"/>
      </c:barChart>
      <c:catAx>
        <c:axId val="656236704"/>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56228080"/>
        <c:crosses val="autoZero"/>
        <c:auto val="1"/>
        <c:lblAlgn val="ctr"/>
        <c:lblOffset val="100"/>
        <c:tickLblSkip val="1"/>
        <c:noMultiLvlLbl val="0"/>
      </c:catAx>
      <c:valAx>
        <c:axId val="656228080"/>
        <c:scaling>
          <c:orientation val="minMax"/>
          <c:max val="350"/>
        </c:scaling>
        <c:delete val="0"/>
        <c:axPos val="l"/>
        <c:numFmt formatCode="0" sourceLinked="0"/>
        <c:majorTickMark val="out"/>
        <c:minorTickMark val="none"/>
        <c:tickLblPos val="nextTo"/>
        <c:txPr>
          <a:bodyPr/>
          <a:lstStyle/>
          <a:p>
            <a:pPr>
              <a:defRPr sz="600"/>
            </a:pPr>
            <a:endParaRPr lang="lv-LV"/>
          </a:p>
        </c:txPr>
        <c:crossAx val="656236704"/>
        <c:crosses val="autoZero"/>
        <c:crossBetween val="between"/>
      </c:valAx>
    </c:plotArea>
    <c:plotVisOnly val="1"/>
    <c:dispBlanksAs val="gap"/>
    <c:showDLblsOverMax val="0"/>
  </c:chart>
  <c:spPr>
    <a:ln w="9525">
      <a:noFill/>
    </a:ln>
  </c:spPr>
  <c:externalData r:id="rId1">
    <c:autoUpdate val="0"/>
  </c:externalData>
</c:chartSpace>
</file>

<file path=word/charts/chart3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52508522641565"/>
          <c:y val="0.16330796394183317"/>
          <c:w val="0.52181675566416263"/>
          <c:h val="0.709344652230971"/>
        </c:manualLayout>
      </c:layout>
      <c:pieChart>
        <c:varyColors val="1"/>
        <c:ser>
          <c:idx val="0"/>
          <c:order val="0"/>
          <c:tx>
            <c:strRef>
              <c:f>Sheet1!$B$1</c:f>
              <c:strCache>
                <c:ptCount val="1"/>
                <c:pt idx="0">
                  <c:v>Column1</c:v>
                </c:pt>
              </c:strCache>
            </c:strRef>
          </c:tx>
          <c:dPt>
            <c:idx val="0"/>
            <c:bubble3D val="0"/>
            <c:spPr>
              <a:solidFill>
                <a:schemeClr val="accent1"/>
              </a:solidFill>
              <a:ln>
                <a:noFill/>
              </a:ln>
              <a:effectLst/>
            </c:spPr>
            <c:extLst>
              <c:ext xmlns:c="http://schemas.openxmlformats.org/drawingml/2006/chart" xmlns:c16="http://schemas.microsoft.com/office/drawing/2014/chart" uri="{C3380CC4-5D6E-409C-BE32-E72D297353CC}">
                <c16:uniqueId val="{00000001-7D19-43B8-B310-A9CE8AE3BF3E}"/>
              </c:ext>
            </c:extLst>
          </c:dPt>
          <c:dPt>
            <c:idx val="1"/>
            <c:bubble3D val="0"/>
            <c:spPr>
              <a:solidFill>
                <a:schemeClr val="accent2"/>
              </a:solidFill>
              <a:ln>
                <a:noFill/>
              </a:ln>
              <a:effectLst/>
            </c:spPr>
            <c:extLst>
              <c:ext xmlns:c="http://schemas.openxmlformats.org/drawingml/2006/chart" xmlns:c16="http://schemas.microsoft.com/office/drawing/2014/chart" uri="{C3380CC4-5D6E-409C-BE32-E72D297353CC}">
                <c16:uniqueId val="{00000003-7D19-43B8-B310-A9CE8AE3BF3E}"/>
              </c:ext>
            </c:extLst>
          </c:dPt>
          <c:dPt>
            <c:idx val="2"/>
            <c:bubble3D val="0"/>
            <c:spPr>
              <a:solidFill>
                <a:schemeClr val="accent3"/>
              </a:solidFill>
              <a:ln>
                <a:noFill/>
              </a:ln>
              <a:effectLst/>
            </c:spPr>
            <c:extLst>
              <c:ext xmlns:c="http://schemas.openxmlformats.org/drawingml/2006/chart" xmlns:c16="http://schemas.microsoft.com/office/drawing/2014/chart" uri="{C3380CC4-5D6E-409C-BE32-E72D297353CC}">
                <c16:uniqueId val="{00000005-7D19-43B8-B310-A9CE8AE3BF3E}"/>
              </c:ext>
            </c:extLst>
          </c:dPt>
          <c:dPt>
            <c:idx val="3"/>
            <c:bubble3D val="0"/>
            <c:spPr>
              <a:solidFill>
                <a:schemeClr val="accent4"/>
              </a:solidFill>
              <a:ln>
                <a:noFill/>
              </a:ln>
              <a:effectLst/>
            </c:spPr>
            <c:extLst>
              <c:ext xmlns:c="http://schemas.openxmlformats.org/drawingml/2006/chart" xmlns:c16="http://schemas.microsoft.com/office/drawing/2014/chart" uri="{C3380CC4-5D6E-409C-BE32-E72D297353CC}">
                <c16:uniqueId val="{00000007-7D19-43B8-B310-A9CE8AE3BF3E}"/>
              </c:ext>
            </c:extLst>
          </c:dPt>
          <c:dPt>
            <c:idx val="4"/>
            <c:bubble3D val="0"/>
            <c:spPr>
              <a:solidFill>
                <a:schemeClr val="accent5"/>
              </a:solidFill>
              <a:ln>
                <a:noFill/>
              </a:ln>
              <a:effectLst/>
            </c:spPr>
            <c:extLst>
              <c:ext xmlns:c="http://schemas.openxmlformats.org/drawingml/2006/chart" xmlns:c16="http://schemas.microsoft.com/office/drawing/2014/chart" uri="{C3380CC4-5D6E-409C-BE32-E72D297353CC}">
                <c16:uniqueId val="{00000009-7D19-43B8-B310-A9CE8AE3BF3E}"/>
              </c:ext>
            </c:extLst>
          </c:dPt>
          <c:dPt>
            <c:idx val="5"/>
            <c:bubble3D val="0"/>
            <c:spPr>
              <a:solidFill>
                <a:schemeClr val="accent6"/>
              </a:solidFill>
              <a:ln>
                <a:noFill/>
              </a:ln>
              <a:effectLst/>
            </c:spPr>
            <c:extLst>
              <c:ext xmlns:c="http://schemas.openxmlformats.org/drawingml/2006/chart" xmlns:c16="http://schemas.microsoft.com/office/drawing/2014/chart" uri="{C3380CC4-5D6E-409C-BE32-E72D297353CC}">
                <c16:uniqueId val="{0000000B-7D19-43B8-B310-A9CE8AE3BF3E}"/>
              </c:ext>
            </c:extLst>
          </c:dPt>
          <c:dPt>
            <c:idx val="6"/>
            <c:bubble3D val="0"/>
            <c:spPr>
              <a:solidFill>
                <a:schemeClr val="accent1">
                  <a:lumMod val="60000"/>
                </a:schemeClr>
              </a:solidFill>
              <a:ln>
                <a:noFill/>
              </a:ln>
              <a:effectLst/>
            </c:spPr>
            <c:extLst>
              <c:ext xmlns:c="http://schemas.openxmlformats.org/drawingml/2006/chart" xmlns:c16="http://schemas.microsoft.com/office/drawing/2014/chart" uri="{C3380CC4-5D6E-409C-BE32-E72D297353CC}">
                <c16:uniqueId val="{0000000D-7D19-43B8-B310-A9CE8AE3BF3E}"/>
              </c:ext>
            </c:extLst>
          </c:dPt>
          <c:dLbls>
            <c:dLbl>
              <c:idx val="3"/>
              <c:layout>
                <c:manualLayout>
                  <c:x val="0.050960407683261467"/>
                  <c:y val="-1.7022396980082441E-16"/>
                </c:manualLayout>
              </c:layout>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7-7D19-43B8-B310-A9CE8AE3BF3E}"/>
                </c:ext>
                <c:ext xmlns:c15="http://schemas.microsoft.com/office/drawing/2012/chart" uri="{CE6537A1-D6FC-4f65-9D91-7224C49458BB}"/>
              </c:extLst>
            </c:dLbl>
            <c:dLbl>
              <c:idx val="4"/>
              <c:layout>
                <c:manualLayout>
                  <c:x val="0"/>
                  <c:y val="0.037140569824315135"/>
                </c:manualLayout>
              </c:layout>
              <c:spPr>
                <a:noFill/>
                <a:ln>
                  <a:noFill/>
                </a:ln>
                <a:effectLst/>
              </c:spPr>
              <c:txPr>
                <a:bodyPr wrap="square" lIns="38100" tIns="19050" rIns="38100" bIns="19050" anchor="ctr"/>
                <a:lstStyle/>
                <a:p>
                  <a:pPr>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9-7D19-43B8-B310-A9CE8AE3BF3E}"/>
                </c:ext>
                <c:ext xmlns:c15="http://schemas.microsoft.com/office/drawing/2012/chart" uri="{CE6537A1-D6FC-4f65-9D91-7224C49458BB}">
                  <c15:layout>
                    <c:manualLayout>
                      <c:w val="0.32542155770317027"/>
                      <c:h val="0.13491179201485606"/>
                    </c:manualLayout>
                  </c15:layout>
                </c:ext>
              </c:extLst>
            </c:dLbl>
            <c:dLbl>
              <c:idx val="5"/>
              <c:layout>
                <c:manualLayout>
                  <c:x val="-1.7966602849420611E-17"/>
                  <c:y val="0.018570102135561744"/>
                </c:manualLayout>
              </c:layout>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B-7D19-43B8-B310-A9CE8AE3BF3E}"/>
                </c:ext>
                <c:ext xmlns:c15="http://schemas.microsoft.com/office/drawing/2012/chart" uri="{CE6537A1-D6FC-4f65-9D91-7224C49458BB}"/>
              </c:extLst>
            </c:dLbl>
            <c:dLbl>
              <c:idx val="6"/>
              <c:layout>
                <c:manualLayout>
                  <c:x val="0"/>
                  <c:y val="0.018570102135561831"/>
                </c:manualLayout>
              </c:layout>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D-7D19-43B8-B310-A9CE8AE3BF3E}"/>
                </c:ext>
                <c:ext xmlns:c15="http://schemas.microsoft.com/office/drawing/2012/chart" uri="{CE6537A1-D6FC-4f65-9D91-7224C49458BB}"/>
              </c:extLst>
            </c:dLbl>
            <c:dLbl>
              <c:idx val="8"/>
              <c:layout>
                <c:manualLayout>
                  <c:x val="-0.0078400627205017642"/>
                  <c:y val="0.018570102135561744"/>
                </c:manualLayout>
              </c:layout>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E-7D19-43B8-B310-A9CE8AE3BF3E}"/>
                </c:ext>
                <c:ext xmlns:c15="http://schemas.microsoft.com/office/drawing/2012/chart" uri="{CE6537A1-D6FC-4f65-9D91-7224C49458BB}"/>
              </c:extLst>
            </c:dLbl>
            <c:dLbl>
              <c:idx val="10"/>
              <c:layout>
                <c:manualLayout>
                  <c:x val="0.0078400627205017642"/>
                  <c:y val="-0.055710306406685235"/>
                </c:manualLayout>
              </c:layout>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F-7D19-43B8-B310-A9CE8AE3BF3E}"/>
                </c:ext>
                <c:ext xmlns:c15="http://schemas.microsoft.com/office/drawing/2012/chart" uri="{CE6537A1-D6FC-4f65-9D91-7224C49458BB}"/>
              </c:extLst>
            </c:dLbl>
            <c:dLbl>
              <c:idx val="11"/>
              <c:layout>
                <c:manualLayout>
                  <c:x val="0.14504116032928263"/>
                  <c:y val="0.037140204271123488"/>
                </c:manualLayout>
              </c:layout>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10-7D19-43B8-B310-A9CE8AE3BF3E}"/>
                </c:ex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Sheet1!$A$2:$A$13</c:f>
              <c:strCache>
                <c:ptCount val="12"/>
                <c:pt idx="0">
                  <c:v>ASV</c:v>
                </c:pt>
                <c:pt idx="1">
                  <c:v>Zviedrija</c:v>
                </c:pt>
                <c:pt idx="2">
                  <c:v>Kipra</c:v>
                </c:pt>
                <c:pt idx="3">
                  <c:v>Somija</c:v>
                </c:pt>
                <c:pt idx="4">
                  <c:v>Apvienotā Karaliste</c:v>
                </c:pt>
                <c:pt idx="5">
                  <c:v>Krievija</c:v>
                </c:pt>
                <c:pt idx="6">
                  <c:v>Dānija</c:v>
                </c:pt>
                <c:pt idx="7">
                  <c:v>Nīderlande</c:v>
                </c:pt>
                <c:pt idx="8">
                  <c:v>Vācija</c:v>
                </c:pt>
                <c:pt idx="9">
                  <c:v>Itālija</c:v>
                </c:pt>
                <c:pt idx="10">
                  <c:v>Norvēģija</c:v>
                </c:pt>
                <c:pt idx="11">
                  <c:v>Citas valstis</c:v>
                </c:pt>
              </c:strCache>
            </c:strRef>
          </c:cat>
          <c:val>
            <c:numRef>
              <c:f>Sheet1!$B$2:$B$13</c:f>
              <c:numCache>
                <c:formatCode>0.0</c:formatCode>
                <c:ptCount val="12"/>
                <c:pt idx="0">
                  <c:v>10.2</c:v>
                </c:pt>
                <c:pt idx="1">
                  <c:v>9.1</c:v>
                </c:pt>
                <c:pt idx="2">
                  <c:v>8.6</c:v>
                </c:pt>
                <c:pt idx="3">
                  <c:v>6.6</c:v>
                </c:pt>
                <c:pt idx="4">
                  <c:v>5.4</c:v>
                </c:pt>
                <c:pt idx="5">
                  <c:v>4.1</c:v>
                </c:pt>
                <c:pt idx="6">
                  <c:v>3.6</c:v>
                </c:pt>
                <c:pt idx="7">
                  <c:v>3.6</c:v>
                </c:pt>
                <c:pt idx="8">
                  <c:v>3</c:v>
                </c:pt>
                <c:pt idx="9">
                  <c:v>3</c:v>
                </c:pt>
                <c:pt idx="10">
                  <c:v>0.6</c:v>
                </c:pt>
                <c:pt idx="11">
                  <c:v>42.199999999999996</c:v>
                </c:pt>
              </c:numCache>
            </c:numRef>
          </c:val>
          <c:extLst>
            <c:ext xmlns:c="http://schemas.openxmlformats.org/drawingml/2006/chart" xmlns:c16="http://schemas.microsoft.com/office/drawing/2014/chart" uri="{C3380CC4-5D6E-409C-BE32-E72D297353CC}">
              <c16:uniqueId val="{00000011-7D19-43B8-B310-A9CE8AE3BF3E}"/>
            </c:ext>
          </c:extLst>
        </c:ser>
        <c:dLbls>
          <c:showLegendKey val="0"/>
          <c:showVal val="0"/>
          <c:showCatName val="0"/>
          <c:showSerName val="0"/>
          <c:showPercent val="0"/>
          <c:showBubbleSize val="0"/>
          <c:showLeaderLines val="0"/>
        </c:dLbls>
        <c:firstSliceAng val="80"/>
      </c:pieChart>
      <c:spPr>
        <a:noFill/>
        <a:ln>
          <a:noFill/>
        </a:ln>
        <a:effectLst/>
      </c:spPr>
    </c:plotArea>
    <c:plotVisOnly val="1"/>
    <c:dispBlanksAs val="zero"/>
    <c:showDLblsOverMax val="0"/>
  </c:chart>
  <c:spPr>
    <a:noFill/>
    <a:ln w="9525">
      <a:noFill/>
      <a:round/>
    </a:ln>
    <a:effectLst/>
  </c:spPr>
  <c:txPr>
    <a:bodyPr/>
    <a:lstStyle/>
    <a:p>
      <a:pPr>
        <a:defRPr sz="800">
          <a:latin typeface="Candara" panose="020E0502030303020204" pitchFamily="34" charset="0"/>
        </a:defRPr>
      </a:pPr>
      <a:endParaRPr lang="lv-LV"/>
    </a:p>
  </c:txPr>
  <c:externalData r:id="rId1">
    <c:autoUpdate val="0"/>
  </c:externalData>
</c:chartSpace>
</file>

<file path=word/charts/chart3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darbaspēka izmaksas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AC18-46A2-8371-BA8B5B3650E8}"/>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AC18-46A2-8371-BA8B5B3650E8}"/>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Sheet1!$B$2:$L$2</c:f>
              <c:numCache>
                <c:formatCode>0</c:formatCode>
                <c:ptCount val="11"/>
                <c:pt idx="0">
                  <c:v>2005</c:v>
                </c:pt>
                <c:pt idx="1">
                  <c:v>2006</c:v>
                </c:pt>
                <c:pt idx="2">
                  <c:v>2007</c:v>
                </c:pt>
                <c:pt idx="3">
                  <c:v>2008</c:v>
                </c:pt>
                <c:pt idx="4">
                  <c:v>2009</c:v>
                </c:pt>
                <c:pt idx="5">
                  <c:v>2010</c:v>
                </c:pt>
                <c:pt idx="6">
                  <c:v>2011</c:v>
                </c:pt>
                <c:pt idx="7">
                  <c:v>2012</c:v>
                </c:pt>
                <c:pt idx="8">
                  <c:v>2013</c:v>
                </c:pt>
                <c:pt idx="9" formatCode="General">
                  <c:v>2014</c:v>
                </c:pt>
                <c:pt idx="10" formatCode="General">
                  <c:v>2015</c:v>
                </c:pt>
              </c:numCache>
            </c:numRef>
          </c:cat>
          <c:val>
            <c:numRef>
              <c:f>Sheet1!$B$3:$L$3</c:f>
              <c:numCache>
                <c:formatCode>0.0</c:formatCode>
                <c:ptCount val="11"/>
                <c:pt idx="0">
                  <c:v>15.913242009132421</c:v>
                </c:pt>
                <c:pt idx="1">
                  <c:v>17.612781954887218</c:v>
                </c:pt>
                <c:pt idx="2">
                  <c:v>18.677462887989204</c:v>
                </c:pt>
                <c:pt idx="3">
                  <c:v>21.990171990171987</c:v>
                </c:pt>
                <c:pt idx="4">
                  <c:v>21.49867374005305</c:v>
                </c:pt>
                <c:pt idx="5">
                  <c:v>19.490616621983914</c:v>
                </c:pt>
                <c:pt idx="6">
                  <c:v>19.493392070484582</c:v>
                </c:pt>
                <c:pt idx="7">
                  <c:v>20.862851952770207</c:v>
                </c:pt>
                <c:pt idx="8">
                  <c:v>21.2591389114541</c:v>
                </c:pt>
                <c:pt idx="9">
                  <c:v>21.795048143053645</c:v>
                </c:pt>
                <c:pt idx="10" formatCode="General">
                  <c:v>24.767156862745097</c:v>
                </c:pt>
              </c:numCache>
            </c:numRef>
          </c:val>
          <c:extLst>
            <c:ext xmlns:c="http://schemas.openxmlformats.org/drawingml/2006/chart" xmlns:c16="http://schemas.microsoft.com/office/drawing/2014/chart" uri="{C3380CC4-5D6E-409C-BE32-E72D297353CC}">
              <c16:uniqueId val="{00000004-AC18-46A2-8371-BA8B5B3650E8}"/>
            </c:ext>
          </c:extLst>
        </c:ser>
        <c:dLbls>
          <c:showLegendKey val="0"/>
          <c:showVal val="0"/>
          <c:showCatName val="0"/>
          <c:showSerName val="0"/>
          <c:showPercent val="0"/>
          <c:showBubbleSize val="0"/>
        </c:dLbls>
        <c:gapWidth val="20"/>
        <c:axId val="656233568"/>
        <c:axId val="656235136"/>
      </c:barChart>
      <c:catAx>
        <c:axId val="656233568"/>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56235136"/>
        <c:crosses val="autoZero"/>
        <c:auto val="1"/>
        <c:lblAlgn val="ctr"/>
        <c:lblOffset val="100"/>
        <c:noMultiLvlLbl val="0"/>
      </c:catAx>
      <c:valAx>
        <c:axId val="656235136"/>
        <c:scaling>
          <c:orientation val="minMax"/>
          <c:max val="30"/>
          <c:min val="0"/>
        </c:scaling>
        <c:delete val="0"/>
        <c:axPos val="l"/>
        <c:numFmt formatCode="0" sourceLinked="0"/>
        <c:majorTickMark val="out"/>
        <c:minorTickMark val="none"/>
        <c:tickLblPos val="nextTo"/>
        <c:crossAx val="656233568"/>
        <c:crosses val="autoZero"/>
        <c:crossBetween val="between"/>
        <c:majorUnit val="5"/>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3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produktivitātes dinamika</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191D-461C-B1DE-87FBD8BF8A62}"/>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191D-461C-B1DE-87FBD8BF8A62}"/>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Sheet1!$B$2:$L$2</c:f>
              <c:numCache>
                <c:formatCode>0</c:formatCode>
                <c:ptCount val="11"/>
                <c:pt idx="0">
                  <c:v>2005</c:v>
                </c:pt>
                <c:pt idx="1">
                  <c:v>2006</c:v>
                </c:pt>
                <c:pt idx="2">
                  <c:v>2007</c:v>
                </c:pt>
                <c:pt idx="3">
                  <c:v>2008</c:v>
                </c:pt>
                <c:pt idx="4">
                  <c:v>2009</c:v>
                </c:pt>
                <c:pt idx="5">
                  <c:v>2010</c:v>
                </c:pt>
                <c:pt idx="6">
                  <c:v>2011</c:v>
                </c:pt>
                <c:pt idx="7">
                  <c:v>2012</c:v>
                </c:pt>
                <c:pt idx="8">
                  <c:v>2013</c:v>
                </c:pt>
                <c:pt idx="9" formatCode="General">
                  <c:v>2014</c:v>
                </c:pt>
                <c:pt idx="10" formatCode="General">
                  <c:v>2015</c:v>
                </c:pt>
              </c:numCache>
            </c:numRef>
          </c:cat>
          <c:val>
            <c:numRef>
              <c:f>Sheet1!$B$3:$L$3</c:f>
              <c:numCache>
                <c:formatCode>0.0</c:formatCode>
                <c:ptCount val="11"/>
                <c:pt idx="0">
                  <c:v>42.275449101796411</c:v>
                </c:pt>
                <c:pt idx="1">
                  <c:v>37.565359477124183</c:v>
                </c:pt>
                <c:pt idx="2">
                  <c:v>31.838942307692303</c:v>
                </c:pt>
                <c:pt idx="3">
                  <c:v>36.272522522522522</c:v>
                </c:pt>
                <c:pt idx="4">
                  <c:v>32.588522588522586</c:v>
                </c:pt>
                <c:pt idx="5">
                  <c:v>28.872093023255818</c:v>
                </c:pt>
                <c:pt idx="6">
                  <c:v>26.836638338054769</c:v>
                </c:pt>
                <c:pt idx="7">
                  <c:v>28.735537190082646</c:v>
                </c:pt>
                <c:pt idx="8">
                  <c:v>27.489391796322487</c:v>
                </c:pt>
                <c:pt idx="9">
                  <c:v>22.135809634358676</c:v>
                </c:pt>
                <c:pt idx="10" formatCode="General">
                  <c:v>21.282998944033789</c:v>
                </c:pt>
              </c:numCache>
            </c:numRef>
          </c:val>
          <c:extLst>
            <c:ext xmlns:c="http://schemas.openxmlformats.org/drawingml/2006/chart" xmlns:c16="http://schemas.microsoft.com/office/drawing/2014/chart" uri="{C3380CC4-5D6E-409C-BE32-E72D297353CC}">
              <c16:uniqueId val="{00000004-191D-461C-B1DE-87FBD8BF8A62}"/>
            </c:ext>
          </c:extLst>
        </c:ser>
        <c:dLbls>
          <c:showLegendKey val="0"/>
          <c:showVal val="0"/>
          <c:showCatName val="0"/>
          <c:showSerName val="0"/>
          <c:showPercent val="0"/>
          <c:showBubbleSize val="0"/>
        </c:dLbls>
        <c:gapWidth val="20"/>
        <c:axId val="656234352"/>
        <c:axId val="656234744"/>
      </c:barChart>
      <c:catAx>
        <c:axId val="656234352"/>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56234744"/>
        <c:crosses val="autoZero"/>
        <c:auto val="1"/>
        <c:lblAlgn val="ctr"/>
        <c:lblOffset val="100"/>
        <c:noMultiLvlLbl val="0"/>
      </c:catAx>
      <c:valAx>
        <c:axId val="656234744"/>
        <c:scaling>
          <c:orientation val="minMax"/>
        </c:scaling>
        <c:delete val="0"/>
        <c:axPos val="l"/>
        <c:numFmt formatCode="0" sourceLinked="0"/>
        <c:majorTickMark val="out"/>
        <c:minorTickMark val="none"/>
        <c:tickLblPos val="nextTo"/>
        <c:crossAx val="656234352"/>
        <c:crosses val="autoZero"/>
        <c:crossBetween val="between"/>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36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72841410287632"/>
          <c:y val="0.057971014492753624"/>
          <c:w val="0.69294856184214082"/>
          <c:h val="0.726718711443121"/>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extLst>
              <c:ext xmlns:c="http://schemas.openxmlformats.org/drawingml/2006/chart" xmlns:c16="http://schemas.microsoft.com/office/drawing/2014/chart" uri="{C3380CC4-5D6E-409C-BE32-E72D297353CC}">
                <c16:uniqueId val="{00000000-77D2-41CD-BC07-9FC889F2D3DB}"/>
              </c:ext>
            </c:extLst>
          </c:dPt>
          <c:dLbls>
            <c:dLbl>
              <c:idx val="0"/>
              <c:layout>
                <c:manualLayout>
                  <c:x val="-0.15402278323456992"/>
                  <c:y val="0.045176211947865488"/>
                </c:manualLayout>
              </c:layout>
              <c:tx>
                <c:rich>
                  <a:bodyPr vertOverflow="clip"/>
                  <a:lstStyle/>
                  <a:p>
                    <a:r>
                      <a:rPr lang="en-US"/>
                      <a:t>2005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77D2-41CD-BC07-9FC889F2D3DB}"/>
                </c:ext>
                <c:ext xmlns:c15="http://schemas.microsoft.com/office/drawing/2012/chart" uri="{CE6537A1-D6FC-4f65-9D91-7224C49458BB}"/>
              </c:extLst>
            </c:dLbl>
            <c:dLbl>
              <c:idx val="1"/>
              <c:layout>
                <c:manualLayout>
                  <c:x val="-0.26116351435452012"/>
                  <c:y val="-0.0515732328330753"/>
                </c:manualLayout>
              </c:layout>
              <c:tx>
                <c:rich>
                  <a:bodyPr vertOverflow="clip"/>
                  <a:lstStyle/>
                  <a:p>
                    <a:r>
                      <a:rPr lang="en-US"/>
                      <a:t>2007</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77D2-41CD-BC07-9FC889F2D3DB}"/>
                </c:ext>
                <c:ext xmlns:c15="http://schemas.microsoft.com/office/drawing/2012/chart" uri="{CE6537A1-D6FC-4f65-9D91-7224C49458BB}"/>
              </c:extLst>
            </c:dLbl>
            <c:dLbl>
              <c:idx val="2"/>
              <c:layout>
                <c:manualLayout>
                  <c:x val="-0.24390507887544979"/>
                  <c:y val="-0.044410346142629606"/>
                </c:manualLayout>
              </c:layout>
              <c:tx>
                <c:rich>
                  <a:bodyPr vertOverflow="clip"/>
                  <a:lstStyle/>
                  <a:p>
                    <a:r>
                      <a:rPr lang="en-US"/>
                      <a:t>2010</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77D2-41CD-BC07-9FC889F2D3DB}"/>
                </c:ext>
                <c:ext xmlns:c15="http://schemas.microsoft.com/office/drawing/2012/chart" uri="{CE6537A1-D6FC-4f65-9D91-7224C49458BB}"/>
              </c:extLst>
            </c:dLbl>
            <c:dLbl>
              <c:idx val="3"/>
              <c:layout>
                <c:manualLayout>
                  <c:x val="-0.0071553426955651162"/>
                  <c:y val="0.0091168091168091162"/>
                </c:manualLayout>
              </c:layout>
              <c:tx>
                <c:rich>
                  <a:bodyPr vertOverflow="clip"/>
                  <a:lstStyle/>
                  <a:p>
                    <a:r>
                      <a:rPr lang="en-US"/>
                      <a:t>2008</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77D2-41CD-BC07-9FC889F2D3DB}"/>
                </c:ext>
                <c:ext xmlns:c15="http://schemas.microsoft.com/office/drawing/2012/chart" uri="{CE6537A1-D6FC-4f65-9D91-7224C49458BB}"/>
              </c:extLst>
            </c:dLbl>
            <c:dLbl>
              <c:idx val="4"/>
              <c:delete val="1"/>
              <c:extLst>
                <c:ext xmlns:c="http://schemas.openxmlformats.org/drawingml/2006/chart" xmlns:c16="http://schemas.microsoft.com/office/drawing/2014/chart" uri="{C3380CC4-5D6E-409C-BE32-E72D297353CC}">
                  <c16:uniqueId val="{00000005-77D2-41CD-BC07-9FC889F2D3DB}"/>
                </c:ext>
                <c:ext xmlns:c15="http://schemas.microsoft.com/office/drawing/2012/chart" uri="{CE6537A1-D6FC-4f65-9D91-7224C49458BB}"/>
              </c:extLst>
            </c:dLbl>
            <c:dLbl>
              <c:idx val="5"/>
              <c:delete val="1"/>
              <c:extLst>
                <c:ext xmlns:c="http://schemas.openxmlformats.org/drawingml/2006/chart" xmlns:c16="http://schemas.microsoft.com/office/drawing/2014/chart" uri="{C3380CC4-5D6E-409C-BE32-E72D297353CC}">
                  <c16:uniqueId val="{00000000-77D2-41CD-BC07-9FC889F2D3DB}"/>
                </c:ext>
                <c:ext xmlns:c15="http://schemas.microsoft.com/office/drawing/2012/chart" uri="{CE6537A1-D6FC-4f65-9D91-7224C49458BB}"/>
              </c:extLst>
            </c:dLbl>
            <c:dLbl>
              <c:idx val="6"/>
              <c:delete val="1"/>
              <c:extLst>
                <c:ext xmlns:c="http://schemas.openxmlformats.org/drawingml/2006/chart" xmlns:c16="http://schemas.microsoft.com/office/drawing/2014/chart" uri="{C3380CC4-5D6E-409C-BE32-E72D297353CC}">
                  <c16:uniqueId val="{00000006-77D2-41CD-BC07-9FC889F2D3DB}"/>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7-77D2-41CD-BC07-9FC889F2D3DB}"/>
                </c:ext>
                <c:ext xmlns:c15="http://schemas.microsoft.com/office/drawing/2012/chart" uri="{CE6537A1-D6FC-4f65-9D91-7224C49458BB}"/>
              </c:extLst>
            </c:dLbl>
            <c:dLbl>
              <c:idx val="8"/>
              <c:delete val="1"/>
              <c:extLst>
                <c:ext xmlns:c="http://schemas.openxmlformats.org/drawingml/2006/chart" xmlns:c16="http://schemas.microsoft.com/office/drawing/2014/chart" uri="{C3380CC4-5D6E-409C-BE32-E72D297353CC}">
                  <c16:uniqueId val="{00000008-77D2-41CD-BC07-9FC889F2D3DB}"/>
                </c:ext>
                <c:ext xmlns:c15="http://schemas.microsoft.com/office/drawing/2012/chart" uri="{CE6537A1-D6FC-4f65-9D91-7224C49458BB}"/>
              </c:extLst>
            </c:dLbl>
            <c:dLbl>
              <c:idx val="9"/>
              <c:layout>
                <c:manualLayout>
                  <c:x val="-0.21318288822144654"/>
                  <c:y val="-0.0080072683222289515"/>
                </c:manualLayout>
              </c:layout>
              <c:tx>
                <c:rich>
                  <a:bodyPr vertOverflow="clip"/>
                  <a:lstStyle/>
                  <a:p>
                    <a:r>
                      <a:rPr lang="en-US"/>
                      <a:t>2014</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77D2-41CD-BC07-9FC889F2D3DB}"/>
                </c:ext>
                <c:ext xmlns:c15="http://schemas.microsoft.com/office/drawing/2012/chart" uri="{CE6537A1-D6FC-4f65-9D91-7224C49458BB}"/>
              </c:extLst>
            </c:dLbl>
            <c:dLbl>
              <c:idx val="10"/>
              <c:layout>
                <c:manualLayout>
                  <c:x val="-0.048682691305879967"/>
                  <c:y val="-0.05288250515989211"/>
                </c:manualLayout>
              </c:layout>
              <c:tx>
                <c:rich>
                  <a:bodyPr vertOverflow="clip"/>
                  <a:lstStyle/>
                  <a:p>
                    <a:r>
                      <a:rPr lang="en-US"/>
                      <a:t>2015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77D2-41CD-BC07-9FC889F2D3DB}"/>
                </c:ext>
                <c:ext xmlns:c15="http://schemas.microsoft.com/office/drawing/2012/chart" uri="{CE6537A1-D6FC-4f65-9D91-7224C49458BB}"/>
              </c:extLst>
            </c:dLbl>
            <c:dLbl>
              <c:idx val="11"/>
              <c:layout>
                <c:manualLayout>
                  <c:x val="-0.045473776802943768"/>
                  <c:y val="-0.029435967255112244"/>
                </c:manualLayout>
              </c:layout>
              <c:tx>
                <c:rich>
                  <a:bodyPr/>
                  <a:lstStyle/>
                  <a:p>
                    <a:r>
                      <a:rPr lang="lv-LV"/>
                      <a:t>SK</a:t>
                    </a:r>
                    <a:endParaRPr lang="en-US"/>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77D2-41CD-BC07-9FC889F2D3DB}"/>
                </c:ext>
                <c:ext xmlns:c15="http://schemas.microsoft.com/office/drawing/2012/chart" uri="{CE6537A1-D6FC-4f65-9D91-7224C49458BB}"/>
              </c:extLst>
            </c:dLbl>
            <c:dLbl>
              <c:idx val="12"/>
              <c:tx>
                <c:rich>
                  <a:bodyPr/>
                  <a:lstStyle/>
                  <a:p>
                    <a:r>
                      <a:rPr lang="lv-LV"/>
                      <a:t>FI</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77D2-41CD-BC07-9FC889F2D3DB}"/>
                </c:ext>
                <c:ext xmlns:c15="http://schemas.microsoft.com/office/drawing/2012/chart" uri="{CE6537A1-D6FC-4f65-9D91-7224C49458BB}"/>
              </c:extLst>
            </c:dLbl>
            <c:dLbl>
              <c:idx val="13"/>
              <c:tx>
                <c:rich>
                  <a:bodyPr/>
                  <a:lstStyle/>
                  <a:p>
                    <a:r>
                      <a:rPr lang="lv-LV" b="0"/>
                      <a:t>SE</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77D2-41CD-BC07-9FC889F2D3DB}"/>
                </c:ext>
                <c:ext xmlns:c15="http://schemas.microsoft.com/office/drawing/2012/chart" uri="{CE6537A1-D6FC-4f65-9D91-7224C49458BB}"/>
              </c:extLst>
            </c:dLbl>
            <c:spPr>
              <a:noFill/>
              <a:ln>
                <a:noFill/>
              </a:ln>
              <a:effectLst/>
            </c:spPr>
            <c:txPr>
              <a:bodyPr/>
              <a:lstStyle/>
              <a:p>
                <a:pPr>
                  <a:defRPr b="0"/>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Sheet1!$B$3:$B$13</c:f>
              <c:numCache>
                <c:formatCode>0.0</c:formatCode>
                <c:ptCount val="11"/>
                <c:pt idx="0">
                  <c:v>42.275449101796411</c:v>
                </c:pt>
                <c:pt idx="1">
                  <c:v>37.565359477124183</c:v>
                </c:pt>
                <c:pt idx="2">
                  <c:v>31.838942307692303</c:v>
                </c:pt>
                <c:pt idx="3">
                  <c:v>36.272522522522522</c:v>
                </c:pt>
                <c:pt idx="4">
                  <c:v>32.588522588522586</c:v>
                </c:pt>
                <c:pt idx="5">
                  <c:v>28.872093023255818</c:v>
                </c:pt>
                <c:pt idx="6">
                  <c:v>26.836638338054769</c:v>
                </c:pt>
                <c:pt idx="7">
                  <c:v>28.735537190082646</c:v>
                </c:pt>
                <c:pt idx="8">
                  <c:v>27.489391796322487</c:v>
                </c:pt>
                <c:pt idx="9">
                  <c:v>22.135809634358676</c:v>
                </c:pt>
                <c:pt idx="10">
                  <c:v>21.282998944033789</c:v>
                </c:pt>
              </c:numCache>
            </c:numRef>
          </c:xVal>
          <c:yVal>
            <c:numRef>
              <c:f>Sheet1!$C$3:$C$13</c:f>
              <c:numCache>
                <c:formatCode>0.0</c:formatCode>
                <c:ptCount val="11"/>
                <c:pt idx="0">
                  <c:v>0.37641804752480368</c:v>
                </c:pt>
                <c:pt idx="1">
                  <c:v>0.46885700549765019</c:v>
                </c:pt>
                <c:pt idx="2">
                  <c:v>0.58662322094401742</c:v>
                </c:pt>
                <c:pt idx="3">
                  <c:v>0.60624876520561088</c:v>
                </c:pt>
                <c:pt idx="4">
                  <c:v>0.65970077905970215</c:v>
                </c:pt>
                <c:pt idx="5">
                  <c:v>0.67506767196561268</c:v>
                </c:pt>
                <c:pt idx="6">
                  <c:v>0.72637235055042826</c:v>
                </c:pt>
                <c:pt idx="7">
                  <c:v>0.72602964805441328</c:v>
                </c:pt>
                <c:pt idx="8">
                  <c:v>0.77335792181106511</c:v>
                </c:pt>
                <c:pt idx="9">
                  <c:v>0.98460587180077164</c:v>
                </c:pt>
                <c:pt idx="10">
                  <c:v>1.1637061547516552</c:v>
                </c:pt>
              </c:numCache>
            </c:numRef>
          </c:yVal>
          <c:smooth val="1"/>
          <c:extLst>
            <c:ext xmlns:c="http://schemas.openxmlformats.org/drawingml/2006/chart" xmlns:c16="http://schemas.microsoft.com/office/drawing/2014/chart" uri="{C3380CC4-5D6E-409C-BE32-E72D297353CC}">
              <c16:uniqueId val="{0000000E-77D2-41CD-BC07-9FC889F2D3DB}"/>
            </c:ext>
          </c:extLst>
        </c:ser>
        <c:dLbls>
          <c:showLegendKey val="0"/>
          <c:showVal val="0"/>
          <c:showCatName val="0"/>
          <c:showSerName val="0"/>
          <c:showPercent val="0"/>
          <c:showBubbleSize val="0"/>
        </c:dLbls>
        <c:axId val="656229256"/>
        <c:axId val="656230432"/>
      </c:scatterChart>
      <c:valAx>
        <c:axId val="656229256"/>
        <c:scaling>
          <c:orientation val="minMax"/>
        </c:scaling>
        <c:delete val="0"/>
        <c:axPos val="b"/>
        <c:title>
          <c:tx>
            <c:rich>
              <a:bodyPr vertOverflow="clip"/>
              <a:lstStyle/>
              <a:p>
                <a:pPr>
                  <a:defRPr sz="700" b="0">
                    <a:latin typeface="Arial Narrow" pitchFamily="34" charset="0"/>
                  </a:defRPr>
                </a:pPr>
                <a:r>
                  <a:rPr lang="lv-LV" sz="700" b="0">
                    <a:latin typeface="Arial Narrow" pitchFamily="34" charset="0"/>
                  </a:rPr>
                  <a:t>Produktivitāte (pievienotā vērtība </a:t>
                </a:r>
                <a:br>
                  <a:rPr lang="lv-LV" sz="700" b="0">
                    <a:latin typeface="Arial Narrow" pitchFamily="34" charset="0"/>
                  </a:rPr>
                </a:br>
                <a:r>
                  <a:rPr lang="lv-LV" sz="700" b="0">
                    <a:latin typeface="Arial Narrow" pitchFamily="34" charset="0"/>
                  </a:rPr>
                  <a:t>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56230432"/>
        <c:crosses val="autoZero"/>
        <c:crossBetween val="midCat"/>
        <c:majorUnit val="10"/>
      </c:valAx>
      <c:valAx>
        <c:axId val="656230432"/>
        <c:scaling>
          <c:orientation val="minMax"/>
          <c:min val="0.2"/>
        </c:scaling>
        <c:delete val="0"/>
        <c:axPos val="l"/>
        <c:title>
          <c:tx>
            <c:rich>
              <a:bodyPr vertOverflow="clip"/>
              <a:lstStyle/>
              <a:p>
                <a:pPr>
                  <a:defRPr sz="700" b="0"/>
                </a:pPr>
                <a:r>
                  <a:rPr lang="lv-LV" sz="700" b="0">
                    <a:latin typeface="Arial Narrow" pitchFamily="34" charset="0"/>
                  </a:rPr>
                  <a:t>Darbaspēka izmaksas </a:t>
                </a:r>
                <a:br>
                  <a:rPr lang="lv-LV" sz="700" b="0">
                    <a:latin typeface="Arial Narrow" pitchFamily="34" charset="0"/>
                  </a:rPr>
                </a:br>
                <a:r>
                  <a:rPr lang="lv-LV" sz="700" b="0">
                    <a:latin typeface="Arial Narrow" pitchFamily="34" charset="0"/>
                  </a:rPr>
                  <a:t>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56229256"/>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3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8"/>
          <c:y val="0.046005165816941182"/>
          <c:w val="0.85762258292899962"/>
          <c:h val="0.831279863372076"/>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Sheet1!$B$1:$J$1</c:f>
              <c:strCache>
                <c:ptCount val="9"/>
                <c:pt idx="0">
                  <c:v>2007</c:v>
                </c:pt>
                <c:pt idx="1">
                  <c:v>2008</c:v>
                </c:pt>
                <c:pt idx="2">
                  <c:v>2009</c:v>
                </c:pt>
                <c:pt idx="3">
                  <c:v>2010</c:v>
                </c:pt>
                <c:pt idx="4">
                  <c:v>2011</c:v>
                </c:pt>
                <c:pt idx="5">
                  <c:v>2012</c:v>
                </c:pt>
                <c:pt idx="6">
                  <c:v>2013</c:v>
                </c:pt>
                <c:pt idx="7">
                  <c:v>2014</c:v>
                </c:pt>
                <c:pt idx="8">
                  <c:v>2015</c:v>
                </c:pt>
              </c:strCache>
            </c:strRef>
          </c:cat>
          <c:val>
            <c:numRef>
              <c:f>Sheet1!$B$2:$J$2</c:f>
              <c:numCache>
                <c:formatCode>0</c:formatCode>
                <c:ptCount val="9"/>
                <c:pt idx="0">
                  <c:v>33.721439159401655</c:v>
                </c:pt>
                <c:pt idx="1">
                  <c:v>39.357747157592392</c:v>
                </c:pt>
                <c:pt idx="2">
                  <c:v>35.257643303741311</c:v>
                </c:pt>
                <c:pt idx="3">
                  <c:v>31.604252389710798</c:v>
                </c:pt>
                <c:pt idx="4">
                  <c:v>31.875002820972814</c:v>
                </c:pt>
                <c:pt idx="5">
                  <c:v>33.804118310790848</c:v>
                </c:pt>
                <c:pt idx="6">
                  <c:v>35.156533977007385</c:v>
                </c:pt>
                <c:pt idx="7">
                  <c:v>37.421947439091205</c:v>
                </c:pt>
                <c:pt idx="8">
                  <c:v>38.817831590130616</c:v>
                </c:pt>
              </c:numCache>
            </c:numRef>
          </c:val>
          <c:extLst>
            <c:ext xmlns:c="http://schemas.openxmlformats.org/drawingml/2006/chart" xmlns:c16="http://schemas.microsoft.com/office/drawing/2014/chart" uri="{C3380CC4-5D6E-409C-BE32-E72D297353CC}">
              <c16:uniqueId val="{00000000-ED27-4CDA-94A3-98DBF87B2A14}"/>
            </c:ext>
          </c:extLst>
        </c:ser>
        <c:ser>
          <c:idx val="1"/>
          <c:order val="1"/>
          <c:tx>
            <c:strRef>
              <c:f>Sheet1!$A$3</c:f>
              <c:strCache>
                <c:ptCount val="1"/>
                <c:pt idx="0">
                  <c:v>Datorprogramm., konsult., inf. pak.</c:v>
                </c:pt>
              </c:strCache>
            </c:strRef>
          </c:tx>
          <c:spPr>
            <a:ln>
              <a:solidFill>
                <a:sysClr val="windowText" lastClr="000000"/>
              </a:solidFill>
            </a:ln>
          </c:spPr>
          <c:invertIfNegative val="0"/>
          <c:dLbls>
            <c:numFmt formatCode="#,##0" sourceLinked="0"/>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2007</c:v>
                </c:pt>
                <c:pt idx="1">
                  <c:v>2008</c:v>
                </c:pt>
                <c:pt idx="2">
                  <c:v>2009</c:v>
                </c:pt>
                <c:pt idx="3">
                  <c:v>2010</c:v>
                </c:pt>
                <c:pt idx="4">
                  <c:v>2011</c:v>
                </c:pt>
                <c:pt idx="5">
                  <c:v>2012</c:v>
                </c:pt>
                <c:pt idx="6">
                  <c:v>2013</c:v>
                </c:pt>
                <c:pt idx="7">
                  <c:v>2014</c:v>
                </c:pt>
                <c:pt idx="8">
                  <c:v>2015</c:v>
                </c:pt>
              </c:strCache>
            </c:strRef>
          </c:cat>
          <c:val>
            <c:numRef>
              <c:f>Sheet1!$B$3:$J$3</c:f>
              <c:numCache>
                <c:formatCode>0</c:formatCode>
                <c:ptCount val="9"/>
                <c:pt idx="0">
                  <c:v>33.897253844747475</c:v>
                </c:pt>
                <c:pt idx="1">
                  <c:v>40.116476160289707</c:v>
                </c:pt>
                <c:pt idx="2">
                  <c:v>40.427287286751131</c:v>
                </c:pt>
                <c:pt idx="3">
                  <c:v>35.399252779016784</c:v>
                </c:pt>
                <c:pt idx="4">
                  <c:v>34.863703533973258</c:v>
                </c:pt>
                <c:pt idx="5">
                  <c:v>36.032704720234044</c:v>
                </c:pt>
                <c:pt idx="6">
                  <c:v>37.100021282992223</c:v>
                </c:pt>
                <c:pt idx="7">
                  <c:v>37.528596549285282</c:v>
                </c:pt>
                <c:pt idx="8">
                  <c:v>41.397256009528149</c:v>
                </c:pt>
              </c:numCache>
            </c:numRef>
          </c:val>
          <c:extLst>
            <c:ext xmlns:c="http://schemas.openxmlformats.org/drawingml/2006/chart" xmlns:c16="http://schemas.microsoft.com/office/drawing/2014/chart" uri="{C3380CC4-5D6E-409C-BE32-E72D297353CC}">
              <c16:uniqueId val="{00000001-ED27-4CDA-94A3-98DBF87B2A14}"/>
            </c:ext>
          </c:extLst>
        </c:ser>
        <c:dLbls>
          <c:showLegendKey val="0"/>
          <c:showVal val="0"/>
          <c:showCatName val="0"/>
          <c:showSerName val="0"/>
          <c:showPercent val="0"/>
          <c:showBubbleSize val="0"/>
        </c:dLbls>
        <c:gapWidth val="50"/>
        <c:overlap val="52"/>
        <c:axId val="656247680"/>
        <c:axId val="656242584"/>
      </c:barChart>
      <c:catAx>
        <c:axId val="656247680"/>
        <c:scaling>
          <c:orientation val="minMax"/>
        </c:scaling>
        <c:delete val="0"/>
        <c:axPos val="b"/>
        <c:numFmt formatCode="General" sourceLinked="0"/>
        <c:majorTickMark val="out"/>
        <c:minorTickMark val="none"/>
        <c:tickLblPos val="nextTo"/>
        <c:txPr>
          <a:bodyPr/>
          <a:lstStyle/>
          <a:p>
            <a:pPr>
              <a:defRPr sz="700"/>
            </a:pPr>
            <a:endParaRPr lang="lv-LV"/>
          </a:p>
        </c:txPr>
        <c:crossAx val="656242584"/>
        <c:crosses val="autoZero"/>
        <c:auto val="1"/>
        <c:lblAlgn val="ctr"/>
        <c:lblOffset val="100"/>
        <c:noMultiLvlLbl val="0"/>
      </c:catAx>
      <c:valAx>
        <c:axId val="656242584"/>
        <c:scaling>
          <c:orientation val="minMax"/>
          <c:max val="80"/>
        </c:scaling>
        <c:delete val="0"/>
        <c:axPos val="l"/>
        <c:numFmt formatCode="0" sourceLinked="0"/>
        <c:majorTickMark val="out"/>
        <c:minorTickMark val="none"/>
        <c:tickLblPos val="nextTo"/>
        <c:txPr>
          <a:bodyPr/>
          <a:lstStyle/>
          <a:p>
            <a:pPr>
              <a:defRPr sz="800"/>
            </a:pPr>
            <a:endParaRPr lang="lv-LV"/>
          </a:p>
        </c:txPr>
        <c:crossAx val="656247680"/>
        <c:crosses val="autoZero"/>
        <c:crossBetween val="between"/>
        <c:majorUnit val="20"/>
      </c:valAx>
      <c:spPr>
        <a:ln>
          <a:noFill/>
        </a:ln>
      </c:spPr>
    </c:plotArea>
    <c:legend>
      <c:legendPos val="r"/>
      <c:layout>
        <c:manualLayout>
          <c:xMode val="edge"/>
          <c:yMode val="edge"/>
          <c:x val="0.041795134352600537"/>
          <c:y val="0.04952826842590622"/>
          <c:w val="0.94425243929710578"/>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72841410287632"/>
          <c:y val="0.057971014492753624"/>
          <c:w val="0.69294856184214082"/>
          <c:h val="0.726718711443121"/>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extLst>
              <c:ext xmlns:c="http://schemas.openxmlformats.org/drawingml/2006/chart" xmlns:c16="http://schemas.microsoft.com/office/drawing/2014/chart" uri="{C3380CC4-5D6E-409C-BE32-E72D297353CC}">
                <c16:uniqueId val="{00000000-7464-48EA-BD14-AE7A8A8F5A06}"/>
              </c:ext>
            </c:extLst>
          </c:dPt>
          <c:dLbls>
            <c:dLbl>
              <c:idx val="0"/>
              <c:tx>
                <c:rich>
                  <a:bodyPr vertOverflow="clip"/>
                  <a:lstStyle/>
                  <a:p>
                    <a:fld id="{5394b97e-e714-47b3-83d3-dc68376d0faf}" type="CELLRANGE">
                      <a:rPr lang="en-US"/>
                      <a:t>2005</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1-7464-48EA-BD14-AE7A8A8F5A06}"/>
                </c:ext>
                <c:ext xmlns:c15="http://schemas.microsoft.com/office/drawing/2012/chart" uri="{CE6537A1-D6FC-4f65-9D91-7224C49458BB}">
                  <c15:showDataLabelsRange val="1"/>
                </c:ext>
              </c:extLst>
            </c:dLbl>
            <c:dLbl>
              <c:idx val="1"/>
              <c:tx>
                <c:rich>
                  <a:bodyPr vertOverflow="clip"/>
                  <a:lstStyle/>
                  <a:p>
                    <a:fld id="{d5c91a6e-c8b9-4e66-bbaf-6a6e285e8aea}" type="CELLRANGE">
                      <a:rPr lang="en-US"/>
                      <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2-7464-48EA-BD14-AE7A8A8F5A06}"/>
                </c:ext>
                <c:ext xmlns:c15="http://schemas.microsoft.com/office/drawing/2012/chart" uri="{CE6537A1-D6FC-4f65-9D91-7224C49458BB}">
                  <c15:showDataLabelsRange val="1"/>
                </c:ext>
              </c:extLst>
            </c:dLbl>
            <c:dLbl>
              <c:idx val="2"/>
              <c:tx>
                <c:rich>
                  <a:bodyPr vertOverflow="clip"/>
                  <a:lstStyle/>
                  <a:p>
                    <a:fld id="{e5db1fc3-2d66-4fa4-8589-351118d47ad7}" type="CELLRANGE">
                      <a:rPr lang="en-US"/>
                      <a:t>2007</a:t>
                    </a:fld>
                    <a:endParaRPr lang="lv-LV"/>
                  </a:p>
                </c:rich>
              </c:tx>
              <c:dLblPos val="l"/>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3-7464-48EA-BD14-AE7A8A8F5A06}"/>
                </c:ext>
                <c:ext xmlns:c15="http://schemas.microsoft.com/office/drawing/2012/chart" uri="{CE6537A1-D6FC-4f65-9D91-7224C49458BB}">
                  <c15:showDataLabelsRange val="1"/>
                </c:ext>
              </c:extLst>
            </c:dLbl>
            <c:dLbl>
              <c:idx val="3"/>
              <c:tx>
                <c:rich>
                  <a:bodyPr vertOverflow="clip"/>
                  <a:lstStyle/>
                  <a:p>
                    <a:fld id="{b8f1ec72-7804-49cd-b3fd-a802d6252fbe}" type="CELLRANGE">
                      <a:rPr lang="lv-LV"/>
                      <a:t>2008</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4"/>
              <c:tx>
                <c:rich>
                  <a:bodyPr vertOverflow="clip"/>
                  <a:lstStyle/>
                  <a:p>
                    <a:fld id="{0b16cfc6-b7f5-4d84-9a4d-33d22080c2b3}" type="CELLRANGE">
                      <a:rPr lang="lv-LV"/>
                      <a:t>2009</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5"/>
              <c:tx>
                <c:rich>
                  <a:bodyPr vertOverflow="clip"/>
                  <a:lstStyle/>
                  <a:p>
                    <a:fld id="{116212ec-2020-4d31-94fd-2f96d224f0c2}" type="CELLRANGE">
                      <a:rPr lang="en-US"/>
                      <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0-7464-48EA-BD14-AE7A8A8F5A06}"/>
                </c:ext>
                <c:ext xmlns:c15="http://schemas.microsoft.com/office/drawing/2012/chart" uri="{CE6537A1-D6FC-4f65-9D91-7224C49458BB}">
                  <c15:showDataLabelsRange val="1"/>
                </c:ext>
              </c:extLst>
            </c:dLbl>
            <c:dLbl>
              <c:idx val="6"/>
              <c:tx>
                <c:rich>
                  <a:bodyPr vertOverflow="clip"/>
                  <a:lstStyle/>
                  <a:p>
                    <a:fld id="{e4d919e7-c8de-42bc-b0e4-244eb8f68040}" type="CELLRANGE">
                      <a:rPr lang="lv-LV"/>
                      <a:t>2011</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7"/>
              <c:tx>
                <c:rich>
                  <a:bodyPr vertOverflow="clip"/>
                  <a:lstStyle/>
                  <a:p>
                    <a:fld id="{008f2e4f-a0c1-425f-bbc0-ec40863d0dea}" type="CELLRANGE">
                      <a:rPr lang="en-US"/>
                      <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7-7464-48EA-BD14-AE7A8A8F5A06}"/>
                </c:ext>
                <c:ext xmlns:c15="http://schemas.microsoft.com/office/drawing/2012/chart" uri="{CE6537A1-D6FC-4f65-9D91-7224C49458BB}">
                  <c15:showDataLabelsRange val="1"/>
                </c:ext>
              </c:extLst>
            </c:dLbl>
            <c:dLbl>
              <c:idx val="8"/>
              <c:tx>
                <c:rich>
                  <a:bodyPr vertOverflow="clip"/>
                  <a:lstStyle/>
                  <a:p>
                    <a:fld id="{9d0f4d58-a477-4b10-9974-01bfaf43c4cb}" type="CELLRANGE">
                      <a:rPr lang="lv-LV"/>
                      <a:t>2013</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9"/>
              <c:tx>
                <c:rich>
                  <a:bodyPr vertOverflow="clip"/>
                  <a:lstStyle/>
                  <a:p>
                    <a:fld id="{253f60a0-08e6-41ae-a9aa-a2e4deb883e0}" type="CELLRANGE">
                      <a:rPr lang="en-US"/>
                      <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9-7464-48EA-BD14-AE7A8A8F5A06}"/>
                </c:ext>
                <c:ext xmlns:c15="http://schemas.microsoft.com/office/drawing/2012/chart" uri="{CE6537A1-D6FC-4f65-9D91-7224C49458BB}">
                  <c15:showDataLabelsRange val="1"/>
                </c:ext>
              </c:extLst>
            </c:dLbl>
            <c:dLbl>
              <c:idx val="10"/>
              <c:tx>
                <c:rich>
                  <a:bodyPr vertOverflow="clip"/>
                  <a:lstStyle/>
                  <a:p>
                    <a:fld id="{72b402e0-6f8a-4863-90ad-5efba9e7a659}" type="CELLRANGE">
                      <a:rPr lang="en-US"/>
                      <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A-7464-48EA-BD14-AE7A8A8F5A06}"/>
                </c:ext>
                <c:ext xmlns:c15="http://schemas.microsoft.com/office/drawing/2012/chart" uri="{CE6537A1-D6FC-4f65-9D91-7224C49458BB}">
                  <c15:showDataLabelsRange val="1"/>
                </c:ext>
              </c:extLst>
            </c:dLbl>
            <c:dLbl>
              <c:idx val="11"/>
              <c:tx>
                <c:rich>
                  <a:bodyPr vertOverflow="clip"/>
                  <a:lstStyle/>
                  <a:p>
                    <a:fld id="{f9d4d3b8-d94c-4be2-81db-e71a70f09cab}" type="CELLRANGE">
                      <a:rPr lang="lv-LV"/>
                      <a:t>2016</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spPr>
              <a:noFill/>
              <a:ln>
                <a:noFill/>
              </a:ln>
              <a:effectLst/>
            </c:spPr>
            <c:txPr>
              <a:bodyPr wrap="square" lIns="38100" tIns="19050" rIns="38100" bIns="19050" anchor="ctr">
                <a:spAutoFit/>
              </a:bodyPr>
              <a:lstStyle/>
              <a:p>
                <a:pPr>
                  <a:defRPr b="0"/>
                </a:pPr>
                <a:endParaRPr lang="lv-LV"/>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Sheet1!$B$3:$B$14</c:f>
              <c:numCache>
                <c:formatCode>0.0</c:formatCode>
                <c:ptCount val="12"/>
                <c:pt idx="0">
                  <c:v>21.1353711790393</c:v>
                </c:pt>
                <c:pt idx="1">
                  <c:v>24.487179487179489</c:v>
                </c:pt>
                <c:pt idx="2">
                  <c:v>24.855072463768117</c:v>
                </c:pt>
                <c:pt idx="3">
                  <c:v>25.129151291512912</c:v>
                </c:pt>
                <c:pt idx="4">
                  <c:v>30.73170731707317</c:v>
                </c:pt>
                <c:pt idx="5">
                  <c:v>31.046511627906973</c:v>
                </c:pt>
                <c:pt idx="6">
                  <c:v>27.591240875912405</c:v>
                </c:pt>
                <c:pt idx="7">
                  <c:v>28.169014084507044</c:v>
                </c:pt>
                <c:pt idx="8">
                  <c:v>30.105633802816904</c:v>
                </c:pt>
                <c:pt idx="9">
                  <c:v>29.578544061302683</c:v>
                </c:pt>
                <c:pt idx="10">
                  <c:v>29.711191335740072</c:v>
                </c:pt>
                <c:pt idx="11">
                  <c:v>31.641221374045802</c:v>
                </c:pt>
              </c:numCache>
            </c:numRef>
          </c:xVal>
          <c:yVal>
            <c:numRef>
              <c:f>Sheet1!$C$3:$C$14</c:f>
              <c:numCache>
                <c:formatCode>0.0</c:formatCode>
                <c:ptCount val="12"/>
                <c:pt idx="0">
                  <c:v>0.34090909090909094</c:v>
                </c:pt>
                <c:pt idx="1">
                  <c:v>0.3979057591623037</c:v>
                </c:pt>
                <c:pt idx="2">
                  <c:v>0.46966832160240057</c:v>
                </c:pt>
                <c:pt idx="3">
                  <c:v>0.54100678389825374</c:v>
                </c:pt>
                <c:pt idx="4">
                  <c:v>0.43432203389830515</c:v>
                </c:pt>
                <c:pt idx="5">
                  <c:v>0.44015116850543157</c:v>
                </c:pt>
                <c:pt idx="6">
                  <c:v>0.47587860799242915</c:v>
                </c:pt>
                <c:pt idx="7">
                  <c:v>0.4444172932330826</c:v>
                </c:pt>
                <c:pt idx="8">
                  <c:v>0.46203227366662258</c:v>
                </c:pt>
                <c:pt idx="9">
                  <c:v>0.5058139534883721</c:v>
                </c:pt>
                <c:pt idx="10">
                  <c:v>0.50733507254663712</c:v>
                </c:pt>
                <c:pt idx="11">
                  <c:v>0.50422195416164051</c:v>
                </c:pt>
              </c:numCache>
            </c:numRef>
          </c:yVal>
          <c:smooth val="1"/>
          <c:extLst>
            <c:ext xmlns:c="http://schemas.openxmlformats.org/drawingml/2006/chart" xmlns:c16="http://schemas.microsoft.com/office/drawing/2014/chart" uri="{C3380CC4-5D6E-409C-BE32-E72D297353CC}">
              <c16:uniqueId val="{0000000E-7464-48EA-BD14-AE7A8A8F5A06}"/>
            </c:ext>
            <c:ext xmlns:c15="http://schemas.microsoft.com/office/drawing/2012/chart" uri="{02D57815-91ED-43cb-92C2-25804820EDAC}">
              <c15:datalabelsRange>
                <c15:f>Sheet1!$A$3:$A$14</c15:f>
                <c15:dlblRangeCache>
                  <c:ptCount val="12"/>
                  <c:pt idx="0">
                    <c:v>2005</c:v>
                  </c:pt>
                  <c:pt idx="2">
                    <c:v>2007</c:v>
                  </c:pt>
                  <c:pt idx="3">
                    <c:v>2008</c:v>
                  </c:pt>
                  <c:pt idx="4">
                    <c:v>2009</c:v>
                  </c:pt>
                  <c:pt idx="6">
                    <c:v>2011</c:v>
                  </c:pt>
                  <c:pt idx="8">
                    <c:v>2013</c:v>
                  </c:pt>
                  <c:pt idx="11">
                    <c:v>2016</c:v>
                  </c:pt>
                </c15:dlblRangeCache>
              </c15:datalabelsRange>
            </c:ext>
          </c:extLst>
        </c:ser>
        <c:dLbls>
          <c:showLegendKey val="0"/>
          <c:showVal val="0"/>
          <c:showCatName val="0"/>
          <c:showSerName val="0"/>
          <c:showPercent val="0"/>
          <c:showBubbleSize val="0"/>
        </c:dLbls>
        <c:axId val="629845160"/>
        <c:axId val="629850256"/>
      </c:scatterChart>
      <c:valAx>
        <c:axId val="629845160"/>
        <c:scaling>
          <c:orientation val="minMax"/>
          <c:max val="35"/>
          <c:min val="15"/>
        </c:scaling>
        <c:delete val="0"/>
        <c:axPos val="b"/>
        <c:title>
          <c:tx>
            <c:rich>
              <a:bodyPr vertOverflow="clip"/>
              <a:lstStyle/>
              <a:p>
                <a:pPr>
                  <a:defRPr sz="700" b="0">
                    <a:latin typeface="Arial Narrow" pitchFamily="34" charset="0"/>
                  </a:defRPr>
                </a:pPr>
                <a:r>
                  <a:rPr lang="lv-LV" sz="700" b="0">
                    <a:latin typeface="Arial Narrow" pitchFamily="34" charset="0"/>
                  </a:rPr>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29850256"/>
        <c:crosses val="autoZero"/>
        <c:crossBetween val="midCat"/>
        <c:majorUnit val="5"/>
      </c:valAx>
      <c:valAx>
        <c:axId val="629850256"/>
        <c:scaling>
          <c:orientation val="minMax"/>
          <c:max val="0.60000000000000009"/>
          <c:min val="0.30000000000000004"/>
        </c:scaling>
        <c:delete val="0"/>
        <c:axPos val="l"/>
        <c:title>
          <c:tx>
            <c:rich>
              <a:bodyPr vertOverflow="clip"/>
              <a:lstStyle/>
              <a:p>
                <a:pPr>
                  <a:defRPr sz="700" b="0"/>
                </a:pPr>
                <a:r>
                  <a:rPr lang="lv-LV" sz="700" b="0">
                    <a:latin typeface="Arial Narrow" pitchFamily="34" charset="0"/>
                  </a:rPr>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29845160"/>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3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738"/>
          <c:y val="0.046005165816941182"/>
          <c:w val="0.85762258292899962"/>
          <c:h val="0.83127986337207582"/>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Sheet1!$B$1:$J$1</c:f>
              <c:strCache>
                <c:ptCount val="9"/>
                <c:pt idx="0">
                  <c:v>2007</c:v>
                </c:pt>
                <c:pt idx="1">
                  <c:v>2008</c:v>
                </c:pt>
                <c:pt idx="2">
                  <c:v>2009</c:v>
                </c:pt>
                <c:pt idx="3">
                  <c:v>2010</c:v>
                </c:pt>
                <c:pt idx="4">
                  <c:v>2011</c:v>
                </c:pt>
                <c:pt idx="5">
                  <c:v>2012</c:v>
                </c:pt>
                <c:pt idx="6">
                  <c:v>2013</c:v>
                </c:pt>
                <c:pt idx="7">
                  <c:v>2014</c:v>
                </c:pt>
                <c:pt idx="8">
                  <c:v>2015</c:v>
                </c:pt>
              </c:strCache>
            </c:strRef>
          </c:cat>
          <c:val>
            <c:numRef>
              <c:f>Sheet1!$B$2:$J$2</c:f>
              <c:numCache>
                <c:formatCode>0</c:formatCode>
                <c:ptCount val="9"/>
                <c:pt idx="0">
                  <c:v>37.571008081742491</c:v>
                </c:pt>
                <c:pt idx="1">
                  <c:v>40.886874357448278</c:v>
                </c:pt>
                <c:pt idx="2">
                  <c:v>38.340696631750923</c:v>
                </c:pt>
                <c:pt idx="3">
                  <c:v>37.13786218879887</c:v>
                </c:pt>
                <c:pt idx="4">
                  <c:v>40.358416265069444</c:v>
                </c:pt>
                <c:pt idx="5">
                  <c:v>42.444824679460964</c:v>
                </c:pt>
                <c:pt idx="6">
                  <c:v>42.534590211759</c:v>
                </c:pt>
                <c:pt idx="7">
                  <c:v>43.637999214462909</c:v>
                </c:pt>
                <c:pt idx="8">
                  <c:v>42.77599222315655</c:v>
                </c:pt>
              </c:numCache>
            </c:numRef>
          </c:val>
          <c:extLst>
            <c:ext xmlns:c="http://schemas.openxmlformats.org/drawingml/2006/chart" xmlns:c16="http://schemas.microsoft.com/office/drawing/2014/chart" uri="{C3380CC4-5D6E-409C-BE32-E72D297353CC}">
              <c16:uniqueId val="{00000000-3276-4DC4-9FF2-E374F3635AD7}"/>
            </c:ext>
          </c:extLst>
        </c:ser>
        <c:ser>
          <c:idx val="1"/>
          <c:order val="1"/>
          <c:tx>
            <c:strRef>
              <c:f>Sheet1!$A$3</c:f>
              <c:strCache>
                <c:ptCount val="1"/>
                <c:pt idx="0">
                  <c:v>Datorprogramm., konsult., inf. pak.</c:v>
                </c:pt>
              </c:strCache>
            </c:strRef>
          </c:tx>
          <c:spPr>
            <a:ln>
              <a:solidFill>
                <a:sysClr val="windowText" lastClr="000000"/>
              </a:solidFill>
            </a:ln>
          </c:spPr>
          <c:invertIfNegative val="0"/>
          <c:dLbls>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2007</c:v>
                </c:pt>
                <c:pt idx="1">
                  <c:v>2008</c:v>
                </c:pt>
                <c:pt idx="2">
                  <c:v>2009</c:v>
                </c:pt>
                <c:pt idx="3">
                  <c:v>2010</c:v>
                </c:pt>
                <c:pt idx="4">
                  <c:v>2011</c:v>
                </c:pt>
                <c:pt idx="5">
                  <c:v>2012</c:v>
                </c:pt>
                <c:pt idx="6">
                  <c:v>2013</c:v>
                </c:pt>
                <c:pt idx="7">
                  <c:v>2014</c:v>
                </c:pt>
                <c:pt idx="8">
                  <c:v>2015</c:v>
                </c:pt>
              </c:strCache>
            </c:strRef>
          </c:cat>
          <c:val>
            <c:numRef>
              <c:f>Sheet1!$B$3:$J$3</c:f>
              <c:numCache>
                <c:formatCode>0</c:formatCode>
                <c:ptCount val="9"/>
                <c:pt idx="0">
                  <c:v>28.317851347577026</c:v>
                </c:pt>
                <c:pt idx="1">
                  <c:v>37.737554088767816</c:v>
                </c:pt>
                <c:pt idx="2">
                  <c:v>42.279444023909271</c:v>
                </c:pt>
                <c:pt idx="3">
                  <c:v>40.647291243880559</c:v>
                </c:pt>
                <c:pt idx="4">
                  <c:v>38.570322679079887</c:v>
                </c:pt>
                <c:pt idx="5">
                  <c:v>42.5046346006078</c:v>
                </c:pt>
                <c:pt idx="6">
                  <c:v>42.209087556945576</c:v>
                </c:pt>
                <c:pt idx="7">
                  <c:v>36.173151946193123</c:v>
                </c:pt>
                <c:pt idx="8">
                  <c:v>35.509354734348022</c:v>
                </c:pt>
              </c:numCache>
            </c:numRef>
          </c:val>
          <c:extLst>
            <c:ext xmlns:c="http://schemas.openxmlformats.org/drawingml/2006/chart" xmlns:c16="http://schemas.microsoft.com/office/drawing/2014/chart" uri="{C3380CC4-5D6E-409C-BE32-E72D297353CC}">
              <c16:uniqueId val="{00000001-3276-4DC4-9FF2-E374F3635AD7}"/>
            </c:ext>
          </c:extLst>
        </c:ser>
        <c:dLbls>
          <c:showLegendKey val="0"/>
          <c:showVal val="0"/>
          <c:showCatName val="0"/>
          <c:showSerName val="0"/>
          <c:showPercent val="0"/>
          <c:showBubbleSize val="0"/>
        </c:dLbls>
        <c:gapWidth val="50"/>
        <c:overlap val="52"/>
        <c:axId val="656243760"/>
        <c:axId val="656245720"/>
      </c:barChart>
      <c:catAx>
        <c:axId val="656243760"/>
        <c:scaling>
          <c:orientation val="minMax"/>
        </c:scaling>
        <c:delete val="0"/>
        <c:axPos val="b"/>
        <c:numFmt formatCode="General" sourceLinked="0"/>
        <c:majorTickMark val="out"/>
        <c:minorTickMark val="none"/>
        <c:tickLblPos val="nextTo"/>
        <c:txPr>
          <a:bodyPr/>
          <a:lstStyle/>
          <a:p>
            <a:pPr>
              <a:defRPr sz="700"/>
            </a:pPr>
            <a:endParaRPr lang="lv-LV"/>
          </a:p>
        </c:txPr>
        <c:crossAx val="656245720"/>
        <c:crosses val="autoZero"/>
        <c:auto val="1"/>
        <c:lblAlgn val="ctr"/>
        <c:lblOffset val="100"/>
        <c:noMultiLvlLbl val="0"/>
      </c:catAx>
      <c:valAx>
        <c:axId val="656245720"/>
        <c:scaling>
          <c:orientation val="minMax"/>
          <c:max val="80"/>
        </c:scaling>
        <c:delete val="0"/>
        <c:axPos val="l"/>
        <c:numFmt formatCode="0" sourceLinked="1"/>
        <c:majorTickMark val="out"/>
        <c:minorTickMark val="none"/>
        <c:tickLblPos val="nextTo"/>
        <c:txPr>
          <a:bodyPr/>
          <a:lstStyle/>
          <a:p>
            <a:pPr>
              <a:defRPr sz="800"/>
            </a:pPr>
            <a:endParaRPr lang="lv-LV"/>
          </a:p>
        </c:txPr>
        <c:crossAx val="656243760"/>
        <c:crosses val="autoZero"/>
        <c:crossBetween val="between"/>
        <c:majorUnit val="20"/>
      </c:valAx>
      <c:spPr>
        <a:ln>
          <a:noFill/>
        </a:ln>
      </c:spPr>
    </c:plotArea>
    <c:legend>
      <c:legendPos val="r"/>
      <c:layout>
        <c:manualLayout>
          <c:xMode val="edge"/>
          <c:yMode val="edge"/>
          <c:x val="0.072251124859392585"/>
          <c:y val="0.04952826842590622"/>
          <c:w val="0.90889998125234361"/>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3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46717244654"/>
          <c:y val="0.044057617797775277"/>
          <c:w val="0.9310540474739486"/>
          <c:h val="0.68514845946210545"/>
        </c:manualLayout>
      </c:layout>
      <c:barChart>
        <c:barDir val="col"/>
        <c:grouping val="clustered"/>
        <c:varyColors val="0"/>
        <c:ser>
          <c:idx val="1"/>
          <c:order val="0"/>
          <c:tx>
            <c:strRef>
              <c:f>Sheet1!$B$3</c:f>
              <c:strCache>
                <c:ptCount val="1"/>
                <c:pt idx="0">
                  <c:v>Compensation per employees 1000 of euro</c:v>
                </c:pt>
              </c:strCache>
            </c:strRef>
          </c:tx>
          <c:spPr>
            <a:solidFill>
              <a:schemeClr val="accent3">
                <a:lumMod val="50000"/>
              </a:schemeClr>
            </a:solidFill>
            <a:ln w="19050"/>
          </c:spPr>
          <c:invertIfNegative val="0"/>
          <c:dPt>
            <c:idx val="9"/>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1-62C3-481A-BAD2-D69A087B986E}"/>
              </c:ext>
            </c:extLst>
          </c:dPt>
          <c:dPt>
            <c:idx val="11"/>
            <c:invertIfNegative val="0"/>
            <c:bubble3D val="0"/>
            <c:extLst>
              <c:ext xmlns:c="http://schemas.openxmlformats.org/drawingml/2006/chart" xmlns:c16="http://schemas.microsoft.com/office/drawing/2014/chart" uri="{C3380CC4-5D6E-409C-BE32-E72D297353CC}">
                <c16:uniqueId val="{00000002-62C3-481A-BAD2-D69A087B986E}"/>
              </c:ext>
            </c:extLst>
          </c:dPt>
          <c:dPt>
            <c:idx val="19"/>
            <c:invertIfNegative val="0"/>
            <c:bubble3D val="0"/>
            <c:spPr>
              <a:solidFill>
                <a:schemeClr val="accent2"/>
              </a:solidFill>
              <a:ln w="19050"/>
            </c:spPr>
            <c:extLst>
              <c:ext xmlns:c="http://schemas.openxmlformats.org/drawingml/2006/chart" xmlns:c16="http://schemas.microsoft.com/office/drawing/2014/chart" uri="{C3380CC4-5D6E-409C-BE32-E72D297353CC}">
                <c16:uniqueId val="{00000004-62C3-481A-BAD2-D69A087B986E}"/>
              </c:ext>
            </c:extLst>
          </c:dPt>
          <c:dPt>
            <c:idx val="20"/>
            <c:invertIfNegative val="0"/>
            <c:bubble3D val="0"/>
            <c:extLst>
              <c:ext xmlns:c="http://schemas.openxmlformats.org/drawingml/2006/chart" xmlns:c16="http://schemas.microsoft.com/office/drawing/2014/chart" uri="{C3380CC4-5D6E-409C-BE32-E72D297353CC}">
                <c16:uniqueId val="{00000005-62C3-481A-BAD2-D69A087B986E}"/>
              </c:ext>
            </c:extLst>
          </c:dPt>
          <c:dPt>
            <c:idx val="22"/>
            <c:invertIfNegative val="0"/>
            <c:bubble3D val="0"/>
            <c:extLst>
              <c:ext xmlns:c="http://schemas.openxmlformats.org/drawingml/2006/chart" xmlns:c16="http://schemas.microsoft.com/office/drawing/2014/chart" uri="{C3380CC4-5D6E-409C-BE32-E72D297353CC}">
                <c16:uniqueId val="{00000006-62C3-481A-BAD2-D69A087B986E}"/>
              </c:ext>
            </c:extLst>
          </c:dPt>
          <c:dPt>
            <c:idx val="24"/>
            <c:invertIfNegative val="0"/>
            <c:bubble3D val="0"/>
            <c:extLst>
              <c:ext xmlns:c="http://schemas.openxmlformats.org/drawingml/2006/chart" xmlns:c16="http://schemas.microsoft.com/office/drawing/2014/chart" uri="{C3380CC4-5D6E-409C-BE32-E72D297353CC}">
                <c16:uniqueId val="{00000007-62C3-481A-BAD2-D69A087B986E}"/>
              </c:ext>
            </c:extLst>
          </c:dPt>
          <c:dPt>
            <c:idx val="25"/>
            <c:invertIfNegative val="0"/>
            <c:bubble3D val="0"/>
            <c:extLst>
              <c:ext xmlns:c="http://schemas.openxmlformats.org/drawingml/2006/chart" xmlns:c16="http://schemas.microsoft.com/office/drawing/2014/chart" uri="{C3380CC4-5D6E-409C-BE32-E72D297353CC}">
                <c16:uniqueId val="{00000008-62C3-481A-BAD2-D69A087B986E}"/>
              </c:ext>
            </c:extLst>
          </c:dPt>
          <c:dPt>
            <c:idx val="26"/>
            <c:invertIfNegative val="0"/>
            <c:bubble3D val="0"/>
            <c:extLst>
              <c:ext xmlns:c="http://schemas.openxmlformats.org/drawingml/2006/chart" xmlns:c16="http://schemas.microsoft.com/office/drawing/2014/chart" uri="{C3380CC4-5D6E-409C-BE32-E72D297353CC}">
                <c16:uniqueId val="{00000009-62C3-481A-BAD2-D69A087B986E}"/>
              </c:ext>
            </c:extLst>
          </c:dPt>
          <c:dLbls>
            <c:dLbl>
              <c:idx val="19"/>
              <c:numFmt formatCode="#,##0" sourceLinked="0"/>
              <c:spPr>
                <a:noFill/>
                <a:ln>
                  <a:noFill/>
                </a:ln>
                <a:effectLst/>
              </c:spPr>
              <c:txPr>
                <a:bodyPr/>
                <a:lstStyle/>
                <a:p>
                  <a:pPr>
                    <a:defRPr sz="600" b="1"/>
                  </a:pPr>
                  <a:endParaRPr lang="lv-LV"/>
                </a:p>
              </c:txPr>
              <c:showLegendKey val="0"/>
              <c:showVal val="1"/>
              <c:showCatName val="0"/>
              <c:showSerName val="0"/>
              <c:showPercent val="0"/>
              <c:showBubbleSize val="0"/>
            </c:dLbl>
            <c:dLbl>
              <c:idx val="22"/>
              <c:layout>
                <c:manualLayout>
                  <c:x val="0"/>
                  <c:y val="0.010957045003520901"/>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62C3-481A-BAD2-D69A087B986E}"/>
                </c:ext>
                <c:ext xmlns:c15="http://schemas.microsoft.com/office/drawing/2012/chart" uri="{CE6537A1-D6FC-4f65-9D91-7224C49458BB}"/>
              </c:extLst>
            </c:dLbl>
            <c:dLbl>
              <c:idx val="24"/>
              <c:layout>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62C3-481A-BAD2-D69A087B986E}"/>
                </c:ext>
                <c:ext xmlns:c15="http://schemas.microsoft.com/office/drawing/2012/chart" uri="{CE6537A1-D6FC-4f65-9D91-7224C49458BB}"/>
              </c:extLst>
            </c:dLbl>
            <c:dLbl>
              <c:idx val="25"/>
              <c:layout>
                <c:manualLayout>
                  <c:x val="-1.4769886443141018E-16"/>
                  <c:y val="-0.0061054563301538526"/>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62C3-481A-BAD2-D69A087B986E}"/>
                </c:ext>
                <c:ext xmlns:c15="http://schemas.microsoft.com/office/drawing/2012/chart" uri="{CE6537A1-D6FC-4f65-9D91-7224C49458BB}"/>
              </c:extLst>
            </c:dLbl>
            <c:dLbl>
              <c:idx val="26"/>
              <c:layout>
                <c:manualLayout>
                  <c:x val="0"/>
                  <c:y val="0.010840108401084011"/>
                </c:manualLayout>
              </c:layout>
              <c:numFmt formatCode="#,##0" sourceLinked="0"/>
              <c:spPr>
                <a:noFill/>
                <a:ln>
                  <a:noFill/>
                </a:ln>
                <a:effectLst/>
              </c:spPr>
              <c:txPr>
                <a:bodyPr/>
                <a:lstStyle/>
                <a:p>
                  <a:pPr>
                    <a:defRPr sz="600" b="1"/>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62C3-481A-BAD2-D69A087B986E}"/>
                </c:ext>
                <c:ext xmlns:c15="http://schemas.microsoft.com/office/drawing/2012/chart" uri="{CE6537A1-D6FC-4f65-9D91-7224C49458BB}"/>
              </c:extLst>
            </c:dLbl>
            <c:numFmt formatCode="#,##0" sourceLinked="0"/>
            <c:spPr>
              <a:noFill/>
              <a:ln>
                <a:noFill/>
              </a:ln>
              <a:effectLst/>
            </c:spPr>
            <c:txPr>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Sheet1!$A$4:$A$29</c:f>
              <c:strCache>
                <c:ptCount val="26"/>
                <c:pt idx="0">
                  <c:v>BE</c:v>
                </c:pt>
                <c:pt idx="1">
                  <c:v>IE</c:v>
                </c:pt>
                <c:pt idx="2">
                  <c:v>DK</c:v>
                </c:pt>
                <c:pt idx="3">
                  <c:v>FR</c:v>
                </c:pt>
                <c:pt idx="4">
                  <c:v>UK</c:v>
                </c:pt>
                <c:pt idx="5">
                  <c:v>NL</c:v>
                </c:pt>
                <c:pt idx="6">
                  <c:v>DE</c:v>
                </c:pt>
                <c:pt idx="7">
                  <c:v>FI</c:v>
                </c:pt>
                <c:pt idx="8">
                  <c:v>AT</c:v>
                </c:pt>
                <c:pt idx="9">
                  <c:v>EU-28</c:v>
                </c:pt>
                <c:pt idx="10">
                  <c:v>IT</c:v>
                </c:pt>
                <c:pt idx="11">
                  <c:v>ES</c:v>
                </c:pt>
                <c:pt idx="12">
                  <c:v>SI</c:v>
                </c:pt>
                <c:pt idx="13">
                  <c:v>CY</c:v>
                </c:pt>
                <c:pt idx="14">
                  <c:v>PT</c:v>
                </c:pt>
                <c:pt idx="15">
                  <c:v>CZ</c:v>
                </c:pt>
                <c:pt idx="16">
                  <c:v>LT</c:v>
                </c:pt>
                <c:pt idx="17">
                  <c:v>HR</c:v>
                </c:pt>
                <c:pt idx="18">
                  <c:v>SK</c:v>
                </c:pt>
                <c:pt idx="19">
                  <c:v>LV</c:v>
                </c:pt>
                <c:pt idx="20">
                  <c:v>PL</c:v>
                </c:pt>
                <c:pt idx="21">
                  <c:v>EE</c:v>
                </c:pt>
                <c:pt idx="22">
                  <c:v>EL</c:v>
                </c:pt>
                <c:pt idx="23">
                  <c:v>RO</c:v>
                </c:pt>
                <c:pt idx="24">
                  <c:v>HU</c:v>
                </c:pt>
                <c:pt idx="25">
                  <c:v>BG</c:v>
                </c:pt>
              </c:strCache>
            </c:strRef>
          </c:cat>
          <c:val>
            <c:numRef>
              <c:f>Sheet1!$B$4:$B$29</c:f>
              <c:numCache>
                <c:formatCode>0.0</c:formatCode>
                <c:ptCount val="26"/>
                <c:pt idx="0">
                  <c:v>84.347583643122675</c:v>
                </c:pt>
                <c:pt idx="1">
                  <c:v>82.203295168947207</c:v>
                </c:pt>
                <c:pt idx="2">
                  <c:v>80.704444444444434</c:v>
                </c:pt>
                <c:pt idx="3">
                  <c:v>78.492099322799092</c:v>
                </c:pt>
                <c:pt idx="4">
                  <c:v>71.3826532205189</c:v>
                </c:pt>
                <c:pt idx="5">
                  <c:v>67.367741935483878</c:v>
                </c:pt>
                <c:pt idx="6">
                  <c:v>66.836336336336331</c:v>
                </c:pt>
                <c:pt idx="7">
                  <c:v>65.521023765996347</c:v>
                </c:pt>
                <c:pt idx="8">
                  <c:v>64.391420911528144</c:v>
                </c:pt>
                <c:pt idx="9">
                  <c:v>59.82801579178242</c:v>
                </c:pt>
                <c:pt idx="10">
                  <c:v>48.15587301587302</c:v>
                </c:pt>
                <c:pt idx="11">
                  <c:v>45.660660660660668</c:v>
                </c:pt>
                <c:pt idx="12">
                  <c:v>36.590106007067135</c:v>
                </c:pt>
                <c:pt idx="13">
                  <c:v>35.858895705521476</c:v>
                </c:pt>
                <c:pt idx="14">
                  <c:v>33.477406679764243</c:v>
                </c:pt>
                <c:pt idx="15">
                  <c:v>28.569908208061726</c:v>
                </c:pt>
                <c:pt idx="16">
                  <c:v>28.154059680777237</c:v>
                </c:pt>
                <c:pt idx="17">
                  <c:v>25.615264797507788</c:v>
                </c:pt>
                <c:pt idx="18">
                  <c:v>25.147385103011093</c:v>
                </c:pt>
                <c:pt idx="19">
                  <c:v>24.767156862745097</c:v>
                </c:pt>
                <c:pt idx="20">
                  <c:v>23.869442484121386</c:v>
                </c:pt>
                <c:pt idx="21">
                  <c:v>23.677165354330707</c:v>
                </c:pt>
                <c:pt idx="22">
                  <c:v>23.50537634408602</c:v>
                </c:pt>
                <c:pt idx="23">
                  <c:v>23.046791443850271</c:v>
                </c:pt>
                <c:pt idx="24">
                  <c:v>21.276166847573268</c:v>
                </c:pt>
                <c:pt idx="25">
                  <c:v>20.441176470588236</c:v>
                </c:pt>
              </c:numCache>
            </c:numRef>
          </c:val>
          <c:extLst>
            <c:ext xmlns:c="http://schemas.openxmlformats.org/drawingml/2006/chart" xmlns:c16="http://schemas.microsoft.com/office/drawing/2014/chart" uri="{C3380CC4-5D6E-409C-BE32-E72D297353CC}">
              <c16:uniqueId val="{0000000A-62C3-481A-BAD2-D69A087B986E}"/>
            </c:ext>
          </c:extLst>
        </c:ser>
        <c:dLbls>
          <c:showLegendKey val="0"/>
          <c:showVal val="0"/>
          <c:showCatName val="0"/>
          <c:showSerName val="0"/>
          <c:showPercent val="0"/>
          <c:showBubbleSize val="0"/>
        </c:dLbls>
        <c:gapWidth val="20"/>
        <c:axId val="656244936"/>
        <c:axId val="656248464"/>
      </c:barChart>
      <c:catAx>
        <c:axId val="656244936"/>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56248464"/>
        <c:crosses val="autoZero"/>
        <c:auto val="1"/>
        <c:lblAlgn val="ctr"/>
        <c:lblOffset val="100"/>
        <c:tickLblSkip val="1"/>
        <c:noMultiLvlLbl val="0"/>
      </c:catAx>
      <c:valAx>
        <c:axId val="656248464"/>
        <c:scaling>
          <c:orientation val="minMax"/>
        </c:scaling>
        <c:delete val="0"/>
        <c:axPos val="l"/>
        <c:numFmt formatCode="0" sourceLinked="0"/>
        <c:majorTickMark val="out"/>
        <c:minorTickMark val="none"/>
        <c:tickLblPos val="nextTo"/>
        <c:txPr>
          <a:bodyPr/>
          <a:lstStyle/>
          <a:p>
            <a:pPr>
              <a:defRPr sz="600"/>
            </a:pPr>
            <a:endParaRPr lang="lv-LV"/>
          </a:p>
        </c:txPr>
        <c:crossAx val="656244936"/>
        <c:crosses val="autoZero"/>
        <c:crossBetween val="between"/>
      </c:valAx>
    </c:plotArea>
    <c:plotVisOnly val="1"/>
    <c:dispBlanksAs val="gap"/>
    <c:showDLblsOverMax val="0"/>
  </c:chart>
  <c:spPr>
    <a:ln w="9525">
      <a:noFill/>
    </a:ln>
  </c:spPr>
  <c:externalData r:id="rId1">
    <c:autoUpdate val="0"/>
  </c:externalData>
</c:chartSpace>
</file>

<file path=word/charts/chart3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46717244654"/>
          <c:y val="0.044057617797775277"/>
          <c:w val="0.90406563214685887"/>
          <c:h val="0.69778275623496855"/>
        </c:manualLayout>
      </c:layout>
      <c:barChart>
        <c:barDir val="col"/>
        <c:grouping val="clustered"/>
        <c:varyColors val="0"/>
        <c:ser>
          <c:idx val="1"/>
          <c:order val="0"/>
          <c:tx>
            <c:strRef>
              <c:f>Sheet1!$B$3</c:f>
              <c:strCache>
                <c:ptCount val="1"/>
                <c:pt idx="0">
                  <c:v>Resource productivity</c:v>
                </c:pt>
              </c:strCache>
            </c:strRef>
          </c:tx>
          <c:spPr>
            <a:solidFill>
              <a:schemeClr val="accent3">
                <a:lumMod val="50000"/>
              </a:schemeClr>
            </a:solidFill>
            <a:ln w="19050"/>
          </c:spPr>
          <c:invertIfNegative val="0"/>
          <c:dPt>
            <c:idx val="8"/>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1-BDB9-4F3D-860A-F248A164F5EC}"/>
              </c:ext>
            </c:extLst>
          </c:dPt>
          <c:dPt>
            <c:idx val="9"/>
            <c:invertIfNegative val="0"/>
            <c:bubble3D val="0"/>
            <c:extLst>
              <c:ext xmlns:c="http://schemas.openxmlformats.org/drawingml/2006/chart" xmlns:c16="http://schemas.microsoft.com/office/drawing/2014/chart" uri="{C3380CC4-5D6E-409C-BE32-E72D297353CC}">
                <c16:uniqueId val="{00000002-BDB9-4F3D-860A-F248A164F5EC}"/>
              </c:ext>
            </c:extLst>
          </c:dPt>
          <c:dPt>
            <c:idx val="16"/>
            <c:invertIfNegative val="0"/>
            <c:bubble3D val="0"/>
            <c:extLst>
              <c:ext xmlns:c="http://schemas.openxmlformats.org/drawingml/2006/chart" xmlns:c16="http://schemas.microsoft.com/office/drawing/2014/chart" uri="{C3380CC4-5D6E-409C-BE32-E72D297353CC}">
                <c16:uniqueId val="{00000003-BDB9-4F3D-860A-F248A164F5EC}"/>
              </c:ext>
            </c:extLst>
          </c:dPt>
          <c:dPt>
            <c:idx val="17"/>
            <c:invertIfNegative val="0"/>
            <c:bubble3D val="0"/>
            <c:extLst>
              <c:ext xmlns:c="http://schemas.openxmlformats.org/drawingml/2006/chart" xmlns:c16="http://schemas.microsoft.com/office/drawing/2014/chart" uri="{C3380CC4-5D6E-409C-BE32-E72D297353CC}">
                <c16:uniqueId val="{00000004-BDB9-4F3D-860A-F248A164F5EC}"/>
              </c:ext>
            </c:extLst>
          </c:dPt>
          <c:dPt>
            <c:idx val="24"/>
            <c:invertIfNegative val="0"/>
            <c:bubble3D val="0"/>
            <c:spPr>
              <a:ln w="19050"/>
            </c:spPr>
            <c:extLst>
              <c:ext xmlns:c="http://schemas.openxmlformats.org/drawingml/2006/chart" xmlns:c16="http://schemas.microsoft.com/office/drawing/2014/chart" uri="{C3380CC4-5D6E-409C-BE32-E72D297353CC}">
                <c16:uniqueId val="{00000006-BDB9-4F3D-860A-F248A164F5EC}"/>
              </c:ext>
            </c:extLst>
          </c:dPt>
          <c:dPt>
            <c:idx val="25"/>
            <c:invertIfNegative val="0"/>
            <c:bubble3D val="0"/>
            <c:extLst>
              <c:ext xmlns:c="http://schemas.openxmlformats.org/drawingml/2006/chart" xmlns:c16="http://schemas.microsoft.com/office/drawing/2014/chart" uri="{C3380CC4-5D6E-409C-BE32-E72D297353CC}">
                <c16:uniqueId val="{00000007-BDB9-4F3D-860A-F248A164F5EC}"/>
              </c:ext>
            </c:extLst>
          </c:dPt>
          <c:dPt>
            <c:idx val="26"/>
            <c:invertIfNegative val="0"/>
            <c:bubble3D val="0"/>
            <c:extLst>
              <c:ext xmlns:c="http://schemas.openxmlformats.org/drawingml/2006/chart" xmlns:c16="http://schemas.microsoft.com/office/drawing/2014/chart" uri="{C3380CC4-5D6E-409C-BE32-E72D297353CC}">
                <c16:uniqueId val="{00000008-BDB9-4F3D-860A-F248A164F5EC}"/>
              </c:ext>
            </c:extLst>
          </c:dPt>
          <c:dLbls>
            <c:dLbl>
              <c:idx val="24"/>
              <c:numFmt formatCode="#,##0" sourceLinked="0"/>
              <c:spPr>
                <a:noFill/>
                <a:ln>
                  <a:noFill/>
                </a:ln>
                <a:effectLst/>
              </c:spPr>
              <c:txPr>
                <a:bodyPr/>
                <a:lstStyle/>
                <a:p>
                  <a:pPr>
                    <a:defRPr sz="600" b="1"/>
                  </a:pPr>
                  <a:endParaRPr lang="lv-LV"/>
                </a:p>
              </c:txPr>
              <c:showLegendKey val="0"/>
              <c:showVal val="1"/>
              <c:showCatName val="0"/>
              <c:showSerName val="0"/>
              <c:showPercent val="0"/>
              <c:showBubbleSize val="0"/>
            </c:dLbl>
            <c:dLbl>
              <c:idx val="25"/>
              <c:layout>
                <c:manualLayout>
                  <c:x val="0"/>
                  <c:y val="0.0045443100100292346"/>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BDB9-4F3D-860A-F248A164F5EC}"/>
                </c:ext>
                <c:ext xmlns:c15="http://schemas.microsoft.com/office/drawing/2012/chart" uri="{CE6537A1-D6FC-4f65-9D91-7224C49458BB}"/>
              </c:extLst>
            </c:dLbl>
            <c:dLbl>
              <c:idx val="26"/>
              <c:layout>
                <c:manualLayout>
                  <c:x val="-1.4769886443141018E-16"/>
                  <c:y val="8.791583978831914E-05"/>
                </c:manualLayout>
              </c:layout>
              <c:numFmt formatCode="#,##0" sourceLinked="0"/>
              <c:txPr>
                <a:bodyPr/>
                <a:lstStyle/>
                <a:p>
                  <a:pPr>
                    <a:defRPr sz="600" b="1"/>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BDB9-4F3D-860A-F248A164F5EC}"/>
                </c:ext>
                <c:ext xmlns:c15="http://schemas.microsoft.com/office/drawing/2012/chart" uri="{CE6537A1-D6FC-4f65-9D91-7224C49458BB}"/>
              </c:extLst>
            </c:dLbl>
            <c:numFmt formatCode="#,##0" sourceLinked="0"/>
            <c:spPr>
              <a:noFill/>
              <a:ln>
                <a:noFill/>
              </a:ln>
              <a:effectLst/>
            </c:spPr>
            <c:txPr>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Sheet1!$A$4:$A$29</c:f>
              <c:strCache>
                <c:ptCount val="26"/>
                <c:pt idx="0">
                  <c:v>IE</c:v>
                </c:pt>
                <c:pt idx="1">
                  <c:v>BE</c:v>
                </c:pt>
                <c:pt idx="2">
                  <c:v>NL</c:v>
                </c:pt>
                <c:pt idx="3">
                  <c:v>DK</c:v>
                </c:pt>
                <c:pt idx="4">
                  <c:v>FR</c:v>
                </c:pt>
                <c:pt idx="5">
                  <c:v>DE</c:v>
                </c:pt>
                <c:pt idx="6">
                  <c:v>FI</c:v>
                </c:pt>
                <c:pt idx="7">
                  <c:v>AT</c:v>
                </c:pt>
                <c:pt idx="8">
                  <c:v>EU-28</c:v>
                </c:pt>
                <c:pt idx="9">
                  <c:v>UK</c:v>
                </c:pt>
                <c:pt idx="10">
                  <c:v>IT</c:v>
                </c:pt>
                <c:pt idx="11">
                  <c:v>RO</c:v>
                </c:pt>
                <c:pt idx="12">
                  <c:v>ES</c:v>
                </c:pt>
                <c:pt idx="13">
                  <c:v>CY</c:v>
                </c:pt>
                <c:pt idx="14">
                  <c:v>SI</c:v>
                </c:pt>
                <c:pt idx="15">
                  <c:v>CZ</c:v>
                </c:pt>
                <c:pt idx="16">
                  <c:v>PT</c:v>
                </c:pt>
                <c:pt idx="17">
                  <c:v>SK</c:v>
                </c:pt>
                <c:pt idx="18">
                  <c:v>PL</c:v>
                </c:pt>
                <c:pt idx="19">
                  <c:v>HR</c:v>
                </c:pt>
                <c:pt idx="20">
                  <c:v>EL</c:v>
                </c:pt>
                <c:pt idx="21">
                  <c:v>HU</c:v>
                </c:pt>
                <c:pt idx="22">
                  <c:v>EE</c:v>
                </c:pt>
                <c:pt idx="23">
                  <c:v>LT</c:v>
                </c:pt>
                <c:pt idx="24">
                  <c:v>LV</c:v>
                </c:pt>
                <c:pt idx="25">
                  <c:v>BG</c:v>
                </c:pt>
              </c:strCache>
            </c:strRef>
          </c:cat>
          <c:val>
            <c:numRef>
              <c:f>Sheet1!$B$4:$B$29</c:f>
              <c:numCache>
                <c:formatCode>0.0</c:formatCode>
                <c:ptCount val="26"/>
                <c:pt idx="0">
                  <c:v>167.72823779193206</c:v>
                </c:pt>
                <c:pt idx="1">
                  <c:v>103.9015873015873</c:v>
                </c:pt>
                <c:pt idx="2">
                  <c:v>102.97814207650273</c:v>
                </c:pt>
                <c:pt idx="3">
                  <c:v>100.296</c:v>
                </c:pt>
                <c:pt idx="4">
                  <c:v>99.559670781893</c:v>
                </c:pt>
                <c:pt idx="5">
                  <c:v>94.6425974025974</c:v>
                </c:pt>
                <c:pt idx="6">
                  <c:v>89.355371900826441</c:v>
                </c:pt>
                <c:pt idx="7">
                  <c:v>78.6032028469751</c:v>
                </c:pt>
                <c:pt idx="8">
                  <c:v>77.785664547150333</c:v>
                </c:pt>
                <c:pt idx="9">
                  <c:v>70.129339873400369</c:v>
                </c:pt>
                <c:pt idx="10">
                  <c:v>67.890336857634622</c:v>
                </c:pt>
                <c:pt idx="11">
                  <c:v>61.543905635648763</c:v>
                </c:pt>
                <c:pt idx="12">
                  <c:v>59.33098591549296</c:v>
                </c:pt>
                <c:pt idx="13">
                  <c:v>57.369942196531795</c:v>
                </c:pt>
                <c:pt idx="14">
                  <c:v>46.655672823218993</c:v>
                </c:pt>
                <c:pt idx="15">
                  <c:v>46.245336348219332</c:v>
                </c:pt>
                <c:pt idx="16">
                  <c:v>42.392879321051538</c:v>
                </c:pt>
                <c:pt idx="17">
                  <c:v>40.4039593365436</c:v>
                </c:pt>
                <c:pt idx="18">
                  <c:v>38.681525241675622</c:v>
                </c:pt>
                <c:pt idx="19">
                  <c:v>34.252797893350888</c:v>
                </c:pt>
                <c:pt idx="20">
                  <c:v>33.0397967823878</c:v>
                </c:pt>
                <c:pt idx="21">
                  <c:v>32.4893797790994</c:v>
                </c:pt>
                <c:pt idx="22">
                  <c:v>32.070422535211264</c:v>
                </c:pt>
                <c:pt idx="23">
                  <c:v>23.145933014354068</c:v>
                </c:pt>
                <c:pt idx="24">
                  <c:v>21.282998944033789</c:v>
                </c:pt>
                <c:pt idx="25">
                  <c:v>13.929515418502202</c:v>
                </c:pt>
              </c:numCache>
            </c:numRef>
          </c:val>
          <c:extLst>
            <c:ext xmlns:c="http://schemas.openxmlformats.org/drawingml/2006/chart" xmlns:c16="http://schemas.microsoft.com/office/drawing/2014/chart" uri="{C3380CC4-5D6E-409C-BE32-E72D297353CC}">
              <c16:uniqueId val="{00000009-BDB9-4F3D-860A-F248A164F5EC}"/>
            </c:ext>
          </c:extLst>
        </c:ser>
        <c:dLbls>
          <c:showLegendKey val="0"/>
          <c:showVal val="0"/>
          <c:showCatName val="0"/>
          <c:showSerName val="0"/>
          <c:showPercent val="0"/>
          <c:showBubbleSize val="0"/>
        </c:dLbls>
        <c:gapWidth val="20"/>
        <c:axId val="656248856"/>
        <c:axId val="656240232"/>
      </c:barChart>
      <c:catAx>
        <c:axId val="656248856"/>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56240232"/>
        <c:crosses val="autoZero"/>
        <c:auto val="1"/>
        <c:lblAlgn val="ctr"/>
        <c:lblOffset val="100"/>
        <c:tickLblSkip val="1"/>
        <c:noMultiLvlLbl val="0"/>
      </c:catAx>
      <c:valAx>
        <c:axId val="656240232"/>
        <c:scaling>
          <c:orientation val="minMax"/>
        </c:scaling>
        <c:delete val="0"/>
        <c:axPos val="l"/>
        <c:numFmt formatCode="0" sourceLinked="0"/>
        <c:majorTickMark val="out"/>
        <c:minorTickMark val="none"/>
        <c:tickLblPos val="nextTo"/>
        <c:txPr>
          <a:bodyPr/>
          <a:lstStyle/>
          <a:p>
            <a:pPr>
              <a:defRPr sz="600"/>
            </a:pPr>
            <a:endParaRPr lang="lv-LV"/>
          </a:p>
        </c:txPr>
        <c:crossAx val="656248856"/>
        <c:crosses val="autoZero"/>
        <c:crossBetween val="between"/>
      </c:valAx>
    </c:plotArea>
    <c:plotVisOnly val="1"/>
    <c:dispBlanksAs val="gap"/>
    <c:showDLblsOverMax val="0"/>
  </c:chart>
  <c:spPr>
    <a:ln w="9525">
      <a:noFill/>
    </a:ln>
  </c:spPr>
  <c:externalData r:id="rId1">
    <c:autoUpdate val="0"/>
  </c:externalData>
</c:chartSpace>
</file>

<file path=word/charts/chart37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3524559430071246"/>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4FFD-4CC2-8004-F8E1A4AD2D89}"/>
              </c:ext>
            </c:extLst>
          </c:dPt>
          <c:dPt>
            <c:idx val="5"/>
            <c:bubble3D val="0"/>
            <c:extLst>
              <c:ext xmlns:c="http://schemas.openxmlformats.org/drawingml/2006/chart" xmlns:c16="http://schemas.microsoft.com/office/drawing/2014/chart" uri="{C3380CC4-5D6E-409C-BE32-E72D297353CC}">
                <c16:uniqueId val="{00000001-4FFD-4CC2-8004-F8E1A4AD2D89}"/>
              </c:ext>
            </c:extLst>
          </c:dPt>
          <c:dPt>
            <c:idx val="11"/>
            <c:bubble3D val="0"/>
            <c:extLst>
              <c:ext xmlns:c="http://schemas.openxmlformats.org/drawingml/2006/chart" xmlns:c16="http://schemas.microsoft.com/office/drawing/2014/chart" uri="{C3380CC4-5D6E-409C-BE32-E72D297353CC}">
                <c16:uniqueId val="{00000002-4FFD-4CC2-8004-F8E1A4AD2D89}"/>
              </c:ext>
            </c:extLst>
          </c:dPt>
          <c:dPt>
            <c:idx val="12"/>
            <c:bubble3D val="0"/>
            <c:extLst>
              <c:ext xmlns:c="http://schemas.openxmlformats.org/drawingml/2006/chart" xmlns:c16="http://schemas.microsoft.com/office/drawing/2014/chart" uri="{C3380CC4-5D6E-409C-BE32-E72D297353CC}">
                <c16:uniqueId val="{00000003-4FFD-4CC2-8004-F8E1A4AD2D89}"/>
              </c:ext>
            </c:extLst>
          </c:dPt>
          <c:dPt>
            <c:idx val="13"/>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4-4FFD-4CC2-8004-F8E1A4AD2D89}"/>
              </c:ext>
            </c:extLst>
          </c:dPt>
          <c:dLbls>
            <c:dLbl>
              <c:idx val="0"/>
              <c:layout>
                <c:manualLayout>
                  <c:x val="-0.062261142590821009"/>
                  <c:y val="0.066539932508436442"/>
                </c:manualLayout>
              </c:layout>
              <c:tx>
                <c:rich>
                  <a:bodyPr vertOverflow="clip"/>
                  <a:lstStyle/>
                  <a:p>
                    <a:r>
                      <a:rPr lang="en-US"/>
                      <a:t>EU-28</a:t>
                    </a:r>
                  </a:p>
                </c:rich>
              </c:tx>
              <c:showLegendKey val="0"/>
              <c:showVal val="0"/>
              <c:showCatName val="0"/>
              <c:showSerName val="1"/>
              <c:showPercent val="0"/>
              <c:showBubbleSize val="0"/>
              <c:extLst>
                <c:ext xmlns:c="http://schemas.openxmlformats.org/drawingml/2006/chart" xmlns:c16="http://schemas.microsoft.com/office/drawing/2014/chart" uri="{C3380CC4-5D6E-409C-BE32-E72D297353CC}">
                  <c16:uniqueId val="{00000000-4FFD-4CC2-8004-F8E1A4AD2D89}"/>
                </c:ext>
                <c:ext xmlns:c15="http://schemas.microsoft.com/office/drawing/2012/chart" uri="{CE6537A1-D6FC-4f65-9D91-7224C49458BB}"/>
              </c:extLst>
            </c:dLbl>
            <c:dLbl>
              <c:idx val="1"/>
              <c:layout>
                <c:manualLayout>
                  <c:x val="-0.012391722062779536"/>
                  <c:y val="0.028857142857142856"/>
                </c:manualLayout>
              </c:layout>
              <c:tx>
                <c:rich>
                  <a:bodyPr vertOverflow="clip"/>
                  <a:lstStyle/>
                  <a:p>
                    <a:r>
                      <a:rPr lang="en-US"/>
                      <a:t>BE</a:t>
                    </a:r>
                  </a:p>
                </c:rich>
              </c:tx>
              <c:showLegendKey val="0"/>
              <c:showVal val="0"/>
              <c:showCatName val="0"/>
              <c:showSerName val="1"/>
              <c:showPercent val="0"/>
              <c:showBubbleSize val="0"/>
              <c:extLst>
                <c:ext xmlns:c="http://schemas.openxmlformats.org/drawingml/2006/chart" xmlns:c16="http://schemas.microsoft.com/office/drawing/2014/chart" uri="{C3380CC4-5D6E-409C-BE32-E72D297353CC}">
                  <c16:uniqueId val="{00000005-4FFD-4CC2-8004-F8E1A4AD2D89}"/>
                </c:ext>
                <c:ext xmlns:c15="http://schemas.microsoft.com/office/drawing/2012/chart" uri="{CE6537A1-D6FC-4f65-9D91-7224C49458BB}"/>
              </c:extLst>
            </c:dLbl>
            <c:dLbl>
              <c:idx val="2"/>
              <c:layout>
                <c:manualLayout>
                  <c:x val="-0.082947523934769285"/>
                  <c:y val="-0.03822221553417051"/>
                </c:manualLayout>
              </c:layout>
              <c:tx>
                <c:rich>
                  <a:bodyPr vertOverflow="clip"/>
                  <a:lstStyle/>
                  <a:p>
                    <a:r>
                      <a:rPr lang="en-US"/>
                      <a:t>BG</a:t>
                    </a:r>
                  </a:p>
                </c:rich>
              </c:tx>
              <c:showLegendKey val="0"/>
              <c:showVal val="0"/>
              <c:showCatName val="0"/>
              <c:showSerName val="1"/>
              <c:showPercent val="0"/>
              <c:showBubbleSize val="0"/>
              <c:extLst>
                <c:ext xmlns:c="http://schemas.openxmlformats.org/drawingml/2006/chart" xmlns:c16="http://schemas.microsoft.com/office/drawing/2014/chart" uri="{C3380CC4-5D6E-409C-BE32-E72D297353CC}">
                  <c16:uniqueId val="{00000006-4FFD-4CC2-8004-F8E1A4AD2D89}"/>
                </c:ext>
                <c:ext xmlns:c15="http://schemas.microsoft.com/office/drawing/2012/chart" uri="{CE6537A1-D6FC-4f65-9D91-7224C49458BB}"/>
              </c:extLst>
            </c:dLbl>
            <c:dLbl>
              <c:idx val="3"/>
              <c:layout>
                <c:manualLayout>
                  <c:x val="-0.0788948577689471"/>
                  <c:y val="0.037999250093738196"/>
                </c:manualLayout>
              </c:layout>
              <c:tx>
                <c:rich>
                  <a:bodyPr vertOverflow="clip"/>
                  <a:lstStyle/>
                  <a:p>
                    <a:r>
                      <a:rPr lang="en-US"/>
                      <a:t>CZ</a:t>
                    </a:r>
                  </a:p>
                </c:rich>
              </c:tx>
              <c:showLegendKey val="0"/>
              <c:showVal val="0"/>
              <c:showCatName val="0"/>
              <c:showSerName val="1"/>
              <c:showPercent val="0"/>
              <c:showBubbleSize val="0"/>
              <c:extLst>
                <c:ext xmlns:c="http://schemas.openxmlformats.org/drawingml/2006/chart" xmlns:c16="http://schemas.microsoft.com/office/drawing/2014/chart" uri="{C3380CC4-5D6E-409C-BE32-E72D297353CC}">
                  <c16:uniqueId val="{00000007-4FFD-4CC2-8004-F8E1A4AD2D89}"/>
                </c:ext>
                <c:ext xmlns:c15="http://schemas.microsoft.com/office/drawing/2012/chart" uri="{CE6537A1-D6FC-4f65-9D91-7224C49458BB}"/>
              </c:extLst>
            </c:dLbl>
            <c:dLbl>
              <c:idx val="4"/>
              <c:layout>
                <c:manualLayout>
                  <c:x val="-0.27802552718293388"/>
                  <c:y val="0.047618297712785904"/>
                </c:manualLayout>
              </c:layout>
              <c:tx>
                <c:rich>
                  <a:bodyPr vertOverflow="clip"/>
                  <a:lstStyle/>
                  <a:p>
                    <a:r>
                      <a:rPr lang="en-US"/>
                      <a:t>AT</a:t>
                    </a:r>
                  </a:p>
                </c:rich>
              </c:tx>
              <c:showLegendKey val="0"/>
              <c:showVal val="0"/>
              <c:showCatName val="0"/>
              <c:showSerName val="1"/>
              <c:showPercent val="0"/>
              <c:showBubbleSize val="0"/>
              <c:extLst>
                <c:ext xmlns:c="http://schemas.openxmlformats.org/drawingml/2006/chart" xmlns:c16="http://schemas.microsoft.com/office/drawing/2014/chart" uri="{C3380CC4-5D6E-409C-BE32-E72D297353CC}">
                  <c16:uniqueId val="{00000008-4FFD-4CC2-8004-F8E1A4AD2D89}"/>
                </c:ext>
                <c:ext xmlns:c15="http://schemas.microsoft.com/office/drawing/2012/chart" uri="{CE6537A1-D6FC-4f65-9D91-7224C49458BB}"/>
              </c:extLst>
            </c:dLbl>
            <c:dLbl>
              <c:idx val="5"/>
              <c:layout>
                <c:manualLayout>
                  <c:x val="-0.074659078830099437"/>
                  <c:y val="-0.1046029246344207"/>
                </c:manualLayout>
              </c:layout>
              <c:tx>
                <c:rich>
                  <a:bodyPr vertOverflow="clip"/>
                  <a:lstStyle/>
                  <a:p>
                    <a:r>
                      <a:rPr lang="en-US"/>
                      <a:t>FI</a:t>
                    </a:r>
                  </a:p>
                </c:rich>
              </c:tx>
              <c:showLegendKey val="0"/>
              <c:showVal val="0"/>
              <c:showCatName val="0"/>
              <c:showSerName val="1"/>
              <c:showPercent val="0"/>
              <c:showBubbleSize val="0"/>
              <c:extLst>
                <c:ext xmlns:c="http://schemas.openxmlformats.org/drawingml/2006/chart" xmlns:c16="http://schemas.microsoft.com/office/drawing/2014/chart" uri="{C3380CC4-5D6E-409C-BE32-E72D297353CC}">
                  <c16:uniqueId val="{00000001-4FFD-4CC2-8004-F8E1A4AD2D89}"/>
                </c:ext>
                <c:ext xmlns:c15="http://schemas.microsoft.com/office/drawing/2012/chart" uri="{CE6537A1-D6FC-4f65-9D91-7224C49458BB}"/>
              </c:extLst>
            </c:dLbl>
            <c:dLbl>
              <c:idx val="6"/>
              <c:layout>
                <c:manualLayout>
                  <c:x val="-0.041473761967384642"/>
                  <c:y val="-0.06688887718479837"/>
                </c:manualLayout>
              </c:layout>
              <c:tx>
                <c:rich>
                  <a:bodyPr vertOverflow="clip"/>
                  <a:lstStyle/>
                  <a:p>
                    <a:r>
                      <a:rPr lang="en-US"/>
                      <a:t>EE</a:t>
                    </a:r>
                  </a:p>
                </c:rich>
              </c:tx>
              <c:showLegendKey val="0"/>
              <c:showVal val="0"/>
              <c:showCatName val="0"/>
              <c:showSerName val="1"/>
              <c:showPercent val="0"/>
              <c:showBubbleSize val="0"/>
              <c:extLst>
                <c:ext xmlns:c="http://schemas.openxmlformats.org/drawingml/2006/chart" xmlns:c16="http://schemas.microsoft.com/office/drawing/2014/chart" uri="{C3380CC4-5D6E-409C-BE32-E72D297353CC}">
                  <c16:uniqueId val="{00000009-4FFD-4CC2-8004-F8E1A4AD2D89}"/>
                </c:ext>
                <c:ext xmlns:c15="http://schemas.microsoft.com/office/drawing/2012/chart" uri="{CE6537A1-D6FC-4f65-9D91-7224C49458BB}"/>
              </c:extLst>
            </c:dLbl>
            <c:dLbl>
              <c:idx val="7"/>
              <c:layout>
                <c:manualLayout>
                  <c:x val="-0.033179123637582686"/>
                  <c:y val="-0.05688863892013498"/>
                </c:manualLayout>
              </c:layout>
              <c:tx>
                <c:rich>
                  <a:bodyPr vertOverflow="clip"/>
                  <a:lstStyle/>
                  <a:p>
                    <a:r>
                      <a:rPr lang="en-US"/>
                      <a:t>EL</a:t>
                    </a:r>
                  </a:p>
                </c:rich>
              </c:tx>
              <c:showLegendKey val="0"/>
              <c:showVal val="0"/>
              <c:showCatName val="0"/>
              <c:showSerName val="1"/>
              <c:showPercent val="0"/>
              <c:showBubbleSize val="0"/>
              <c:extLst>
                <c:ext xmlns:c="http://schemas.openxmlformats.org/drawingml/2006/chart" xmlns:c16="http://schemas.microsoft.com/office/drawing/2014/chart" uri="{C3380CC4-5D6E-409C-BE32-E72D297353CC}">
                  <c16:uniqueId val="{0000000A-4FFD-4CC2-8004-F8E1A4AD2D89}"/>
                </c:ext>
                <c:ext xmlns:c15="http://schemas.microsoft.com/office/drawing/2012/chart" uri="{CE6537A1-D6FC-4f65-9D91-7224C49458BB}"/>
              </c:extLst>
            </c:dLbl>
            <c:dLbl>
              <c:idx val="8"/>
              <c:layout>
                <c:manualLayout>
                  <c:x val="-0.053941014382547975"/>
                  <c:y val="-0.075968503937007825"/>
                </c:manualLayout>
              </c:layout>
              <c:tx>
                <c:rich>
                  <a:bodyPr vertOverflow="clip"/>
                  <a:lstStyle/>
                  <a:p>
                    <a:r>
                      <a:rPr lang="en-US"/>
                      <a:t>ES</a:t>
                    </a:r>
                  </a:p>
                </c:rich>
              </c:tx>
              <c:showLegendKey val="0"/>
              <c:showVal val="0"/>
              <c:showCatName val="0"/>
              <c:showSerName val="1"/>
              <c:showPercent val="0"/>
              <c:showBubbleSize val="0"/>
              <c:extLst>
                <c:ext xmlns:c="http://schemas.openxmlformats.org/drawingml/2006/chart" xmlns:c16="http://schemas.microsoft.com/office/drawing/2014/chart" uri="{C3380CC4-5D6E-409C-BE32-E72D297353CC}">
                  <c16:uniqueId val="{0000000B-4FFD-4CC2-8004-F8E1A4AD2D89}"/>
                </c:ext>
                <c:ext xmlns:c15="http://schemas.microsoft.com/office/drawing/2012/chart" uri="{CE6537A1-D6FC-4f65-9D91-7224C49458BB}"/>
              </c:extLst>
            </c:dLbl>
            <c:dLbl>
              <c:idx val="9"/>
              <c:layout>
                <c:manualLayout>
                  <c:x val="-0.058113670370642925"/>
                  <c:y val="-0.057333333333333333"/>
                </c:manualLayout>
              </c:layout>
              <c:tx>
                <c:rich>
                  <a:bodyPr vertOverflow="clip"/>
                  <a:lstStyle/>
                  <a:p>
                    <a:r>
                      <a:rPr lang="en-US"/>
                      <a:t>FR</a:t>
                    </a:r>
                  </a:p>
                </c:rich>
              </c:tx>
              <c:showLegendKey val="0"/>
              <c:showVal val="0"/>
              <c:showCatName val="0"/>
              <c:showSerName val="1"/>
              <c:showPercent val="0"/>
              <c:showBubbleSize val="0"/>
              <c:extLst>
                <c:ext xmlns:c="http://schemas.openxmlformats.org/drawingml/2006/chart" xmlns:c16="http://schemas.microsoft.com/office/drawing/2014/chart" uri="{C3380CC4-5D6E-409C-BE32-E72D297353CC}">
                  <c16:uniqueId val="{0000000C-4FFD-4CC2-8004-F8E1A4AD2D89}"/>
                </c:ext>
                <c:ext xmlns:c15="http://schemas.microsoft.com/office/drawing/2012/chart" uri="{CE6537A1-D6FC-4f65-9D91-7224C49458BB}"/>
              </c:extLst>
            </c:dLbl>
            <c:dLbl>
              <c:idx val="10"/>
              <c:layout>
                <c:manualLayout>
                  <c:x val="-0.053928586029550044"/>
                  <c:y val="-0.076444694413198344"/>
                </c:manualLayout>
              </c:layout>
              <c:tx>
                <c:rich>
                  <a:bodyPr vertOverflow="clip"/>
                  <a:lstStyle/>
                  <a:p>
                    <a:r>
                      <a:rPr lang="en-US"/>
                      <a:t>HR</a:t>
                    </a:r>
                  </a:p>
                </c:rich>
              </c:tx>
              <c:showLegendKey val="0"/>
              <c:showVal val="0"/>
              <c:showCatName val="0"/>
              <c:showSerName val="1"/>
              <c:showPercent val="0"/>
              <c:showBubbleSize val="0"/>
              <c:extLst>
                <c:ext xmlns:c="http://schemas.openxmlformats.org/drawingml/2006/chart" xmlns:c16="http://schemas.microsoft.com/office/drawing/2014/chart" uri="{C3380CC4-5D6E-409C-BE32-E72D297353CC}">
                  <c16:uniqueId val="{0000000D-4FFD-4CC2-8004-F8E1A4AD2D89}"/>
                </c:ext>
                <c:ext xmlns:c15="http://schemas.microsoft.com/office/drawing/2012/chart" uri="{CE6537A1-D6FC-4f65-9D91-7224C49458BB}"/>
              </c:extLst>
            </c:dLbl>
            <c:dLbl>
              <c:idx val="11"/>
              <c:layout>
                <c:manualLayout>
                  <c:x val="-0.053928586029550044"/>
                  <c:y val="0.076380952380952383"/>
                </c:manualLayout>
              </c:layout>
              <c:tx>
                <c:rich>
                  <a:bodyPr vertOverflow="clip"/>
                  <a:lstStyle/>
                  <a:p>
                    <a:r>
                      <a:rPr lang="en-US"/>
                      <a:t>IT</a:t>
                    </a:r>
                  </a:p>
                </c:rich>
              </c:tx>
              <c:showLegendKey val="0"/>
              <c:showVal val="0"/>
              <c:showCatName val="0"/>
              <c:showSerName val="1"/>
              <c:showPercent val="0"/>
              <c:showBubbleSize val="0"/>
              <c:extLst>
                <c:ext xmlns:c="http://schemas.openxmlformats.org/drawingml/2006/chart" xmlns:c16="http://schemas.microsoft.com/office/drawing/2014/chart" uri="{C3380CC4-5D6E-409C-BE32-E72D297353CC}">
                  <c16:uniqueId val="{00000002-4FFD-4CC2-8004-F8E1A4AD2D89}"/>
                </c:ext>
                <c:ext xmlns:c15="http://schemas.microsoft.com/office/drawing/2012/chart" uri="{CE6537A1-D6FC-4f65-9D91-7224C49458BB}"/>
              </c:extLst>
            </c:dLbl>
            <c:dLbl>
              <c:idx val="12"/>
              <c:layout>
                <c:manualLayout>
                  <c:x val="-0.033166368222663757"/>
                  <c:y val="-0.0573970753655793"/>
                </c:manualLayout>
              </c:layout>
              <c:tx>
                <c:rich>
                  <a:bodyPr vertOverflow="clip"/>
                  <a:lstStyle/>
                  <a:p>
                    <a:r>
                      <a:rPr lang="en-US"/>
                      <a:t>CY</a:t>
                    </a:r>
                  </a:p>
                </c:rich>
              </c:tx>
              <c:showLegendKey val="0"/>
              <c:showVal val="0"/>
              <c:showCatName val="0"/>
              <c:showSerName val="1"/>
              <c:showPercent val="0"/>
              <c:showBubbleSize val="0"/>
              <c:extLst>
                <c:ext xmlns:c="http://schemas.openxmlformats.org/drawingml/2006/chart" xmlns:c16="http://schemas.microsoft.com/office/drawing/2014/chart" uri="{C3380CC4-5D6E-409C-BE32-E72D297353CC}">
                  <c16:uniqueId val="{00000003-4FFD-4CC2-8004-F8E1A4AD2D89}"/>
                </c:ext>
                <c:ext xmlns:c15="http://schemas.microsoft.com/office/drawing/2012/chart" uri="{CE6537A1-D6FC-4f65-9D91-7224C49458BB}"/>
              </c:extLst>
            </c:dLbl>
            <c:dLbl>
              <c:idx val="13"/>
              <c:layout>
                <c:manualLayout>
                  <c:x val="-0.0580446603053123"/>
                  <c:y val="-0.076444694413198344"/>
                </c:manualLayout>
              </c:layout>
              <c:tx>
                <c:rich>
                  <a:bodyPr vertOverflow="clip"/>
                  <a:lstStyle/>
                  <a:p>
                    <a:r>
                      <a:rPr lang="en-US"/>
                      <a:t>LV</a:t>
                    </a:r>
                  </a:p>
                </c:rich>
              </c:tx>
              <c:showLegendKey val="0"/>
              <c:showVal val="0"/>
              <c:showCatName val="0"/>
              <c:showSerName val="1"/>
              <c:showPercent val="0"/>
              <c:showBubbleSize val="0"/>
              <c:extLst>
                <c:ext xmlns:c="http://schemas.openxmlformats.org/drawingml/2006/chart" xmlns:c16="http://schemas.microsoft.com/office/drawing/2014/chart" uri="{C3380CC4-5D6E-409C-BE32-E72D297353CC}">
                  <c16:uniqueId val="{00000004-4FFD-4CC2-8004-F8E1A4AD2D89}"/>
                </c:ext>
                <c:ext xmlns:c15="http://schemas.microsoft.com/office/drawing/2012/chart" uri="{CE6537A1-D6FC-4f65-9D91-7224C49458BB}"/>
              </c:extLst>
            </c:dLbl>
            <c:dLbl>
              <c:idx val="14"/>
              <c:layout>
                <c:manualLayout>
                  <c:x val="-0.058126425785561854"/>
                  <c:y val="-0.076158980127484066"/>
                </c:manualLayout>
              </c:layout>
              <c:tx>
                <c:rich>
                  <a:bodyPr vertOverflow="clip"/>
                  <a:lstStyle/>
                  <a:p>
                    <a:r>
                      <a:rPr lang="en-US"/>
                      <a:t>LT</a:t>
                    </a:r>
                  </a:p>
                </c:rich>
              </c:tx>
              <c:showLegendKey val="0"/>
              <c:showVal val="0"/>
              <c:showCatName val="0"/>
              <c:showSerName val="1"/>
              <c:showPercent val="0"/>
              <c:showBubbleSize val="0"/>
              <c:extLst>
                <c:ext xmlns:c="http://schemas.openxmlformats.org/drawingml/2006/chart" xmlns:c16="http://schemas.microsoft.com/office/drawing/2014/chart" uri="{C3380CC4-5D6E-409C-BE32-E72D297353CC}">
                  <c16:uniqueId val="{0000000E-4FFD-4CC2-8004-F8E1A4AD2D89}"/>
                </c:ext>
                <c:ext xmlns:c15="http://schemas.microsoft.com/office/drawing/2012/chart" uri="{CE6537A1-D6FC-4f65-9D91-7224C49458BB}"/>
              </c:extLst>
            </c:dLbl>
            <c:dLbl>
              <c:idx val="15"/>
              <c:layout>
                <c:manualLayout>
                  <c:x val="-0.053959983973965869"/>
                  <c:y val="-0.06679340082489689"/>
                </c:manualLayout>
              </c:layout>
              <c:tx>
                <c:rich>
                  <a:bodyPr vertOverflow="clip"/>
                  <a:lstStyle/>
                  <a:p>
                    <a:r>
                      <a:rPr lang="en-US"/>
                      <a:t>LU</a:t>
                    </a:r>
                  </a:p>
                </c:rich>
              </c:tx>
              <c:showLegendKey val="0"/>
              <c:showVal val="0"/>
              <c:showCatName val="0"/>
              <c:showSerName val="1"/>
              <c:showPercent val="0"/>
              <c:showBubbleSize val="0"/>
              <c:extLst>
                <c:ext xmlns:c="http://schemas.openxmlformats.org/drawingml/2006/chart" xmlns:c16="http://schemas.microsoft.com/office/drawing/2014/chart" uri="{C3380CC4-5D6E-409C-BE32-E72D297353CC}">
                  <c16:uniqueId val="{0000000F-4FFD-4CC2-8004-F8E1A4AD2D89}"/>
                </c:ext>
                <c:ext xmlns:c15="http://schemas.microsoft.com/office/drawing/2012/chart" uri="{CE6537A1-D6FC-4f65-9D91-7224C49458BB}"/>
              </c:extLst>
            </c:dLbl>
            <c:dLbl>
              <c:idx val="16"/>
              <c:layout>
                <c:manualLayout>
                  <c:x val="0.27005895291125992"/>
                  <c:y val="-0.10501612298462693"/>
                </c:manualLayout>
              </c:layout>
              <c:tx>
                <c:rich>
                  <a:bodyPr vertOverflow="clip"/>
                  <a:lstStyle/>
                  <a:p>
                    <a:r>
                      <a:rPr lang="en-US"/>
                      <a:t>NL</a:t>
                    </a:r>
                  </a:p>
                </c:rich>
              </c:tx>
              <c:showLegendKey val="0"/>
              <c:showVal val="0"/>
              <c:showCatName val="0"/>
              <c:showSerName val="1"/>
              <c:showPercent val="0"/>
              <c:showBubbleSize val="0"/>
              <c:extLst>
                <c:ext xmlns:c="http://schemas.openxmlformats.org/drawingml/2006/chart" xmlns:c16="http://schemas.microsoft.com/office/drawing/2014/chart" uri="{C3380CC4-5D6E-409C-BE32-E72D297353CC}">
                  <c16:uniqueId val="{00000010-4FFD-4CC2-8004-F8E1A4AD2D89}"/>
                </c:ext>
                <c:ext xmlns:c15="http://schemas.microsoft.com/office/drawing/2012/chart" uri="{CE6537A1-D6FC-4f65-9D91-7224C49458BB}"/>
              </c:extLst>
            </c:dLbl>
            <c:dLbl>
              <c:idx val="17"/>
              <c:layout>
                <c:manualLayout>
                  <c:x val="-0.066415156049419055"/>
                  <c:y val="-0.066920884889388826"/>
                </c:manualLayout>
              </c:layout>
              <c:tx>
                <c:rich>
                  <a:bodyPr vertOverflow="clip"/>
                  <a:lstStyle/>
                  <a:p>
                    <a:r>
                      <a:rPr lang="en-US"/>
                      <a:t>UK</a:t>
                    </a:r>
                  </a:p>
                </c:rich>
              </c:tx>
              <c:showLegendKey val="0"/>
              <c:showVal val="0"/>
              <c:showCatName val="0"/>
              <c:showSerName val="1"/>
              <c:showPercent val="0"/>
              <c:showBubbleSize val="0"/>
              <c:extLst>
                <c:ext xmlns:c="http://schemas.openxmlformats.org/drawingml/2006/chart" xmlns:c16="http://schemas.microsoft.com/office/drawing/2014/chart" uri="{C3380CC4-5D6E-409C-BE32-E72D297353CC}">
                  <c16:uniqueId val="{00000011-4FFD-4CC2-8004-F8E1A4AD2D89}"/>
                </c:ext>
                <c:ext xmlns:c15="http://schemas.microsoft.com/office/drawing/2012/chart" uri="{CE6537A1-D6FC-4f65-9D91-7224C49458BB}"/>
              </c:extLst>
            </c:dLbl>
            <c:dLbl>
              <c:idx val="18"/>
              <c:layout>
                <c:manualLayout>
                  <c:x val="-0.34462416497003295"/>
                  <c:y val="0.41917285339332583"/>
                </c:manualLayout>
              </c:layout>
              <c:tx>
                <c:rich>
                  <a:bodyPr vertOverflow="clip"/>
                  <a:lstStyle/>
                  <a:p>
                    <a:r>
                      <a:rPr lang="en-US"/>
                      <a:t>PL</a:t>
                    </a:r>
                  </a:p>
                </c:rich>
              </c:tx>
              <c:showLegendKey val="0"/>
              <c:showVal val="0"/>
              <c:showCatName val="0"/>
              <c:showSerName val="1"/>
              <c:showPercent val="0"/>
              <c:showBubbleSize val="0"/>
              <c:extLst>
                <c:ext xmlns:c="http://schemas.openxmlformats.org/drawingml/2006/chart" xmlns:c16="http://schemas.microsoft.com/office/drawing/2014/chart" uri="{C3380CC4-5D6E-409C-BE32-E72D297353CC}">
                  <c16:uniqueId val="{00000012-4FFD-4CC2-8004-F8E1A4AD2D89}"/>
                </c:ext>
                <c:ext xmlns:c15="http://schemas.microsoft.com/office/drawing/2012/chart" uri="{CE6537A1-D6FC-4f65-9D91-7224C49458BB}"/>
              </c:extLst>
            </c:dLbl>
            <c:dLbl>
              <c:idx val="19"/>
              <c:layout>
                <c:manualLayout>
                  <c:x val="0.062406358083744208"/>
                  <c:y val="-0.45688938882639668"/>
                </c:manualLayout>
              </c:layout>
              <c:tx>
                <c:rich>
                  <a:bodyPr vertOverflow="clip"/>
                  <a:lstStyle/>
                  <a:p>
                    <a:r>
                      <a:rPr lang="en-US"/>
                      <a:t>PT</a:t>
                    </a:r>
                  </a:p>
                </c:rich>
              </c:tx>
              <c:showLegendKey val="0"/>
              <c:showVal val="0"/>
              <c:showCatName val="0"/>
              <c:showSerName val="1"/>
              <c:showPercent val="0"/>
              <c:showBubbleSize val="0"/>
              <c:extLst>
                <c:ext xmlns:c="http://schemas.openxmlformats.org/drawingml/2006/chart" xmlns:c16="http://schemas.microsoft.com/office/drawing/2014/chart" uri="{C3380CC4-5D6E-409C-BE32-E72D297353CC}">
                  <c16:uniqueId val="{00000013-4FFD-4CC2-8004-F8E1A4AD2D89}"/>
                </c:ext>
                <c:ext xmlns:c15="http://schemas.microsoft.com/office/drawing/2012/chart" uri="{CE6537A1-D6FC-4f65-9D91-7224C49458BB}"/>
              </c:extLst>
            </c:dLbl>
            <c:dLbl>
              <c:idx val="20"/>
              <c:layout>
                <c:manualLayout>
                  <c:x val="0.30330741367609421"/>
                  <c:y val="-0.085460817397825267"/>
                </c:manualLayout>
              </c:layout>
              <c:tx>
                <c:rich>
                  <a:bodyPr vertOverflow="clip"/>
                  <a:lstStyle/>
                  <a:p>
                    <a:r>
                      <a:rPr lang="en-US"/>
                      <a:t>DK</a:t>
                    </a:r>
                  </a:p>
                </c:rich>
              </c:tx>
              <c:showLegendKey val="0"/>
              <c:showVal val="0"/>
              <c:showCatName val="0"/>
              <c:showSerName val="1"/>
              <c:showPercent val="0"/>
              <c:showBubbleSize val="0"/>
              <c:extLst>
                <c:ext xmlns:c="http://schemas.openxmlformats.org/drawingml/2006/chart" xmlns:c16="http://schemas.microsoft.com/office/drawing/2014/chart" uri="{C3380CC4-5D6E-409C-BE32-E72D297353CC}">
                  <c16:uniqueId val="{00000014-4FFD-4CC2-8004-F8E1A4AD2D89}"/>
                </c:ext>
                <c:ext xmlns:c15="http://schemas.microsoft.com/office/drawing/2012/chart" uri="{CE6537A1-D6FC-4f65-9D91-7224C49458BB}"/>
              </c:extLst>
            </c:dLbl>
            <c:dLbl>
              <c:idx val="21"/>
              <c:layout>
                <c:manualLayout>
                  <c:x val="-0.062185264225149424"/>
                  <c:y val="-0.066992875890513684"/>
                </c:manualLayout>
              </c:layout>
              <c:tx>
                <c:rich>
                  <a:bodyPr/>
                  <a:lstStyle/>
                  <a:p>
                    <a:r>
                      <a:rPr lang="en-US"/>
                      <a:t>SI</a:t>
                    </a:r>
                  </a:p>
                </c:rich>
              </c:tx>
              <c:showLegendKey val="0"/>
              <c:showVal val="0"/>
              <c:showCatName val="0"/>
              <c:showSerName val="1"/>
              <c:showPercent val="0"/>
              <c:showBubbleSize val="0"/>
              <c:extLst>
                <c:ext xmlns:c="http://schemas.openxmlformats.org/drawingml/2006/chart" xmlns:c16="http://schemas.microsoft.com/office/drawing/2014/chart" uri="{C3380CC4-5D6E-409C-BE32-E72D297353CC}">
                  <c16:uniqueId val="{00000015-4FFD-4CC2-8004-F8E1A4AD2D89}"/>
                </c:ext>
                <c:ext xmlns:c15="http://schemas.microsoft.com/office/drawing/2012/chart" uri="{CE6537A1-D6FC-4f65-9D91-7224C49458BB}"/>
              </c:extLst>
            </c:dLbl>
            <c:dLbl>
              <c:idx val="22"/>
              <c:layout>
                <c:manualLayout>
                  <c:x val="-0.04981283881570886"/>
                  <c:y val="-0.076000749906261711"/>
                </c:manualLayout>
              </c:layout>
              <c:tx>
                <c:rich>
                  <a:bodyPr vertOverflow="clip"/>
                  <a:lstStyle/>
                  <a:p>
                    <a:r>
                      <a:rPr lang="en-US"/>
                      <a:t>SI</a:t>
                    </a:r>
                  </a:p>
                </c:rich>
              </c:tx>
              <c:showLegendKey val="0"/>
              <c:showVal val="0"/>
              <c:showCatName val="0"/>
              <c:showSerName val="1"/>
              <c:showPercent val="0"/>
              <c:showBubbleSize val="0"/>
              <c:extLst>
                <c:ext xmlns:c="http://schemas.openxmlformats.org/drawingml/2006/chart" xmlns:c16="http://schemas.microsoft.com/office/drawing/2014/chart" uri="{C3380CC4-5D6E-409C-BE32-E72D297353CC}">
                  <c16:uniqueId val="{00000016-4FFD-4CC2-8004-F8E1A4AD2D89}"/>
                </c:ext>
                <c:ext xmlns:c15="http://schemas.microsoft.com/office/drawing/2012/chart" uri="{CE6537A1-D6FC-4f65-9D91-7224C49458BB}"/>
              </c:extLst>
            </c:dLbl>
            <c:dLbl>
              <c:idx val="23"/>
              <c:layout>
                <c:manualLayout>
                  <c:x val="-0.024770688710640143"/>
                  <c:y val="-0.018983877015373078"/>
                </c:manualLayout>
              </c:layout>
              <c:tx>
                <c:rich>
                  <a:bodyPr vertOverflow="clip"/>
                  <a:lstStyle/>
                  <a:p>
                    <a:r>
                      <a:rPr lang="en-US"/>
                      <a:t>SK</a:t>
                    </a:r>
                  </a:p>
                </c:rich>
              </c:tx>
              <c:showLegendKey val="0"/>
              <c:showVal val="0"/>
              <c:showCatName val="0"/>
              <c:showSerName val="1"/>
              <c:showPercent val="0"/>
              <c:showBubbleSize val="0"/>
              <c:extLst>
                <c:ext xmlns:c="http://schemas.openxmlformats.org/drawingml/2006/chart" xmlns:c16="http://schemas.microsoft.com/office/drawing/2014/chart" uri="{C3380CC4-5D6E-409C-BE32-E72D297353CC}">
                  <c16:uniqueId val="{00000017-4FFD-4CC2-8004-F8E1A4AD2D89}"/>
                </c:ext>
                <c:ext xmlns:c15="http://schemas.microsoft.com/office/drawing/2012/chart" uri="{CE6537A1-D6FC-4f65-9D91-7224C49458BB}"/>
              </c:extLst>
            </c:dLbl>
            <c:dLbl>
              <c:idx val="24"/>
              <c:layout>
                <c:manualLayout>
                  <c:x val="0.16619160922641679"/>
                  <c:y val="0.28590476190476183"/>
                </c:manualLayout>
              </c:layout>
              <c:tx>
                <c:rich>
                  <a:bodyPr vertOverflow="clip"/>
                  <a:lstStyle/>
                  <a:p>
                    <a:r>
                      <a:rPr lang="en-US"/>
                      <a:t>SE</a:t>
                    </a:r>
                  </a:p>
                </c:rich>
              </c:tx>
              <c:showLegendKey val="0"/>
              <c:showVal val="0"/>
              <c:showCatName val="0"/>
              <c:showSerName val="1"/>
              <c:showPercent val="0"/>
              <c:showBubbleSize val="0"/>
              <c:extLst>
                <c:ext xmlns:c="http://schemas.openxmlformats.org/drawingml/2006/chart" xmlns:c16="http://schemas.microsoft.com/office/drawing/2014/chart" uri="{C3380CC4-5D6E-409C-BE32-E72D297353CC}">
                  <c16:uniqueId val="{00000018-4FFD-4CC2-8004-F8E1A4AD2D89}"/>
                </c:ext>
                <c:ext xmlns:c15="http://schemas.microsoft.com/office/drawing/2012/chart" uri="{CE6537A1-D6FC-4f65-9D91-7224C49458BB}"/>
              </c:extLst>
            </c:dLbl>
            <c:dLbl>
              <c:idx val="25"/>
              <c:layout>
                <c:manualLayout>
                  <c:x val="-0.40714957359302051"/>
                  <c:y val="-0.0080719910011249462"/>
                </c:manualLayout>
              </c:layout>
              <c:tx>
                <c:rich>
                  <a:bodyPr vertOverflow="clip"/>
                  <a:lstStyle/>
                  <a:p>
                    <a:r>
                      <a:rPr lang="en-US"/>
                      <a:t>HU</a:t>
                    </a:r>
                  </a:p>
                </c:rich>
              </c:tx>
              <c:showLegendKey val="0"/>
              <c:showVal val="0"/>
              <c:showCatName val="0"/>
              <c:showSerName val="1"/>
              <c:showPercent val="0"/>
              <c:showBubbleSize val="0"/>
              <c:extLst>
                <c:ext xmlns:c="http://schemas.openxmlformats.org/drawingml/2006/chart" xmlns:c16="http://schemas.microsoft.com/office/drawing/2014/chart" uri="{C3380CC4-5D6E-409C-BE32-E72D297353CC}">
                  <c16:uniqueId val="{00000019-4FFD-4CC2-8004-F8E1A4AD2D89}"/>
                </c:ext>
                <c:ext xmlns:c15="http://schemas.microsoft.com/office/drawing/2012/chart" uri="{CE6537A1-D6FC-4f65-9D91-7224C49458BB}"/>
              </c:extLst>
            </c:dLbl>
            <c:dLbl>
              <c:idx val="26"/>
              <c:layout>
                <c:manualLayout>
                  <c:x val="-0.070612668743509938"/>
                  <c:y val="-0.0571428571428571"/>
                </c:manualLayout>
              </c:layout>
              <c:tx>
                <c:rich>
                  <a:bodyPr vertOverflow="clip"/>
                  <a:lstStyle/>
                  <a:p>
                    <a:r>
                      <a:rPr lang="en-US"/>
                      <a:t>DE</a:t>
                    </a:r>
                  </a:p>
                </c:rich>
              </c:tx>
              <c:showLegendKey val="0"/>
              <c:showVal val="0"/>
              <c:showCatName val="0"/>
              <c:showSerName val="1"/>
              <c:showPercent val="0"/>
              <c:showBubbleSize val="0"/>
              <c:extLst>
                <c:ext xmlns:c="http://schemas.openxmlformats.org/drawingml/2006/chart" xmlns:c16="http://schemas.microsoft.com/office/drawing/2014/chart" uri="{C3380CC4-5D6E-409C-BE32-E72D297353CC}">
                  <c16:uniqueId val="{0000001A-4FFD-4CC2-8004-F8E1A4AD2D89}"/>
                </c:ext>
                <c:ext xmlns:c15="http://schemas.microsoft.com/office/drawing/2012/chart" uri="{CE6537A1-D6FC-4f65-9D91-7224C49458BB}"/>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Sheet1!$B$3:$B$29</c:f>
              <c:numCache>
                <c:formatCode>0</c:formatCode>
                <c:ptCount val="27"/>
                <c:pt idx="0">
                  <c:v>72.471011274763768</c:v>
                </c:pt>
                <c:pt idx="1">
                  <c:v>100.45604395604394</c:v>
                </c:pt>
                <c:pt idx="2">
                  <c:v>17.749763630633471</c:v>
                </c:pt>
                <c:pt idx="3">
                  <c:v>39.198767334360561</c:v>
                </c:pt>
                <c:pt idx="4">
                  <c:v>98.264583333333334</c:v>
                </c:pt>
                <c:pt idx="5">
                  <c:v>72.627871362940269</c:v>
                </c:pt>
                <c:pt idx="6">
                  <c:v>32.987179487179489</c:v>
                </c:pt>
                <c:pt idx="7">
                  <c:v>35.428200692041521</c:v>
                </c:pt>
                <c:pt idx="8">
                  <c:v>57.65939942410531</c:v>
                </c:pt>
                <c:pt idx="9">
                  <c:v>93.911363636363632</c:v>
                </c:pt>
                <c:pt idx="10">
                  <c:v>27.217928902627513</c:v>
                </c:pt>
                <c:pt idx="11">
                  <c:v>65.763440860215042</c:v>
                </c:pt>
                <c:pt idx="12">
                  <c:v>48.063241106719367</c:v>
                </c:pt>
                <c:pt idx="13">
                  <c:v>28.872093023255818</c:v>
                </c:pt>
                <c:pt idx="14">
                  <c:v>23.647932131495228</c:v>
                </c:pt>
                <c:pt idx="15">
                  <c:v>75.187878787878788</c:v>
                </c:pt>
                <c:pt idx="16">
                  <c:v>40.907216494845365</c:v>
                </c:pt>
                <c:pt idx="17">
                  <c:v>84.472049689441</c:v>
                </c:pt>
                <c:pt idx="18">
                  <c:v>69.646993932708213</c:v>
                </c:pt>
                <c:pt idx="19">
                  <c:v>32.200530035335689</c:v>
                </c:pt>
                <c:pt idx="20">
                  <c:v>46.262247838616709</c:v>
                </c:pt>
                <c:pt idx="21">
                  <c:v>66.175771971496431</c:v>
                </c:pt>
                <c:pt idx="22">
                  <c:v>40.927419354838712</c:v>
                </c:pt>
                <c:pt idx="23">
                  <c:v>42.136431784107948</c:v>
                </c:pt>
                <c:pt idx="24">
                  <c:v>70.851485148514854</c:v>
                </c:pt>
                <c:pt idx="25">
                  <c:v>96.947252747252762</c:v>
                </c:pt>
                <c:pt idx="26">
                  <c:v>77.97441327289593</c:v>
                </c:pt>
              </c:numCache>
            </c:numRef>
          </c:xVal>
          <c:yVal>
            <c:numRef>
              <c:f>Sheet1!$C$3:$C$29</c:f>
              <c:numCache>
                <c:formatCode>0.0</c:formatCode>
                <c:ptCount val="27"/>
                <c:pt idx="0">
                  <c:v>0.754462563561093</c:v>
                </c:pt>
                <c:pt idx="1">
                  <c:v>0.77056621760368682</c:v>
                </c:pt>
                <c:pt idx="2">
                  <c:v>0.71818380867434661</c:v>
                </c:pt>
                <c:pt idx="3">
                  <c:v>0.6644275782000002</c:v>
                </c:pt>
                <c:pt idx="4">
                  <c:v>0.8121878668619813</c:v>
                </c:pt>
                <c:pt idx="5">
                  <c:v>0.81052446618591778</c:v>
                </c:pt>
                <c:pt idx="6">
                  <c:v>0.777620746917288</c:v>
                </c:pt>
                <c:pt idx="7">
                  <c:v>0.71422007086332573</c:v>
                </c:pt>
                <c:pt idx="8">
                  <c:v>0.75376906774133756</c:v>
                </c:pt>
                <c:pt idx="9">
                  <c:v>0.763341271783307</c:v>
                </c:pt>
                <c:pt idx="10">
                  <c:v>0.80209100664607569</c:v>
                </c:pt>
                <c:pt idx="11">
                  <c:v>0.69407343715501046</c:v>
                </c:pt>
                <c:pt idx="12">
                  <c:v>0.73042063269876822</c:v>
                </c:pt>
                <c:pt idx="13">
                  <c:v>0.67506767196561268</c:v>
                </c:pt>
                <c:pt idx="14">
                  <c:v>0.74787442015378913</c:v>
                </c:pt>
                <c:pt idx="15">
                  <c:v>0.897959683166218</c:v>
                </c:pt>
                <c:pt idx="16">
                  <c:v>0.65729152723865614</c:v>
                </c:pt>
                <c:pt idx="17">
                  <c:v>0.76854166666666668</c:v>
                </c:pt>
                <c:pt idx="18">
                  <c:v>0.8207028695554448</c:v>
                </c:pt>
                <c:pt idx="19">
                  <c:v>0.56505931923703</c:v>
                </c:pt>
                <c:pt idx="20">
                  <c:v>0.814988543184691</c:v>
                </c:pt>
                <c:pt idx="21">
                  <c:v>0.22975071919795537</c:v>
                </c:pt>
                <c:pt idx="22">
                  <c:v>0.86295456922701441</c:v>
                </c:pt>
                <c:pt idx="23">
                  <c:v>0.55224606441659863</c:v>
                </c:pt>
                <c:pt idx="24">
                  <c:v>0.83266477181985143</c:v>
                </c:pt>
                <c:pt idx="25">
                  <c:v>0.65675495107929582</c:v>
                </c:pt>
                <c:pt idx="26">
                  <c:v>0.79349262346637073</c:v>
                </c:pt>
              </c:numCache>
            </c:numRef>
          </c:yVal>
          <c:smooth val="0"/>
          <c:extLst>
            <c:ext xmlns:c="http://schemas.openxmlformats.org/drawingml/2006/chart" xmlns:c16="http://schemas.microsoft.com/office/drawing/2014/chart" uri="{C3380CC4-5D6E-409C-BE32-E72D297353CC}">
              <c16:uniqueId val="{0000001B-4FFD-4CC2-8004-F8E1A4AD2D89}"/>
            </c:ext>
          </c:extLst>
        </c:ser>
        <c:dLbls>
          <c:showLegendKey val="0"/>
          <c:showVal val="0"/>
          <c:showCatName val="0"/>
          <c:showSerName val="0"/>
          <c:showPercent val="0"/>
          <c:showBubbleSize val="0"/>
        </c:dLbls>
        <c:axId val="656237488"/>
        <c:axId val="656241800"/>
      </c:scatterChart>
      <c:valAx>
        <c:axId val="656237488"/>
        <c:scaling>
          <c:orientation val="minMax"/>
          <c:max val="120"/>
          <c:min val="10"/>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56241800"/>
        <c:crosses val="autoZero"/>
        <c:crossBetween val="midCat"/>
        <c:majorUnit val="20"/>
      </c:valAx>
      <c:valAx>
        <c:axId val="656241800"/>
        <c:scaling>
          <c:orientation val="minMax"/>
          <c:max val="1"/>
          <c:min val="0.5"/>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56237488"/>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37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2572178477690286"/>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AF02-4B8C-BE89-376CE6F7F908}"/>
              </c:ext>
            </c:extLst>
          </c:dPt>
          <c:dPt>
            <c:idx val="5"/>
            <c:bubble3D val="0"/>
            <c:extLst>
              <c:ext xmlns:c="http://schemas.openxmlformats.org/drawingml/2006/chart" xmlns:c16="http://schemas.microsoft.com/office/drawing/2014/chart" uri="{C3380CC4-5D6E-409C-BE32-E72D297353CC}">
                <c16:uniqueId val="{00000001-AF02-4B8C-BE89-376CE6F7F908}"/>
              </c:ext>
            </c:extLst>
          </c:dPt>
          <c:dPt>
            <c:idx val="11"/>
            <c:bubble3D val="0"/>
            <c:extLst>
              <c:ext xmlns:c="http://schemas.openxmlformats.org/drawingml/2006/chart" xmlns:c16="http://schemas.microsoft.com/office/drawing/2014/chart" uri="{C3380CC4-5D6E-409C-BE32-E72D297353CC}">
                <c16:uniqueId val="{00000002-AF02-4B8C-BE89-376CE6F7F908}"/>
              </c:ext>
            </c:extLst>
          </c:dPt>
          <c:dPt>
            <c:idx val="12"/>
            <c:bubble3D val="0"/>
            <c:extLst>
              <c:ext xmlns:c="http://schemas.openxmlformats.org/drawingml/2006/chart" xmlns:c16="http://schemas.microsoft.com/office/drawing/2014/chart" uri="{C3380CC4-5D6E-409C-BE32-E72D297353CC}">
                <c16:uniqueId val="{00000003-AF02-4B8C-BE89-376CE6F7F908}"/>
              </c:ext>
            </c:extLst>
          </c:dPt>
          <c:dPt>
            <c:idx val="13"/>
            <c:bubble3D val="0"/>
            <c:extLst>
              <c:ext xmlns:c="http://schemas.openxmlformats.org/drawingml/2006/chart" xmlns:c16="http://schemas.microsoft.com/office/drawing/2014/chart" uri="{C3380CC4-5D6E-409C-BE32-E72D297353CC}">
                <c16:uniqueId val="{00000004-AF02-4B8C-BE89-376CE6F7F908}"/>
              </c:ext>
            </c:extLst>
          </c:dPt>
          <c:dPt>
            <c:idx val="14"/>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5-AF02-4B8C-BE89-376CE6F7F908}"/>
              </c:ext>
            </c:extLst>
          </c:dPt>
          <c:dLbls>
            <c:dLbl>
              <c:idx val="0"/>
              <c:layout>
                <c:manualLayout>
                  <c:x val="-0.07647372222930407"/>
                  <c:y val="0.0762474049413657"/>
                </c:manualLayout>
              </c:layout>
              <c:tx>
                <c:rich>
                  <a:bodyPr vertOverflow="clip"/>
                  <a:lstStyle/>
                  <a:p>
                    <a:fld id="{2aaa3fcc-4128-4476-abfc-313244649c4d}" type="CELLRANGE">
                      <a:rPr lang="en-US"/>
                      <a:t>EU-28</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0-AF02-4B8C-BE89-376CE6F7F908}"/>
                </c:ext>
                <c:ext xmlns:c15="http://schemas.microsoft.com/office/drawing/2012/chart" uri="{CE6537A1-D6FC-4f65-9D91-7224C49458BB}">
                  <c15:showDataLabelsRange val="1"/>
                </c:ext>
              </c:extLst>
            </c:dLbl>
            <c:dLbl>
              <c:idx val="1"/>
              <c:layout>
                <c:manualLayout>
                  <c:x val="-0.020755500207555"/>
                  <c:y val="0"/>
                </c:manualLayout>
              </c:layout>
              <c:tx>
                <c:rich>
                  <a:bodyPr vertOverflow="clip"/>
                  <a:lstStyle/>
                  <a:p>
                    <a:fld id="{48c643b2-cd8c-4a66-b834-542e8ad75f74}" type="CELLRANGE">
                      <a:rPr lang="en-US"/>
                      <a:t>BE</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6-AF02-4B8C-BE89-376CE6F7F908}"/>
                </c:ext>
                <c:ext xmlns:c15="http://schemas.microsoft.com/office/drawing/2012/chart" uri="{CE6537A1-D6FC-4f65-9D91-7224C49458BB}">
                  <c15:showDataLabelsRange val="1"/>
                </c:ext>
              </c:extLst>
            </c:dLbl>
            <c:dLbl>
              <c:idx val="2"/>
              <c:layout>
                <c:manualLayout>
                  <c:x val="-0.020755500207555"/>
                  <c:y val="0"/>
                </c:manualLayout>
              </c:layout>
              <c:tx>
                <c:rich>
                  <a:bodyPr vertOverflow="clip"/>
                  <a:lstStyle/>
                  <a:p>
                    <a:fld id="{bc86d73f-eca5-4eff-a774-4ab459d12578}" type="CELLRANGE">
                      <a:rPr lang="en-US"/>
                      <a:t>BG</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7-AF02-4B8C-BE89-376CE6F7F908}"/>
                </c:ext>
                <c:ext xmlns:c15="http://schemas.microsoft.com/office/drawing/2012/chart" uri="{CE6537A1-D6FC-4f65-9D91-7224C49458BB}">
                  <c15:showDataLabelsRange val="1"/>
                </c:ext>
              </c:extLst>
            </c:dLbl>
            <c:dLbl>
              <c:idx val="3"/>
              <c:layout>
                <c:manualLayout>
                  <c:x val="-0.050498295434116811"/>
                  <c:y val="0.066746217292909554"/>
                </c:manualLayout>
              </c:layout>
              <c:tx>
                <c:rich>
                  <a:bodyPr vertOverflow="clip"/>
                  <a:lstStyle/>
                  <a:p>
                    <a:fld id="{1e300c6f-ad69-4485-bf61-997f15dbf2a4}" type="CELLRANGE">
                      <a:rPr lang="en-US"/>
                      <a:t>CZ</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8-AF02-4B8C-BE89-376CE6F7F908}"/>
                </c:ext>
                <c:ext xmlns:c15="http://schemas.microsoft.com/office/drawing/2012/chart" uri="{CE6537A1-D6FC-4f65-9D91-7224C49458BB}">
                  <c15:showDataLabelsRange val="1"/>
                </c:ext>
              </c:extLst>
            </c:dLbl>
            <c:dLbl>
              <c:idx val="4"/>
              <c:layout>
                <c:manualLayout>
                  <c:x val="-0.055469156019258489"/>
                  <c:y val="-0.085747844464810069"/>
                </c:manualLayout>
              </c:layout>
              <c:tx>
                <c:rich>
                  <a:bodyPr vertOverflow="clip"/>
                  <a:lstStyle/>
                  <a:p>
                    <a:fld id="{8a01310d-569d-41b5-bbbb-ceab909d542f}" type="CELLRANGE">
                      <a:rPr lang="en-US"/>
                      <a:t>DK</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9-AF02-4B8C-BE89-376CE6F7F908}"/>
                </c:ext>
                <c:ext xmlns:c15="http://schemas.microsoft.com/office/drawing/2012/chart" uri="{CE6537A1-D6FC-4f65-9D91-7224C49458BB}">
                  <c15:showDataLabelsRange val="1"/>
                </c:ext>
              </c:extLst>
            </c:dLbl>
            <c:dLbl>
              <c:idx val="5"/>
              <c:layout>
                <c:manualLayout>
                  <c:x val="-0.055469156019258489"/>
                  <c:y val="0.076247404941365615"/>
                </c:manualLayout>
              </c:layout>
              <c:tx>
                <c:rich>
                  <a:bodyPr vertOverflow="clip"/>
                  <a:lstStyle/>
                  <a:p>
                    <a:fld id="{f9bfa6d2-63d4-4d33-b383-aa61a43d0841}" type="CELLRANGE">
                      <a:rPr lang="en-US"/>
                      <a:t>DE</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1-AF02-4B8C-BE89-376CE6F7F908}"/>
                </c:ext>
                <c:ext xmlns:c15="http://schemas.microsoft.com/office/drawing/2012/chart" uri="{CE6537A1-D6FC-4f65-9D91-7224C49458BB}">
                  <c15:showDataLabelsRange val="1"/>
                </c:ext>
              </c:extLst>
            </c:dLbl>
            <c:dLbl>
              <c:idx val="6"/>
              <c:layout>
                <c:manualLayout>
                  <c:x val="-0.012453300124533077"/>
                  <c:y val="-0.019002375296912115"/>
                </c:manualLayout>
              </c:layout>
              <c:tx>
                <c:rich>
                  <a:bodyPr vertOverflow="clip"/>
                  <a:lstStyle/>
                  <a:p>
                    <a:fld id="{cc6089a9-ded7-48f1-8ff9-95f68ee9d9b5}" type="CELLRANGE">
                      <a:rPr lang="en-US"/>
                      <a:t>EE</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A-AF02-4B8C-BE89-376CE6F7F908}"/>
                </c:ext>
                <c:ext xmlns:c15="http://schemas.microsoft.com/office/drawing/2012/chart" uri="{CE6537A1-D6FC-4f65-9D91-7224C49458BB}">
                  <c15:showDataLabelsRange val="1"/>
                </c:ext>
              </c:extLst>
            </c:dLbl>
            <c:dLbl>
              <c:idx val="7"/>
              <c:tx>
                <c:rich>
                  <a:bodyPr/>
                  <a:lstStyle/>
                  <a:p>
                    <a:fld id="{e254ee8f-26f0-4782-83b2-3f2a97f83307}" type="CELLRANGE">
                      <a:rPr lang="lv-LV"/>
                      <a:t>IE</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8"/>
              <c:tx>
                <c:rich>
                  <a:bodyPr vertOverflow="clip"/>
                  <a:lstStyle/>
                  <a:p>
                    <a:fld id="{221356dc-98b0-463e-9d6e-98d5055f10f8}" type="CELLRANGE">
                      <a:rPr lang="en-US"/>
                      <a:t>EL</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C-AF02-4B8C-BE89-376CE6F7F908}"/>
                </c:ext>
                <c:ext xmlns:c15="http://schemas.microsoft.com/office/drawing/2012/chart" uri="{CE6537A1-D6FC-4f65-9D91-7224C49458BB}">
                  <c15:showDataLabelsRange val="1"/>
                </c:ext>
              </c:extLst>
            </c:dLbl>
            <c:dLbl>
              <c:idx val="9"/>
              <c:tx>
                <c:rich>
                  <a:bodyPr vertOverflow="clip"/>
                  <a:lstStyle/>
                  <a:p>
                    <a:fld id="{ca3d95c9-72b4-47bf-ba7e-5da521c26042}" type="CELLRANGE">
                      <a:rPr lang="en-US"/>
                      <a:t>ES</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D-AF02-4B8C-BE89-376CE6F7F908}"/>
                </c:ext>
                <c:ext xmlns:c15="http://schemas.microsoft.com/office/drawing/2012/chart" uri="{CE6537A1-D6FC-4f65-9D91-7224C49458BB}">
                  <c15:showDataLabelsRange val="1"/>
                </c:ext>
              </c:extLst>
            </c:dLbl>
            <c:dLbl>
              <c:idx val="10"/>
              <c:layout>
                <c:manualLayout>
                  <c:x val="-0.080240763802407633"/>
                  <c:y val="-0.019002375296912115"/>
                </c:manualLayout>
              </c:layout>
              <c:tx>
                <c:rich>
                  <a:bodyPr vertOverflow="clip"/>
                  <a:lstStyle/>
                  <a:p>
                    <a:fld id="{29e9af12-0c65-4136-947a-3cfd50707c72}" type="CELLRANGE">
                      <a:rPr lang="en-US"/>
                      <a:t>FR</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E-AF02-4B8C-BE89-376CE6F7F908}"/>
                </c:ext>
                <c:ext xmlns:c15="http://schemas.microsoft.com/office/drawing/2012/chart" uri="{CE6537A1-D6FC-4f65-9D91-7224C49458BB}">
                  <c15:showDataLabelsRange val="1"/>
                </c:ext>
              </c:extLst>
            </c:dLbl>
            <c:dLbl>
              <c:idx val="11"/>
              <c:layout>
                <c:manualLayout>
                  <c:x val="-0.10838522208385222"/>
                  <c:y val="-0.019002375296912115"/>
                </c:manualLayout>
              </c:layout>
              <c:tx>
                <c:rich>
                  <a:bodyPr vertOverflow="clip"/>
                  <a:lstStyle/>
                  <a:p>
                    <a:fld id="{15ec97fa-bb63-45d4-96c4-3ac60cb662b8}" type="CELLRANGE">
                      <a:rPr lang="en-US"/>
                      <a:t>HR</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2-AF02-4B8C-BE89-376CE6F7F908}"/>
                </c:ext>
                <c:ext xmlns:c15="http://schemas.microsoft.com/office/drawing/2012/chart" uri="{CE6537A1-D6FC-4f65-9D91-7224C49458BB}">
                  <c15:showDataLabelsRange val="1"/>
                </c:ext>
              </c:extLst>
            </c:dLbl>
            <c:dLbl>
              <c:idx val="12"/>
              <c:layout>
                <c:manualLayout>
                  <c:x val="-0.048194271481942712"/>
                  <c:y val="0.066746217292909651"/>
                </c:manualLayout>
              </c:layout>
              <c:tx>
                <c:rich>
                  <a:bodyPr vertOverflow="clip"/>
                  <a:lstStyle/>
                  <a:p>
                    <a:fld id="{edd7d0e9-649d-4f2b-a265-100bde219f14}" type="CELLRANGE">
                      <a:rPr lang="en-US"/>
                      <a:t>IT</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3-AF02-4B8C-BE89-376CE6F7F908}"/>
                </c:ext>
                <c:ext xmlns:c15="http://schemas.microsoft.com/office/drawing/2012/chart" uri="{CE6537A1-D6FC-4f65-9D91-7224C49458BB}">
                  <c15:showDataLabelsRange val="1"/>
                </c:ext>
              </c:extLst>
            </c:dLbl>
            <c:dLbl>
              <c:idx val="13"/>
              <c:layout>
                <c:manualLayout>
                  <c:x val="-0.055469156019258566"/>
                  <c:y val="0.076247404941365615"/>
                </c:manualLayout>
              </c:layout>
              <c:tx>
                <c:rich>
                  <a:bodyPr vertOverflow="clip"/>
                  <a:lstStyle/>
                  <a:p>
                    <a:fld id="{cb2d2ce5-f742-4b35-8823-3b3f8efb97b2}" type="CELLRANGE">
                      <a:rPr lang="en-US"/>
                      <a:t>CY</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4-AF02-4B8C-BE89-376CE6F7F908}"/>
                </c:ext>
                <c:ext xmlns:c15="http://schemas.microsoft.com/office/drawing/2012/chart" uri="{CE6537A1-D6FC-4f65-9D91-7224C49458BB}">
                  <c15:showDataLabelsRange val="1"/>
                </c:ext>
              </c:extLst>
            </c:dLbl>
            <c:dLbl>
              <c:idx val="14"/>
              <c:layout>
                <c:manualLayout>
                  <c:x val="-0.063439268098959611"/>
                  <c:y val="0.080997998765593729"/>
                </c:manualLayout>
              </c:layout>
              <c:tx>
                <c:rich>
                  <a:bodyPr vertOverflow="clip"/>
                  <a:lstStyle/>
                  <a:p>
                    <a:fld id="{a7e6a612-ec8a-4b92-a371-1b2a5b427087}" type="CELLRANGE">
                      <a:rPr lang="en-US"/>
                      <a:t>LV</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5-AF02-4B8C-BE89-376CE6F7F908}"/>
                </c:ext>
                <c:ext xmlns:c15="http://schemas.microsoft.com/office/drawing/2012/chart" uri="{CE6537A1-D6FC-4f65-9D91-7224C49458BB}">
                  <c15:showDataLabelsRange val="1"/>
                </c:ext>
              </c:extLst>
            </c:dLbl>
            <c:dLbl>
              <c:idx val="15"/>
              <c:layout>
                <c:manualLayout>
                  <c:x val="-0.016604400166044041"/>
                  <c:y val="-0.0095011876484560574"/>
                </c:manualLayout>
              </c:layout>
              <c:tx>
                <c:rich>
                  <a:bodyPr vertOverflow="clip"/>
                  <a:lstStyle/>
                  <a:p>
                    <a:fld id="{0222cede-d5a8-40da-9fff-bc4c88e6744a}" type="CELLRANGE">
                      <a:rPr lang="en-US"/>
                      <a:t>LT</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F-AF02-4B8C-BE89-376CE6F7F908}"/>
                </c:ext>
                <c:ext xmlns:c15="http://schemas.microsoft.com/office/drawing/2012/chart" uri="{CE6537A1-D6FC-4f65-9D91-7224C49458BB}">
                  <c15:showDataLabelsRange val="1"/>
                </c:ext>
              </c:extLst>
            </c:dLbl>
            <c:dLbl>
              <c:idx val="16"/>
              <c:layout>
                <c:manualLayout>
                  <c:x val="-0.064570524574839139"/>
                  <c:y val="0.0762474049413657"/>
                </c:manualLayout>
              </c:layout>
              <c:tx>
                <c:rich>
                  <a:bodyPr vertOverflow="clip"/>
                  <a:lstStyle/>
                  <a:p>
                    <a:fld id="{f19b31e1-7d8d-44d8-8cd1-29869674ac29}" type="CELLRANGE">
                      <a:rPr lang="en-US"/>
                      <a:t>HU</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0-AF02-4B8C-BE89-376CE6F7F908}"/>
                </c:ext>
                <c:ext xmlns:c15="http://schemas.microsoft.com/office/drawing/2012/chart" uri="{CE6537A1-D6FC-4f65-9D91-7224C49458BB}">
                  <c15:showDataLabelsRange val="1"/>
                </c:ext>
              </c:extLst>
            </c:dLbl>
            <c:dLbl>
              <c:idx val="17"/>
              <c:layout>
                <c:manualLayout>
                  <c:x val="-0.053860686467740872"/>
                  <c:y val="0.0762474049413657"/>
                </c:manualLayout>
              </c:layout>
              <c:tx>
                <c:rich>
                  <a:bodyPr vertOverflow="clip"/>
                  <a:lstStyle/>
                  <a:p>
                    <a:fld id="{3b55b6c8-b52b-4743-8b3a-128d388d7222}" type="CELLRANGE">
                      <a:rPr lang="en-US"/>
                      <a:t>NL</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1-AF02-4B8C-BE89-376CE6F7F908}"/>
                </c:ext>
                <c:ext xmlns:c15="http://schemas.microsoft.com/office/drawing/2012/chart" uri="{CE6537A1-D6FC-4f65-9D91-7224C49458BB}">
                  <c15:showDataLabelsRange val="1"/>
                </c:ext>
              </c:extLst>
            </c:dLbl>
            <c:dLbl>
              <c:idx val="18"/>
              <c:layout>
                <c:manualLayout>
                  <c:x val="-0.053850227003069275"/>
                  <c:y val="-0.09524903211326613"/>
                </c:manualLayout>
              </c:layout>
              <c:tx>
                <c:rich>
                  <a:bodyPr vertOverflow="clip"/>
                  <a:lstStyle/>
                  <a:p>
                    <a:fld id="{7dc7df1c-bb09-4b09-97fb-f45aa6dbccf4}" type="CELLRANGE">
                      <a:rPr lang="en-US"/>
                      <a:t>AT</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2-AF02-4B8C-BE89-376CE6F7F908}"/>
                </c:ext>
                <c:ext xmlns:c15="http://schemas.microsoft.com/office/drawing/2012/chart" uri="{CE6537A1-D6FC-4f65-9D91-7224C49458BB}">
                  <c15:showDataLabelsRange val="1"/>
                </c:ext>
              </c:extLst>
            </c:dLbl>
            <c:dLbl>
              <c:idx val="19"/>
              <c:layout>
                <c:manualLayout>
                  <c:x val="-0.061363718078204108"/>
                  <c:y val="0.10475096788673387"/>
                </c:manualLayout>
              </c:layout>
              <c:tx>
                <c:rich>
                  <a:bodyPr vertOverflow="clip"/>
                  <a:lstStyle/>
                  <a:p>
                    <a:fld id="{baa18467-bc20-44fc-bb2a-9e953e348939}" type="CELLRANGE">
                      <a:rPr lang="en-US"/>
                      <a:t>PL</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3-AF02-4B8C-BE89-376CE6F7F908}"/>
                </c:ext>
                <c:ext xmlns:c15="http://schemas.microsoft.com/office/drawing/2012/chart" uri="{CE6537A1-D6FC-4f65-9D91-7224C49458BB}">
                  <c15:showDataLabelsRange val="1"/>
                </c:ext>
              </c:extLst>
            </c:dLbl>
            <c:dLbl>
              <c:idx val="20"/>
              <c:layout>
                <c:manualLayout>
                  <c:x val="-0.0538502270030692"/>
                  <c:y val="-0.085747844464810111"/>
                </c:manualLayout>
              </c:layout>
              <c:tx>
                <c:rich>
                  <a:bodyPr vertOverflow="clip"/>
                  <a:lstStyle/>
                  <a:p>
                    <a:fld id="{a15dde68-baea-4c3c-8211-9ce08b4f837c}" type="CELLRANGE">
                      <a:rPr lang="en-US"/>
                      <a:t>PT</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4-AF02-4B8C-BE89-376CE6F7F908}"/>
                </c:ext>
                <c:ext xmlns:c15="http://schemas.microsoft.com/office/drawing/2012/chart" uri="{CE6537A1-D6FC-4f65-9D91-7224C49458BB}">
                  <c15:showDataLabelsRange val="1"/>
                </c:ext>
              </c:extLst>
            </c:dLbl>
            <c:dLbl>
              <c:idx val="21"/>
              <c:layout>
                <c:manualLayout>
                  <c:x val="-0.024906600249066"/>
                  <c:y val="0"/>
                </c:manualLayout>
              </c:layout>
              <c:tx>
                <c:rich>
                  <a:bodyPr vertOverflow="clip"/>
                  <a:lstStyle/>
                  <a:p>
                    <a:fld id="{1e6bec22-81f6-4d0b-8909-de272d5de555}" type="CELLRANGE">
                      <a:rPr lang="en-US"/>
                      <a:t>RO</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5-AF02-4B8C-BE89-376CE6F7F908}"/>
                </c:ext>
                <c:ext xmlns:c15="http://schemas.microsoft.com/office/drawing/2012/chart" uri="{CE6537A1-D6FC-4f65-9D91-7224C49458BB}">
                  <c15:showDataLabelsRange val="1"/>
                </c:ext>
              </c:extLst>
            </c:dLbl>
            <c:dLbl>
              <c:idx val="22"/>
              <c:layout>
                <c:manualLayout>
                  <c:x val="-0.040712158800822372"/>
                  <c:y val="-0.076246656816353967"/>
                </c:manualLayout>
              </c:layout>
              <c:tx>
                <c:rich>
                  <a:bodyPr vertOverflow="clip"/>
                  <a:lstStyle/>
                  <a:p>
                    <a:fld id="{21db3a79-a7f0-4ad1-a574-c4001df9288c}" type="CELLRANGE">
                      <a:rPr lang="en-US"/>
                      <a:t>SI</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6-AF02-4B8C-BE89-376CE6F7F908}"/>
                </c:ext>
                <c:ext xmlns:c15="http://schemas.microsoft.com/office/drawing/2012/chart" uri="{CE6537A1-D6FC-4f65-9D91-7224C49458BB}">
                  <c15:showDataLabelsRange val="1"/>
                </c:ext>
              </c:extLst>
            </c:dLbl>
            <c:dLbl>
              <c:idx val="23"/>
              <c:layout>
                <c:manualLayout>
                  <c:x val="-0.050518887505188952"/>
                  <c:y val="0.066746217292909554"/>
                </c:manualLayout>
              </c:layout>
              <c:tx>
                <c:rich>
                  <a:bodyPr vertOverflow="clip"/>
                  <a:lstStyle/>
                  <a:p>
                    <a:fld id="{d4608598-7988-4772-9013-2b27386b1ee1}" type="CELLRANGE">
                      <a:rPr lang="en-US"/>
                      <a:t>SK</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7-AF02-4B8C-BE89-376CE6F7F908}"/>
                </c:ext>
                <c:ext xmlns:c15="http://schemas.microsoft.com/office/drawing/2012/chart" uri="{CE6537A1-D6FC-4f65-9D91-7224C49458BB}">
                  <c15:showDataLabelsRange val="1"/>
                </c:ext>
              </c:extLst>
            </c:dLbl>
            <c:dLbl>
              <c:idx val="24"/>
              <c:tx>
                <c:rich>
                  <a:bodyPr vertOverflow="clip"/>
                  <a:lstStyle/>
                  <a:p>
                    <a:fld id="{0d2d489f-6cc0-499c-9d1c-096503db78f7}" type="CELLRANGE">
                      <a:rPr lang="en-US"/>
                      <a:t>FI</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8-AF02-4B8C-BE89-376CE6F7F908}"/>
                </c:ext>
                <c:ext xmlns:c15="http://schemas.microsoft.com/office/drawing/2012/chart" uri="{CE6537A1-D6FC-4f65-9D91-7224C49458BB}">
                  <c15:showDataLabelsRange val="1"/>
                </c:ext>
              </c:extLst>
            </c:dLbl>
            <c:dLbl>
              <c:idx val="25"/>
              <c:layout>
                <c:manualLayout>
                  <c:x val="-0.055469156019258489"/>
                  <c:y val="-0.07624665681635405"/>
                </c:manualLayout>
              </c:layout>
              <c:tx>
                <c:rich>
                  <a:bodyPr vertOverflow="clip"/>
                  <a:lstStyle/>
                  <a:p>
                    <a:fld id="{e7896ffc-57ae-44cf-956d-c0d5a6e3b86b}" type="CELLRANGE">
                      <a:rPr lang="en-US"/>
                      <a:t>UK</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9-AF02-4B8C-BE89-376CE6F7F908}"/>
                </c:ext>
                <c:ext xmlns:c15="http://schemas.microsoft.com/office/drawing/2012/chart" uri="{CE6537A1-D6FC-4f65-9D91-7224C49458BB}">
                  <c15:showDataLabelsRange val="1"/>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Sheet1!$B$3:$B$28</c:f>
              <c:numCache>
                <c:formatCode>0</c:formatCode>
                <c:ptCount val="26"/>
                <c:pt idx="0">
                  <c:v>77.785664547150333</c:v>
                </c:pt>
                <c:pt idx="1">
                  <c:v>103.9015873015873</c:v>
                </c:pt>
                <c:pt idx="2">
                  <c:v>13.929515418502202</c:v>
                </c:pt>
                <c:pt idx="3">
                  <c:v>46.245336348219332</c:v>
                </c:pt>
                <c:pt idx="4">
                  <c:v>100.296</c:v>
                </c:pt>
                <c:pt idx="5">
                  <c:v>94.6425974025974</c:v>
                </c:pt>
                <c:pt idx="6">
                  <c:v>32.070422535211264</c:v>
                </c:pt>
                <c:pt idx="7">
                  <c:v>167.72823779193206</c:v>
                </c:pt>
                <c:pt idx="8">
                  <c:v>33.0397967823878</c:v>
                </c:pt>
                <c:pt idx="9">
                  <c:v>59.33098591549296</c:v>
                </c:pt>
                <c:pt idx="10">
                  <c:v>99.559670781893</c:v>
                </c:pt>
                <c:pt idx="11">
                  <c:v>34.252797893350888</c:v>
                </c:pt>
                <c:pt idx="12">
                  <c:v>67.890336857634622</c:v>
                </c:pt>
                <c:pt idx="13">
                  <c:v>57.369942196531795</c:v>
                </c:pt>
                <c:pt idx="14">
                  <c:v>21.282998944033789</c:v>
                </c:pt>
                <c:pt idx="15">
                  <c:v>23.145933014354068</c:v>
                </c:pt>
                <c:pt idx="16">
                  <c:v>32.4893797790994</c:v>
                </c:pt>
                <c:pt idx="17">
                  <c:v>102.97814207650273</c:v>
                </c:pt>
                <c:pt idx="18">
                  <c:v>78.6032028469751</c:v>
                </c:pt>
                <c:pt idx="19">
                  <c:v>38.681525241675622</c:v>
                </c:pt>
                <c:pt idx="20">
                  <c:v>42.392879321051538</c:v>
                </c:pt>
                <c:pt idx="21">
                  <c:v>61.543905635648763</c:v>
                </c:pt>
                <c:pt idx="22">
                  <c:v>46.655672823218993</c:v>
                </c:pt>
                <c:pt idx="23">
                  <c:v>40.4039593365436</c:v>
                </c:pt>
                <c:pt idx="24">
                  <c:v>89.355371900826441</c:v>
                </c:pt>
                <c:pt idx="25">
                  <c:v>70.129339873400369</c:v>
                </c:pt>
              </c:numCache>
            </c:numRef>
          </c:xVal>
          <c:yVal>
            <c:numRef>
              <c:f>Sheet1!$C$3:$C$28</c:f>
              <c:numCache>
                <c:formatCode>0.0</c:formatCode>
                <c:ptCount val="26"/>
                <c:pt idx="0">
                  <c:v>0.769139354148183</c:v>
                </c:pt>
                <c:pt idx="1">
                  <c:v>0.81180264742533059</c:v>
                </c:pt>
                <c:pt idx="2">
                  <c:v>1.4674721881162334</c:v>
                </c:pt>
                <c:pt idx="3">
                  <c:v>0.61779004033910123</c:v>
                </c:pt>
                <c:pt idx="4">
                  <c:v>0.8046626430211018</c:v>
                </c:pt>
                <c:pt idx="5">
                  <c:v>0.70619718996112479</c:v>
                </c:pt>
                <c:pt idx="6">
                  <c:v>0.738286666735828</c:v>
                </c:pt>
                <c:pt idx="7">
                  <c:v>0.49009812689334348</c:v>
                </c:pt>
                <c:pt idx="8">
                  <c:v>0.71142617791813412</c:v>
                </c:pt>
                <c:pt idx="9">
                  <c:v>0.76959214407285637</c:v>
                </c:pt>
                <c:pt idx="10">
                  <c:v>0.78839251582855285</c:v>
                </c:pt>
                <c:pt idx="11">
                  <c:v>0.74782985253535139</c:v>
                </c:pt>
                <c:pt idx="12">
                  <c:v>0.70931851637229937</c:v>
                </c:pt>
                <c:pt idx="13" formatCode="0.00">
                  <c:v>0.62504674630279244</c:v>
                </c:pt>
                <c:pt idx="14" formatCode="0.00">
                  <c:v>1.1637061547516552</c:v>
                </c:pt>
                <c:pt idx="15">
                  <c:v>1.2163717774227272</c:v>
                </c:pt>
                <c:pt idx="16">
                  <c:v>0.65486528189314175</c:v>
                </c:pt>
                <c:pt idx="17">
                  <c:v>0.65419457544141946</c:v>
                </c:pt>
                <c:pt idx="18">
                  <c:v>0.81919589252470437</c:v>
                </c:pt>
                <c:pt idx="19">
                  <c:v>0.61707604172765029</c:v>
                </c:pt>
                <c:pt idx="20">
                  <c:v>0.78969409995088413</c:v>
                </c:pt>
                <c:pt idx="21">
                  <c:v>0.37447723224280749</c:v>
                </c:pt>
                <c:pt idx="22">
                  <c:v>0.784258457609413</c:v>
                </c:pt>
                <c:pt idx="23">
                  <c:v>0.62239903009372632</c:v>
                </c:pt>
                <c:pt idx="24">
                  <c:v>0.73326339952696618</c:v>
                </c:pt>
                <c:pt idx="25">
                  <c:v>1.0178714550768773</c:v>
                </c:pt>
              </c:numCache>
            </c:numRef>
          </c:yVal>
          <c:smooth val="0"/>
          <c:extLst>
            <c:ext xmlns:c="http://schemas.openxmlformats.org/drawingml/2006/chart" xmlns:c16="http://schemas.microsoft.com/office/drawing/2014/chart" uri="{C3380CC4-5D6E-409C-BE32-E72D297353CC}">
              <c16:uniqueId val="{0000001B-AF02-4B8C-BE89-376CE6F7F908}"/>
            </c:ext>
            <c:ext xmlns:c15="http://schemas.microsoft.com/office/drawing/2012/chart" uri="{02D57815-91ED-43cb-92C2-25804820EDAC}">
              <c15:datalabelsRange>
                <c15:f>Sheet1!$A$3:$A$28</c15:f>
                <c15:dlblRangeCache>
                  <c:ptCount val="26"/>
                  <c:pt idx="0">
                    <c:v>EU-28</c:v>
                  </c:pt>
                  <c:pt idx="1">
                    <c:v>BE</c:v>
                  </c:pt>
                  <c:pt idx="2">
                    <c:v>BG</c:v>
                  </c:pt>
                  <c:pt idx="3">
                    <c:v>CZ</c:v>
                  </c:pt>
                  <c:pt idx="4">
                    <c:v>DK</c:v>
                  </c:pt>
                  <c:pt idx="5">
                    <c:v>DE</c:v>
                  </c:pt>
                  <c:pt idx="6">
                    <c:v>EE</c:v>
                  </c:pt>
                  <c:pt idx="7">
                    <c:v>IE</c:v>
                  </c:pt>
                  <c:pt idx="8">
                    <c:v>EL</c:v>
                  </c:pt>
                  <c:pt idx="9">
                    <c:v>ES</c:v>
                  </c:pt>
                  <c:pt idx="10">
                    <c:v>FR</c:v>
                  </c:pt>
                  <c:pt idx="11">
                    <c:v>HR</c:v>
                  </c:pt>
                  <c:pt idx="12">
                    <c:v>IT</c:v>
                  </c:pt>
                  <c:pt idx="13">
                    <c:v>CY</c:v>
                  </c:pt>
                  <c:pt idx="14">
                    <c:v>LV</c:v>
                  </c:pt>
                  <c:pt idx="15">
                    <c:v>LT</c:v>
                  </c:pt>
                  <c:pt idx="16">
                    <c:v>HU</c:v>
                  </c:pt>
                  <c:pt idx="17">
                    <c:v>NL</c:v>
                  </c:pt>
                  <c:pt idx="18">
                    <c:v>AT</c:v>
                  </c:pt>
                  <c:pt idx="19">
                    <c:v>PL</c:v>
                  </c:pt>
                  <c:pt idx="20">
                    <c:v>PT</c:v>
                  </c:pt>
                  <c:pt idx="21">
                    <c:v>RO</c:v>
                  </c:pt>
                  <c:pt idx="22">
                    <c:v>SI</c:v>
                  </c:pt>
                  <c:pt idx="23">
                    <c:v>SK</c:v>
                  </c:pt>
                  <c:pt idx="24">
                    <c:v>FI</c:v>
                  </c:pt>
                  <c:pt idx="25">
                    <c:v>UK</c:v>
                  </c:pt>
                </c15:dlblRangeCache>
              </c15:datalabelsRange>
            </c:ext>
          </c:extLst>
        </c:ser>
        <c:dLbls>
          <c:showLegendKey val="0"/>
          <c:showVal val="0"/>
          <c:showCatName val="0"/>
          <c:showSerName val="0"/>
          <c:showPercent val="0"/>
          <c:showBubbleSize val="0"/>
        </c:dLbls>
        <c:axId val="656237880"/>
        <c:axId val="656244152"/>
      </c:scatterChart>
      <c:valAx>
        <c:axId val="656237880"/>
        <c:scaling>
          <c:orientation val="minMax"/>
          <c:max val="120"/>
          <c:min val="10"/>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56244152"/>
        <c:crosses val="autoZero"/>
        <c:crossBetween val="midCat"/>
        <c:majorUnit val="20"/>
      </c:valAx>
      <c:valAx>
        <c:axId val="656244152"/>
        <c:scaling>
          <c:orientation val="minMax"/>
          <c:min val="0.2"/>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56237880"/>
        <c:crosses val="autoZero"/>
        <c:crossBetween val="midCat"/>
        <c:majorUnit val="0.2"/>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3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59412201441466"/>
          <c:y val="0.098301682877875565"/>
          <c:w val="0.77357359176256812"/>
          <c:h val="0.68515008351228823"/>
        </c:manualLayout>
      </c:layout>
      <c:barChart>
        <c:barDir val="col"/>
        <c:grouping val="clustered"/>
        <c:varyColors val="0"/>
        <c:ser>
          <c:idx val="4"/>
          <c:order val="0"/>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F0B4-40C5-9BDA-31F6B4568397}"/>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F0B4-40C5-9BDA-31F6B4568397}"/>
              </c:ext>
            </c:extLst>
          </c:dPt>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Sheet1!$A$3:$A$5</c:f>
              <c:strCache>
                <c:ptCount val="3"/>
                <c:pt idx="0">
                  <c:v>2005</c:v>
                </c:pt>
                <c:pt idx="1">
                  <c:v>2010</c:v>
                </c:pt>
                <c:pt idx="2">
                  <c:v>2016</c:v>
                </c:pt>
              </c:strCache>
            </c:strRef>
          </c:cat>
          <c:val>
            <c:numRef>
              <c:f>Sheet1!$B$3:$B$5</c:f>
              <c:numCache>
                <c:formatCode>General</c:formatCode>
                <c:ptCount val="3"/>
                <c:pt idx="0" formatCode="0.0">
                  <c:v>22.8</c:v>
                </c:pt>
                <c:pt idx="1">
                  <c:v>23.7</c:v>
                </c:pt>
                <c:pt idx="2">
                  <c:v>28.3</c:v>
                </c:pt>
              </c:numCache>
            </c:numRef>
          </c:val>
          <c:extLst>
            <c:ext xmlns:c="http://schemas.openxmlformats.org/drawingml/2006/chart" xmlns:c16="http://schemas.microsoft.com/office/drawing/2014/chart" uri="{C3380CC4-5D6E-409C-BE32-E72D297353CC}">
              <c16:uniqueId val="{00000004-F0B4-40C5-9BDA-31F6B4568397}"/>
            </c:ext>
          </c:extLst>
        </c:ser>
        <c:dLbls>
          <c:showLegendKey val="0"/>
          <c:showVal val="0"/>
          <c:showCatName val="0"/>
          <c:showSerName val="0"/>
          <c:showPercent val="0"/>
          <c:showBubbleSize val="0"/>
        </c:dLbls>
        <c:gapWidth val="20"/>
        <c:axId val="656245328"/>
        <c:axId val="656242192"/>
      </c:barChart>
      <c:catAx>
        <c:axId val="656245328"/>
        <c:scaling>
          <c:orientation val="minMax"/>
        </c:scaling>
        <c:delete val="0"/>
        <c:axPos val="b"/>
        <c:numFmt formatCode="General" sourceLinked="0"/>
        <c:majorTickMark val="out"/>
        <c:minorTickMark val="none"/>
        <c:tickLblPos val="nextTo"/>
        <c:crossAx val="656242192"/>
        <c:crosses val="autoZero"/>
        <c:auto val="1"/>
        <c:lblAlgn val="ctr"/>
        <c:lblOffset val="100"/>
        <c:noMultiLvlLbl val="0"/>
      </c:catAx>
      <c:valAx>
        <c:axId val="656242192"/>
        <c:scaling>
          <c:orientation val="minMax"/>
          <c:max val="40"/>
          <c:min val="0"/>
        </c:scaling>
        <c:delete val="0"/>
        <c:axPos val="l"/>
        <c:numFmt formatCode="0" sourceLinked="0"/>
        <c:majorTickMark val="out"/>
        <c:minorTickMark val="none"/>
        <c:tickLblPos val="nextTo"/>
        <c:crossAx val="656245328"/>
        <c:crosses val="autoZero"/>
        <c:crossBetween val="between"/>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mbria Math" panose="02040503050406030204" pitchFamily="18" charset="0"/>
          <a:ea typeface="Cambria Math" panose="02040503050406030204" pitchFamily="18" charset="0"/>
          <a:cs typeface="Arial"/>
        </a:defRPr>
      </a:pPr>
      <a:endParaRPr lang="lv-LV"/>
    </a:p>
  </c:txPr>
  <c:externalData r:id="rId1">
    <c:autoUpdate val="0"/>
  </c:externalData>
</c:chartSpace>
</file>

<file path=word/charts/chart37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73546128124922"/>
          <c:y val="0.048706240487062395"/>
          <c:w val="0.84631315184653555"/>
          <c:h val="0.73779794474843186"/>
        </c:manualLayout>
      </c:layout>
      <c:lineChart>
        <c:grouping val="standard"/>
        <c:varyColors val="0"/>
        <c:ser>
          <c:idx val="0"/>
          <c:order val="0"/>
          <c:tx>
            <c:strRef>
              <c:f>Sheet1!$A$2</c:f>
              <c:strCache>
                <c:ptCount val="1"/>
                <c:pt idx="0">
                  <c:v>Nodarbinātie</c:v>
                </c:pt>
              </c:strCache>
            </c:strRef>
          </c:tx>
          <c:spPr>
            <a:ln w="19050">
              <a:solidFill>
                <a:srgbClr val="0070C0"/>
              </a:solidFill>
              <a:prstDash val="dash"/>
            </a:ln>
          </c:spPr>
          <c:marker>
            <c:symbol val="none"/>
          </c:marker>
          <c:cat>
            <c:numRef>
              <c:f>Sheet1!$B$1:$L$1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Sheet1!$B$2:$L$2</c:f>
              <c:numCache>
                <c:formatCode>0.0</c:formatCode>
                <c:ptCount val="11"/>
                <c:pt idx="0">
                  <c:v>109.66734028829018</c:v>
                </c:pt>
                <c:pt idx="1">
                  <c:v>129.76040447125675</c:v>
                </c:pt>
                <c:pt idx="2">
                  <c:v>129.64407424254853</c:v>
                </c:pt>
                <c:pt idx="3">
                  <c:v>106.98652508184131</c:v>
                </c:pt>
                <c:pt idx="4">
                  <c:v>97.088015749323276</c:v>
                </c:pt>
                <c:pt idx="5">
                  <c:v>102.04323606833655</c:v>
                </c:pt>
                <c:pt idx="6">
                  <c:v>108.71954720695597</c:v>
                </c:pt>
                <c:pt idx="7">
                  <c:v>113.75977807771756</c:v>
                </c:pt>
                <c:pt idx="8">
                  <c:v>115.00958232973656</c:v>
                </c:pt>
                <c:pt idx="9">
                  <c:v>119.66950283741362</c:v>
                </c:pt>
                <c:pt idx="10">
                  <c:v>122.46366544619356</c:v>
                </c:pt>
              </c:numCache>
            </c:numRef>
          </c:val>
          <c:smooth val="0"/>
          <c:extLst>
            <c:ext xmlns:c="http://schemas.openxmlformats.org/drawingml/2006/chart" xmlns:c16="http://schemas.microsoft.com/office/drawing/2014/chart" uri="{C3380CC4-5D6E-409C-BE32-E72D297353CC}">
              <c16:uniqueId val="{00000000-7C75-49B7-80E2-79634DF5E7F6}"/>
            </c:ext>
          </c:extLst>
        </c:ser>
        <c:ser>
          <c:idx val="1"/>
          <c:order val="1"/>
          <c:tx>
            <c:strRef>
              <c:f>Sheet1!$A$3</c:f>
              <c:strCache>
                <c:ptCount val="1"/>
                <c:pt idx="0">
                  <c:v>Ražošanas apjomi</c:v>
                </c:pt>
              </c:strCache>
            </c:strRef>
          </c:tx>
          <c:marker>
            <c:symbol val="none"/>
          </c:marker>
          <c:cat>
            <c:numRef>
              <c:f>Sheet1!$B$1:$L$1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Sheet1!$B$3:$L$3</c:f>
              <c:numCache>
                <c:formatCode>0.0</c:formatCode>
                <c:ptCount val="11"/>
                <c:pt idx="0">
                  <c:v>110.96086929979853</c:v>
                </c:pt>
                <c:pt idx="1">
                  <c:v>128.55442280691045</c:v>
                </c:pt>
                <c:pt idx="2">
                  <c:v>126.09425553995482</c:v>
                </c:pt>
                <c:pt idx="3">
                  <c:v>120.72217813320307</c:v>
                </c:pt>
                <c:pt idx="4">
                  <c:v>114.60228313289785</c:v>
                </c:pt>
                <c:pt idx="5">
                  <c:v>122.13845308589215</c:v>
                </c:pt>
                <c:pt idx="6">
                  <c:v>128.08741835052803</c:v>
                </c:pt>
                <c:pt idx="7">
                  <c:v>131.04206092424144</c:v>
                </c:pt>
                <c:pt idx="8">
                  <c:v>130.91691593919779</c:v>
                </c:pt>
                <c:pt idx="9">
                  <c:v>134.89103229351068</c:v>
                </c:pt>
                <c:pt idx="10">
                  <c:v>137.47634454550996</c:v>
                </c:pt>
              </c:numCache>
            </c:numRef>
          </c:val>
          <c:smooth val="0"/>
          <c:extLst>
            <c:ext xmlns:c="http://schemas.openxmlformats.org/drawingml/2006/chart" xmlns:c16="http://schemas.microsoft.com/office/drawing/2014/chart" uri="{C3380CC4-5D6E-409C-BE32-E72D297353CC}">
              <c16:uniqueId val="{00000001-7C75-49B7-80E2-79634DF5E7F6}"/>
            </c:ext>
          </c:extLst>
        </c:ser>
        <c:dLbls>
          <c:showLegendKey val="0"/>
          <c:showVal val="0"/>
          <c:showCatName val="0"/>
          <c:showSerName val="0"/>
          <c:showPercent val="0"/>
          <c:showBubbleSize val="0"/>
        </c:dLbls>
        <c:smooth val="0"/>
        <c:axId val="656237096"/>
        <c:axId val="656238272"/>
      </c:lineChart>
      <c:catAx>
        <c:axId val="656237096"/>
        <c:scaling>
          <c:orientation val="minMax"/>
        </c:scaling>
        <c:delete val="0"/>
        <c:axPos val="b"/>
        <c:numFmt formatCode="General" sourceLinked="1"/>
        <c:majorTickMark val="cross"/>
        <c:minorTickMark val="none"/>
        <c:tickLblPos val="nextTo"/>
        <c:spPr>
          <a:ln w="6350">
            <a:solidFill>
              <a:srgbClr val="000000"/>
            </a:solidFill>
          </a:ln>
        </c:spPr>
        <c:txPr>
          <a:bodyPr rot="-5400000" vert="horz"/>
          <a:lstStyle/>
          <a:p>
            <a:pPr>
              <a:defRPr sz="700" b="0" i="0" u="none" strike="noStrike" baseline="0">
                <a:solidFill>
                  <a:srgbClr val="000000"/>
                </a:solidFill>
                <a:latin typeface="Arial Narrow" pitchFamily="34" charset="0"/>
                <a:ea typeface="Times New Roman"/>
                <a:cs typeface="Times New Roman" pitchFamily="18" charset="0"/>
              </a:defRPr>
            </a:pPr>
            <a:endParaRPr lang="lv-LV"/>
          </a:p>
        </c:txPr>
        <c:crossAx val="656238272"/>
        <c:crosses val="autoZero"/>
        <c:auto val="1"/>
        <c:lblAlgn val="ctr"/>
        <c:lblOffset val="0"/>
        <c:noMultiLvlLbl val="0"/>
      </c:catAx>
      <c:valAx>
        <c:axId val="656238272"/>
        <c:scaling>
          <c:orientation val="minMax"/>
          <c:max val="170"/>
          <c:min val="70"/>
        </c:scaling>
        <c:delete val="0"/>
        <c:axPos val="l"/>
        <c:numFmt formatCode="0" sourceLinked="0"/>
        <c:majorTickMark val="cross"/>
        <c:minorTickMark val="none"/>
        <c:tickLblPos val="nextTo"/>
        <c:spPr>
          <a:ln w="6350">
            <a:solidFill>
              <a:sysClr val="windowText" lastClr="000000"/>
            </a:solidFill>
          </a:ln>
        </c:spPr>
        <c:txPr>
          <a:bodyPr rot="0" vert="horz"/>
          <a:lstStyle/>
          <a:p>
            <a:pPr>
              <a:defRPr sz="700" b="0" i="0" u="none" strike="noStrike" baseline="0">
                <a:solidFill>
                  <a:srgbClr val="000000"/>
                </a:solidFill>
                <a:latin typeface="Arial Narrow" pitchFamily="34" charset="0"/>
                <a:ea typeface="Times New Roman"/>
                <a:cs typeface="Times New Roman"/>
              </a:defRPr>
            </a:pPr>
            <a:endParaRPr lang="lv-LV"/>
          </a:p>
        </c:txPr>
        <c:crossAx val="656237096"/>
        <c:crosses val="autoZero"/>
        <c:crossBetween val="between"/>
        <c:majorUnit val="20"/>
      </c:valAx>
      <c:spPr>
        <a:solidFill>
          <a:sysClr val="window" lastClr="FFFFFF"/>
        </a:solidFill>
        <a:ln w="6350">
          <a:noFill/>
        </a:ln>
      </c:spPr>
    </c:plotArea>
    <c:legend>
      <c:legendPos val="t"/>
      <c:layout>
        <c:manualLayout>
          <c:xMode val="edge"/>
          <c:yMode val="edge"/>
          <c:x val="0.14280650412978177"/>
          <c:y val="0.031201248049921998"/>
          <c:w val="0.65805884790716951"/>
          <c:h val="0.19964223582144541"/>
        </c:manualLayout>
      </c:layout>
      <c:overlay val="0"/>
      <c:txPr>
        <a:bodyPr/>
        <a:lstStyle/>
        <a:p>
          <a:pPr>
            <a:defRPr sz="700" b="0">
              <a:latin typeface="Arial Narrow" pitchFamily="34" charset="0"/>
            </a:defRPr>
          </a:pPr>
          <a:endParaRPr lang="lv-LV"/>
        </a:p>
      </c:txPr>
    </c:legend>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37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C2FE-4F75-929B-8785CFEB8E1A}"/>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C2FE-4F75-929B-8785CFEB8E1A}"/>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Sheet1!$B$2:$L$2</c:f>
              <c:numCache>
                <c:formatCode>0</c:formatCode>
                <c:ptCount val="11"/>
                <c:pt idx="0">
                  <c:v>2006</c:v>
                </c:pt>
                <c:pt idx="1">
                  <c:v>2007</c:v>
                </c:pt>
                <c:pt idx="2">
                  <c:v>2008</c:v>
                </c:pt>
                <c:pt idx="3">
                  <c:v>2009</c:v>
                </c:pt>
                <c:pt idx="4">
                  <c:v>2010</c:v>
                </c:pt>
                <c:pt idx="5">
                  <c:v>2011</c:v>
                </c:pt>
                <c:pt idx="6">
                  <c:v>2012</c:v>
                </c:pt>
                <c:pt idx="7">
                  <c:v>2013</c:v>
                </c:pt>
                <c:pt idx="8">
                  <c:v>2014</c:v>
                </c:pt>
                <c:pt idx="9" formatCode="General">
                  <c:v>2015</c:v>
                </c:pt>
                <c:pt idx="10" formatCode="General">
                  <c:v>2016</c:v>
                </c:pt>
              </c:numCache>
            </c:numRef>
          </c:cat>
          <c:val>
            <c:numRef>
              <c:f>Sheet1!$B$3:$L$3</c:f>
              <c:numCache>
                <c:formatCode>0.0</c:formatCode>
                <c:ptCount val="11"/>
                <c:pt idx="0">
                  <c:v>10.020289119959422</c:v>
                </c:pt>
                <c:pt idx="1">
                  <c:v>12.668348954578226</c:v>
                </c:pt>
                <c:pt idx="2">
                  <c:v>14.169576756530242</c:v>
                </c:pt>
                <c:pt idx="3">
                  <c:v>12.931644320144773</c:v>
                </c:pt>
                <c:pt idx="4">
                  <c:v>12.604166666666668</c:v>
                </c:pt>
                <c:pt idx="5">
                  <c:v>12.782222995303531</c:v>
                </c:pt>
                <c:pt idx="6">
                  <c:v>12.928150390313846</c:v>
                </c:pt>
                <c:pt idx="7">
                  <c:v>13.449976876830583</c:v>
                </c:pt>
                <c:pt idx="8">
                  <c:v>14.707383192473293</c:v>
                </c:pt>
                <c:pt idx="9">
                  <c:v>15.858357382419465</c:v>
                </c:pt>
                <c:pt idx="10">
                  <c:v>17.046692607003891</c:v>
                </c:pt>
              </c:numCache>
            </c:numRef>
          </c:val>
          <c:extLst>
            <c:ext xmlns:c="http://schemas.openxmlformats.org/drawingml/2006/chart" xmlns:c16="http://schemas.microsoft.com/office/drawing/2014/chart" uri="{C3380CC4-5D6E-409C-BE32-E72D297353CC}">
              <c16:uniqueId val="{00000004-C2FE-4F75-929B-8785CFEB8E1A}"/>
            </c:ext>
          </c:extLst>
        </c:ser>
        <c:dLbls>
          <c:showLegendKey val="0"/>
          <c:showVal val="0"/>
          <c:showCatName val="0"/>
          <c:showSerName val="0"/>
          <c:showPercent val="0"/>
          <c:showBubbleSize val="0"/>
        </c:dLbls>
        <c:gapWidth val="20"/>
        <c:axId val="656238664"/>
        <c:axId val="656240624"/>
      </c:barChart>
      <c:catAx>
        <c:axId val="656238664"/>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56240624"/>
        <c:crosses val="autoZero"/>
        <c:auto val="1"/>
        <c:lblAlgn val="ctr"/>
        <c:lblOffset val="100"/>
        <c:noMultiLvlLbl val="0"/>
      </c:catAx>
      <c:valAx>
        <c:axId val="656240624"/>
        <c:scaling>
          <c:orientation val="minMax"/>
          <c:max val="25"/>
          <c:min val="0"/>
        </c:scaling>
        <c:delete val="0"/>
        <c:axPos val="l"/>
        <c:numFmt formatCode="0" sourceLinked="0"/>
        <c:majorTickMark val="out"/>
        <c:minorTickMark val="none"/>
        <c:tickLblPos val="nextTo"/>
        <c:crossAx val="656238664"/>
        <c:crosses val="autoZero"/>
        <c:crossBetween val="between"/>
        <c:majorUnit val="5"/>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37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A77D-4BC6-A2FB-2A772CEB017F}"/>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A77D-4BC6-A2FB-2A772CEB017F}"/>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Sheet1!$B$2:$L$2</c:f>
              <c:numCache>
                <c:formatCode>0</c:formatCode>
                <c:ptCount val="11"/>
                <c:pt idx="0">
                  <c:v>2006</c:v>
                </c:pt>
                <c:pt idx="1">
                  <c:v>2007</c:v>
                </c:pt>
                <c:pt idx="2">
                  <c:v>2008</c:v>
                </c:pt>
                <c:pt idx="3">
                  <c:v>2009</c:v>
                </c:pt>
                <c:pt idx="4">
                  <c:v>2010</c:v>
                </c:pt>
                <c:pt idx="5">
                  <c:v>2011</c:v>
                </c:pt>
                <c:pt idx="6">
                  <c:v>2012</c:v>
                </c:pt>
                <c:pt idx="7">
                  <c:v>2013</c:v>
                </c:pt>
                <c:pt idx="8">
                  <c:v>2014</c:v>
                </c:pt>
                <c:pt idx="9" formatCode="General">
                  <c:v>2015</c:v>
                </c:pt>
                <c:pt idx="10" formatCode="General">
                  <c:v>2016</c:v>
                </c:pt>
              </c:numCache>
            </c:numRef>
          </c:cat>
          <c:val>
            <c:numRef>
              <c:f>Sheet1!$B$3:$L$3</c:f>
              <c:numCache>
                <c:formatCode>General</c:formatCode>
                <c:ptCount val="11"/>
                <c:pt idx="0">
                  <c:v>26.936129223473621</c:v>
                </c:pt>
                <c:pt idx="1">
                  <c:v>27.409215150331907</c:v>
                </c:pt>
                <c:pt idx="2">
                  <c:v>26.154479265590375</c:v>
                </c:pt>
                <c:pt idx="3">
                  <c:v>28.307328943601487</c:v>
                </c:pt>
                <c:pt idx="4">
                  <c:v>29.282483231945093</c:v>
                </c:pt>
                <c:pt idx="5">
                  <c:v>29.689123015284164</c:v>
                </c:pt>
                <c:pt idx="6">
                  <c:v>28.632641921397383</c:v>
                </c:pt>
                <c:pt idx="7">
                  <c:v>27.469447821357733</c:v>
                </c:pt>
                <c:pt idx="8">
                  <c:v>28.130779825539452</c:v>
                </c:pt>
                <c:pt idx="9">
                  <c:v>28.193301435406696</c:v>
                </c:pt>
                <c:pt idx="10">
                  <c:v>28.186995431503849</c:v>
                </c:pt>
              </c:numCache>
            </c:numRef>
          </c:val>
          <c:extLst>
            <c:ext xmlns:c="http://schemas.openxmlformats.org/drawingml/2006/chart" xmlns:c16="http://schemas.microsoft.com/office/drawing/2014/chart" uri="{C3380CC4-5D6E-409C-BE32-E72D297353CC}">
              <c16:uniqueId val="{00000004-A77D-4BC6-A2FB-2A772CEB017F}"/>
            </c:ext>
          </c:extLst>
        </c:ser>
        <c:dLbls>
          <c:showLegendKey val="0"/>
          <c:showVal val="0"/>
          <c:showCatName val="0"/>
          <c:showSerName val="0"/>
          <c:showPercent val="0"/>
          <c:showBubbleSize val="0"/>
        </c:dLbls>
        <c:gapWidth val="20"/>
        <c:axId val="656243368"/>
        <c:axId val="656244544"/>
      </c:barChart>
      <c:catAx>
        <c:axId val="656243368"/>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56244544"/>
        <c:crosses val="autoZero"/>
        <c:auto val="1"/>
        <c:lblAlgn val="ctr"/>
        <c:lblOffset val="100"/>
        <c:noMultiLvlLbl val="0"/>
      </c:catAx>
      <c:valAx>
        <c:axId val="656244544"/>
        <c:scaling>
          <c:orientation val="minMax"/>
        </c:scaling>
        <c:delete val="0"/>
        <c:axPos val="l"/>
        <c:numFmt formatCode="0" sourceLinked="0"/>
        <c:majorTickMark val="out"/>
        <c:minorTickMark val="none"/>
        <c:tickLblPos val="nextTo"/>
        <c:crossAx val="656243368"/>
        <c:crosses val="autoZero"/>
        <c:crossBetween val="between"/>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379.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72841410287632"/>
          <c:y val="0.057971014492753624"/>
          <c:w val="0.69294856184214082"/>
          <c:h val="0.726718711443121"/>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marker>
              <c:spPr>
                <a:solidFill>
                  <a:srgbClr val="002060"/>
                </a:solidFill>
                <a:ln w="6350">
                  <a:solidFill>
                    <a:sysClr val="windowText" lastClr="000000"/>
                  </a:solidFill>
                </a:ln>
              </c:spPr>
            </c:marker>
            <c:extLst>
              <c:ext xmlns:c="http://schemas.openxmlformats.org/drawingml/2006/chart" xmlns:c16="http://schemas.microsoft.com/office/drawing/2014/chart" uri="{C3380CC4-5D6E-409C-BE32-E72D297353CC}">
                <c16:uniqueId val="{00000000-9B45-4200-AF26-FE3A1B775333}"/>
              </c:ext>
            </c:extLst>
          </c:dPt>
          <c:dLbls>
            <c:dLbl>
              <c:idx val="0"/>
              <c:layout>
                <c:manualLayout>
                  <c:x val="-0.22962436454935367"/>
                  <c:y val="0.028082211106319"/>
                </c:manualLayout>
              </c:layout>
              <c:tx>
                <c:rich>
                  <a:bodyPr vertOverflow="clip"/>
                  <a:lstStyle/>
                  <a:p>
                    <a:r>
                      <a:rPr lang="en-US"/>
                      <a:t>2005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9B45-4200-AF26-FE3A1B775333}"/>
                </c:ext>
                <c:ext xmlns:c15="http://schemas.microsoft.com/office/drawing/2012/chart" uri="{CE6537A1-D6FC-4f65-9D91-7224C49458BB}"/>
              </c:extLst>
            </c:dLbl>
            <c:dLbl>
              <c:idx val="1"/>
              <c:layout>
                <c:manualLayout>
                  <c:x val="-0.19243499201775036"/>
                  <c:y val="-0.10855328981313238"/>
                </c:manualLayout>
              </c:layout>
              <c:tx>
                <c:rich>
                  <a:bodyPr vertOverflow="clip"/>
                  <a:lstStyle/>
                  <a:p>
                    <a:r>
                      <a:rPr lang="en-US"/>
                      <a:t>2007</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9B45-4200-AF26-FE3A1B775333}"/>
                </c:ext>
                <c:ext xmlns:c15="http://schemas.microsoft.com/office/drawing/2012/chart" uri="{CE6537A1-D6FC-4f65-9D91-7224C49458BB}"/>
              </c:extLst>
            </c:dLbl>
            <c:dLbl>
              <c:idx val="2"/>
              <c:layout>
                <c:manualLayout>
                  <c:x val="0.085991828341045"/>
                  <c:y val="0.063851762119478545"/>
                </c:manualLayout>
              </c:layout>
              <c:tx>
                <c:rich>
                  <a:bodyPr vertOverflow="clip"/>
                  <a:lstStyle/>
                  <a:p>
                    <a:r>
                      <a:rPr lang="en-US"/>
                      <a:t>2011</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9B45-4200-AF26-FE3A1B775333}"/>
                </c:ext>
                <c:ext xmlns:c15="http://schemas.microsoft.com/office/drawing/2012/chart" uri="{CE6537A1-D6FC-4f65-9D91-7224C49458BB}"/>
              </c:extLst>
            </c:dLbl>
            <c:dLbl>
              <c:idx val="3"/>
              <c:layout>
                <c:manualLayout>
                  <c:x val="-0.21334090970587438"/>
                  <c:y val="-0.025071225071225098"/>
                </c:manualLayout>
              </c:layout>
              <c:tx>
                <c:rich>
                  <a:bodyPr vertOverflow="clip"/>
                  <a:lstStyle/>
                  <a:p>
                    <a:r>
                      <a:rPr lang="en-US"/>
                      <a:t>2008</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9B45-4200-AF26-FE3A1B775333}"/>
                </c:ext>
                <c:ext xmlns:c15="http://schemas.microsoft.com/office/drawing/2012/chart" uri="{CE6537A1-D6FC-4f65-9D91-7224C49458BB}"/>
              </c:extLst>
            </c:dLbl>
            <c:dLbl>
              <c:idx val="4"/>
              <c:delete val="1"/>
              <c:extLst>
                <c:ext xmlns:c="http://schemas.openxmlformats.org/drawingml/2006/chart" xmlns:c16="http://schemas.microsoft.com/office/drawing/2014/chart" uri="{C3380CC4-5D6E-409C-BE32-E72D297353CC}">
                  <c16:uniqueId val="{00000005-9B45-4200-AF26-FE3A1B775333}"/>
                </c:ext>
                <c:ext xmlns:c15="http://schemas.microsoft.com/office/drawing/2012/chart" uri="{CE6537A1-D6FC-4f65-9D91-7224C49458BB}"/>
              </c:extLst>
            </c:dLbl>
            <c:dLbl>
              <c:idx val="5"/>
              <c:delete val="1"/>
              <c:extLst>
                <c:ext xmlns:c="http://schemas.openxmlformats.org/drawingml/2006/chart" xmlns:c16="http://schemas.microsoft.com/office/drawing/2014/chart" uri="{C3380CC4-5D6E-409C-BE32-E72D297353CC}">
                  <c16:uniqueId val="{00000000-9B45-4200-AF26-FE3A1B775333}"/>
                </c:ext>
                <c:ext xmlns:c15="http://schemas.microsoft.com/office/drawing/2012/chart" uri="{CE6537A1-D6FC-4f65-9D91-7224C49458BB}"/>
              </c:extLst>
            </c:dLbl>
            <c:dLbl>
              <c:idx val="6"/>
              <c:delete val="1"/>
              <c:extLst>
                <c:ext xmlns:c="http://schemas.openxmlformats.org/drawingml/2006/chart" xmlns:c16="http://schemas.microsoft.com/office/drawing/2014/chart" uri="{C3380CC4-5D6E-409C-BE32-E72D297353CC}">
                  <c16:uniqueId val="{00000006-9B45-4200-AF26-FE3A1B775333}"/>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7-9B45-4200-AF26-FE3A1B775333}"/>
                </c:ext>
                <c:ext xmlns:c15="http://schemas.microsoft.com/office/drawing/2012/chart" uri="{CE6537A1-D6FC-4f65-9D91-7224C49458BB}"/>
              </c:extLst>
            </c:dLbl>
            <c:dLbl>
              <c:idx val="8"/>
              <c:delete val="1"/>
              <c:extLst>
                <c:ext xmlns:c="http://schemas.openxmlformats.org/drawingml/2006/chart" xmlns:c16="http://schemas.microsoft.com/office/drawing/2014/chart" uri="{C3380CC4-5D6E-409C-BE32-E72D297353CC}">
                  <c16:uniqueId val="{00000008-9B45-4200-AF26-FE3A1B775333}"/>
                </c:ext>
                <c:ext xmlns:c15="http://schemas.microsoft.com/office/drawing/2012/chart" uri="{CE6537A1-D6FC-4f65-9D91-7224C49458BB}"/>
              </c:extLst>
            </c:dLbl>
            <c:dLbl>
              <c:idx val="9"/>
              <c:layout>
                <c:manualLayout>
                  <c:x val="-0.020743025678491345"/>
                  <c:y val="0.0033887430737824437"/>
                </c:manualLayout>
              </c:layout>
              <c:tx>
                <c:rich>
                  <a:bodyPr vertOverflow="clip"/>
                  <a:lstStyle/>
                  <a:p>
                    <a:r>
                      <a:rPr lang="en-US"/>
                      <a:t>2014</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9B45-4200-AF26-FE3A1B775333}"/>
                </c:ext>
                <c:ext xmlns:c15="http://schemas.microsoft.com/office/drawing/2012/chart" uri="{CE6537A1-D6FC-4f65-9D91-7224C49458BB}"/>
              </c:extLst>
            </c:dLbl>
            <c:dLbl>
              <c:idx val="10"/>
              <c:delete val="1"/>
              <c:extLst>
                <c:ext xmlns:c="http://schemas.openxmlformats.org/drawingml/2006/chart" xmlns:c16="http://schemas.microsoft.com/office/drawing/2014/chart" uri="{C3380CC4-5D6E-409C-BE32-E72D297353CC}">
                  <c16:uniqueId val="{0000000A-9B45-4200-AF26-FE3A1B775333}"/>
                </c:ext>
                <c:ext xmlns:c15="http://schemas.microsoft.com/office/drawing/2012/chart" uri="{CE6537A1-D6FC-4f65-9D91-7224C49458BB}"/>
              </c:extLst>
            </c:dLbl>
            <c:dLbl>
              <c:idx val="11"/>
              <c:layout>
                <c:manualLayout>
                  <c:x val="-0.059219633628270756"/>
                  <c:y val="-0.05222783049554703"/>
                </c:manualLayout>
              </c:layout>
              <c:tx>
                <c:rich>
                  <a:bodyPr vertOverflow="clip"/>
                  <a:lstStyle/>
                  <a:p>
                    <a:r>
                      <a:rPr lang="en-US"/>
                      <a:t>2016</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9B45-4200-AF26-FE3A1B775333}"/>
                </c:ext>
                <c:ext xmlns:c15="http://schemas.microsoft.com/office/drawing/2012/chart" uri="{CE6537A1-D6FC-4f65-9D91-7224C49458BB}"/>
              </c:extLst>
            </c:dLbl>
            <c:dLbl>
              <c:idx val="12"/>
              <c:tx>
                <c:rich>
                  <a:bodyPr/>
                  <a:lstStyle/>
                  <a:p>
                    <a:r>
                      <a:rPr lang="lv-LV"/>
                      <a:t>FI</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9B45-4200-AF26-FE3A1B775333}"/>
                </c:ext>
                <c:ext xmlns:c15="http://schemas.microsoft.com/office/drawing/2012/chart" uri="{CE6537A1-D6FC-4f65-9D91-7224C49458BB}"/>
              </c:extLst>
            </c:dLbl>
            <c:dLbl>
              <c:idx val="13"/>
              <c:tx>
                <c:rich>
                  <a:bodyPr/>
                  <a:lstStyle/>
                  <a:p>
                    <a:r>
                      <a:rPr lang="lv-LV" b="0"/>
                      <a:t>SE</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9B45-4200-AF26-FE3A1B775333}"/>
                </c:ext>
                <c:ext xmlns:c15="http://schemas.microsoft.com/office/drawing/2012/chart" uri="{CE6537A1-D6FC-4f65-9D91-7224C49458BB}"/>
              </c:extLst>
            </c:dLbl>
            <c:spPr>
              <a:noFill/>
              <a:ln>
                <a:noFill/>
              </a:ln>
              <a:effectLst/>
            </c:spPr>
            <c:txPr>
              <a:bodyPr/>
              <a:lstStyle/>
              <a:p>
                <a:pPr>
                  <a:defRPr b="0"/>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Sheet1!$B$3:$B$14</c:f>
              <c:numCache>
                <c:formatCode>0.0</c:formatCode>
                <c:ptCount val="12"/>
                <c:pt idx="0">
                  <c:v>25.444237340789069</c:v>
                </c:pt>
                <c:pt idx="1">
                  <c:v>26.936129223473621</c:v>
                </c:pt>
                <c:pt idx="2">
                  <c:v>27.409215150331907</c:v>
                </c:pt>
                <c:pt idx="3">
                  <c:v>26.154479265590375</c:v>
                </c:pt>
                <c:pt idx="4">
                  <c:v>28.307328943601487</c:v>
                </c:pt>
                <c:pt idx="5">
                  <c:v>29.282483231945093</c:v>
                </c:pt>
                <c:pt idx="6">
                  <c:v>29.689123015284164</c:v>
                </c:pt>
                <c:pt idx="7">
                  <c:v>28.632641921397383</c:v>
                </c:pt>
                <c:pt idx="8">
                  <c:v>27.469447821357733</c:v>
                </c:pt>
                <c:pt idx="9">
                  <c:v>28.130779825539452</c:v>
                </c:pt>
                <c:pt idx="10">
                  <c:v>28.193301435406696</c:v>
                </c:pt>
                <c:pt idx="11">
                  <c:v>28.186995431503849</c:v>
                </c:pt>
              </c:numCache>
            </c:numRef>
          </c:xVal>
          <c:yVal>
            <c:numRef>
              <c:f>Sheet1!$C$3:$C$14</c:f>
              <c:numCache>
                <c:formatCode>0.0</c:formatCode>
                <c:ptCount val="12"/>
                <c:pt idx="0">
                  <c:v>0.3049724941552584</c:v>
                </c:pt>
                <c:pt idx="1">
                  <c:v>0.37200182093079626</c:v>
                </c:pt>
                <c:pt idx="2">
                  <c:v>0.4621930575208324</c:v>
                </c:pt>
                <c:pt idx="3">
                  <c:v>0.5417648201917048</c:v>
                </c:pt>
                <c:pt idx="4" formatCode="0.00">
                  <c:v>0.45683025572314934</c:v>
                </c:pt>
                <c:pt idx="5" formatCode="0.00">
                  <c:v>0.4304336680338785</c:v>
                </c:pt>
                <c:pt idx="6" formatCode="0.00">
                  <c:v>0.43053555299437962</c:v>
                </c:pt>
                <c:pt idx="7" formatCode="0.00">
                  <c:v>0.451517901345057</c:v>
                </c:pt>
                <c:pt idx="8">
                  <c:v>0.48963404595170312</c:v>
                </c:pt>
                <c:pt idx="9">
                  <c:v>0.52282173774367646</c:v>
                </c:pt>
                <c:pt idx="10">
                  <c:v>0.56248671049583676</c:v>
                </c:pt>
                <c:pt idx="11">
                  <c:v>0.60477153900380809</c:v>
                </c:pt>
              </c:numCache>
            </c:numRef>
          </c:yVal>
          <c:smooth val="1"/>
          <c:extLst>
            <c:ext xmlns:c="http://schemas.openxmlformats.org/drawingml/2006/chart" xmlns:c16="http://schemas.microsoft.com/office/drawing/2014/chart" uri="{C3380CC4-5D6E-409C-BE32-E72D297353CC}">
              <c16:uniqueId val="{0000000E-9B45-4200-AF26-FE3A1B775333}"/>
            </c:ext>
          </c:extLst>
        </c:ser>
        <c:dLbls>
          <c:showLegendKey val="0"/>
          <c:showVal val="0"/>
          <c:showCatName val="0"/>
          <c:showSerName val="0"/>
          <c:showPercent val="0"/>
          <c:showBubbleSize val="0"/>
        </c:dLbls>
        <c:axId val="656246896"/>
        <c:axId val="656247288"/>
      </c:scatterChart>
      <c:valAx>
        <c:axId val="656246896"/>
        <c:scaling>
          <c:orientation val="minMax"/>
          <c:max val="35"/>
          <c:min val="20"/>
        </c:scaling>
        <c:delete val="0"/>
        <c:axPos val="b"/>
        <c:title>
          <c:tx>
            <c:rich>
              <a:bodyPr vertOverflow="clip"/>
              <a:lstStyle/>
              <a:p>
                <a:pPr>
                  <a:defRPr sz="700" b="0">
                    <a:latin typeface="Arial Narrow" pitchFamily="34" charset="0"/>
                  </a:defRPr>
                </a:pPr>
                <a:r>
                  <a:rPr lang="lv-LV" sz="700" b="0">
                    <a:latin typeface="Arial Narrow" pitchFamily="34" charset="0"/>
                  </a:rPr>
                  <a:t>Produktivitāte (pievienotā vērtība </a:t>
                </a:r>
              </a:p>
              <a:p>
                <a:pPr>
                  <a:defRPr sz="700" b="0">
                    <a:latin typeface="Arial Narrow" pitchFamily="34" charset="0"/>
                  </a:defRPr>
                </a:pPr>
                <a:r>
                  <a:rPr lang="lv-LV" sz="700" b="0">
                    <a:latin typeface="Arial Narrow" pitchFamily="34" charset="0"/>
                  </a:rPr>
                  <a:t>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56247288"/>
        <c:crosses val="autoZero"/>
        <c:crossBetween val="midCat"/>
        <c:majorUnit val="5"/>
      </c:valAx>
      <c:valAx>
        <c:axId val="656247288"/>
        <c:scaling>
          <c:orientation val="minMax"/>
          <c:min val="0.2"/>
        </c:scaling>
        <c:delete val="0"/>
        <c:axPos val="l"/>
        <c:title>
          <c:tx>
            <c:rich>
              <a:bodyPr vertOverflow="clip"/>
              <a:lstStyle/>
              <a:p>
                <a:pPr>
                  <a:defRPr sz="700" b="0"/>
                </a:pPr>
                <a:r>
                  <a:rPr lang="lv-LV" sz="700" b="0">
                    <a:latin typeface="Arial Narrow" pitchFamily="34" charset="0"/>
                  </a:rPr>
                  <a:t>Darbaspēka izmaksas </a:t>
                </a:r>
                <a:br>
                  <a:rPr lang="lv-LV" sz="700" b="0">
                    <a:latin typeface="Arial Narrow" pitchFamily="34" charset="0"/>
                  </a:rPr>
                </a:br>
                <a:r>
                  <a:rPr lang="lv-LV" sz="700" b="0">
                    <a:latin typeface="Arial Narrow" pitchFamily="34" charset="0"/>
                  </a:rPr>
                  <a:t>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56246896"/>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8"/>
          <c:y val="0.046005165816941182"/>
          <c:w val="0.85762258292899962"/>
          <c:h val="0.831279863372076"/>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Sheet1!$B$1:$K$1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Sheet1!$B$2:$K$2</c:f>
              <c:numCache>
                <c:formatCode>0.0</c:formatCode>
                <c:ptCount val="10"/>
                <c:pt idx="0">
                  <c:v>33.733810364325855</c:v>
                </c:pt>
                <c:pt idx="1">
                  <c:v>39.366062694556014</c:v>
                </c:pt>
                <c:pt idx="2">
                  <c:v>35.265739314535836</c:v>
                </c:pt>
                <c:pt idx="3">
                  <c:v>31.598932010849889</c:v>
                </c:pt>
                <c:pt idx="4">
                  <c:v>31.869900214985641</c:v>
                </c:pt>
                <c:pt idx="5">
                  <c:v>33.801329812213076</c:v>
                </c:pt>
                <c:pt idx="6">
                  <c:v>35.118191713592282</c:v>
                </c:pt>
                <c:pt idx="7">
                  <c:v>37.375186420479331</c:v>
                </c:pt>
                <c:pt idx="8">
                  <c:v>39.02724647709001</c:v>
                </c:pt>
                <c:pt idx="9" formatCode="0">
                  <c:v>41.8751646537594</c:v>
                </c:pt>
              </c:numCache>
            </c:numRef>
          </c:val>
          <c:extLst>
            <c:ext xmlns:c="http://schemas.openxmlformats.org/drawingml/2006/chart" xmlns:c16="http://schemas.microsoft.com/office/drawing/2014/chart" uri="{C3380CC4-5D6E-409C-BE32-E72D297353CC}">
              <c16:uniqueId val="{00000000-097A-4877-B53E-5EB88FCB9E7D}"/>
            </c:ext>
          </c:extLst>
        </c:ser>
        <c:ser>
          <c:idx val="1"/>
          <c:order val="1"/>
          <c:tx>
            <c:strRef>
              <c:f>Sheet1!$A$3</c:f>
              <c:strCache>
                <c:ptCount val="1"/>
                <c:pt idx="0">
                  <c:v>Ieguves rūpniecība un karjeru izstrāde</c:v>
                </c:pt>
              </c:strCache>
            </c:strRef>
          </c:tx>
          <c:spPr>
            <a:ln>
              <a:solidFill>
                <a:sysClr val="windowText" lastClr="000000"/>
              </a:solidFill>
            </a:ln>
          </c:spPr>
          <c:invertIfNegative val="0"/>
          <c:dLbls>
            <c:numFmt formatCode="#,##0" sourceLinked="0"/>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Sheet1!$B$3:$K$3</c:f>
              <c:numCache>
                <c:formatCode>0</c:formatCode>
                <c:ptCount val="10"/>
                <c:pt idx="0">
                  <c:v>35.993326774314617</c:v>
                </c:pt>
                <c:pt idx="1">
                  <c:v>41.16682422990278</c:v>
                </c:pt>
                <c:pt idx="2">
                  <c:v>40.188395079378964</c:v>
                </c:pt>
                <c:pt idx="3">
                  <c:v>39.440617124002472</c:v>
                </c:pt>
                <c:pt idx="4">
                  <c:v>35.396996970050509</c:v>
                </c:pt>
                <c:pt idx="5">
                  <c:v>32.890953222766264</c:v>
                </c:pt>
                <c:pt idx="6">
                  <c:v>37.62010949236106</c:v>
                </c:pt>
                <c:pt idx="7">
                  <c:v>39.487154555731081</c:v>
                </c:pt>
                <c:pt idx="8">
                  <c:v>36.737185063355376</c:v>
                </c:pt>
                <c:pt idx="9">
                  <c:v>40.586719689095531</c:v>
                </c:pt>
              </c:numCache>
            </c:numRef>
          </c:val>
          <c:extLst>
            <c:ext xmlns:c="http://schemas.openxmlformats.org/drawingml/2006/chart" xmlns:c16="http://schemas.microsoft.com/office/drawing/2014/chart" uri="{C3380CC4-5D6E-409C-BE32-E72D297353CC}">
              <c16:uniqueId val="{00000001-097A-4877-B53E-5EB88FCB9E7D}"/>
            </c:ext>
          </c:extLst>
        </c:ser>
        <c:dLbls>
          <c:showLegendKey val="0"/>
          <c:showVal val="0"/>
          <c:showCatName val="0"/>
          <c:showSerName val="0"/>
          <c:showPercent val="0"/>
          <c:showBubbleSize val="0"/>
        </c:dLbls>
        <c:gapWidth val="50"/>
        <c:overlap val="52"/>
        <c:axId val="629851040"/>
        <c:axId val="629853784"/>
      </c:barChart>
      <c:catAx>
        <c:axId val="629851040"/>
        <c:scaling>
          <c:orientation val="minMax"/>
        </c:scaling>
        <c:delete val="0"/>
        <c:axPos val="b"/>
        <c:numFmt formatCode="General" sourceLinked="0"/>
        <c:majorTickMark val="out"/>
        <c:minorTickMark val="none"/>
        <c:tickLblPos val="nextTo"/>
        <c:txPr>
          <a:bodyPr rot="-2700000"/>
          <a:lstStyle/>
          <a:p>
            <a:pPr>
              <a:defRPr sz="700"/>
            </a:pPr>
            <a:endParaRPr lang="lv-LV"/>
          </a:p>
        </c:txPr>
        <c:crossAx val="629853784"/>
        <c:crosses val="autoZero"/>
        <c:auto val="1"/>
        <c:lblAlgn val="ctr"/>
        <c:lblOffset val="100"/>
        <c:noMultiLvlLbl val="0"/>
      </c:catAx>
      <c:valAx>
        <c:axId val="629853784"/>
        <c:scaling>
          <c:orientation val="minMax"/>
          <c:max val="80"/>
        </c:scaling>
        <c:delete val="0"/>
        <c:axPos val="l"/>
        <c:numFmt formatCode="0" sourceLinked="0"/>
        <c:majorTickMark val="out"/>
        <c:minorTickMark val="none"/>
        <c:tickLblPos val="nextTo"/>
        <c:txPr>
          <a:bodyPr/>
          <a:lstStyle/>
          <a:p>
            <a:pPr>
              <a:defRPr sz="800"/>
            </a:pPr>
            <a:endParaRPr lang="lv-LV"/>
          </a:p>
        </c:txPr>
        <c:crossAx val="629851040"/>
        <c:crosses val="autoZero"/>
        <c:crossBetween val="between"/>
        <c:majorUnit val="20"/>
      </c:valAx>
      <c:spPr>
        <a:ln>
          <a:noFill/>
        </a:ln>
      </c:spPr>
    </c:plotArea>
    <c:legend>
      <c:legendPos val="r"/>
      <c:layout>
        <c:manualLayout>
          <c:xMode val="edge"/>
          <c:yMode val="edge"/>
          <c:x val="0.11354401327636736"/>
          <c:y val="0.061540280437918232"/>
          <c:w val="0.86054541388604455"/>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38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8"/>
          <c:y val="0.046005165816941182"/>
          <c:w val="0.85762258292899962"/>
          <c:h val="0.831279863372076"/>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Sheet1!$B$1:$J$1</c:f>
              <c:strCache>
                <c:ptCount val="9"/>
                <c:pt idx="0">
                  <c:v>2008</c:v>
                </c:pt>
                <c:pt idx="1">
                  <c:v>2009</c:v>
                </c:pt>
                <c:pt idx="2">
                  <c:v>2010</c:v>
                </c:pt>
                <c:pt idx="3">
                  <c:v>2011</c:v>
                </c:pt>
                <c:pt idx="4">
                  <c:v>2012</c:v>
                </c:pt>
                <c:pt idx="5">
                  <c:v>2013</c:v>
                </c:pt>
                <c:pt idx="6">
                  <c:v>2014</c:v>
                </c:pt>
                <c:pt idx="7">
                  <c:v>2015</c:v>
                </c:pt>
                <c:pt idx="8">
                  <c:v>2016</c:v>
                </c:pt>
              </c:strCache>
            </c:strRef>
          </c:cat>
          <c:val>
            <c:numRef>
              <c:f>Sheet1!$B$2:$J$2</c:f>
              <c:numCache>
                <c:formatCode>0</c:formatCode>
                <c:ptCount val="9"/>
                <c:pt idx="0">
                  <c:v>39.357747157592392</c:v>
                </c:pt>
                <c:pt idx="1">
                  <c:v>35.257643303741311</c:v>
                </c:pt>
                <c:pt idx="2">
                  <c:v>31.604252389710798</c:v>
                </c:pt>
                <c:pt idx="3">
                  <c:v>31.875002820972814</c:v>
                </c:pt>
                <c:pt idx="4">
                  <c:v>33.804118310790848</c:v>
                </c:pt>
                <c:pt idx="5">
                  <c:v>35.156533977007385</c:v>
                </c:pt>
                <c:pt idx="6">
                  <c:v>37.421947439091205</c:v>
                </c:pt>
                <c:pt idx="7">
                  <c:v>38.817831590130616</c:v>
                </c:pt>
                <c:pt idx="8">
                  <c:v>41.722712558717859</c:v>
                </c:pt>
              </c:numCache>
            </c:numRef>
          </c:val>
          <c:extLst>
            <c:ext xmlns:c="http://schemas.openxmlformats.org/drawingml/2006/chart" xmlns:c16="http://schemas.microsoft.com/office/drawing/2014/chart" uri="{C3380CC4-5D6E-409C-BE32-E72D297353CC}">
              <c16:uniqueId val="{00000000-C68D-41A5-9FE5-54605D4305CA}"/>
            </c:ext>
          </c:extLst>
        </c:ser>
        <c:ser>
          <c:idx val="1"/>
          <c:order val="1"/>
          <c:tx>
            <c:strRef>
              <c:f>Sheet1!$A$3</c:f>
              <c:strCache>
                <c:ptCount val="1"/>
                <c:pt idx="0">
                  <c:v>Pārējie komercpakalpojumi</c:v>
                </c:pt>
              </c:strCache>
            </c:strRef>
          </c:tx>
          <c:spPr>
            <a:ln>
              <a:solidFill>
                <a:sysClr val="windowText" lastClr="000000"/>
              </a:solidFill>
            </a:ln>
          </c:spPr>
          <c:invertIfNegative val="0"/>
          <c:dLbls>
            <c:numFmt formatCode="#,##0" sourceLinked="0"/>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2008</c:v>
                </c:pt>
                <c:pt idx="1">
                  <c:v>2009</c:v>
                </c:pt>
                <c:pt idx="2">
                  <c:v>2010</c:v>
                </c:pt>
                <c:pt idx="3">
                  <c:v>2011</c:v>
                </c:pt>
                <c:pt idx="4">
                  <c:v>2012</c:v>
                </c:pt>
                <c:pt idx="5">
                  <c:v>2013</c:v>
                </c:pt>
                <c:pt idx="6">
                  <c:v>2014</c:v>
                </c:pt>
                <c:pt idx="7">
                  <c:v>2015</c:v>
                </c:pt>
                <c:pt idx="8">
                  <c:v>2016</c:v>
                </c:pt>
              </c:strCache>
            </c:strRef>
          </c:cat>
          <c:val>
            <c:numRef>
              <c:f>Sheet1!$B$3:$J$3</c:f>
              <c:numCache>
                <c:formatCode>0</c:formatCode>
                <c:ptCount val="9"/>
                <c:pt idx="0">
                  <c:v>44.03402010544994</c:v>
                </c:pt>
                <c:pt idx="1">
                  <c:v>40.679771740545831</c:v>
                </c:pt>
                <c:pt idx="2">
                  <c:v>38.219244029972273</c:v>
                </c:pt>
                <c:pt idx="3">
                  <c:v>38.154677165514734</c:v>
                </c:pt>
                <c:pt idx="4">
                  <c:v>37.484803596842184</c:v>
                </c:pt>
                <c:pt idx="5">
                  <c:v>38.748473406738064</c:v>
                </c:pt>
                <c:pt idx="6">
                  <c:v>41.577159013871295</c:v>
                </c:pt>
                <c:pt idx="7">
                  <c:v>43.307991506267932</c:v>
                </c:pt>
                <c:pt idx="8">
                  <c:v>47.013510586982186</c:v>
                </c:pt>
              </c:numCache>
            </c:numRef>
          </c:val>
          <c:extLst>
            <c:ext xmlns:c="http://schemas.openxmlformats.org/drawingml/2006/chart" xmlns:c16="http://schemas.microsoft.com/office/drawing/2014/chart" uri="{C3380CC4-5D6E-409C-BE32-E72D297353CC}">
              <c16:uniqueId val="{00000001-C68D-41A5-9FE5-54605D4305CA}"/>
            </c:ext>
          </c:extLst>
        </c:ser>
        <c:dLbls>
          <c:showLegendKey val="0"/>
          <c:showVal val="0"/>
          <c:showCatName val="0"/>
          <c:showSerName val="0"/>
          <c:showPercent val="0"/>
          <c:showBubbleSize val="0"/>
        </c:dLbls>
        <c:gapWidth val="50"/>
        <c:overlap val="52"/>
        <c:axId val="656258656"/>
        <c:axId val="656251208"/>
      </c:barChart>
      <c:catAx>
        <c:axId val="656258656"/>
        <c:scaling>
          <c:orientation val="minMax"/>
        </c:scaling>
        <c:delete val="0"/>
        <c:axPos val="b"/>
        <c:numFmt formatCode="General" sourceLinked="0"/>
        <c:majorTickMark val="out"/>
        <c:minorTickMark val="none"/>
        <c:tickLblPos val="nextTo"/>
        <c:txPr>
          <a:bodyPr/>
          <a:lstStyle/>
          <a:p>
            <a:pPr>
              <a:defRPr sz="700"/>
            </a:pPr>
            <a:endParaRPr lang="lv-LV"/>
          </a:p>
        </c:txPr>
        <c:crossAx val="656251208"/>
        <c:crosses val="autoZero"/>
        <c:auto val="1"/>
        <c:lblAlgn val="ctr"/>
        <c:lblOffset val="100"/>
        <c:noMultiLvlLbl val="0"/>
      </c:catAx>
      <c:valAx>
        <c:axId val="656251208"/>
        <c:scaling>
          <c:orientation val="minMax"/>
          <c:max val="80"/>
        </c:scaling>
        <c:delete val="0"/>
        <c:axPos val="l"/>
        <c:numFmt formatCode="0" sourceLinked="0"/>
        <c:majorTickMark val="out"/>
        <c:minorTickMark val="none"/>
        <c:tickLblPos val="nextTo"/>
        <c:txPr>
          <a:bodyPr/>
          <a:lstStyle/>
          <a:p>
            <a:pPr>
              <a:defRPr sz="800"/>
            </a:pPr>
            <a:endParaRPr lang="lv-LV"/>
          </a:p>
        </c:txPr>
        <c:crossAx val="656258656"/>
        <c:crosses val="autoZero"/>
        <c:crossBetween val="between"/>
        <c:majorUnit val="20"/>
      </c:valAx>
      <c:spPr>
        <a:ln>
          <a:noFill/>
        </a:ln>
      </c:spPr>
    </c:plotArea>
    <c:legend>
      <c:legendPos val="r"/>
      <c:layout>
        <c:manualLayout>
          <c:xMode val="edge"/>
          <c:yMode val="edge"/>
          <c:x val="0.11354401327636736"/>
          <c:y val="0.04952826842590622"/>
          <c:w val="0.78281746171863043"/>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38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738"/>
          <c:y val="0.046005165816941182"/>
          <c:w val="0.85762258292899962"/>
          <c:h val="0.83127986337207582"/>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Sheet1!$B$1:$J$1</c:f>
              <c:strCache>
                <c:ptCount val="9"/>
                <c:pt idx="0">
                  <c:v>2008</c:v>
                </c:pt>
                <c:pt idx="1">
                  <c:v>2009</c:v>
                </c:pt>
                <c:pt idx="2">
                  <c:v>2010</c:v>
                </c:pt>
                <c:pt idx="3">
                  <c:v>2011</c:v>
                </c:pt>
                <c:pt idx="4">
                  <c:v>2012</c:v>
                </c:pt>
                <c:pt idx="5">
                  <c:v>2013</c:v>
                </c:pt>
                <c:pt idx="6">
                  <c:v>2014</c:v>
                </c:pt>
                <c:pt idx="7">
                  <c:v>2015</c:v>
                </c:pt>
                <c:pt idx="8">
                  <c:v>2016</c:v>
                </c:pt>
              </c:strCache>
            </c:strRef>
          </c:cat>
          <c:val>
            <c:numRef>
              <c:f>Sheet1!$B$2:$J$2</c:f>
              <c:numCache>
                <c:formatCode>0</c:formatCode>
                <c:ptCount val="9"/>
                <c:pt idx="0">
                  <c:v>40.886874357448278</c:v>
                </c:pt>
                <c:pt idx="1">
                  <c:v>38.340696631750923</c:v>
                </c:pt>
                <c:pt idx="2">
                  <c:v>37.13786218879887</c:v>
                </c:pt>
                <c:pt idx="3">
                  <c:v>40.358416265069444</c:v>
                </c:pt>
                <c:pt idx="4">
                  <c:v>42.444824679460964</c:v>
                </c:pt>
                <c:pt idx="5">
                  <c:v>42.534590211759</c:v>
                </c:pt>
                <c:pt idx="6">
                  <c:v>43.637999214462909</c:v>
                </c:pt>
                <c:pt idx="7">
                  <c:v>42.77599222315655</c:v>
                </c:pt>
                <c:pt idx="8">
                  <c:v>43.3164068323518</c:v>
                </c:pt>
              </c:numCache>
            </c:numRef>
          </c:val>
          <c:extLst>
            <c:ext xmlns:c="http://schemas.openxmlformats.org/drawingml/2006/chart" xmlns:c16="http://schemas.microsoft.com/office/drawing/2014/chart" uri="{C3380CC4-5D6E-409C-BE32-E72D297353CC}">
              <c16:uniqueId val="{00000000-8273-459E-B368-C0B863B1E93B}"/>
            </c:ext>
          </c:extLst>
        </c:ser>
        <c:ser>
          <c:idx val="1"/>
          <c:order val="1"/>
          <c:tx>
            <c:strRef>
              <c:f>Sheet1!$A$3</c:f>
              <c:strCache>
                <c:ptCount val="1"/>
                <c:pt idx="0">
                  <c:v>Pārējie komercpakalpojumi</c:v>
                </c:pt>
              </c:strCache>
            </c:strRef>
          </c:tx>
          <c:spPr>
            <a:ln>
              <a:solidFill>
                <a:sysClr val="windowText" lastClr="000000"/>
              </a:solidFill>
            </a:ln>
          </c:spPr>
          <c:invertIfNegative val="0"/>
          <c:dLbls>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2008</c:v>
                </c:pt>
                <c:pt idx="1">
                  <c:v>2009</c:v>
                </c:pt>
                <c:pt idx="2">
                  <c:v>2010</c:v>
                </c:pt>
                <c:pt idx="3">
                  <c:v>2011</c:v>
                </c:pt>
                <c:pt idx="4">
                  <c:v>2012</c:v>
                </c:pt>
                <c:pt idx="5">
                  <c:v>2013</c:v>
                </c:pt>
                <c:pt idx="6">
                  <c:v>2014</c:v>
                </c:pt>
                <c:pt idx="7">
                  <c:v>2015</c:v>
                </c:pt>
                <c:pt idx="8">
                  <c:v>2016</c:v>
                </c:pt>
              </c:strCache>
            </c:strRef>
          </c:cat>
          <c:val>
            <c:numRef>
              <c:f>Sheet1!$B$3:$J$3</c:f>
              <c:numCache>
                <c:formatCode>0</c:formatCode>
                <c:ptCount val="9"/>
                <c:pt idx="0">
                  <c:v>50.187505512188267</c:v>
                </c:pt>
                <c:pt idx="1">
                  <c:v>41.450625060456289</c:v>
                </c:pt>
                <c:pt idx="2">
                  <c:v>40.040975621953265</c:v>
                </c:pt>
                <c:pt idx="3">
                  <c:v>46.282750299775913</c:v>
                </c:pt>
                <c:pt idx="4">
                  <c:v>47.091947336523745</c:v>
                </c:pt>
                <c:pt idx="5">
                  <c:v>45.894174226517556</c:v>
                </c:pt>
                <c:pt idx="6">
                  <c:v>48.7579165191783</c:v>
                </c:pt>
                <c:pt idx="7">
                  <c:v>46.99897294332996</c:v>
                </c:pt>
                <c:pt idx="8">
                  <c:v>48.732015030407354</c:v>
                </c:pt>
              </c:numCache>
            </c:numRef>
          </c:val>
          <c:extLst>
            <c:ext xmlns:c="http://schemas.openxmlformats.org/drawingml/2006/chart" xmlns:c16="http://schemas.microsoft.com/office/drawing/2014/chart" uri="{C3380CC4-5D6E-409C-BE32-E72D297353CC}">
              <c16:uniqueId val="{00000001-8273-459E-B368-C0B863B1E93B}"/>
            </c:ext>
          </c:extLst>
        </c:ser>
        <c:dLbls>
          <c:showLegendKey val="0"/>
          <c:showVal val="0"/>
          <c:showCatName val="0"/>
          <c:showSerName val="0"/>
          <c:showPercent val="0"/>
          <c:showBubbleSize val="0"/>
        </c:dLbls>
        <c:gapWidth val="50"/>
        <c:overlap val="52"/>
        <c:axId val="656249640"/>
        <c:axId val="656260616"/>
      </c:barChart>
      <c:catAx>
        <c:axId val="656249640"/>
        <c:scaling>
          <c:orientation val="minMax"/>
        </c:scaling>
        <c:delete val="0"/>
        <c:axPos val="b"/>
        <c:numFmt formatCode="General" sourceLinked="0"/>
        <c:majorTickMark val="out"/>
        <c:minorTickMark val="none"/>
        <c:tickLblPos val="nextTo"/>
        <c:txPr>
          <a:bodyPr/>
          <a:lstStyle/>
          <a:p>
            <a:pPr>
              <a:defRPr sz="700"/>
            </a:pPr>
            <a:endParaRPr lang="lv-LV"/>
          </a:p>
        </c:txPr>
        <c:crossAx val="656260616"/>
        <c:crosses val="autoZero"/>
        <c:auto val="1"/>
        <c:lblAlgn val="ctr"/>
        <c:lblOffset val="100"/>
        <c:noMultiLvlLbl val="0"/>
      </c:catAx>
      <c:valAx>
        <c:axId val="656260616"/>
        <c:scaling>
          <c:orientation val="minMax"/>
          <c:max val="80"/>
        </c:scaling>
        <c:delete val="0"/>
        <c:axPos val="l"/>
        <c:numFmt formatCode="0" sourceLinked="1"/>
        <c:majorTickMark val="out"/>
        <c:minorTickMark val="none"/>
        <c:tickLblPos val="nextTo"/>
        <c:txPr>
          <a:bodyPr/>
          <a:lstStyle/>
          <a:p>
            <a:pPr>
              <a:defRPr sz="800"/>
            </a:pPr>
            <a:endParaRPr lang="lv-LV"/>
          </a:p>
        </c:txPr>
        <c:crossAx val="656249640"/>
        <c:crosses val="autoZero"/>
        <c:crossBetween val="between"/>
        <c:majorUnit val="20"/>
      </c:valAx>
      <c:spPr>
        <a:ln>
          <a:noFill/>
        </a:ln>
      </c:spPr>
    </c:plotArea>
    <c:legend>
      <c:legendPos val="r"/>
      <c:layout>
        <c:manualLayout>
          <c:xMode val="edge"/>
          <c:yMode val="edge"/>
          <c:x val="0.1079654105736783"/>
          <c:y val="0.037516256413894208"/>
          <c:w val="0.74818569553805769"/>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38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46717244654"/>
          <c:y val="0.044057617797775277"/>
          <c:w val="0.9310540474739486"/>
          <c:h val="0.73334186885175934"/>
        </c:manualLayout>
      </c:layout>
      <c:barChart>
        <c:barDir val="col"/>
        <c:grouping val="clustered"/>
        <c:varyColors val="0"/>
        <c:ser>
          <c:idx val="1"/>
          <c:order val="0"/>
          <c:tx>
            <c:strRef>
              <c:f>Sheet1!$B$3</c:f>
              <c:strCache>
                <c:ptCount val="1"/>
                <c:pt idx="0">
                  <c:v>Compensation per employees 1000 of euro</c:v>
                </c:pt>
              </c:strCache>
            </c:strRef>
          </c:tx>
          <c:spPr>
            <a:solidFill>
              <a:schemeClr val="accent3">
                <a:lumMod val="50000"/>
              </a:schemeClr>
            </a:solidFill>
            <a:ln w="19050"/>
          </c:spPr>
          <c:invertIfNegative val="0"/>
          <c:dPt>
            <c:idx val="10"/>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1-559D-45DC-BFC4-986CA34CCA98}"/>
              </c:ext>
            </c:extLst>
          </c:dPt>
          <c:dPt>
            <c:idx val="20"/>
            <c:invertIfNegative val="0"/>
            <c:bubble3D val="0"/>
            <c:extLst>
              <c:ext xmlns:c="http://schemas.openxmlformats.org/drawingml/2006/chart" xmlns:c16="http://schemas.microsoft.com/office/drawing/2014/chart" uri="{C3380CC4-5D6E-409C-BE32-E72D297353CC}">
                <c16:uniqueId val="{00000002-559D-45DC-BFC4-986CA34CCA98}"/>
              </c:ext>
            </c:extLst>
          </c:dPt>
          <c:dPt>
            <c:idx val="21"/>
            <c:invertIfNegative val="0"/>
            <c:bubble3D val="0"/>
            <c:spPr>
              <a:ln w="19050"/>
            </c:spPr>
            <c:extLst>
              <c:ext xmlns:c="http://schemas.openxmlformats.org/drawingml/2006/chart" xmlns:c16="http://schemas.microsoft.com/office/drawing/2014/chart" uri="{C3380CC4-5D6E-409C-BE32-E72D297353CC}">
                <c16:uniqueId val="{00000004-559D-45DC-BFC4-986CA34CCA98}"/>
              </c:ext>
            </c:extLst>
          </c:dPt>
          <c:dPt>
            <c:idx val="22"/>
            <c:invertIfNegative val="0"/>
            <c:bubble3D val="0"/>
            <c:extLst>
              <c:ext xmlns:c="http://schemas.openxmlformats.org/drawingml/2006/chart" xmlns:c16="http://schemas.microsoft.com/office/drawing/2014/chart" uri="{C3380CC4-5D6E-409C-BE32-E72D297353CC}">
                <c16:uniqueId val="{00000005-559D-45DC-BFC4-986CA34CCA98}"/>
              </c:ext>
            </c:extLst>
          </c:dPt>
          <c:dPt>
            <c:idx val="25"/>
            <c:invertIfNegative val="0"/>
            <c:bubble3D val="0"/>
            <c:extLst>
              <c:ext xmlns:c="http://schemas.openxmlformats.org/drawingml/2006/chart" xmlns:c16="http://schemas.microsoft.com/office/drawing/2014/chart" uri="{C3380CC4-5D6E-409C-BE32-E72D297353CC}">
                <c16:uniqueId val="{00000006-559D-45DC-BFC4-986CA34CCA98}"/>
              </c:ext>
            </c:extLst>
          </c:dPt>
          <c:dLbls>
            <c:dLbl>
              <c:idx val="20"/>
              <c:layout>
                <c:manualLayout/>
              </c:layout>
              <c:numFmt formatCode="#,##0" sourceLinked="0"/>
              <c:spPr>
                <a:noFill/>
                <a:ln>
                  <a:noFill/>
                </a:ln>
                <a:effectLst/>
              </c:spPr>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559D-45DC-BFC4-986CA34CCA98}"/>
                </c:ext>
                <c:ext xmlns:c15="http://schemas.microsoft.com/office/drawing/2012/chart" uri="{CE6537A1-D6FC-4f65-9D91-7224C49458BB}"/>
              </c:extLst>
            </c:dLbl>
            <c:dLbl>
              <c:idx val="21"/>
              <c:numFmt formatCode="#,##0" sourceLinked="0"/>
              <c:spPr>
                <a:noFill/>
                <a:ln>
                  <a:noFill/>
                </a:ln>
                <a:effectLst/>
              </c:spPr>
              <c:txPr>
                <a:bodyPr/>
                <a:lstStyle/>
                <a:p>
                  <a:pPr>
                    <a:defRPr sz="600" b="1"/>
                  </a:pPr>
                  <a:endParaRPr lang="lv-LV"/>
                </a:p>
              </c:txPr>
              <c:showLegendKey val="0"/>
              <c:showVal val="1"/>
              <c:showCatName val="0"/>
              <c:showSerName val="0"/>
              <c:showPercent val="0"/>
              <c:showBubbleSize val="0"/>
            </c:dLbl>
            <c:dLbl>
              <c:idx val="22"/>
              <c:layout>
                <c:manualLayout>
                  <c:x val="0"/>
                  <c:y val="0.010957045003520901"/>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559D-45DC-BFC4-986CA34CCA98}"/>
                </c:ext>
                <c:ext xmlns:c15="http://schemas.microsoft.com/office/drawing/2012/chart" uri="{CE6537A1-D6FC-4f65-9D91-7224C49458BB}"/>
              </c:extLst>
            </c:dLbl>
            <c:dLbl>
              <c:idx val="25"/>
              <c:layout>
                <c:manualLayout>
                  <c:x val="0"/>
                  <c:y val="0.0047350290403144375"/>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559D-45DC-BFC4-986CA34CCA98}"/>
                </c:ext>
                <c:ext xmlns:c15="http://schemas.microsoft.com/office/drawing/2012/chart" uri="{CE6537A1-D6FC-4f65-9D91-7224C49458BB}"/>
              </c:extLst>
            </c:dLbl>
            <c:numFmt formatCode="#,##0" sourceLinked="0"/>
            <c:spPr>
              <a:noFill/>
              <a:ln>
                <a:noFill/>
              </a:ln>
              <a:effectLst/>
            </c:spPr>
            <c:txPr>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Sheet1!$A$4:$A$32</c:f>
              <c:strCache>
                <c:ptCount val="29"/>
                <c:pt idx="0">
                  <c:v>LU</c:v>
                </c:pt>
                <c:pt idx="1">
                  <c:v>DK</c:v>
                </c:pt>
                <c:pt idx="2">
                  <c:v>IE</c:v>
                </c:pt>
                <c:pt idx="3">
                  <c:v>SE</c:v>
                </c:pt>
                <c:pt idx="4">
                  <c:v>BE</c:v>
                </c:pt>
                <c:pt idx="5">
                  <c:v>FR</c:v>
                </c:pt>
                <c:pt idx="6">
                  <c:v>NL</c:v>
                </c:pt>
                <c:pt idx="7">
                  <c:v>FI</c:v>
                </c:pt>
                <c:pt idx="8">
                  <c:v>AT</c:v>
                </c:pt>
                <c:pt idx="9">
                  <c:v>UK</c:v>
                </c:pt>
                <c:pt idx="10">
                  <c:v>EU-28</c:v>
                </c:pt>
                <c:pt idx="11">
                  <c:v>DE</c:v>
                </c:pt>
                <c:pt idx="12">
                  <c:v>IT</c:v>
                </c:pt>
                <c:pt idx="13">
                  <c:v>ES</c:v>
                </c:pt>
                <c:pt idx="14">
                  <c:v>MT</c:v>
                </c:pt>
                <c:pt idx="15">
                  <c:v>SI</c:v>
                </c:pt>
                <c:pt idx="16">
                  <c:v>CY</c:v>
                </c:pt>
                <c:pt idx="17">
                  <c:v>EL</c:v>
                </c:pt>
                <c:pt idx="18">
                  <c:v>EE</c:v>
                </c:pt>
                <c:pt idx="19">
                  <c:v>PT</c:v>
                </c:pt>
                <c:pt idx="20">
                  <c:v>HR</c:v>
                </c:pt>
                <c:pt idx="21">
                  <c:v>LV</c:v>
                </c:pt>
                <c:pt idx="22">
                  <c:v>CZ</c:v>
                </c:pt>
                <c:pt idx="23">
                  <c:v>SK</c:v>
                </c:pt>
                <c:pt idx="24">
                  <c:v>PL</c:v>
                </c:pt>
                <c:pt idx="25">
                  <c:v>LT</c:v>
                </c:pt>
                <c:pt idx="26">
                  <c:v>RO</c:v>
                </c:pt>
                <c:pt idx="27">
                  <c:v>HU</c:v>
                </c:pt>
                <c:pt idx="28">
                  <c:v>BG</c:v>
                </c:pt>
              </c:strCache>
            </c:strRef>
          </c:cat>
          <c:val>
            <c:numRef>
              <c:f>Sheet1!$B$4:$B$32</c:f>
              <c:numCache>
                <c:formatCode>0.0</c:formatCode>
                <c:ptCount val="29"/>
                <c:pt idx="0">
                  <c:v>78.970070422535215</c:v>
                </c:pt>
                <c:pt idx="1">
                  <c:v>58.136571428571429</c:v>
                </c:pt>
                <c:pt idx="2">
                  <c:v>52.82932270916335</c:v>
                </c:pt>
                <c:pt idx="3">
                  <c:v>51.502967192923528</c:v>
                </c:pt>
                <c:pt idx="4">
                  <c:v>48.947261420712749</c:v>
                </c:pt>
                <c:pt idx="5">
                  <c:v>47.921390287477671</c:v>
                </c:pt>
                <c:pt idx="6">
                  <c:v>47.025614218504963</c:v>
                </c:pt>
                <c:pt idx="7">
                  <c:v>45.886240264337978</c:v>
                </c:pt>
                <c:pt idx="8">
                  <c:v>45.406819411870828</c:v>
                </c:pt>
                <c:pt idx="9">
                  <c:v>43.699778046928877</c:v>
                </c:pt>
                <c:pt idx="10">
                  <c:v>36.259135712626481</c:v>
                </c:pt>
                <c:pt idx="11">
                  <c:v>35.434748863510364</c:v>
                </c:pt>
                <c:pt idx="12">
                  <c:v>28.763650848333484</c:v>
                </c:pt>
                <c:pt idx="13">
                  <c:v>28.631812551610242</c:v>
                </c:pt>
                <c:pt idx="14">
                  <c:v>26.677081008703418</c:v>
                </c:pt>
                <c:pt idx="15">
                  <c:v>25.979095563139932</c:v>
                </c:pt>
                <c:pt idx="16">
                  <c:v>25.059567225869188</c:v>
                </c:pt>
                <c:pt idx="17">
                  <c:v>22.434597972837626</c:v>
                </c:pt>
                <c:pt idx="18">
                  <c:v>21.299065420560751</c:v>
                </c:pt>
                <c:pt idx="19">
                  <c:v>20.507176781696902</c:v>
                </c:pt>
                <c:pt idx="20">
                  <c:v>20.448904145761816</c:v>
                </c:pt>
                <c:pt idx="21">
                  <c:v>17.046692607003891</c:v>
                </c:pt>
                <c:pt idx="22">
                  <c:v>16.301830407172211</c:v>
                </c:pt>
                <c:pt idx="23">
                  <c:v>15.619788405128375</c:v>
                </c:pt>
                <c:pt idx="24">
                  <c:v>15.132796415162892</c:v>
                </c:pt>
                <c:pt idx="25">
                  <c:v>13.402394647259069</c:v>
                </c:pt>
                <c:pt idx="26">
                  <c:v>13.314149396153274</c:v>
                </c:pt>
                <c:pt idx="27">
                  <c:v>12.159799050155105</c:v>
                </c:pt>
                <c:pt idx="28">
                  <c:v>8.8974917332042924</c:v>
                </c:pt>
              </c:numCache>
            </c:numRef>
          </c:val>
          <c:extLst>
            <c:ext xmlns:c="http://schemas.openxmlformats.org/drawingml/2006/chart" xmlns:c16="http://schemas.microsoft.com/office/drawing/2014/chart" uri="{C3380CC4-5D6E-409C-BE32-E72D297353CC}">
              <c16:uniqueId val="{00000007-559D-45DC-BFC4-986CA34CCA98}"/>
            </c:ext>
          </c:extLst>
        </c:ser>
        <c:dLbls>
          <c:showLegendKey val="0"/>
          <c:showVal val="0"/>
          <c:showCatName val="0"/>
          <c:showSerName val="0"/>
          <c:showPercent val="0"/>
          <c:showBubbleSize val="0"/>
        </c:dLbls>
        <c:gapWidth val="20"/>
        <c:axId val="656256696"/>
        <c:axId val="656261792"/>
      </c:barChart>
      <c:catAx>
        <c:axId val="656256696"/>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56261792"/>
        <c:crosses val="autoZero"/>
        <c:auto val="1"/>
        <c:lblAlgn val="ctr"/>
        <c:lblOffset val="100"/>
        <c:tickLblSkip val="1"/>
        <c:noMultiLvlLbl val="0"/>
      </c:catAx>
      <c:valAx>
        <c:axId val="656261792"/>
        <c:scaling>
          <c:orientation val="minMax"/>
        </c:scaling>
        <c:delete val="0"/>
        <c:axPos val="l"/>
        <c:numFmt formatCode="0" sourceLinked="0"/>
        <c:majorTickMark val="out"/>
        <c:minorTickMark val="none"/>
        <c:tickLblPos val="nextTo"/>
        <c:txPr>
          <a:bodyPr/>
          <a:lstStyle/>
          <a:p>
            <a:pPr>
              <a:defRPr sz="600"/>
            </a:pPr>
            <a:endParaRPr lang="lv-LV"/>
          </a:p>
        </c:txPr>
        <c:crossAx val="656256696"/>
        <c:crosses val="autoZero"/>
        <c:crossBetween val="between"/>
      </c:valAx>
    </c:plotArea>
    <c:plotVisOnly val="1"/>
    <c:dispBlanksAs val="gap"/>
    <c:showDLblsOverMax val="0"/>
  </c:chart>
  <c:spPr>
    <a:ln w="9525">
      <a:noFill/>
    </a:ln>
  </c:spPr>
  <c:externalData r:id="rId1">
    <c:autoUpdate val="0"/>
  </c:externalData>
</c:chartSpace>
</file>

<file path=word/charts/chart38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46717244654"/>
          <c:y val="0.044057617797775277"/>
          <c:w val="0.9310540474739486"/>
          <c:h val="0.71166165204959131"/>
        </c:manualLayout>
      </c:layout>
      <c:barChart>
        <c:barDir val="col"/>
        <c:grouping val="clustered"/>
        <c:varyColors val="0"/>
        <c:ser>
          <c:idx val="1"/>
          <c:order val="0"/>
          <c:tx>
            <c:strRef>
              <c:f>Sheet1!$B$3</c:f>
              <c:strCache>
                <c:ptCount val="1"/>
                <c:pt idx="0">
                  <c:v>Resource productivity</c:v>
                </c:pt>
              </c:strCache>
            </c:strRef>
          </c:tx>
          <c:spPr>
            <a:solidFill>
              <a:schemeClr val="accent3">
                <a:lumMod val="50000"/>
              </a:schemeClr>
            </a:solidFill>
            <a:ln w="19050"/>
          </c:spPr>
          <c:invertIfNegative val="0"/>
          <c:dPt>
            <c:idx val="11"/>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1-2676-4B1E-8C99-E467B5CE4CC4}"/>
              </c:ext>
            </c:extLst>
          </c:dPt>
          <c:dPt>
            <c:idx val="12"/>
            <c:invertIfNegative val="0"/>
            <c:bubble3D val="0"/>
            <c:extLst>
              <c:ext xmlns:c="http://schemas.openxmlformats.org/drawingml/2006/chart" xmlns:c16="http://schemas.microsoft.com/office/drawing/2014/chart" uri="{C3380CC4-5D6E-409C-BE32-E72D297353CC}">
                <c16:uniqueId val="{00000002-2676-4B1E-8C99-E467B5CE4CC4}"/>
              </c:ext>
            </c:extLst>
          </c:dPt>
          <c:dPt>
            <c:idx val="16"/>
            <c:invertIfNegative val="0"/>
            <c:bubble3D val="0"/>
            <c:extLst>
              <c:ext xmlns:c="http://schemas.openxmlformats.org/drawingml/2006/chart" xmlns:c16="http://schemas.microsoft.com/office/drawing/2014/chart" uri="{C3380CC4-5D6E-409C-BE32-E72D297353CC}">
                <c16:uniqueId val="{00000003-2676-4B1E-8C99-E467B5CE4CC4}"/>
              </c:ext>
            </c:extLst>
          </c:dPt>
          <c:dPt>
            <c:idx val="17"/>
            <c:invertIfNegative val="0"/>
            <c:bubble3D val="0"/>
            <c:extLst>
              <c:ext xmlns:c="http://schemas.openxmlformats.org/drawingml/2006/chart" xmlns:c16="http://schemas.microsoft.com/office/drawing/2014/chart" uri="{C3380CC4-5D6E-409C-BE32-E72D297353CC}">
                <c16:uniqueId val="{00000004-2676-4B1E-8C99-E467B5CE4CC4}"/>
              </c:ext>
            </c:extLst>
          </c:dPt>
          <c:dPt>
            <c:idx val="24"/>
            <c:invertIfNegative val="0"/>
            <c:bubble3D val="0"/>
            <c:extLst>
              <c:ext xmlns:c="http://schemas.openxmlformats.org/drawingml/2006/chart" xmlns:c16="http://schemas.microsoft.com/office/drawing/2014/chart" uri="{C3380CC4-5D6E-409C-BE32-E72D297353CC}">
                <c16:uniqueId val="{00000005-2676-4B1E-8C99-E467B5CE4CC4}"/>
              </c:ext>
            </c:extLst>
          </c:dPt>
          <c:dPt>
            <c:idx val="25"/>
            <c:invertIfNegative val="0"/>
            <c:bubble3D val="0"/>
            <c:spPr>
              <a:ln w="19050"/>
            </c:spPr>
            <c:extLst>
              <c:ext xmlns:c="http://schemas.openxmlformats.org/drawingml/2006/chart" xmlns:c16="http://schemas.microsoft.com/office/drawing/2014/chart" uri="{C3380CC4-5D6E-409C-BE32-E72D297353CC}">
                <c16:uniqueId val="{00000007-2676-4B1E-8C99-E467B5CE4CC4}"/>
              </c:ext>
            </c:extLst>
          </c:dPt>
          <c:dPt>
            <c:idx val="26"/>
            <c:invertIfNegative val="0"/>
            <c:bubble3D val="0"/>
            <c:extLst>
              <c:ext xmlns:c="http://schemas.openxmlformats.org/drawingml/2006/chart" xmlns:c16="http://schemas.microsoft.com/office/drawing/2014/chart" uri="{C3380CC4-5D6E-409C-BE32-E72D297353CC}">
                <c16:uniqueId val="{00000008-2676-4B1E-8C99-E467B5CE4CC4}"/>
              </c:ext>
            </c:extLst>
          </c:dPt>
          <c:dLbls>
            <c:dLbl>
              <c:idx val="24"/>
              <c:layout>
                <c:manualLayout/>
              </c:layout>
              <c:numFmt formatCode="#,##0" sourceLinked="0"/>
              <c:spPr>
                <a:noFill/>
                <a:ln>
                  <a:noFill/>
                </a:ln>
                <a:effectLst/>
              </c:spPr>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2676-4B1E-8C99-E467B5CE4CC4}"/>
                </c:ext>
                <c:ext xmlns:c15="http://schemas.microsoft.com/office/drawing/2012/chart" uri="{CE6537A1-D6FC-4f65-9D91-7224C49458BB}"/>
              </c:extLst>
            </c:dLbl>
            <c:dLbl>
              <c:idx val="25"/>
              <c:layout>
                <c:manualLayout>
                  <c:x val="0.0037986704653371322"/>
                  <c:y val="-0.0062957983910547771"/>
                </c:manualLayout>
              </c:layout>
              <c:numFmt formatCode="#,##0" sourceLinked="0"/>
              <c:txPr>
                <a:bodyPr/>
                <a:lstStyle/>
                <a:p>
                  <a:pPr>
                    <a:defRPr sz="600" b="1"/>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2676-4B1E-8C99-E467B5CE4CC4}"/>
                </c:ext>
                <c:ext xmlns:c15="http://schemas.microsoft.com/office/drawing/2012/chart" uri="{CE6537A1-D6FC-4f65-9D91-7224C49458BB}"/>
              </c:extLst>
            </c:dLbl>
            <c:dLbl>
              <c:idx val="26"/>
              <c:layout>
                <c:manualLayout>
                  <c:x val="0"/>
                  <c:y val="0.01092802424087233"/>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2676-4B1E-8C99-E467B5CE4CC4}"/>
                </c:ext>
                <c:ext xmlns:c15="http://schemas.microsoft.com/office/drawing/2012/chart" uri="{CE6537A1-D6FC-4f65-9D91-7224C49458BB}"/>
              </c:extLst>
            </c:dLbl>
            <c:numFmt formatCode="#,##0" sourceLinked="0"/>
            <c:spPr>
              <a:noFill/>
              <a:ln>
                <a:noFill/>
              </a:ln>
              <a:effectLst/>
            </c:spPr>
            <c:txPr>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Sheet1!$A$4:$A$31</c:f>
              <c:strCache>
                <c:ptCount val="28"/>
                <c:pt idx="0">
                  <c:v>IE</c:v>
                </c:pt>
                <c:pt idx="1">
                  <c:v>LU</c:v>
                </c:pt>
                <c:pt idx="2">
                  <c:v>SE</c:v>
                </c:pt>
                <c:pt idx="3">
                  <c:v>DK</c:v>
                </c:pt>
                <c:pt idx="4">
                  <c:v>FR</c:v>
                </c:pt>
                <c:pt idx="5">
                  <c:v>FI</c:v>
                </c:pt>
                <c:pt idx="6">
                  <c:v>BE</c:v>
                </c:pt>
                <c:pt idx="7">
                  <c:v>AT</c:v>
                </c:pt>
                <c:pt idx="8">
                  <c:v>UK</c:v>
                </c:pt>
                <c:pt idx="9">
                  <c:v>EL</c:v>
                </c:pt>
                <c:pt idx="10">
                  <c:v>NL</c:v>
                </c:pt>
                <c:pt idx="11">
                  <c:v>EU-28</c:v>
                </c:pt>
                <c:pt idx="12">
                  <c:v>DE</c:v>
                </c:pt>
                <c:pt idx="13">
                  <c:v>IT</c:v>
                </c:pt>
                <c:pt idx="14">
                  <c:v>CY</c:v>
                </c:pt>
                <c:pt idx="15">
                  <c:v>ES</c:v>
                </c:pt>
                <c:pt idx="16">
                  <c:v>HR</c:v>
                </c:pt>
                <c:pt idx="17">
                  <c:v>PT</c:v>
                </c:pt>
                <c:pt idx="18">
                  <c:v>CZ</c:v>
                </c:pt>
                <c:pt idx="19">
                  <c:v>SI</c:v>
                </c:pt>
                <c:pt idx="20">
                  <c:v>RO</c:v>
                </c:pt>
                <c:pt idx="21">
                  <c:v>SK</c:v>
                </c:pt>
                <c:pt idx="22">
                  <c:v>EE</c:v>
                </c:pt>
                <c:pt idx="23">
                  <c:v>PL</c:v>
                </c:pt>
                <c:pt idx="24">
                  <c:v>HU</c:v>
                </c:pt>
                <c:pt idx="25">
                  <c:v>LV</c:v>
                </c:pt>
                <c:pt idx="26">
                  <c:v>LT</c:v>
                </c:pt>
                <c:pt idx="27">
                  <c:v>BG</c:v>
                </c:pt>
              </c:strCache>
            </c:strRef>
          </c:cat>
          <c:val>
            <c:numRef>
              <c:f>Sheet1!$B$4:$B$31</c:f>
              <c:numCache>
                <c:formatCode>0.0</c:formatCode>
                <c:ptCount val="28"/>
                <c:pt idx="0">
                  <c:v>152.01183128889346</c:v>
                </c:pt>
                <c:pt idx="1">
                  <c:v>147.95772573280306</c:v>
                </c:pt>
                <c:pt idx="2">
                  <c:v>107.31833195706027</c:v>
                </c:pt>
                <c:pt idx="3">
                  <c:v>102.74341880341881</c:v>
                </c:pt>
                <c:pt idx="4">
                  <c:v>92.8222644821533</c:v>
                </c:pt>
                <c:pt idx="5">
                  <c:v>84.375247133254263</c:v>
                </c:pt>
                <c:pt idx="6">
                  <c:v>83.597788033099945</c:v>
                </c:pt>
                <c:pt idx="7">
                  <c:v>82.039328300447579</c:v>
                </c:pt>
                <c:pt idx="8">
                  <c:v>80.411193849860837</c:v>
                </c:pt>
                <c:pt idx="9">
                  <c:v>79.105924144103838</c:v>
                </c:pt>
                <c:pt idx="10">
                  <c:v>73.757216088328079</c:v>
                </c:pt>
                <c:pt idx="11">
                  <c:v>72.585687889480639</c:v>
                </c:pt>
                <c:pt idx="12">
                  <c:v>72.28689819219791</c:v>
                </c:pt>
                <c:pt idx="13">
                  <c:v>70.159950101166842</c:v>
                </c:pt>
                <c:pt idx="14">
                  <c:v>60.028985507246368</c:v>
                </c:pt>
                <c:pt idx="15">
                  <c:v>58.46727496051939</c:v>
                </c:pt>
                <c:pt idx="16">
                  <c:v>46.891687020971958</c:v>
                </c:pt>
                <c:pt idx="17">
                  <c:v>45.797128783172084</c:v>
                </c:pt>
                <c:pt idx="18">
                  <c:v>44.747627264883519</c:v>
                </c:pt>
                <c:pt idx="19">
                  <c:v>44.13757056240852</c:v>
                </c:pt>
                <c:pt idx="20">
                  <c:v>42.337443648899495</c:v>
                </c:pt>
                <c:pt idx="21">
                  <c:v>41.3515505712631</c:v>
                </c:pt>
                <c:pt idx="22">
                  <c:v>37.889880952380949</c:v>
                </c:pt>
                <c:pt idx="23">
                  <c:v>36.916433616153959</c:v>
                </c:pt>
                <c:pt idx="24">
                  <c:v>29.150183329858852</c:v>
                </c:pt>
                <c:pt idx="25">
                  <c:v>28.186995431503849</c:v>
                </c:pt>
                <c:pt idx="26">
                  <c:v>25.962778789818319</c:v>
                </c:pt>
                <c:pt idx="27">
                  <c:v>23.075615395076838</c:v>
                </c:pt>
              </c:numCache>
            </c:numRef>
          </c:val>
          <c:extLst>
            <c:ext xmlns:c="http://schemas.openxmlformats.org/drawingml/2006/chart" xmlns:c16="http://schemas.microsoft.com/office/drawing/2014/chart" uri="{C3380CC4-5D6E-409C-BE32-E72D297353CC}">
              <c16:uniqueId val="{00000009-2676-4B1E-8C99-E467B5CE4CC4}"/>
            </c:ext>
          </c:extLst>
        </c:ser>
        <c:dLbls>
          <c:showLegendKey val="0"/>
          <c:showVal val="0"/>
          <c:showCatName val="0"/>
          <c:showSerName val="0"/>
          <c:showPercent val="0"/>
          <c:showBubbleSize val="0"/>
        </c:dLbls>
        <c:gapWidth val="20"/>
        <c:axId val="656259832"/>
        <c:axId val="656254736"/>
      </c:barChart>
      <c:catAx>
        <c:axId val="656259832"/>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56254736"/>
        <c:crosses val="autoZero"/>
        <c:auto val="1"/>
        <c:lblAlgn val="ctr"/>
        <c:lblOffset val="100"/>
        <c:tickLblSkip val="1"/>
        <c:noMultiLvlLbl val="0"/>
      </c:catAx>
      <c:valAx>
        <c:axId val="656254736"/>
        <c:scaling>
          <c:orientation val="minMax"/>
        </c:scaling>
        <c:delete val="0"/>
        <c:axPos val="l"/>
        <c:numFmt formatCode="0" sourceLinked="0"/>
        <c:majorTickMark val="out"/>
        <c:minorTickMark val="none"/>
        <c:tickLblPos val="nextTo"/>
        <c:txPr>
          <a:bodyPr/>
          <a:lstStyle/>
          <a:p>
            <a:pPr>
              <a:defRPr sz="600"/>
            </a:pPr>
            <a:endParaRPr lang="lv-LV"/>
          </a:p>
        </c:txPr>
        <c:crossAx val="656259832"/>
        <c:crosses val="autoZero"/>
        <c:crossBetween val="between"/>
      </c:valAx>
    </c:plotArea>
    <c:plotVisOnly val="1"/>
    <c:dispBlanksAs val="gap"/>
    <c:showDLblsOverMax val="0"/>
  </c:chart>
  <c:spPr>
    <a:ln w="9525">
      <a:noFill/>
    </a:ln>
  </c:spPr>
  <c:externalData r:id="rId1">
    <c:autoUpdate val="0"/>
  </c:externalData>
</c:chartSpace>
</file>

<file path=word/charts/chart38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2572178477690286"/>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marker>
              <c:spPr>
                <a:solidFill>
                  <a:srgbClr val="002060"/>
                </a:solidFill>
                <a:ln w="6350">
                  <a:solidFill>
                    <a:sysClr val="windowText" lastClr="000000"/>
                  </a:solidFill>
                </a:ln>
              </c:spPr>
            </c:marker>
            <c:extLst>
              <c:ext xmlns:c="http://schemas.openxmlformats.org/drawingml/2006/chart" xmlns:c16="http://schemas.microsoft.com/office/drawing/2014/chart" uri="{C3380CC4-5D6E-409C-BE32-E72D297353CC}">
                <c16:uniqueId val="{00000000-1B1E-41D3-9DF4-134AFA8E833C}"/>
              </c:ext>
            </c:extLst>
          </c:dPt>
          <c:dPt>
            <c:idx val="5"/>
            <c:bubble3D val="0"/>
            <c:marker>
              <c:spPr>
                <a:solidFill>
                  <a:srgbClr val="002060"/>
                </a:solidFill>
                <a:ln w="6350">
                  <a:solidFill>
                    <a:sysClr val="windowText" lastClr="000000"/>
                  </a:solidFill>
                </a:ln>
              </c:spPr>
            </c:marker>
            <c:extLst>
              <c:ext xmlns:c="http://schemas.openxmlformats.org/drawingml/2006/chart" xmlns:c16="http://schemas.microsoft.com/office/drawing/2014/chart" uri="{C3380CC4-5D6E-409C-BE32-E72D297353CC}">
                <c16:uniqueId val="{00000001-1B1E-41D3-9DF4-134AFA8E833C}"/>
              </c:ext>
            </c:extLst>
          </c:dPt>
          <c:dPt>
            <c:idx val="11"/>
            <c:bubble3D val="0"/>
            <c:marker>
              <c:spPr>
                <a:solidFill>
                  <a:srgbClr val="002060"/>
                </a:solidFill>
                <a:ln w="6350">
                  <a:solidFill>
                    <a:sysClr val="windowText" lastClr="000000"/>
                  </a:solidFill>
                </a:ln>
              </c:spPr>
            </c:marker>
            <c:extLst>
              <c:ext xmlns:c="http://schemas.openxmlformats.org/drawingml/2006/chart" xmlns:c16="http://schemas.microsoft.com/office/drawing/2014/chart" uri="{C3380CC4-5D6E-409C-BE32-E72D297353CC}">
                <c16:uniqueId val="{00000002-1B1E-41D3-9DF4-134AFA8E833C}"/>
              </c:ext>
            </c:extLst>
          </c:dPt>
          <c:dPt>
            <c:idx val="12"/>
            <c:bubble3D val="0"/>
            <c:marker>
              <c:spPr>
                <a:solidFill>
                  <a:srgbClr val="002060"/>
                </a:solidFill>
                <a:ln w="6350">
                  <a:solidFill>
                    <a:sysClr val="windowText" lastClr="000000"/>
                  </a:solidFill>
                </a:ln>
              </c:spPr>
            </c:marker>
            <c:extLst>
              <c:ext xmlns:c="http://schemas.openxmlformats.org/drawingml/2006/chart" xmlns:c16="http://schemas.microsoft.com/office/drawing/2014/chart" uri="{C3380CC4-5D6E-409C-BE32-E72D297353CC}">
                <c16:uniqueId val="{00000003-1B1E-41D3-9DF4-134AFA8E833C}"/>
              </c:ext>
            </c:extLst>
          </c:dPt>
          <c:dPt>
            <c:idx val="13"/>
            <c:bubble3D val="0"/>
            <c:marker>
              <c:spPr>
                <a:solidFill>
                  <a:srgbClr val="0000CC"/>
                </a:solidFill>
                <a:ln w="6350">
                  <a:solidFill>
                    <a:sysClr val="windowText" lastClr="000000"/>
                  </a:solidFill>
                </a:ln>
              </c:spPr>
            </c:marker>
            <c:extLst>
              <c:ext xmlns:c="http://schemas.openxmlformats.org/drawingml/2006/chart" xmlns:c16="http://schemas.microsoft.com/office/drawing/2014/chart" uri="{C3380CC4-5D6E-409C-BE32-E72D297353CC}">
                <c16:uniqueId val="{00000004-1B1E-41D3-9DF4-134AFA8E833C}"/>
              </c:ext>
            </c:extLst>
          </c:dPt>
          <c:dPt>
            <c:idx val="14"/>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5-1B1E-41D3-9DF4-134AFA8E833C}"/>
              </c:ext>
            </c:extLst>
          </c:dPt>
          <c:dLbls>
            <c:dLbl>
              <c:idx val="0"/>
              <c:layout>
                <c:manualLayout>
                  <c:x val="-0.091336947367560359"/>
                  <c:y val="-0.057269591301087365"/>
                </c:manualLayout>
              </c:layout>
              <c:tx>
                <c:rich>
                  <a:bodyPr vertOverflow="clip"/>
                  <a:lstStyle/>
                  <a:p>
                    <a:r>
                      <a:rPr lang="en-US"/>
                      <a:t>EU-28</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1B1E-41D3-9DF4-134AFA8E833C}"/>
                </c:ext>
                <c:ext xmlns:c15="http://schemas.microsoft.com/office/drawing/2012/chart" uri="{CE6537A1-D6FC-4f65-9D91-7224C49458BB}"/>
              </c:extLst>
            </c:dLbl>
            <c:dLbl>
              <c:idx val="1"/>
              <c:layout>
                <c:manualLayout>
                  <c:x val="-0.053928586029550044"/>
                  <c:y val="-0.0759047619047619"/>
                </c:manualLayout>
              </c:layout>
              <c:tx>
                <c:rich>
                  <a:bodyPr vertOverflow="clip"/>
                  <a:lstStyle/>
                  <a:p>
                    <a:r>
                      <a:rPr lang="en-US"/>
                      <a:t>BE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1B1E-41D3-9DF4-134AFA8E833C}"/>
                </c:ext>
                <c:ext xmlns:c15="http://schemas.microsoft.com/office/drawing/2012/chart" uri="{CE6537A1-D6FC-4f65-9D91-7224C49458BB}"/>
              </c:extLst>
            </c:dLbl>
            <c:dLbl>
              <c:idx val="2"/>
              <c:layout>
                <c:manualLayout>
                  <c:x val="-0.087101168428712808"/>
                  <c:y val="-0.028698162729658881"/>
                </c:manualLayout>
              </c:layout>
              <c:tx>
                <c:rich>
                  <a:bodyPr vertOverflow="clip"/>
                  <a:lstStyle/>
                  <a:p>
                    <a:r>
                      <a:rPr lang="en-US"/>
                      <a:t>BG</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1B1E-41D3-9DF4-134AFA8E833C}"/>
                </c:ext>
                <c:ext xmlns:c15="http://schemas.microsoft.com/office/drawing/2012/chart" uri="{CE6537A1-D6FC-4f65-9D91-7224C49458BB}"/>
              </c:extLst>
            </c:dLbl>
            <c:dLbl>
              <c:idx val="3"/>
              <c:layout>
                <c:manualLayout>
                  <c:x val="-0.029050621008822497"/>
                  <c:y val="-0.028666666666666667"/>
                </c:manualLayout>
              </c:layout>
              <c:tx>
                <c:rich>
                  <a:bodyPr vertOverflow="clip"/>
                  <a:lstStyle/>
                  <a:p>
                    <a:r>
                      <a:rPr lang="en-US"/>
                      <a:t>CZ</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1B1E-41D3-9DF4-134AFA8E833C}"/>
                </c:ext>
                <c:ext xmlns:c15="http://schemas.microsoft.com/office/drawing/2012/chart" uri="{CE6537A1-D6FC-4f65-9D91-7224C49458BB}"/>
              </c:extLst>
            </c:dLbl>
            <c:dLbl>
              <c:idx val="4"/>
              <c:layout>
                <c:manualLayout>
                  <c:x val="-0.21987391762945535"/>
                  <c:y val="0.066666666666666666"/>
                </c:manualLayout>
              </c:layout>
              <c:tx>
                <c:rich>
                  <a:bodyPr vertOverflow="clip"/>
                  <a:lstStyle/>
                  <a:p>
                    <a:r>
                      <a:rPr lang="en-US"/>
                      <a:t>AT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1B1E-41D3-9DF4-134AFA8E833C}"/>
                </c:ext>
                <c:ext xmlns:c15="http://schemas.microsoft.com/office/drawing/2012/chart" uri="{CE6537A1-D6FC-4f65-9D91-7224C49458BB}"/>
              </c:extLst>
            </c:dLbl>
            <c:dLbl>
              <c:idx val="5"/>
              <c:layout>
                <c:manualLayout>
                  <c:x val="0.083181004243628426"/>
                  <c:y val="-0.15222197225346831"/>
                </c:manualLayout>
              </c:layout>
              <c:tx>
                <c:rich>
                  <a:bodyPr vertOverflow="clip"/>
                  <a:lstStyle/>
                  <a:p>
                    <a:r>
                      <a:rPr lang="en-US"/>
                      <a:t>FI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1B1E-41D3-9DF4-134AFA8E833C}"/>
                </c:ext>
                <c:ext xmlns:c15="http://schemas.microsoft.com/office/drawing/2012/chart" uri="{CE6537A1-D6FC-4f65-9D91-7224C49458BB}"/>
              </c:extLst>
            </c:dLbl>
            <c:dLbl>
              <c:idx val="6"/>
              <c:layout>
                <c:manualLayout>
                  <c:x val="-0.041473761967384642"/>
                  <c:y val="-0.06688887718479837"/>
                </c:manualLayout>
              </c:layout>
              <c:tx>
                <c:rich>
                  <a:bodyPr vertOverflow="clip"/>
                  <a:lstStyle/>
                  <a:p>
                    <a:r>
                      <a:rPr lang="en-US"/>
                      <a:t>EE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1B1E-41D3-9DF4-134AFA8E833C}"/>
                </c:ext>
                <c:ext xmlns:c15="http://schemas.microsoft.com/office/drawing/2012/chart" uri="{CE6537A1-D6FC-4f65-9D91-7224C49458BB}"/>
              </c:extLst>
            </c:dLbl>
            <c:dLbl>
              <c:idx val="7"/>
              <c:layout>
                <c:manualLayout>
                  <c:x val="-0.033179009573907715"/>
                  <c:y val="0.076444431068341062"/>
                </c:manualLayout>
              </c:layout>
              <c:tx>
                <c:rich>
                  <a:bodyPr/>
                  <a:lstStyle/>
                  <a:p>
                    <a:r>
                      <a:rPr lang="en-US"/>
                      <a:t>EL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1B1E-41D3-9DF4-134AFA8E833C}"/>
                </c:ext>
                <c:ext xmlns:c15="http://schemas.microsoft.com/office/drawing/2012/chart" uri="{CE6537A1-D6FC-4f65-9D91-7224C49458BB}"/>
              </c:extLst>
            </c:dLbl>
            <c:dLbl>
              <c:idx val="8"/>
              <c:layout>
                <c:manualLayout>
                  <c:x val="-0.17439791988618253"/>
                  <c:y val="-0.2569208848893888"/>
                </c:manualLayout>
              </c:layout>
              <c:tx>
                <c:rich>
                  <a:bodyPr vertOverflow="clip"/>
                  <a:lstStyle/>
                  <a:p>
                    <a:r>
                      <a:rPr lang="en-US"/>
                      <a:t>ES</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1B1E-41D3-9DF4-134AFA8E833C}"/>
                </c:ext>
                <c:ext xmlns:c15="http://schemas.microsoft.com/office/drawing/2012/chart" uri="{CE6537A1-D6FC-4f65-9D91-7224C49458BB}"/>
              </c:extLst>
            </c:dLbl>
            <c:dLbl>
              <c:idx val="9"/>
              <c:layout>
                <c:manualLayout>
                  <c:x val="0.24510543658678163"/>
                  <c:y val="-0.047809523809523809"/>
                </c:manualLayout>
              </c:layout>
              <c:tx>
                <c:rich>
                  <a:bodyPr vertOverflow="clip"/>
                  <a:lstStyle/>
                  <a:p>
                    <a:r>
                      <a:rPr lang="en-US"/>
                      <a:t>FR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1B1E-41D3-9DF4-134AFA8E833C}"/>
                </c:ext>
                <c:ext xmlns:c15="http://schemas.microsoft.com/office/drawing/2012/chart" uri="{CE6537A1-D6FC-4f65-9D91-7224C49458BB}"/>
              </c:extLst>
            </c:dLbl>
            <c:dLbl>
              <c:idx val="10"/>
              <c:layout>
                <c:manualLayout>
                  <c:x val="-0.3945308705570682"/>
                  <c:y val="-0.07644469441319833"/>
                </c:manualLayout>
              </c:layout>
              <c:tx>
                <c:rich>
                  <a:bodyPr vertOverflow="clip"/>
                  <a:lstStyle/>
                  <a:p>
                    <a:r>
                      <a:rPr lang="en-US"/>
                      <a:t>HR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E-1B1E-41D3-9DF4-134AFA8E833C}"/>
                </c:ext>
                <c:ext xmlns:c15="http://schemas.microsoft.com/office/drawing/2012/chart" uri="{CE6537A1-D6FC-4f65-9D91-7224C49458BB}"/>
              </c:extLst>
            </c:dLbl>
            <c:dLbl>
              <c:idx val="11"/>
              <c:layout>
                <c:manualLayout>
                  <c:x val="0.10806518344085494"/>
                  <c:y val="0.16209523809523801"/>
                </c:manualLayout>
              </c:layout>
              <c:tx>
                <c:rich>
                  <a:bodyPr vertOverflow="clip"/>
                  <a:lstStyle/>
                  <a:p>
                    <a:r>
                      <a:rPr lang="en-US"/>
                      <a:t>IT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1B1E-41D3-9DF4-134AFA8E833C}"/>
                </c:ext>
                <c:ext xmlns:c15="http://schemas.microsoft.com/office/drawing/2012/chart" uri="{CE6537A1-D6FC-4f65-9D91-7224C49458BB}"/>
              </c:extLst>
            </c:dLbl>
            <c:dLbl>
              <c:idx val="12"/>
              <c:layout>
                <c:manualLayout>
                  <c:x val="-0.14946958732962118"/>
                  <c:y val="-0.00025421822272215974"/>
                </c:manualLayout>
              </c:layout>
              <c:tx>
                <c:rich>
                  <a:bodyPr vertOverflow="clip"/>
                  <a:lstStyle/>
                  <a:p>
                    <a:r>
                      <a:rPr lang="en-US"/>
                      <a:t>CY</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1B1E-41D3-9DF4-134AFA8E833C}"/>
                </c:ext>
                <c:ext xmlns:c15="http://schemas.microsoft.com/office/drawing/2012/chart" uri="{CE6537A1-D6FC-4f65-9D91-7224C49458BB}"/>
              </c:extLst>
            </c:dLbl>
            <c:dLbl>
              <c:idx val="13"/>
              <c:layout>
                <c:manualLayout>
                  <c:x val="-0.31972657623404555"/>
                  <c:y val="-0.076444694413198344"/>
                </c:manualLayout>
              </c:layout>
              <c:tx>
                <c:rich>
                  <a:bodyPr vertOverflow="clip"/>
                  <a:lstStyle/>
                  <a:p>
                    <a:r>
                      <a:rPr lang="en-US"/>
                      <a:t>LV</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1B1E-41D3-9DF4-134AFA8E833C}"/>
                </c:ext>
                <c:ext xmlns:c15="http://schemas.microsoft.com/office/drawing/2012/chart" uri="{CE6537A1-D6FC-4f65-9D91-7224C49458BB}"/>
              </c:extLst>
            </c:dLbl>
            <c:dLbl>
              <c:idx val="14"/>
              <c:layout>
                <c:manualLayout>
                  <c:x val="-0.11627803533904056"/>
                  <c:y val="0.0666981627296588"/>
                </c:manualLayout>
              </c:layout>
              <c:tx>
                <c:rich>
                  <a:bodyPr vertOverflow="clip"/>
                  <a:lstStyle/>
                  <a:p>
                    <a:r>
                      <a:rPr lang="en-US"/>
                      <a:t>LT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1B1E-41D3-9DF4-134AFA8E833C}"/>
                </c:ext>
                <c:ext xmlns:c15="http://schemas.microsoft.com/office/drawing/2012/chart" uri="{CE6537A1-D6FC-4f65-9D91-7224C49458BB}"/>
              </c:extLst>
            </c:dLbl>
            <c:dLbl>
              <c:idx val="15"/>
              <c:layout>
                <c:manualLayout>
                  <c:x val="0.0041916255795128796"/>
                  <c:y val="-0.038221972253468316"/>
                </c:manualLayout>
              </c:layout>
              <c:tx>
                <c:rich>
                  <a:bodyPr vertOverflow="clip"/>
                  <a:lstStyle/>
                  <a:p>
                    <a:r>
                      <a:rPr lang="en-US"/>
                      <a:t>HU</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F-1B1E-41D3-9DF4-134AFA8E833C}"/>
                </c:ext>
                <c:ext xmlns:c15="http://schemas.microsoft.com/office/drawing/2012/chart" uri="{CE6537A1-D6FC-4f65-9D91-7224C49458BB}"/>
              </c:extLst>
            </c:dLbl>
            <c:dLbl>
              <c:idx val="16"/>
              <c:layout>
                <c:manualLayout>
                  <c:x val="-0.0456211381641231"/>
                  <c:y val="-0.076444431068341021"/>
                </c:manualLayout>
              </c:layout>
              <c:tx>
                <c:rich>
                  <a:bodyPr/>
                  <a:lstStyle/>
                  <a:p>
                    <a:r>
                      <a:rPr lang="en-US"/>
                      <a:t>NL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0-1B1E-41D3-9DF4-134AFA8E833C}"/>
                </c:ext>
                <c:ext xmlns:c15="http://schemas.microsoft.com/office/drawing/2012/chart" uri="{CE6537A1-D6FC-4f65-9D91-7224C49458BB}"/>
              </c:extLst>
            </c:dLbl>
            <c:dLbl>
              <c:idx val="17"/>
              <c:layout>
                <c:manualLayout>
                  <c:x val="0.27834081487477608"/>
                  <c:y val="-0.17168278965129358"/>
                </c:manualLayout>
              </c:layout>
              <c:tx>
                <c:rich>
                  <a:bodyPr vertOverflow="clip"/>
                  <a:lstStyle/>
                  <a:p>
                    <a:r>
                      <a:rPr lang="en-US"/>
                      <a:t>UK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1-1B1E-41D3-9DF4-134AFA8E833C}"/>
                </c:ext>
                <c:ext xmlns:c15="http://schemas.microsoft.com/office/drawing/2012/chart" uri="{CE6537A1-D6FC-4f65-9D91-7224C49458BB}"/>
              </c:extLst>
            </c:dLbl>
            <c:dLbl>
              <c:idx val="18"/>
              <c:layout>
                <c:manualLayout>
                  <c:x val="-0.053865790140718316"/>
                  <c:y val="-0.066539932508436442"/>
                </c:manualLayout>
              </c:layout>
              <c:tx>
                <c:rich>
                  <a:bodyPr vertOverflow="clip"/>
                  <a:lstStyle/>
                  <a:p>
                    <a:r>
                      <a:rPr lang="en-US"/>
                      <a:t>PL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2-1B1E-41D3-9DF4-134AFA8E833C}"/>
                </c:ext>
                <c:ext xmlns:c15="http://schemas.microsoft.com/office/drawing/2012/chart" uri="{CE6537A1-D6FC-4f65-9D91-7224C49458BB}"/>
              </c:extLst>
            </c:dLbl>
            <c:dLbl>
              <c:idx val="19"/>
              <c:layout>
                <c:manualLayout>
                  <c:x val="-0.26988855365041986"/>
                  <c:y val="0.14311136107986494"/>
                </c:manualLayout>
              </c:layout>
              <c:tx>
                <c:rich>
                  <a:bodyPr vertOverflow="clip"/>
                  <a:lstStyle/>
                  <a:p>
                    <a:r>
                      <a:rPr lang="en-US"/>
                      <a:t>PT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3-1B1E-41D3-9DF4-134AFA8E833C}"/>
                </c:ext>
                <c:ext xmlns:c15="http://schemas.microsoft.com/office/drawing/2012/chart" uri="{CE6537A1-D6FC-4f65-9D91-7224C49458BB}"/>
              </c:extLst>
            </c:dLbl>
            <c:dLbl>
              <c:idx val="20"/>
              <c:layout>
                <c:manualLayout>
                  <c:x val="-0.0580632667543385"/>
                  <c:y val="0.076444431068341021"/>
                </c:manualLayout>
              </c:layout>
              <c:tx>
                <c:rich>
                  <a:bodyPr/>
                  <a:lstStyle/>
                  <a:p>
                    <a:r>
                      <a:rPr lang="en-US"/>
                      <a:t>RO</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4-1B1E-41D3-9DF4-134AFA8E833C}"/>
                </c:ext>
                <c:ext xmlns:c15="http://schemas.microsoft.com/office/drawing/2012/chart" uri="{CE6537A1-D6FC-4f65-9D91-7224C49458BB}"/>
              </c:extLst>
            </c:dLbl>
            <c:dLbl>
              <c:idx val="21"/>
              <c:layout>
                <c:manualLayout>
                  <c:x val="-0.074646323415180585"/>
                  <c:y val="-0.29556430446194226"/>
                </c:manualLayout>
              </c:layout>
              <c:tx>
                <c:rich>
                  <a:bodyPr vertOverflow="clip"/>
                  <a:lstStyle/>
                  <a:p>
                    <a:r>
                      <a:rPr lang="en-US"/>
                      <a:t>SI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5-1B1E-41D3-9DF4-134AFA8E833C}"/>
                </c:ext>
                <c:ext xmlns:c15="http://schemas.microsoft.com/office/drawing/2012/chart" uri="{CE6537A1-D6FC-4f65-9D91-7224C49458BB}"/>
              </c:extLst>
            </c:dLbl>
            <c:dLbl>
              <c:idx val="22"/>
              <c:layout>
                <c:manualLayout>
                  <c:x val="-0.020736880983692321"/>
                  <c:y val="0.057333323301255762"/>
                </c:manualLayout>
              </c:layout>
              <c:tx>
                <c:rich>
                  <a:bodyPr vertOverflow="clip"/>
                  <a:lstStyle/>
                  <a:p>
                    <a:r>
                      <a:rPr lang="en-US"/>
                      <a:t>RO</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6-1B1E-41D3-9DF4-134AFA8E833C}"/>
                </c:ext>
                <c:ext xmlns:c15="http://schemas.microsoft.com/office/drawing/2012/chart" uri="{CE6537A1-D6FC-4f65-9D91-7224C49458BB}"/>
              </c:extLst>
            </c:dLbl>
            <c:dLbl>
              <c:idx val="23"/>
              <c:layout>
                <c:manualLayout>
                  <c:x val="0.19122100391656652"/>
                  <c:y val="0.20006374203224589"/>
                </c:manualLayout>
              </c:layout>
              <c:tx>
                <c:rich>
                  <a:bodyPr vertOverflow="clip"/>
                  <a:lstStyle/>
                  <a:p>
                    <a:r>
                      <a:rPr lang="en-US"/>
                      <a:t>DE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7-1B1E-41D3-9DF4-134AFA8E833C}"/>
                </c:ext>
                <c:ext xmlns:c15="http://schemas.microsoft.com/office/drawing/2012/chart" uri="{CE6537A1-D6FC-4f65-9D91-7224C49458BB}"/>
              </c:extLst>
            </c:dLbl>
            <c:dLbl>
              <c:idx val="24"/>
              <c:layout>
                <c:manualLayout>
                  <c:x val="0.39879804744033165"/>
                  <c:y val="-0.19028571428571428"/>
                </c:manualLayout>
              </c:layout>
              <c:tx>
                <c:rich>
                  <a:bodyPr vertOverflow="clip"/>
                  <a:lstStyle/>
                  <a:p>
                    <a:r>
                      <a:rPr lang="en-US"/>
                      <a:t>SE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8-1B1E-41D3-9DF4-134AFA8E833C}"/>
                </c:ext>
                <c:ext xmlns:c15="http://schemas.microsoft.com/office/drawing/2012/chart" uri="{CE6537A1-D6FC-4f65-9D91-7224C49458BB}"/>
              </c:extLst>
            </c:dLbl>
            <c:dLbl>
              <c:idx val="25"/>
              <c:layout>
                <c:manualLayout>
                  <c:x val="0.091292794008225459"/>
                  <c:y val="-0.13188151481064866"/>
                </c:manualLayout>
              </c:layout>
              <c:tx>
                <c:rich>
                  <a:bodyPr vertOverflow="clip"/>
                  <a:lstStyle/>
                  <a:p>
                    <a:r>
                      <a:rPr lang="en-US"/>
                      <a:t>DK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9-1B1E-41D3-9DF4-134AFA8E833C}"/>
                </c:ext>
                <c:ext xmlns:c15="http://schemas.microsoft.com/office/drawing/2012/chart" uri="{CE6537A1-D6FC-4f65-9D91-7224C49458BB}"/>
              </c:extLst>
            </c:dLbl>
            <c:dLbl>
              <c:idx val="26"/>
              <c:layout>
                <c:manualLayout>
                  <c:x val="-0.16614745586708204"/>
                  <c:y val="0.17142857142857143"/>
                </c:manualLayout>
              </c:layout>
              <c:tx>
                <c:rich>
                  <a:bodyPr vertOverflow="clip"/>
                  <a:lstStyle/>
                  <a:p>
                    <a:r>
                      <a:rPr lang="en-US"/>
                      <a:t>EL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A-1B1E-41D3-9DF4-134AFA8E833C}"/>
                </c:ext>
                <c:ext xmlns:c15="http://schemas.microsoft.com/office/drawing/2012/chart" uri="{CE6537A1-D6FC-4f65-9D91-7224C49458BB}"/>
              </c:extLst>
            </c:dLbl>
            <c:dLbl>
              <c:idx val="27"/>
              <c:layout>
                <c:manualLayout>
                  <c:x val="-0.30321910695742477"/>
                  <c:y val="0.2761904761904761"/>
                </c:manualLayout>
              </c:layout>
              <c:tx>
                <c:rich>
                  <a:bodyPr vertOverflow="clip"/>
                  <a:lstStyle/>
                  <a:p>
                    <a:r>
                      <a:rPr lang="en-US"/>
                      <a:t>SK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B-1B1E-41D3-9DF4-134AFA8E833C}"/>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Sheet1!$B$3:$B$30</c:f>
              <c:numCache>
                <c:formatCode>0</c:formatCode>
                <c:ptCount val="28"/>
                <c:pt idx="0">
                  <c:v>72.830373229079342</c:v>
                </c:pt>
                <c:pt idx="1">
                  <c:v>86.602827993556474</c:v>
                </c:pt>
                <c:pt idx="2">
                  <c:v>23.07119145989062</c:v>
                </c:pt>
                <c:pt idx="3">
                  <c:v>41.130641330166277</c:v>
                </c:pt>
                <c:pt idx="4">
                  <c:v>107.0248148148148</c:v>
                </c:pt>
                <c:pt idx="5">
                  <c:v>73.338792221084958</c:v>
                </c:pt>
                <c:pt idx="6">
                  <c:v>38.342417061611378</c:v>
                </c:pt>
                <c:pt idx="7">
                  <c:v>122.58586416344561</c:v>
                </c:pt>
                <c:pt idx="8">
                  <c:v>76.9949087451996</c:v>
                </c:pt>
                <c:pt idx="9">
                  <c:v>57.593800611840926</c:v>
                </c:pt>
                <c:pt idx="10">
                  <c:v>94.330214115781132</c:v>
                </c:pt>
                <c:pt idx="11">
                  <c:v>51.408553495840017</c:v>
                </c:pt>
                <c:pt idx="12">
                  <c:v>75.553972629876014</c:v>
                </c:pt>
                <c:pt idx="13">
                  <c:v>61.116961684965268</c:v>
                </c:pt>
                <c:pt idx="14">
                  <c:v>29.282483231945093</c:v>
                </c:pt>
                <c:pt idx="15">
                  <c:v>26.243575013605852</c:v>
                </c:pt>
                <c:pt idx="16">
                  <c:v>156.61067193675891</c:v>
                </c:pt>
                <c:pt idx="17">
                  <c:v>35.547633393586395</c:v>
                </c:pt>
                <c:pt idx="18">
                  <c:v>71.44763513513513</c:v>
                </c:pt>
                <c:pt idx="19">
                  <c:v>81.744030937549709</c:v>
                </c:pt>
                <c:pt idx="20">
                  <c:v>0</c:v>
                </c:pt>
                <c:pt idx="21">
                  <c:v>48.693631396376993</c:v>
                </c:pt>
                <c:pt idx="22">
                  <c:v>34.387313432835818</c:v>
                </c:pt>
                <c:pt idx="23">
                  <c:v>45.805557127497032</c:v>
                </c:pt>
                <c:pt idx="24">
                  <c:v>42.191199176531136</c:v>
                </c:pt>
                <c:pt idx="25">
                  <c:v>89.017328361482782</c:v>
                </c:pt>
                <c:pt idx="26">
                  <c:v>96.71159093605408</c:v>
                </c:pt>
                <c:pt idx="27">
                  <c:v>78.465885987899512</c:v>
                </c:pt>
              </c:numCache>
            </c:numRef>
          </c:xVal>
          <c:yVal>
            <c:numRef>
              <c:f>Sheet1!$C$3:$C$30</c:f>
              <c:numCache>
                <c:formatCode>0.0</c:formatCode>
                <c:ptCount val="28"/>
                <c:pt idx="0">
                  <c:v>0.45263470274761758</c:v>
                </c:pt>
                <c:pt idx="1">
                  <c:v>0.53040442298588431</c:v>
                </c:pt>
                <c:pt idx="2">
                  <c:v>0.26813587366715536</c:v>
                </c:pt>
                <c:pt idx="3">
                  <c:v>0.379886565705315</c:v>
                </c:pt>
                <c:pt idx="4">
                  <c:v>0.49254209778671626</c:v>
                </c:pt>
                <c:pt idx="5">
                  <c:v>0.41121800287598809</c:v>
                </c:pt>
                <c:pt idx="6">
                  <c:v>0.45351776963443746</c:v>
                </c:pt>
                <c:pt idx="7">
                  <c:v>0.3790283215707278</c:v>
                </c:pt>
                <c:pt idx="8">
                  <c:v>0.35184314015303592</c:v>
                </c:pt>
                <c:pt idx="9">
                  <c:v>0.47508236782075924</c:v>
                </c:pt>
                <c:pt idx="10">
                  <c:v>0.46399558833172105</c:v>
                </c:pt>
                <c:pt idx="11">
                  <c:v>0.47006381380978235</c:v>
                </c:pt>
                <c:pt idx="12">
                  <c:v>0.37892409459083159</c:v>
                </c:pt>
                <c:pt idx="13">
                  <c:v>0.42109706836842231</c:v>
                </c:pt>
                <c:pt idx="14">
                  <c:v>0.4304336680338785</c:v>
                </c:pt>
                <c:pt idx="15">
                  <c:v>0.37252194901889246</c:v>
                </c:pt>
                <c:pt idx="16">
                  <c:v>0.44789357311033107</c:v>
                </c:pt>
                <c:pt idx="17">
                  <c:v>0.42558854206334124</c:v>
                </c:pt>
                <c:pt idx="18">
                  <c:v>0.624771238118383</c:v>
                </c:pt>
                <c:pt idx="19">
                  <c:v>0.4878696909789999</c:v>
                </c:pt>
                <c:pt idx="20">
                  <c:v>0</c:v>
                </c:pt>
                <c:pt idx="21">
                  <c:v>0.41255739908501482</c:v>
                </c:pt>
                <c:pt idx="22">
                  <c:v>0.26937150398605919</c:v>
                </c:pt>
                <c:pt idx="23">
                  <c:v>0.55136599676179332</c:v>
                </c:pt>
                <c:pt idx="24">
                  <c:v>0.35009811297873106</c:v>
                </c:pt>
                <c:pt idx="25">
                  <c:v>0.46656467484362035</c:v>
                </c:pt>
                <c:pt idx="26">
                  <c:v>0.45626715809586027</c:v>
                </c:pt>
                <c:pt idx="27">
                  <c:v>0.49587239259939064</c:v>
                </c:pt>
              </c:numCache>
            </c:numRef>
          </c:yVal>
          <c:smooth val="0"/>
          <c:extLst>
            <c:ext xmlns:c="http://schemas.openxmlformats.org/drawingml/2006/chart" xmlns:c16="http://schemas.microsoft.com/office/drawing/2014/chart" uri="{C3380CC4-5D6E-409C-BE32-E72D297353CC}">
              <c16:uniqueId val="{0000001C-1B1E-41D3-9DF4-134AFA8E833C}"/>
            </c:ext>
          </c:extLst>
        </c:ser>
        <c:dLbls>
          <c:showLegendKey val="0"/>
          <c:showVal val="0"/>
          <c:showCatName val="0"/>
          <c:showSerName val="0"/>
          <c:showPercent val="0"/>
          <c:showBubbleSize val="0"/>
        </c:dLbls>
        <c:axId val="656250424"/>
        <c:axId val="656257872"/>
      </c:scatterChart>
      <c:valAx>
        <c:axId val="656250424"/>
        <c:scaling>
          <c:orientation val="minMax"/>
          <c:max val="110"/>
          <c:min val="10"/>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56257872"/>
        <c:crosses val="autoZero"/>
        <c:crossBetween val="midCat"/>
        <c:majorUnit val="20"/>
      </c:valAx>
      <c:valAx>
        <c:axId val="656257872"/>
        <c:scaling>
          <c:orientation val="minMax"/>
          <c:max val="0.70000000000000007"/>
          <c:min val="0.2"/>
        </c:scaling>
        <c:delete val="0"/>
        <c:axPos val="l"/>
        <c:title>
          <c:tx>
            <c:rich>
              <a:bodyPr vertOverflow="clip"/>
              <a:lstStyle/>
              <a:p>
                <a:pPr>
                  <a:defRPr/>
                </a:pPr>
                <a:r>
                  <a:rPr lang="lv-LV"/>
                  <a:t>Darbaspēka izmaksas uz </a:t>
                </a:r>
                <a:br>
                  <a:rPr lang="lv-LV"/>
                </a:br>
                <a:r>
                  <a:rPr lang="lv-LV"/>
                  <a:t>1 produkcijas vienību, EUR</a:t>
                </a:r>
              </a:p>
            </c:rich>
          </c:tx>
          <c:layout>
            <c:manualLayout>
              <c:xMode val="edge"/>
              <c:yMode val="edge"/>
              <c:x val="0.026458001161069826"/>
              <c:y val="0.05797124416051766"/>
            </c:manualLayout>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56250424"/>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38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2572178477690286"/>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0D1B-4DCA-8E2D-F1FCA4D20EDC}"/>
              </c:ext>
            </c:extLst>
          </c:dPt>
          <c:dPt>
            <c:idx val="5"/>
            <c:bubble3D val="0"/>
            <c:extLst>
              <c:ext xmlns:c="http://schemas.openxmlformats.org/drawingml/2006/chart" xmlns:c16="http://schemas.microsoft.com/office/drawing/2014/chart" uri="{C3380CC4-5D6E-409C-BE32-E72D297353CC}">
                <c16:uniqueId val="{00000001-0D1B-4DCA-8E2D-F1FCA4D20EDC}"/>
              </c:ext>
            </c:extLst>
          </c:dPt>
          <c:dPt>
            <c:idx val="11"/>
            <c:bubble3D val="0"/>
            <c:extLst>
              <c:ext xmlns:c="http://schemas.openxmlformats.org/drawingml/2006/chart" xmlns:c16="http://schemas.microsoft.com/office/drawing/2014/chart" uri="{C3380CC4-5D6E-409C-BE32-E72D297353CC}">
                <c16:uniqueId val="{00000002-0D1B-4DCA-8E2D-F1FCA4D20EDC}"/>
              </c:ext>
            </c:extLst>
          </c:dPt>
          <c:dPt>
            <c:idx val="12"/>
            <c:bubble3D val="0"/>
            <c:extLst>
              <c:ext xmlns:c="http://schemas.openxmlformats.org/drawingml/2006/chart" xmlns:c16="http://schemas.microsoft.com/office/drawing/2014/chart" uri="{C3380CC4-5D6E-409C-BE32-E72D297353CC}">
                <c16:uniqueId val="{00000003-0D1B-4DCA-8E2D-F1FCA4D20EDC}"/>
              </c:ext>
            </c:extLst>
          </c:dPt>
          <c:dPt>
            <c:idx val="13"/>
            <c:bubble3D val="0"/>
            <c:extLst>
              <c:ext xmlns:c="http://schemas.openxmlformats.org/drawingml/2006/chart" xmlns:c16="http://schemas.microsoft.com/office/drawing/2014/chart" uri="{C3380CC4-5D6E-409C-BE32-E72D297353CC}">
                <c16:uniqueId val="{00000004-0D1B-4DCA-8E2D-F1FCA4D20EDC}"/>
              </c:ext>
            </c:extLst>
          </c:dPt>
          <c:dPt>
            <c:idx val="14"/>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5-0D1B-4DCA-8E2D-F1FCA4D20EDC}"/>
              </c:ext>
            </c:extLst>
          </c:dPt>
          <c:dLbls>
            <c:dLbl>
              <c:idx val="0"/>
              <c:layout>
                <c:manualLayout>
                  <c:x val="-0.084775922312326224"/>
                  <c:y val="-0.067014285009780919"/>
                </c:manualLayout>
              </c:layout>
              <c:tx>
                <c:rich>
                  <a:bodyPr vertOverflow="clip"/>
                  <a:lstStyle/>
                  <a:p>
                    <a:fld id="{53a96f08-6ed0-4b16-aa6f-fdad76a7cf17}" type="CELLRANGE">
                      <a:rPr lang="en-US"/>
                      <a:t>EU-28</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0-0D1B-4DCA-8E2D-F1FCA4D20EDC}"/>
                </c:ext>
                <c:ext xmlns:c15="http://schemas.microsoft.com/office/drawing/2012/chart" uri="{CE6537A1-D6FC-4f65-9D91-7224C49458BB}">
                  <c15:showDataLabelsRange val="1"/>
                </c:ext>
              </c:extLst>
            </c:dLbl>
            <c:dLbl>
              <c:idx val="1"/>
              <c:tx>
                <c:rich>
                  <a:bodyPr vertOverflow="clip"/>
                  <a:lstStyle/>
                  <a:p>
                    <a:fld id="{3f429e78-e851-43b0-89d8-e6ca302737dc}" type="CELLRANGE">
                      <a:rPr lang="en-US"/>
                      <a:t>BE</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6-0D1B-4DCA-8E2D-F1FCA4D20EDC}"/>
                </c:ext>
                <c:ext xmlns:c15="http://schemas.microsoft.com/office/drawing/2012/chart" uri="{CE6537A1-D6FC-4f65-9D91-7224C49458BB}">
                  <c15:showDataLabelsRange val="1"/>
                </c:ext>
              </c:extLst>
            </c:dLbl>
            <c:dLbl>
              <c:idx val="2"/>
              <c:layout>
                <c:manualLayout>
                  <c:x val="-0.05627878395648863"/>
                  <c:y val="0.067014942547630324"/>
                </c:manualLayout>
              </c:layout>
              <c:tx>
                <c:rich>
                  <a:bodyPr vertOverflow="clip"/>
                  <a:lstStyle/>
                  <a:p>
                    <a:fld id="{af23f303-e4c1-4983-b500-ca4bc8d410f6}" type="CELLRANGE">
                      <a:rPr lang="en-US"/>
                      <a:t>BG</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7-0D1B-4DCA-8E2D-F1FCA4D20EDC}"/>
                </c:ext>
                <c:ext xmlns:c15="http://schemas.microsoft.com/office/drawing/2012/chart" uri="{CE6537A1-D6FC-4f65-9D91-7224C49458BB}">
                  <c15:showDataLabelsRange val="1"/>
                </c:ext>
              </c:extLst>
            </c:dLbl>
            <c:dLbl>
              <c:idx val="3"/>
              <c:layout>
                <c:manualLayout>
                  <c:x val="-0.020755500207555"/>
                  <c:y val="0"/>
                </c:manualLayout>
              </c:layout>
              <c:tx>
                <c:rich>
                  <a:bodyPr vertOverflow="clip"/>
                  <a:lstStyle/>
                  <a:p>
                    <a:fld id="{a39fb12c-afb3-44b0-b0d9-87bf0116d2f7}" type="CELLRANGE">
                      <a:rPr lang="en-US"/>
                      <a:t>CZ</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8-0D1B-4DCA-8E2D-F1FCA4D20EDC}"/>
                </c:ext>
                <c:ext xmlns:c15="http://schemas.microsoft.com/office/drawing/2012/chart" uri="{CE6537A1-D6FC-4f65-9D91-7224C49458BB}">
                  <c15:showDataLabelsRange val="1"/>
                </c:ext>
              </c:extLst>
            </c:dLbl>
            <c:dLbl>
              <c:idx val="4"/>
              <c:layout>
                <c:manualLayout>
                  <c:x val="-0.055469156019258489"/>
                  <c:y val="-0.075365015698716162"/>
                </c:manualLayout>
              </c:layout>
              <c:tx>
                <c:rich>
                  <a:bodyPr vertOverflow="clip"/>
                  <a:lstStyle/>
                  <a:p>
                    <a:fld id="{bcf1622f-c398-4c4d-a771-a318936af40e}" type="CELLRANGE">
                      <a:rPr lang="en-US"/>
                      <a:t>DK</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9-0D1B-4DCA-8E2D-F1FCA4D20EDC}"/>
                </c:ext>
                <c:ext xmlns:c15="http://schemas.microsoft.com/office/drawing/2012/chart" uri="{CE6537A1-D6FC-4f65-9D91-7224C49458BB}">
                  <c15:showDataLabelsRange val="1"/>
                </c:ext>
              </c:extLst>
            </c:dLbl>
            <c:dLbl>
              <c:idx val="5"/>
              <c:layout>
                <c:manualLayout>
                  <c:x val="-0.055469156019258413"/>
                  <c:y val="0.050313481169759755"/>
                </c:manualLayout>
              </c:layout>
              <c:tx>
                <c:rich>
                  <a:bodyPr vertOverflow="clip"/>
                  <a:lstStyle/>
                  <a:p>
                    <a:fld id="{64f9e809-432b-4f3d-beb2-a867e8d4ea77}" type="CELLRANGE">
                      <a:rPr lang="en-US"/>
                      <a:t>DE</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1-0D1B-4DCA-8E2D-F1FCA4D20EDC}"/>
                </c:ext>
                <c:ext xmlns:c15="http://schemas.microsoft.com/office/drawing/2012/chart" uri="{CE6537A1-D6FC-4f65-9D91-7224C49458BB}">
                  <c15:showDataLabelsRange val="1"/>
                </c:ext>
              </c:extLst>
            </c:dLbl>
            <c:dLbl>
              <c:idx val="6"/>
              <c:layout>
                <c:manualLayout>
                  <c:x val="-0.054669987546699876"/>
                  <c:y val="0.0670149425476304"/>
                </c:manualLayout>
              </c:layout>
              <c:tx>
                <c:rich>
                  <a:bodyPr vertOverflow="clip"/>
                  <a:lstStyle/>
                  <a:p>
                    <a:fld id="{157d4a4e-6e1d-4418-8c97-48e2faf0b8e7}" type="CELLRANGE">
                      <a:rPr lang="en-US"/>
                      <a:t>EE</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A-0D1B-4DCA-8E2D-F1FCA4D20EDC}"/>
                </c:ext>
                <c:ext xmlns:c15="http://schemas.microsoft.com/office/drawing/2012/chart" uri="{CE6537A1-D6FC-4f65-9D91-7224C49458BB}">
                  <c15:showDataLabelsRange val="1"/>
                </c:ext>
              </c:extLst>
            </c:dLbl>
            <c:dLbl>
              <c:idx val="7"/>
              <c:tx>
                <c:rich>
                  <a:bodyPr/>
                  <a:lstStyle/>
                  <a:p>
                    <a:fld id="{c5912f05-c8d6-4dbc-9c30-fbd6c0463628}" type="CELLRANGE">
                      <a:rPr lang="lv-LV"/>
                      <a:t>IE</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8"/>
              <c:layout>
                <c:manualLayout>
                  <c:x val="-0.053061517995182182"/>
                  <c:y val="0.058664211858695116"/>
                </c:manualLayout>
              </c:layout>
              <c:tx>
                <c:rich>
                  <a:bodyPr vertOverflow="clip"/>
                  <a:lstStyle/>
                  <a:p>
                    <a:fld id="{e0806f02-1573-46eb-898a-26933292587c}" type="CELLRANGE">
                      <a:rPr lang="en-US"/>
                      <a:t>EL</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C-0D1B-4DCA-8E2D-F1FCA4D20EDC}"/>
                </c:ext>
                <c:ext xmlns:c15="http://schemas.microsoft.com/office/drawing/2012/chart" uri="{CE6537A1-D6FC-4f65-9D91-7224C49458BB}">
                  <c15:showDataLabelsRange val="1"/>
                </c:ext>
              </c:extLst>
            </c:dLbl>
            <c:dLbl>
              <c:idx val="9"/>
              <c:tx>
                <c:rich>
                  <a:bodyPr vertOverflow="clip"/>
                  <a:lstStyle/>
                  <a:p>
                    <a:fld id="{dbb2381b-40a1-4d17-ad58-8b565e8c4f45}" type="CELLRANGE">
                      <a:rPr lang="lv-LV"/>
                      <a:t>ES</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0"/>
              <c:layout>
                <c:manualLayout>
                  <c:x val="-0.054649395475627811"/>
                  <c:y val="0.075365673236565678"/>
                </c:manualLayout>
              </c:layout>
              <c:tx>
                <c:rich>
                  <a:bodyPr vertOverflow="clip"/>
                  <a:lstStyle/>
                  <a:p>
                    <a:fld id="{51be0f00-24a8-49e6-970a-dc6e32796dae}" type="CELLRANGE">
                      <a:rPr lang="en-US"/>
                      <a:t>FR</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E-0D1B-4DCA-8E2D-F1FCA4D20EDC}"/>
                </c:ext>
                <c:ext xmlns:c15="http://schemas.microsoft.com/office/drawing/2012/chart" uri="{CE6537A1-D6FC-4f65-9D91-7224C49458BB}">
                  <c15:showDataLabelsRange val="1"/>
                </c:ext>
              </c:extLst>
            </c:dLbl>
            <c:dLbl>
              <c:idx val="11"/>
              <c:layout>
                <c:manualLayout>
                  <c:x val="-0.020755500207555"/>
                  <c:y val="0"/>
                </c:manualLayout>
              </c:layout>
              <c:tx>
                <c:rich>
                  <a:bodyPr vertOverflow="clip"/>
                  <a:lstStyle/>
                  <a:p>
                    <a:fld id="{c34be2ea-d95a-4d72-ae45-86c9bd7ca71d}" type="CELLRANGE">
                      <a:rPr lang="en-US"/>
                      <a:t>HR</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2-0D1B-4DCA-8E2D-F1FCA4D20EDC}"/>
                </c:ext>
                <c:ext xmlns:c15="http://schemas.microsoft.com/office/drawing/2012/chart" uri="{CE6537A1-D6FC-4f65-9D91-7224C49458BB}">
                  <c15:showDataLabelsRange val="1"/>
                </c:ext>
              </c:extLst>
            </c:dLbl>
            <c:dLbl>
              <c:idx val="12"/>
              <c:layout>
                <c:manualLayout>
                  <c:x val="-0.044043171440431642"/>
                  <c:y val="0.075365673236565608"/>
                </c:manualLayout>
              </c:layout>
              <c:tx>
                <c:rich>
                  <a:bodyPr vertOverflow="clip"/>
                  <a:lstStyle/>
                  <a:p>
                    <a:fld id="{44ab4a88-341e-4b07-805c-9b0060b4debf}" type="CELLRANGE">
                      <a:rPr lang="en-US"/>
                      <a:t>IT</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3-0D1B-4DCA-8E2D-F1FCA4D20EDC}"/>
                </c:ext>
                <c:ext xmlns:c15="http://schemas.microsoft.com/office/drawing/2012/chart" uri="{CE6537A1-D6FC-4f65-9D91-7224C49458BB}">
                  <c15:showDataLabelsRange val="1"/>
                </c:ext>
              </c:extLst>
            </c:dLbl>
            <c:dLbl>
              <c:idx val="13"/>
              <c:layout>
                <c:manualLayout>
                  <c:x val="-0.024906600249066"/>
                  <c:y val="-7.6547480365548188E-17"/>
                </c:manualLayout>
              </c:layout>
              <c:tx>
                <c:rich>
                  <a:bodyPr vertOverflow="clip"/>
                  <a:lstStyle/>
                  <a:p>
                    <a:fld id="{a0f98e8c-9230-4331-8e53-63082cf83ce6}" type="CELLRANGE">
                      <a:rPr lang="en-US"/>
                      <a:t>CY</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4-0D1B-4DCA-8E2D-F1FCA4D20EDC}"/>
                </c:ext>
                <c:ext xmlns:c15="http://schemas.microsoft.com/office/drawing/2012/chart" uri="{CE6537A1-D6FC-4f65-9D91-7224C49458BB}">
                  <c15:showDataLabelsRange val="1"/>
                </c:ext>
              </c:extLst>
            </c:dLbl>
            <c:dLbl>
              <c:idx val="14"/>
              <c:layout>
                <c:manualLayout>
                  <c:x val="-0.059288168057448645"/>
                  <c:y val="-0.0795403810431838"/>
                </c:manualLayout>
              </c:layout>
              <c:tx>
                <c:rich>
                  <a:bodyPr vertOverflow="clip"/>
                  <a:lstStyle/>
                  <a:p>
                    <a:fld id="{8ea29809-9aed-48fc-abf4-115faad375ef}" type="CELLRANGE">
                      <a:rPr lang="en-US"/>
                      <a:t>LV</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5-0D1B-4DCA-8E2D-F1FCA4D20EDC}"/>
                </c:ext>
                <c:ext xmlns:c15="http://schemas.microsoft.com/office/drawing/2012/chart" uri="{CE6537A1-D6FC-4f65-9D91-7224C49458BB}">
                  <c15:showDataLabelsRange val="1"/>
                </c:ext>
              </c:extLst>
            </c:dLbl>
            <c:dLbl>
              <c:idx val="15"/>
              <c:layout>
                <c:manualLayout>
                  <c:x val="-0.052241757451551435"/>
                  <c:y val="0.0503134811697598"/>
                </c:manualLayout>
              </c:layout>
              <c:tx>
                <c:rich>
                  <a:bodyPr vertOverflow="clip"/>
                  <a:lstStyle/>
                  <a:p>
                    <a:fld id="{a6dfbf70-6544-4dfe-a326-fcb7610e572b}" type="CELLRANGE">
                      <a:rPr lang="en-US"/>
                      <a:t>LT</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F-0D1B-4DCA-8E2D-F1FCA4D20EDC}"/>
                </c:ext>
                <c:ext xmlns:c15="http://schemas.microsoft.com/office/drawing/2012/chart" uri="{CE6537A1-D6FC-4f65-9D91-7224C49458BB}">
                  <c15:showDataLabelsRange val="1"/>
                </c:ext>
              </c:extLst>
            </c:dLbl>
            <c:dLbl>
              <c:idx val="16"/>
              <c:tx>
                <c:rich>
                  <a:bodyPr/>
                  <a:lstStyle/>
                  <a:p>
                    <a:fld id="{9831ab82-3380-403e-837b-55931e54a91f}" type="CELLRANGE">
                      <a:rPr lang="lv-LV"/>
                      <a:t>LU</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7"/>
              <c:layout>
                <c:manualLayout>
                  <c:x val="-0.0562683244918171"/>
                  <c:y val="0.0670149425476304"/>
                </c:manualLayout>
              </c:layout>
              <c:tx>
                <c:rich>
                  <a:bodyPr vertOverflow="clip"/>
                  <a:lstStyle/>
                  <a:p>
                    <a:fld id="{32f429d0-0d84-48f7-b84d-3ea2ba6ff5c2}" type="CELLRANGE">
                      <a:rPr lang="en-US"/>
                      <a:t>HU</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1-0D1B-4DCA-8E2D-F1FCA4D20EDC}"/>
                </c:ext>
                <c:ext xmlns:c15="http://schemas.microsoft.com/office/drawing/2012/chart" uri="{CE6537A1-D6FC-4f65-9D91-7224C49458BB}">
                  <c15:showDataLabelsRange val="1"/>
                </c:ext>
              </c:extLst>
            </c:dLbl>
            <c:dLbl>
              <c:idx val="18"/>
              <c:layout>
                <c:manualLayout>
                  <c:x val="-0.095267745952677535"/>
                  <c:y val="-1.9136870091387047E-17"/>
                </c:manualLayout>
              </c:layout>
              <c:tx>
                <c:rich>
                  <a:bodyPr vertOverflow="clip"/>
                  <a:lstStyle/>
                  <a:p>
                    <a:fld id="{11c7a473-d25b-43be-a145-0dfaef17c320}" type="CELLRANGE">
                      <a:rPr lang="en-US"/>
                      <a:t>NL</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2-0D1B-4DCA-8E2D-F1FCA4D20EDC}"/>
                </c:ext>
                <c:ext xmlns:c15="http://schemas.microsoft.com/office/drawing/2012/chart" uri="{CE6537A1-D6FC-4f65-9D91-7224C49458BB}">
                  <c15:showDataLabelsRange val="1"/>
                </c:ext>
              </c:extLst>
            </c:dLbl>
            <c:dLbl>
              <c:idx val="19"/>
              <c:layout>
                <c:manualLayout>
                  <c:x val="-0.074491326815779413"/>
                  <c:y val="-0.033402922755741124"/>
                </c:manualLayout>
              </c:layout>
              <c:tx>
                <c:rich>
                  <a:bodyPr vertOverflow="clip"/>
                  <a:lstStyle/>
                  <a:p>
                    <a:fld id="{9bc2ccc0-70b7-41d9-85ce-c2baad8c885d}" type="CELLRANGE">
                      <a:rPr lang="en-US"/>
                      <a:t>AT</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3-0D1B-4DCA-8E2D-F1FCA4D20EDC}"/>
                </c:ext>
                <c:ext xmlns:c15="http://schemas.microsoft.com/office/drawing/2012/chart" uri="{CE6537A1-D6FC-4f65-9D91-7224C49458BB}">
                  <c15:showDataLabelsRange val="1"/>
                </c:ext>
              </c:extLst>
            </c:dLbl>
            <c:dLbl>
              <c:idx val="20"/>
              <c:layout>
                <c:manualLayout>
                  <c:x val="-0.053061517995182106"/>
                  <c:y val="-0.058663554320845669"/>
                </c:manualLayout>
              </c:layout>
              <c:tx>
                <c:rich>
                  <a:bodyPr vertOverflow="clip"/>
                  <a:lstStyle/>
                  <a:p>
                    <a:fld id="{d2740b44-b00d-4f00-9dde-d1ef4c87915b}" type="CELLRANGE">
                      <a:rPr lang="en-US"/>
                      <a:t>PL</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4-0D1B-4DCA-8E2D-F1FCA4D20EDC}"/>
                </c:ext>
                <c:ext xmlns:c15="http://schemas.microsoft.com/office/drawing/2012/chart" uri="{CE6537A1-D6FC-4f65-9D91-7224C49458BB}">
                  <c15:showDataLabelsRange val="1"/>
                </c:ext>
              </c:extLst>
            </c:dLbl>
            <c:dLbl>
              <c:idx val="21"/>
              <c:layout>
                <c:manualLayout>
                  <c:x val="-0.0538502270030692"/>
                  <c:y val="-0.07536501569871619"/>
                </c:manualLayout>
              </c:layout>
              <c:tx>
                <c:rich>
                  <a:bodyPr vertOverflow="clip"/>
                  <a:lstStyle/>
                  <a:p>
                    <a:fld id="{da5da971-b555-44a4-8ae5-6868fd75ec8d}" type="CELLRANGE">
                      <a:rPr lang="en-US"/>
                      <a:t>PT</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5-0D1B-4DCA-8E2D-F1FCA4D20EDC}"/>
                </c:ext>
                <c:ext xmlns:c15="http://schemas.microsoft.com/office/drawing/2012/chart" uri="{CE6537A1-D6FC-4f65-9D91-7224C49458BB}">
                  <c15:showDataLabelsRange val="1"/>
                </c:ext>
              </c:extLst>
            </c:dLbl>
            <c:dLbl>
              <c:idx val="22"/>
              <c:layout>
                <c:manualLayout>
                  <c:x val="-0.057077625570776329"/>
                  <c:y val="0.067014942547630477"/>
                </c:manualLayout>
              </c:layout>
              <c:tx>
                <c:rich>
                  <a:bodyPr vertOverflow="clip"/>
                  <a:lstStyle/>
                  <a:p>
                    <a:fld id="{ad08c1d9-3001-4e02-bbbc-f360f963122e}" type="CELLRANGE">
                      <a:rPr lang="en-US"/>
                      <a:t>RO</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6-0D1B-4DCA-8E2D-F1FCA4D20EDC}"/>
                </c:ext>
                <c:ext xmlns:c15="http://schemas.microsoft.com/office/drawing/2012/chart" uri="{CE6537A1-D6FC-4f65-9D91-7224C49458BB}">
                  <c15:showDataLabelsRange val="1"/>
                </c:ext>
              </c:extLst>
            </c:dLbl>
            <c:dLbl>
              <c:idx val="23"/>
              <c:layout>
                <c:manualLayout>
                  <c:x val="-0.049014358883844374"/>
                  <c:y val="-0.083715746387651432"/>
                </c:manualLayout>
              </c:layout>
              <c:tx>
                <c:rich>
                  <a:bodyPr vertOverflow="clip"/>
                  <a:lstStyle/>
                  <a:p>
                    <a:fld id="{e9f11f17-8b77-4e00-bfa6-32c74f08c003}" type="CELLRANGE">
                      <a:rPr lang="en-US"/>
                      <a:t>SI</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7-0D1B-4DCA-8E2D-F1FCA4D20EDC}"/>
                </c:ext>
                <c:ext xmlns:c15="http://schemas.microsoft.com/office/drawing/2012/chart" uri="{CE6537A1-D6FC-4f65-9D91-7224C49458BB}">
                  <c15:showDataLabelsRange val="1"/>
                </c:ext>
              </c:extLst>
            </c:dLbl>
            <c:dLbl>
              <c:idx val="24"/>
              <c:layout>
                <c:manualLayout>
                  <c:x val="-0.092735574927355749"/>
                  <c:y val="0.016701461377870562"/>
                </c:manualLayout>
              </c:layout>
              <c:tx>
                <c:rich>
                  <a:bodyPr vertOverflow="clip"/>
                  <a:lstStyle/>
                  <a:p>
                    <a:fld id="{32073dd4-3f07-4679-a1f7-b602e8ad275e}" type="CELLRANGE">
                      <a:rPr lang="en-US"/>
                      <a:t>SK</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8-0D1B-4DCA-8E2D-F1FCA4D20EDC}"/>
                </c:ext>
                <c:ext xmlns:c15="http://schemas.microsoft.com/office/drawing/2012/chart" uri="{CE6537A1-D6FC-4f65-9D91-7224C49458BB}">
                  <c15:showDataLabelsRange val="1"/>
                </c:ext>
              </c:extLst>
            </c:dLbl>
            <c:dLbl>
              <c:idx val="25"/>
              <c:layout>
                <c:manualLayout>
                  <c:x val="-0.035740971357409716"/>
                  <c:y val="0.058664211858695081"/>
                </c:manualLayout>
              </c:layout>
              <c:tx>
                <c:rich>
                  <a:bodyPr vertOverflow="clip"/>
                  <a:lstStyle/>
                  <a:p>
                    <a:fld id="{ebb85f43-1757-4948-9f7e-256779e22e6d}" type="CELLRANGE">
                      <a:rPr lang="en-US"/>
                      <a:t>FI</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9-0D1B-4DCA-8E2D-F1FCA4D20EDC}"/>
                </c:ext>
                <c:ext xmlns:c15="http://schemas.microsoft.com/office/drawing/2012/chart" uri="{CE6537A1-D6FC-4f65-9D91-7224C49458BB}">
                  <c15:showDataLabelsRange val="1"/>
                </c:ext>
              </c:extLst>
            </c:dLbl>
            <c:dLbl>
              <c:idx val="26"/>
              <c:layout>
                <c:manualLayout>
                  <c:x val="-0.039427278937579878"/>
                  <c:y val="0.075365673236565678"/>
                </c:manualLayout>
              </c:layout>
              <c:tx>
                <c:rich>
                  <a:bodyPr vertOverflow="clip"/>
                  <a:lstStyle/>
                  <a:p>
                    <a:fld id="{0c774dcb-f2c2-40fe-adc4-81c195c41965}" type="CELLRANGE">
                      <a:rPr lang="en-US"/>
                      <a:t>SE</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A-0D1B-4DCA-8E2D-F1FCA4D20EDC}"/>
                </c:ext>
                <c:ext xmlns:c15="http://schemas.microsoft.com/office/drawing/2012/chart" uri="{CE6537A1-D6FC-4f65-9D91-7224C49458BB}">
                  <c15:showDataLabelsRange val="1"/>
                </c:ext>
              </c:extLst>
            </c:dLbl>
            <c:dLbl>
              <c:idx val="27"/>
              <c:layout>
                <c:manualLayout>
                  <c:x val="-0.055469156019258489"/>
                  <c:y val="0.058664211858695116"/>
                </c:manualLayout>
              </c:layout>
              <c:tx>
                <c:rich>
                  <a:bodyPr vertOverflow="clip"/>
                  <a:lstStyle/>
                  <a:p>
                    <a:fld id="{b56a4383-87ab-4bff-bb3a-fbe1bb355ed0}" type="CELLRANGE">
                      <a:rPr lang="en-US"/>
                      <a:t>UK</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B-0D1B-4DCA-8E2D-F1FCA4D20EDC}"/>
                </c:ext>
                <c:ext xmlns:c15="http://schemas.microsoft.com/office/drawing/2012/chart" uri="{CE6537A1-D6FC-4f65-9D91-7224C49458BB}">
                  <c15:showDataLabelsRange val="1"/>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Sheet1!$B$3:$B$30</c:f>
              <c:numCache>
                <c:formatCode>0</c:formatCode>
                <c:ptCount val="28"/>
                <c:pt idx="0">
                  <c:v>72.585687889480639</c:v>
                </c:pt>
                <c:pt idx="1">
                  <c:v>83.597788033099945</c:v>
                </c:pt>
                <c:pt idx="2">
                  <c:v>23.075615395076838</c:v>
                </c:pt>
                <c:pt idx="3">
                  <c:v>44.747627264883519</c:v>
                </c:pt>
                <c:pt idx="4">
                  <c:v>102.74341880341881</c:v>
                </c:pt>
                <c:pt idx="5">
                  <c:v>72.28689819219791</c:v>
                </c:pt>
                <c:pt idx="6">
                  <c:v>37.889880952380949</c:v>
                </c:pt>
                <c:pt idx="7">
                  <c:v>152.01183128889346</c:v>
                </c:pt>
                <c:pt idx="8">
                  <c:v>79.105924144103838</c:v>
                </c:pt>
                <c:pt idx="9">
                  <c:v>58.46727496051939</c:v>
                </c:pt>
                <c:pt idx="10">
                  <c:v>92.8222644821533</c:v>
                </c:pt>
                <c:pt idx="11">
                  <c:v>46.891687020971958</c:v>
                </c:pt>
                <c:pt idx="12">
                  <c:v>70.159950101166842</c:v>
                </c:pt>
                <c:pt idx="13">
                  <c:v>60.028985507246368</c:v>
                </c:pt>
                <c:pt idx="14">
                  <c:v>28.186995431503849</c:v>
                </c:pt>
                <c:pt idx="15">
                  <c:v>25.962778789818319</c:v>
                </c:pt>
                <c:pt idx="16">
                  <c:v>147.95772573280306</c:v>
                </c:pt>
                <c:pt idx="17">
                  <c:v>29.150183329858852</c:v>
                </c:pt>
                <c:pt idx="18">
                  <c:v>73.757216088328079</c:v>
                </c:pt>
                <c:pt idx="19">
                  <c:v>82.039328300447579</c:v>
                </c:pt>
                <c:pt idx="20">
                  <c:v>36.916433616153959</c:v>
                </c:pt>
                <c:pt idx="21">
                  <c:v>45.797128783172084</c:v>
                </c:pt>
                <c:pt idx="22">
                  <c:v>42.337443648899495</c:v>
                </c:pt>
                <c:pt idx="23">
                  <c:v>44.13757056240852</c:v>
                </c:pt>
                <c:pt idx="24">
                  <c:v>41.3515505712631</c:v>
                </c:pt>
                <c:pt idx="25">
                  <c:v>84.375247133254263</c:v>
                </c:pt>
                <c:pt idx="26">
                  <c:v>107.31833195706027</c:v>
                </c:pt>
                <c:pt idx="27">
                  <c:v>80.411193849860837</c:v>
                </c:pt>
              </c:numCache>
            </c:numRef>
          </c:xVal>
          <c:yVal>
            <c:numRef>
              <c:f>Sheet1!$C$3:$C$30</c:f>
              <c:numCache>
                <c:formatCode>0.0</c:formatCode>
                <c:ptCount val="28"/>
                <c:pt idx="0">
                  <c:v>0.49953560773350852</c:v>
                </c:pt>
                <c:pt idx="1">
                  <c:v>0.58550904960945171</c:v>
                </c:pt>
                <c:pt idx="2">
                  <c:v>0.38557982445411032</c:v>
                </c:pt>
                <c:pt idx="3">
                  <c:v>0.36430602924873645</c:v>
                </c:pt>
                <c:pt idx="4">
                  <c:v>0.5658422904906969</c:v>
                </c:pt>
                <c:pt idx="5">
                  <c:v>0.490196007156037</c:v>
                </c:pt>
                <c:pt idx="6">
                  <c:v>0.56213070311117852</c:v>
                </c:pt>
                <c:pt idx="7">
                  <c:v>0.34753428243860157</c:v>
                </c:pt>
                <c:pt idx="8">
                  <c:v>0.28360199587542256</c:v>
                </c:pt>
                <c:pt idx="9">
                  <c:v>0.48970663624983651</c:v>
                </c:pt>
                <c:pt idx="10">
                  <c:v>0.51627042881173613</c:v>
                </c:pt>
                <c:pt idx="11">
                  <c:v>0.43608804555520037</c:v>
                </c:pt>
                <c:pt idx="12">
                  <c:v>0.40997251005535007</c:v>
                </c:pt>
                <c:pt idx="13">
                  <c:v>0.4174577833377533</c:v>
                </c:pt>
                <c:pt idx="14" formatCode="0.00">
                  <c:v>0.60477153900380809</c:v>
                </c:pt>
                <c:pt idx="15" formatCode="0.00">
                  <c:v>0.51621572389296833</c:v>
                </c:pt>
                <c:pt idx="16">
                  <c:v>0.533734011058992</c:v>
                </c:pt>
                <c:pt idx="17">
                  <c:v>0.41714314152184728</c:v>
                </c:pt>
                <c:pt idx="18">
                  <c:v>0.63757306352492149</c:v>
                </c:pt>
                <c:pt idx="19">
                  <c:v>0.55347624550971741</c:v>
                </c:pt>
                <c:pt idx="20">
                  <c:v>0.40992032362901532</c:v>
                </c:pt>
                <c:pt idx="21">
                  <c:v>0.44778302322813207</c:v>
                </c:pt>
                <c:pt idx="22">
                  <c:v>0.31447693220607</c:v>
                </c:pt>
                <c:pt idx="23">
                  <c:v>0.588593690864944</c:v>
                </c:pt>
                <c:pt idx="24">
                  <c:v>0.37773162527992871</c:v>
                </c:pt>
                <c:pt idx="25">
                  <c:v>0.54383532876495877</c:v>
                </c:pt>
                <c:pt idx="26">
                  <c:v>0.47990838334619912</c:v>
                </c:pt>
                <c:pt idx="27">
                  <c:v>0.5434539142463497</c:v>
                </c:pt>
              </c:numCache>
            </c:numRef>
          </c:yVal>
          <c:smooth val="0"/>
          <c:extLst>
            <c:ext xmlns:c="http://schemas.openxmlformats.org/drawingml/2006/chart" xmlns:c16="http://schemas.microsoft.com/office/drawing/2014/chart" uri="{C3380CC4-5D6E-409C-BE32-E72D297353CC}">
              <c16:uniqueId val="{0000001C-0D1B-4DCA-8E2D-F1FCA4D20EDC}"/>
            </c:ext>
            <c:ext xmlns:c15="http://schemas.microsoft.com/office/drawing/2012/chart" uri="{02D57815-91ED-43cb-92C2-25804820EDAC}">
              <c15:datalabelsRange>
                <c15:f>Sheet1!$A$3:$A$30</c15:f>
                <c15:dlblRangeCache>
                  <c:ptCount val="28"/>
                  <c:pt idx="0">
                    <c:v>EU-28</c:v>
                  </c:pt>
                  <c:pt idx="1">
                    <c:v>BE</c:v>
                  </c:pt>
                  <c:pt idx="2">
                    <c:v>BG</c:v>
                  </c:pt>
                  <c:pt idx="3">
                    <c:v>CZ</c:v>
                  </c:pt>
                  <c:pt idx="4">
                    <c:v>DK</c:v>
                  </c:pt>
                  <c:pt idx="5">
                    <c:v>DE</c:v>
                  </c:pt>
                  <c:pt idx="6">
                    <c:v>EE</c:v>
                  </c:pt>
                  <c:pt idx="7">
                    <c:v>IE</c:v>
                  </c:pt>
                  <c:pt idx="8">
                    <c:v>EL</c:v>
                  </c:pt>
                  <c:pt idx="9">
                    <c:v>ES</c:v>
                  </c:pt>
                  <c:pt idx="10">
                    <c:v>FR</c:v>
                  </c:pt>
                  <c:pt idx="11">
                    <c:v>HR</c:v>
                  </c:pt>
                  <c:pt idx="12">
                    <c:v>IT</c:v>
                  </c:pt>
                  <c:pt idx="13">
                    <c:v>CY</c:v>
                  </c:pt>
                  <c:pt idx="14">
                    <c:v>LV</c:v>
                  </c:pt>
                  <c:pt idx="15">
                    <c:v>LT</c:v>
                  </c:pt>
                  <c:pt idx="16">
                    <c:v>LU</c:v>
                  </c:pt>
                  <c:pt idx="17">
                    <c:v>HU</c:v>
                  </c:pt>
                  <c:pt idx="18">
                    <c:v>NL</c:v>
                  </c:pt>
                  <c:pt idx="19">
                    <c:v>AT</c:v>
                  </c:pt>
                  <c:pt idx="20">
                    <c:v>PL</c:v>
                  </c:pt>
                  <c:pt idx="21">
                    <c:v>PT</c:v>
                  </c:pt>
                  <c:pt idx="22">
                    <c:v>RO</c:v>
                  </c:pt>
                  <c:pt idx="23">
                    <c:v>SI</c:v>
                  </c:pt>
                  <c:pt idx="24">
                    <c:v>SK</c:v>
                  </c:pt>
                  <c:pt idx="25">
                    <c:v>FI</c:v>
                  </c:pt>
                  <c:pt idx="26">
                    <c:v>SE</c:v>
                  </c:pt>
                  <c:pt idx="27">
                    <c:v>UK</c:v>
                  </c:pt>
                </c15:dlblRangeCache>
              </c15:datalabelsRange>
            </c:ext>
          </c:extLst>
        </c:ser>
        <c:dLbls>
          <c:showLegendKey val="0"/>
          <c:showVal val="0"/>
          <c:showCatName val="0"/>
          <c:showSerName val="0"/>
          <c:showPercent val="0"/>
          <c:showBubbleSize val="0"/>
        </c:dLbls>
        <c:axId val="656261400"/>
        <c:axId val="656251600"/>
      </c:scatterChart>
      <c:valAx>
        <c:axId val="656261400"/>
        <c:scaling>
          <c:orientation val="minMax"/>
          <c:max val="110"/>
          <c:min val="10"/>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56251600"/>
        <c:crosses val="autoZero"/>
        <c:crossBetween val="midCat"/>
        <c:majorUnit val="20"/>
      </c:valAx>
      <c:valAx>
        <c:axId val="656251600"/>
        <c:scaling>
          <c:orientation val="minMax"/>
          <c:max val="0.70000000000000007"/>
          <c:min val="0.2"/>
        </c:scaling>
        <c:delete val="0"/>
        <c:axPos val="l"/>
        <c:title>
          <c:tx>
            <c:rich>
              <a:bodyPr vertOverflow="clip"/>
              <a:lstStyle/>
              <a:p>
                <a:pPr>
                  <a:defRPr/>
                </a:pPr>
                <a:r>
                  <a:rPr lang="lv-LV"/>
                  <a:t>Darbaspēka izmaksas uz </a:t>
                </a:r>
                <a:br>
                  <a:rPr lang="lv-LV"/>
                </a:br>
                <a:r>
                  <a:rPr lang="lv-LV"/>
                  <a:t>1 produkcijas vienību, EUR</a:t>
                </a:r>
              </a:p>
            </c:rich>
          </c:tx>
          <c:layout>
            <c:manualLayout>
              <c:xMode val="edge"/>
              <c:yMode val="edge"/>
              <c:x val="0.02230431476439277"/>
              <c:y val="0.057970719938109316"/>
            </c:manualLayout>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56261400"/>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38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82276091893005"/>
          <c:y val="0.057971014492753624"/>
          <c:w val="0.73789259488631331"/>
          <c:h val="0.79643524951537925"/>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extLst>
              <c:ext xmlns:c="http://schemas.openxmlformats.org/drawingml/2006/chart" xmlns:c16="http://schemas.microsoft.com/office/drawing/2014/chart" uri="{C3380CC4-5D6E-409C-BE32-E72D297353CC}">
                <c16:uniqueId val="{00000000-1153-4B5A-8760-A936C5541C94}"/>
              </c:ext>
            </c:extLst>
          </c:dPt>
          <c:dLbls>
            <c:dLbl>
              <c:idx val="0"/>
              <c:layout>
                <c:manualLayout>
                  <c:x val="-0.21305841924398625"/>
                  <c:y val="0.039886039886039885"/>
                </c:manualLayout>
              </c:layout>
              <c:tx>
                <c:rich>
                  <a:bodyPr vertOverflow="clip"/>
                  <a:lstStyle/>
                  <a:p>
                    <a:r>
                      <a:rPr lang="en-US"/>
                      <a:t>2005</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1153-4B5A-8760-A936C5541C94}"/>
                </c:ext>
                <c:ext xmlns:c15="http://schemas.microsoft.com/office/drawing/2012/chart" uri="{CE6537A1-D6FC-4f65-9D91-7224C49458BB}"/>
              </c:extLst>
            </c:dLbl>
            <c:dLbl>
              <c:idx val="1"/>
              <c:delete val="1"/>
              <c:extLst>
                <c:ext xmlns:c="http://schemas.openxmlformats.org/drawingml/2006/chart" xmlns:c16="http://schemas.microsoft.com/office/drawing/2014/chart" uri="{C3380CC4-5D6E-409C-BE32-E72D297353CC}">
                  <c16:uniqueId val="{00000002-1153-4B5A-8760-A936C5541C94}"/>
                </c:ext>
                <c:ext xmlns:c15="http://schemas.microsoft.com/office/drawing/2012/chart" uri="{CE6537A1-D6FC-4f65-9D91-7224C49458BB}"/>
              </c:extLst>
            </c:dLbl>
            <c:dLbl>
              <c:idx val="2"/>
              <c:layout>
                <c:manualLayout>
                  <c:x val="-0.07560137457044673"/>
                  <c:y val="-0.051282051282051273"/>
                </c:manualLayout>
              </c:layout>
              <c:tx>
                <c:rich>
                  <a:bodyPr vertOverflow="clip"/>
                  <a:lstStyle/>
                  <a:p>
                    <a:r>
                      <a:rPr lang="en-US"/>
                      <a:t>2007</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1153-4B5A-8760-A936C5541C94}"/>
                </c:ext>
                <c:ext xmlns:c15="http://schemas.microsoft.com/office/drawing/2012/chart" uri="{CE6537A1-D6FC-4f65-9D91-7224C49458BB}"/>
              </c:extLst>
            </c:dLbl>
            <c:dLbl>
              <c:idx val="3"/>
              <c:delete val="1"/>
              <c:extLst>
                <c:ext xmlns:c="http://schemas.openxmlformats.org/drawingml/2006/chart" xmlns:c16="http://schemas.microsoft.com/office/drawing/2014/chart" uri="{C3380CC4-5D6E-409C-BE32-E72D297353CC}">
                  <c16:uniqueId val="{00000004-1153-4B5A-8760-A936C5541C94}"/>
                </c:ext>
                <c:ext xmlns:c15="http://schemas.microsoft.com/office/drawing/2012/chart" uri="{CE6537A1-D6FC-4f65-9D91-7224C49458BB}"/>
              </c:extLst>
            </c:dLbl>
            <c:dLbl>
              <c:idx val="4"/>
              <c:layout>
                <c:manualLayout>
                  <c:x val="-0.17869415807560132"/>
                  <c:y val="0.045584045584045586"/>
                </c:manualLayout>
              </c:layout>
              <c:tx>
                <c:rich>
                  <a:bodyPr vertOverflow="clip"/>
                  <a:lstStyle/>
                  <a:p>
                    <a:r>
                      <a:rPr lang="en-US"/>
                      <a:t>2009</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1153-4B5A-8760-A936C5541C94}"/>
                </c:ext>
                <c:ext xmlns:c15="http://schemas.microsoft.com/office/drawing/2012/chart" uri="{CE6537A1-D6FC-4f65-9D91-7224C49458BB}"/>
              </c:extLst>
            </c:dLbl>
            <c:dLbl>
              <c:idx val="5"/>
              <c:layout>
                <c:manualLayout>
                  <c:x val="-0.13745704467353953"/>
                  <c:y val="-0.045584045584045586"/>
                </c:manualLayout>
              </c:layout>
              <c:tx>
                <c:rich>
                  <a:bodyPr vertOverflow="clip"/>
                  <a:lstStyle/>
                  <a:p>
                    <a:r>
                      <a:rPr lang="en-US"/>
                      <a:t>2011</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1153-4B5A-8760-A936C5541C94}"/>
                </c:ext>
                <c:ext xmlns:c15="http://schemas.microsoft.com/office/drawing/2012/chart" uri="{CE6537A1-D6FC-4f65-9D91-7224C49458BB}"/>
              </c:extLst>
            </c:dLbl>
            <c:dLbl>
              <c:idx val="6"/>
              <c:delete val="1"/>
              <c:extLst>
                <c:ext xmlns:c="http://schemas.openxmlformats.org/drawingml/2006/chart" xmlns:c16="http://schemas.microsoft.com/office/drawing/2014/chart" uri="{C3380CC4-5D6E-409C-BE32-E72D297353CC}">
                  <c16:uniqueId val="{00000006-1153-4B5A-8760-A936C5541C94}"/>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7-1153-4B5A-8760-A936C5541C94}"/>
                </c:ext>
                <c:ext xmlns:c15="http://schemas.microsoft.com/office/drawing/2012/chart" uri="{CE6537A1-D6FC-4f65-9D91-7224C49458BB}"/>
              </c:extLst>
            </c:dLbl>
            <c:dLbl>
              <c:idx val="8"/>
              <c:layout>
                <c:manualLayout>
                  <c:x val="-0.034364261168384883"/>
                  <c:y val="0.045584045584045586"/>
                </c:manualLayout>
              </c:layout>
              <c:tx>
                <c:rich>
                  <a:bodyPr vertOverflow="clip"/>
                  <a:lstStyle/>
                  <a:p>
                    <a:r>
                      <a:rPr lang="en-US"/>
                      <a:t>2013</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1153-4B5A-8760-A936C5541C94}"/>
                </c:ext>
                <c:ext xmlns:c15="http://schemas.microsoft.com/office/drawing/2012/chart" uri="{CE6537A1-D6FC-4f65-9D91-7224C49458BB}"/>
              </c:extLst>
            </c:dLbl>
            <c:dLbl>
              <c:idx val="9"/>
              <c:delete val="1"/>
              <c:extLst>
                <c:ext xmlns:c="http://schemas.openxmlformats.org/drawingml/2006/chart" xmlns:c16="http://schemas.microsoft.com/office/drawing/2014/chart" uri="{C3380CC4-5D6E-409C-BE32-E72D297353CC}">
                  <c16:uniqueId val="{00000009-1153-4B5A-8760-A936C5541C94}"/>
                </c:ext>
                <c:ext xmlns:c15="http://schemas.microsoft.com/office/drawing/2012/chart" uri="{CE6537A1-D6FC-4f65-9D91-7224C49458BB}"/>
              </c:extLst>
            </c:dLbl>
            <c:dLbl>
              <c:idx val="10"/>
              <c:layout>
                <c:manualLayout>
                  <c:x val="-0.034364261168384883"/>
                  <c:y val="-0.05128205128205128"/>
                </c:manualLayout>
              </c:layout>
              <c:tx>
                <c:rich>
                  <a:bodyPr vertOverflow="clip"/>
                  <a:lstStyle/>
                  <a:p>
                    <a:r>
                      <a:rPr lang="en-US"/>
                      <a:t>2015</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1153-4B5A-8760-A936C5541C94}"/>
                </c:ext>
                <c:ext xmlns:c15="http://schemas.microsoft.com/office/drawing/2012/chart" uri="{CE6537A1-D6FC-4f65-9D91-7224C49458BB}"/>
              </c:extLst>
            </c:dLbl>
            <c:dLbl>
              <c:idx val="11"/>
              <c:layout>
                <c:manualLayout>
                  <c:x val="-0.21112801910997081"/>
                  <c:y val="-0.051617175304067384"/>
                </c:manualLayout>
              </c:layout>
              <c:tx>
                <c:rich>
                  <a:bodyPr vertOverflow="clip"/>
                  <a:lstStyle/>
                  <a:p>
                    <a:r>
                      <a:rPr lang="en-US"/>
                      <a:t>2016</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1153-4B5A-8760-A936C5541C94}"/>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b="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Sheet1!$B$3:$B$14</c:f>
              <c:numCache>
                <c:formatCode>0.0</c:formatCode>
                <c:ptCount val="12"/>
                <c:pt idx="0">
                  <c:v>7.2</c:v>
                </c:pt>
                <c:pt idx="1">
                  <c:v>6.1</c:v>
                </c:pt>
                <c:pt idx="2">
                  <c:v>8</c:v>
                </c:pt>
                <c:pt idx="3">
                  <c:v>8.1</c:v>
                </c:pt>
                <c:pt idx="4">
                  <c:v>9.6</c:v>
                </c:pt>
                <c:pt idx="5">
                  <c:v>10.6</c:v>
                </c:pt>
                <c:pt idx="6">
                  <c:v>10</c:v>
                </c:pt>
                <c:pt idx="7">
                  <c:v>10.9</c:v>
                </c:pt>
                <c:pt idx="8">
                  <c:v>11.4</c:v>
                </c:pt>
                <c:pt idx="9">
                  <c:v>11.9</c:v>
                </c:pt>
                <c:pt idx="10">
                  <c:v>12.5</c:v>
                </c:pt>
                <c:pt idx="11">
                  <c:v>12.8</c:v>
                </c:pt>
              </c:numCache>
            </c:numRef>
          </c:xVal>
          <c:yVal>
            <c:numRef>
              <c:f>Sheet1!$C$3:$C$14</c:f>
              <c:numCache>
                <c:formatCode>0.0</c:formatCode>
                <c:ptCount val="12"/>
                <c:pt idx="0">
                  <c:v>0.6</c:v>
                </c:pt>
                <c:pt idx="1">
                  <c:v>0.7</c:v>
                </c:pt>
                <c:pt idx="2">
                  <c:v>1</c:v>
                </c:pt>
                <c:pt idx="3">
                  <c:v>0.9</c:v>
                </c:pt>
                <c:pt idx="4">
                  <c:v>0.7</c:v>
                </c:pt>
                <c:pt idx="5">
                  <c:v>0.7</c:v>
                </c:pt>
                <c:pt idx="6">
                  <c:v>0.7</c:v>
                </c:pt>
                <c:pt idx="7">
                  <c:v>0.7</c:v>
                </c:pt>
                <c:pt idx="8">
                  <c:v>0.6</c:v>
                </c:pt>
                <c:pt idx="9">
                  <c:v>0.8</c:v>
                </c:pt>
                <c:pt idx="10">
                  <c:v>0.8</c:v>
                </c:pt>
                <c:pt idx="11">
                  <c:v>0.8</c:v>
                </c:pt>
              </c:numCache>
            </c:numRef>
          </c:yVal>
          <c:smooth val="1"/>
          <c:extLst>
            <c:ext xmlns:c="http://schemas.openxmlformats.org/drawingml/2006/chart" xmlns:c16="http://schemas.microsoft.com/office/drawing/2014/chart" uri="{C3380CC4-5D6E-409C-BE32-E72D297353CC}">
              <c16:uniqueId val="{0000000C-1153-4B5A-8760-A936C5541C94}"/>
            </c:ext>
          </c:extLst>
        </c:ser>
        <c:dLbls>
          <c:showLegendKey val="0"/>
          <c:showVal val="0"/>
          <c:showCatName val="0"/>
          <c:showSerName val="0"/>
          <c:showPercent val="0"/>
          <c:showBubbleSize val="0"/>
        </c:dLbls>
        <c:axId val="656250816"/>
        <c:axId val="656261008"/>
      </c:scatterChart>
      <c:valAx>
        <c:axId val="656250816"/>
        <c:scaling>
          <c:orientation val="minMax"/>
          <c:max val="15"/>
          <c:min val="0"/>
        </c:scaling>
        <c:delete val="0"/>
        <c:axPos val="b"/>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56261008"/>
        <c:crosses val="autoZero"/>
        <c:crossBetween val="midCat"/>
        <c:majorUnit val="5"/>
      </c:valAx>
      <c:valAx>
        <c:axId val="656261008"/>
        <c:scaling>
          <c:orientation val="minMax"/>
          <c:min val="0.5"/>
        </c:scaling>
        <c:delete val="0"/>
        <c:axPos val="l"/>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56250816"/>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38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61202576950608"/>
          <c:y val="0.057971014492753624"/>
          <c:w val="0.77628191362443333"/>
          <c:h val="0.797829571303587"/>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extLst>
              <c:ext xmlns:c="http://schemas.openxmlformats.org/drawingml/2006/chart" xmlns:c16="http://schemas.microsoft.com/office/drawing/2014/chart" uri="{C3380CC4-5D6E-409C-BE32-E72D297353CC}">
                <c16:uniqueId val="{00000000-05D1-4D66-A0F9-59514D4A4EF7}"/>
              </c:ext>
            </c:extLst>
          </c:dPt>
          <c:dLbls>
            <c:dLbl>
              <c:idx val="0"/>
              <c:layout>
                <c:manualLayout>
                  <c:x val="-0.22962436454935367"/>
                  <c:y val="0.028082211106319"/>
                </c:manualLayout>
              </c:layout>
              <c:tx>
                <c:rich>
                  <a:bodyPr vertOverflow="clip"/>
                  <a:lstStyle/>
                  <a:p>
                    <a:r>
                      <a:rPr lang="en-US"/>
                      <a:t>2005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05D1-4D66-A0F9-59514D4A4EF7}"/>
                </c:ext>
                <c:ext xmlns:c15="http://schemas.microsoft.com/office/drawing/2012/chart" uri="{CE6537A1-D6FC-4f65-9D91-7224C49458BB}"/>
              </c:extLst>
            </c:dLbl>
            <c:dLbl>
              <c:idx val="1"/>
              <c:layout>
                <c:manualLayout>
                  <c:x val="-0.19930784425142734"/>
                  <c:y val="-0.14274132400116646"/>
                </c:manualLayout>
              </c:layout>
              <c:tx>
                <c:rich>
                  <a:bodyPr vertOverflow="clip"/>
                  <a:lstStyle/>
                  <a:p>
                    <a:r>
                      <a:rPr lang="en-US"/>
                      <a:t>2007</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05D1-4D66-A0F9-59514D4A4EF7}"/>
                </c:ext>
                <c:ext xmlns:c15="http://schemas.microsoft.com/office/drawing/2012/chart" uri="{CE6537A1-D6FC-4f65-9D91-7224C49458BB}"/>
              </c:extLst>
            </c:dLbl>
            <c:dLbl>
              <c:idx val="2"/>
              <c:delete val="1"/>
              <c:extLst>
                <c:ext xmlns:c="http://schemas.openxmlformats.org/drawingml/2006/chart" xmlns:c16="http://schemas.microsoft.com/office/drawing/2014/chart" uri="{C3380CC4-5D6E-409C-BE32-E72D297353CC}">
                  <c16:uniqueId val="{00000003-05D1-4D66-A0F9-59514D4A4EF7}"/>
                </c:ext>
                <c:ext xmlns:c15="http://schemas.microsoft.com/office/drawing/2012/chart" uri="{CE6537A1-D6FC-4f65-9D91-7224C49458BB}"/>
              </c:extLst>
            </c:dLbl>
            <c:dLbl>
              <c:idx val="3"/>
              <c:layout>
                <c:manualLayout>
                  <c:x val="-0.11024812620071976"/>
                  <c:y val="-0.053561253561253547"/>
                </c:manualLayout>
              </c:layout>
              <c:tx>
                <c:rich>
                  <a:bodyPr vertOverflow="clip"/>
                  <a:lstStyle/>
                  <a:p>
                    <a:r>
                      <a:rPr lang="en-US"/>
                      <a:t>2008</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05D1-4D66-A0F9-59514D4A4EF7}"/>
                </c:ext>
                <c:ext xmlns:c15="http://schemas.microsoft.com/office/drawing/2012/chart" uri="{CE6537A1-D6FC-4f65-9D91-7224C49458BB}"/>
              </c:extLst>
            </c:dLbl>
            <c:dLbl>
              <c:idx val="4"/>
              <c:layout>
                <c:manualLayout>
                  <c:x val="-0.07567496707841"/>
                  <c:y val="0.057062879249106427"/>
                </c:manualLayout>
              </c:layout>
              <c:tx>
                <c:rich>
                  <a:bodyPr vertOverflow="clip"/>
                  <a:lstStyle/>
                  <a:p>
                    <a:r>
                      <a:rPr lang="en-US"/>
                      <a:t>2009</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05D1-4D66-A0F9-59514D4A4EF7}"/>
                </c:ext>
                <c:ext xmlns:c15="http://schemas.microsoft.com/office/drawing/2012/chart" uri="{CE6537A1-D6FC-4f65-9D91-7224C49458BB}"/>
              </c:extLst>
            </c:dLbl>
            <c:dLbl>
              <c:idx val="5"/>
              <c:delete val="1"/>
              <c:extLst>
                <c:ext xmlns:c="http://schemas.openxmlformats.org/drawingml/2006/chart" xmlns:c16="http://schemas.microsoft.com/office/drawing/2014/chart" uri="{C3380CC4-5D6E-409C-BE32-E72D297353CC}">
                  <c16:uniqueId val="{00000000-05D1-4D66-A0F9-59514D4A4EF7}"/>
                </c:ext>
                <c:ext xmlns:c15="http://schemas.microsoft.com/office/drawing/2012/chart" uri="{CE6537A1-D6FC-4f65-9D91-7224C49458BB}"/>
              </c:extLst>
            </c:dLbl>
            <c:dLbl>
              <c:idx val="6"/>
              <c:delete val="1"/>
              <c:extLst>
                <c:ext xmlns:c="http://schemas.openxmlformats.org/drawingml/2006/chart" xmlns:c16="http://schemas.microsoft.com/office/drawing/2014/chart" uri="{C3380CC4-5D6E-409C-BE32-E72D297353CC}">
                  <c16:uniqueId val="{00000006-05D1-4D66-A0F9-59514D4A4EF7}"/>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7-05D1-4D66-A0F9-59514D4A4EF7}"/>
                </c:ext>
                <c:ext xmlns:c15="http://schemas.microsoft.com/office/drawing/2012/chart" uri="{CE6537A1-D6FC-4f65-9D91-7224C49458BB}"/>
              </c:extLst>
            </c:dLbl>
            <c:dLbl>
              <c:idx val="8"/>
              <c:delete val="1"/>
              <c:extLst>
                <c:ext xmlns:c="http://schemas.openxmlformats.org/drawingml/2006/chart" xmlns:c16="http://schemas.microsoft.com/office/drawing/2014/chart" uri="{C3380CC4-5D6E-409C-BE32-E72D297353CC}">
                  <c16:uniqueId val="{00000008-05D1-4D66-A0F9-59514D4A4EF7}"/>
                </c:ext>
                <c:ext xmlns:c15="http://schemas.microsoft.com/office/drawing/2012/chart" uri="{CE6537A1-D6FC-4f65-9D91-7224C49458BB}"/>
              </c:extLst>
            </c:dLbl>
            <c:dLbl>
              <c:idx val="9"/>
              <c:delete val="1"/>
              <c:extLst>
                <c:ext xmlns:c="http://schemas.openxmlformats.org/drawingml/2006/chart" xmlns:c16="http://schemas.microsoft.com/office/drawing/2014/chart" uri="{C3380CC4-5D6E-409C-BE32-E72D297353CC}">
                  <c16:uniqueId val="{00000009-05D1-4D66-A0F9-59514D4A4EF7}"/>
                </c:ext>
                <c:ext xmlns:c15="http://schemas.microsoft.com/office/drawing/2012/chart" uri="{CE6537A1-D6FC-4f65-9D91-7224C49458BB}"/>
              </c:extLst>
            </c:dLbl>
            <c:dLbl>
              <c:idx val="10"/>
              <c:layout>
                <c:manualLayout>
                  <c:x val="-0.094051173660003276"/>
                  <c:y val="-0.089919801691455234"/>
                </c:manualLayout>
              </c:layout>
              <c:tx>
                <c:rich>
                  <a:bodyPr vertOverflow="clip"/>
                  <a:lstStyle/>
                  <a:p>
                    <a:r>
                      <a:rPr lang="en-US"/>
                      <a:t>2015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05D1-4D66-A0F9-59514D4A4EF7}"/>
                </c:ext>
                <c:ext xmlns:c15="http://schemas.microsoft.com/office/drawing/2012/chart" uri="{CE6537A1-D6FC-4f65-9D91-7224C49458BB}"/>
              </c:extLst>
            </c:dLbl>
            <c:dLbl>
              <c:idx val="11"/>
              <c:layout>
                <c:manualLayout>
                  <c:x val="-0.045473776802943768"/>
                  <c:y val="-0.029435967255112244"/>
                </c:manualLayout>
              </c:layout>
              <c:tx>
                <c:rich>
                  <a:bodyPr vertOverflow="clip"/>
                  <a:lstStyle/>
                  <a:p>
                    <a:r>
                      <a:rPr lang="en-US"/>
                      <a:t>2016</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05D1-4D66-A0F9-59514D4A4EF7}"/>
                </c:ext>
                <c:ext xmlns:c15="http://schemas.microsoft.com/office/drawing/2012/chart" uri="{CE6537A1-D6FC-4f65-9D91-7224C49458BB}"/>
              </c:extLst>
            </c:dLbl>
            <c:dLbl>
              <c:idx val="12"/>
              <c:tx>
                <c:rich>
                  <a:bodyPr/>
                  <a:lstStyle/>
                  <a:p>
                    <a:r>
                      <a:rPr lang="lv-LV"/>
                      <a:t>FI</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05D1-4D66-A0F9-59514D4A4EF7}"/>
                </c:ext>
                <c:ext xmlns:c15="http://schemas.microsoft.com/office/drawing/2012/chart" uri="{CE6537A1-D6FC-4f65-9D91-7224C49458BB}"/>
              </c:extLst>
            </c:dLbl>
            <c:dLbl>
              <c:idx val="13"/>
              <c:tx>
                <c:rich>
                  <a:bodyPr/>
                  <a:lstStyle/>
                  <a:p>
                    <a:r>
                      <a:rPr lang="lv-LV" b="0"/>
                      <a:t>SE</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05D1-4D66-A0F9-59514D4A4EF7}"/>
                </c:ext>
                <c:ext xmlns:c15="http://schemas.microsoft.com/office/drawing/2012/chart" uri="{CE6537A1-D6FC-4f65-9D91-7224C49458BB}"/>
              </c:extLst>
            </c:dLbl>
            <c:spPr>
              <a:noFill/>
              <a:ln>
                <a:noFill/>
              </a:ln>
              <a:effectLst/>
            </c:spPr>
            <c:txPr>
              <a:bodyPr/>
              <a:lstStyle/>
              <a:p>
                <a:pPr>
                  <a:defRPr b="0"/>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Sheet1!$B$3:$B$14</c:f>
              <c:numCache>
                <c:formatCode>General</c:formatCode>
                <c:ptCount val="12"/>
                <c:pt idx="0">
                  <c:v>21.1</c:v>
                </c:pt>
                <c:pt idx="1">
                  <c:v>24.5</c:v>
                </c:pt>
                <c:pt idx="2">
                  <c:v>24.9</c:v>
                </c:pt>
                <c:pt idx="3">
                  <c:v>25.1</c:v>
                </c:pt>
                <c:pt idx="4">
                  <c:v>30.7</c:v>
                </c:pt>
                <c:pt idx="5">
                  <c:v>31</c:v>
                </c:pt>
                <c:pt idx="6">
                  <c:v>27.6</c:v>
                </c:pt>
                <c:pt idx="7">
                  <c:v>28.2</c:v>
                </c:pt>
                <c:pt idx="8">
                  <c:v>30.1</c:v>
                </c:pt>
                <c:pt idx="9">
                  <c:v>29.6</c:v>
                </c:pt>
                <c:pt idx="10">
                  <c:v>29.7</c:v>
                </c:pt>
                <c:pt idx="11">
                  <c:v>31.6</c:v>
                </c:pt>
              </c:numCache>
            </c:numRef>
          </c:xVal>
          <c:yVal>
            <c:numRef>
              <c:f>Sheet1!$C$3:$C$14</c:f>
              <c:numCache>
                <c:formatCode>General</c:formatCode>
                <c:ptCount val="12"/>
                <c:pt idx="0">
                  <c:v>0.3</c:v>
                </c:pt>
                <c:pt idx="1">
                  <c:v>0.4</c:v>
                </c:pt>
                <c:pt idx="2">
                  <c:v>0.5</c:v>
                </c:pt>
                <c:pt idx="3">
                  <c:v>0.5</c:v>
                </c:pt>
                <c:pt idx="4">
                  <c:v>0.4</c:v>
                </c:pt>
                <c:pt idx="5">
                  <c:v>0.4</c:v>
                </c:pt>
                <c:pt idx="6">
                  <c:v>0.5</c:v>
                </c:pt>
                <c:pt idx="7">
                  <c:v>0.4</c:v>
                </c:pt>
                <c:pt idx="8">
                  <c:v>0.5</c:v>
                </c:pt>
                <c:pt idx="9">
                  <c:v>0.5</c:v>
                </c:pt>
                <c:pt idx="10">
                  <c:v>0.5</c:v>
                </c:pt>
                <c:pt idx="11">
                  <c:v>0.5</c:v>
                </c:pt>
              </c:numCache>
            </c:numRef>
          </c:yVal>
          <c:smooth val="1"/>
          <c:extLst>
            <c:ext xmlns:c="http://schemas.openxmlformats.org/drawingml/2006/chart" xmlns:c16="http://schemas.microsoft.com/office/drawing/2014/chart" uri="{C3380CC4-5D6E-409C-BE32-E72D297353CC}">
              <c16:uniqueId val="{0000000E-05D1-4D66-A0F9-59514D4A4EF7}"/>
            </c:ext>
          </c:extLst>
        </c:ser>
        <c:dLbls>
          <c:showLegendKey val="0"/>
          <c:showVal val="0"/>
          <c:showCatName val="0"/>
          <c:showSerName val="0"/>
          <c:showPercent val="0"/>
          <c:showBubbleSize val="0"/>
        </c:dLbls>
        <c:axId val="656255520"/>
        <c:axId val="656253560"/>
      </c:scatterChart>
      <c:valAx>
        <c:axId val="656255520"/>
        <c:scaling>
          <c:orientation val="minMax"/>
          <c:max val="35"/>
          <c:min val="15"/>
        </c:scaling>
        <c:delete val="0"/>
        <c:axPos val="b"/>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56253560"/>
        <c:crosses val="autoZero"/>
        <c:crossBetween val="midCat"/>
        <c:majorUnit val="5"/>
      </c:valAx>
      <c:valAx>
        <c:axId val="656253560"/>
        <c:scaling>
          <c:orientation val="minMax"/>
          <c:max val="0.60000000000000009"/>
          <c:min val="0.2"/>
        </c:scaling>
        <c:delete val="0"/>
        <c:axPos val="l"/>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56255520"/>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38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229467103128963"/>
          <c:y val="0.057971014492753624"/>
          <c:w val="0.71542068477395382"/>
          <c:h val="0.79729636794959513"/>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extLst>
              <c:ext xmlns:c="http://schemas.openxmlformats.org/drawingml/2006/chart" xmlns:c16="http://schemas.microsoft.com/office/drawing/2014/chart" uri="{C3380CC4-5D6E-409C-BE32-E72D297353CC}">
                <c16:uniqueId val="{00000000-0E7E-4D27-87F6-21289E039277}"/>
              </c:ext>
            </c:extLst>
          </c:dPt>
          <c:dLbls>
            <c:dLbl>
              <c:idx val="0"/>
              <c:layout>
                <c:manualLayout>
                  <c:x val="-0.22962436454935367"/>
                  <c:y val="0.028082211106319"/>
                </c:manualLayout>
              </c:layout>
              <c:tx>
                <c:rich>
                  <a:bodyPr vertOverflow="clip"/>
                  <a:lstStyle/>
                  <a:p>
                    <a:r>
                      <a:rPr lang="en-US"/>
                      <a:t>2005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0E7E-4D27-87F6-21289E039277}"/>
                </c:ext>
                <c:ext xmlns:c15="http://schemas.microsoft.com/office/drawing/2012/chart" uri="{CE6537A1-D6FC-4f65-9D91-7224C49458BB}"/>
              </c:extLst>
            </c:dLbl>
            <c:dLbl>
              <c:idx val="1"/>
              <c:layout>
                <c:manualLayout>
                  <c:x val="-0.19930784425142734"/>
                  <c:y val="-0.14274132400116646"/>
                </c:manualLayout>
              </c:layout>
              <c:tx>
                <c:rich>
                  <a:bodyPr vertOverflow="clip"/>
                  <a:lstStyle/>
                  <a:p>
                    <a:r>
                      <a:rPr lang="en-US"/>
                      <a:t>2007</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0E7E-4D27-87F6-21289E039277}"/>
                </c:ext>
                <c:ext xmlns:c15="http://schemas.microsoft.com/office/drawing/2012/chart" uri="{CE6537A1-D6FC-4f65-9D91-7224C49458BB}"/>
              </c:extLst>
            </c:dLbl>
            <c:dLbl>
              <c:idx val="2"/>
              <c:layout>
                <c:manualLayout>
                  <c:x val="0.065373271640014066"/>
                  <c:y val="0.04675774502546156"/>
                </c:manualLayout>
              </c:layout>
              <c:tx>
                <c:rich>
                  <a:bodyPr vertOverflow="clip"/>
                  <a:lstStyle/>
                  <a:p>
                    <a:r>
                      <a:rPr lang="en-US"/>
                      <a:t>2010</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0E7E-4D27-87F6-21289E039277}"/>
                </c:ext>
                <c:ext xmlns:c15="http://schemas.microsoft.com/office/drawing/2012/chart" uri="{CE6537A1-D6FC-4f65-9D91-7224C49458BB}"/>
              </c:extLst>
            </c:dLbl>
            <c:dLbl>
              <c:idx val="3"/>
              <c:layout>
                <c:manualLayout>
                  <c:x val="-0.11024812620071976"/>
                  <c:y val="-0.053561253561253547"/>
                </c:manualLayout>
              </c:layout>
              <c:tx>
                <c:rich>
                  <a:bodyPr vertOverflow="clip"/>
                  <a:lstStyle/>
                  <a:p>
                    <a:r>
                      <a:rPr lang="en-US"/>
                      <a:t>2008</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0E7E-4D27-87F6-21289E039277}"/>
                </c:ext>
                <c:ext xmlns:c15="http://schemas.microsoft.com/office/drawing/2012/chart" uri="{CE6537A1-D6FC-4f65-9D91-7224C49458BB}"/>
              </c:extLst>
            </c:dLbl>
            <c:dLbl>
              <c:idx val="4"/>
              <c:delete val="1"/>
              <c:extLst>
                <c:ext xmlns:c="http://schemas.openxmlformats.org/drawingml/2006/chart" xmlns:c16="http://schemas.microsoft.com/office/drawing/2014/chart" uri="{C3380CC4-5D6E-409C-BE32-E72D297353CC}">
                  <c16:uniqueId val="{00000005-0E7E-4D27-87F6-21289E039277}"/>
                </c:ext>
                <c:ext xmlns:c15="http://schemas.microsoft.com/office/drawing/2012/chart" uri="{CE6537A1-D6FC-4f65-9D91-7224C49458BB}"/>
              </c:extLst>
            </c:dLbl>
            <c:dLbl>
              <c:idx val="5"/>
              <c:delete val="1"/>
              <c:extLst>
                <c:ext xmlns:c="http://schemas.openxmlformats.org/drawingml/2006/chart" xmlns:c16="http://schemas.microsoft.com/office/drawing/2014/chart" uri="{C3380CC4-5D6E-409C-BE32-E72D297353CC}">
                  <c16:uniqueId val="{00000000-0E7E-4D27-87F6-21289E039277}"/>
                </c:ext>
                <c:ext xmlns:c15="http://schemas.microsoft.com/office/drawing/2012/chart" uri="{CE6537A1-D6FC-4f65-9D91-7224C49458BB}"/>
              </c:extLst>
            </c:dLbl>
            <c:dLbl>
              <c:idx val="6"/>
              <c:delete val="1"/>
              <c:extLst>
                <c:ext xmlns:c="http://schemas.openxmlformats.org/drawingml/2006/chart" xmlns:c16="http://schemas.microsoft.com/office/drawing/2014/chart" uri="{C3380CC4-5D6E-409C-BE32-E72D297353CC}">
                  <c16:uniqueId val="{00000006-0E7E-4D27-87F6-21289E039277}"/>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7-0E7E-4D27-87F6-21289E039277}"/>
                </c:ext>
                <c:ext xmlns:c15="http://schemas.microsoft.com/office/drawing/2012/chart" uri="{CE6537A1-D6FC-4f65-9D91-7224C49458BB}"/>
              </c:extLst>
            </c:dLbl>
            <c:dLbl>
              <c:idx val="8"/>
              <c:delete val="1"/>
              <c:extLst>
                <c:ext xmlns:c="http://schemas.openxmlformats.org/drawingml/2006/chart" xmlns:c16="http://schemas.microsoft.com/office/drawing/2014/chart" uri="{C3380CC4-5D6E-409C-BE32-E72D297353CC}">
                  <c16:uniqueId val="{00000008-0E7E-4D27-87F6-21289E039277}"/>
                </c:ext>
                <c:ext xmlns:c15="http://schemas.microsoft.com/office/drawing/2012/chart" uri="{CE6537A1-D6FC-4f65-9D91-7224C49458BB}"/>
              </c:extLst>
            </c:dLbl>
            <c:dLbl>
              <c:idx val="9"/>
              <c:layout>
                <c:manualLayout>
                  <c:x val="-0.034488730145845171"/>
                  <c:y val="0.04327478295982233"/>
                </c:manualLayout>
              </c:layout>
              <c:tx>
                <c:rich>
                  <a:bodyPr vertOverflow="clip"/>
                  <a:lstStyle/>
                  <a:p>
                    <a:r>
                      <a:rPr lang="en-US"/>
                      <a:t>2014</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0E7E-4D27-87F6-21289E039277}"/>
                </c:ext>
                <c:ext xmlns:c15="http://schemas.microsoft.com/office/drawing/2012/chart" uri="{CE6537A1-D6FC-4f65-9D91-7224C49458BB}"/>
              </c:extLst>
            </c:dLbl>
            <c:dLbl>
              <c:idx val="10"/>
              <c:layout>
                <c:manualLayout>
                  <c:x val="-0.048682691305879967"/>
                  <c:y val="-0.05288250515989211"/>
                </c:manualLayout>
              </c:layout>
              <c:tx>
                <c:rich>
                  <a:bodyPr vertOverflow="clip"/>
                  <a:lstStyle/>
                  <a:p>
                    <a:r>
                      <a:rPr lang="en-US"/>
                      <a:t>2016</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0E7E-4D27-87F6-21289E039277}"/>
                </c:ext>
                <c:ext xmlns:c15="http://schemas.microsoft.com/office/drawing/2012/chart" uri="{CE6537A1-D6FC-4f65-9D91-7224C49458BB}"/>
              </c:extLst>
            </c:dLbl>
            <c:dLbl>
              <c:idx val="11"/>
              <c:delete val="1"/>
              <c:extLst>
                <c:ext xmlns:c="http://schemas.openxmlformats.org/drawingml/2006/chart" xmlns:c16="http://schemas.microsoft.com/office/drawing/2014/chart" uri="{C3380CC4-5D6E-409C-BE32-E72D297353CC}">
                  <c16:uniqueId val="{0000000B-0E7E-4D27-87F6-21289E039277}"/>
                </c:ext>
                <c:ext xmlns:c15="http://schemas.microsoft.com/office/drawing/2012/chart" uri="{CE6537A1-D6FC-4f65-9D91-7224C49458BB}"/>
              </c:extLst>
            </c:dLbl>
            <c:dLbl>
              <c:idx val="12"/>
              <c:tx>
                <c:rich>
                  <a:bodyPr/>
                  <a:lstStyle/>
                  <a:p>
                    <a:r>
                      <a:rPr lang="lv-LV"/>
                      <a:t>FI</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0E7E-4D27-87F6-21289E039277}"/>
                </c:ext>
                <c:ext xmlns:c15="http://schemas.microsoft.com/office/drawing/2012/chart" uri="{CE6537A1-D6FC-4f65-9D91-7224C49458BB}"/>
              </c:extLst>
            </c:dLbl>
            <c:dLbl>
              <c:idx val="13"/>
              <c:tx>
                <c:rich>
                  <a:bodyPr/>
                  <a:lstStyle/>
                  <a:p>
                    <a:r>
                      <a:rPr lang="lv-LV" b="0"/>
                      <a:t>SE</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0E7E-4D27-87F6-21289E039277}"/>
                </c:ext>
                <c:ext xmlns:c15="http://schemas.microsoft.com/office/drawing/2012/chart" uri="{CE6537A1-D6FC-4f65-9D91-7224C49458BB}"/>
              </c:extLst>
            </c:dLbl>
            <c:spPr>
              <a:noFill/>
              <a:ln>
                <a:noFill/>
              </a:ln>
              <a:effectLst/>
            </c:spPr>
            <c:txPr>
              <a:bodyPr/>
              <a:lstStyle/>
              <a:p>
                <a:pPr>
                  <a:defRPr b="0"/>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Sheet1!$B$3:$B$14</c:f>
              <c:numCache>
                <c:formatCode>0.0</c:formatCode>
                <c:ptCount val="12"/>
                <c:pt idx="0">
                  <c:v>15.4</c:v>
                </c:pt>
                <c:pt idx="1">
                  <c:v>16.4</c:v>
                </c:pt>
                <c:pt idx="2">
                  <c:v>16.8</c:v>
                </c:pt>
                <c:pt idx="3">
                  <c:v>15.8</c:v>
                </c:pt>
                <c:pt idx="4">
                  <c:v>15.9</c:v>
                </c:pt>
                <c:pt idx="5">
                  <c:v>18.3</c:v>
                </c:pt>
                <c:pt idx="6">
                  <c:v>18.6</c:v>
                </c:pt>
                <c:pt idx="7">
                  <c:v>18.6</c:v>
                </c:pt>
                <c:pt idx="8">
                  <c:v>18.2</c:v>
                </c:pt>
                <c:pt idx="9">
                  <c:v>19.2</c:v>
                </c:pt>
                <c:pt idx="10">
                  <c:v>19.6</c:v>
                </c:pt>
                <c:pt idx="11">
                  <c:v>20.6</c:v>
                </c:pt>
              </c:numCache>
            </c:numRef>
          </c:xVal>
          <c:yVal>
            <c:numRef>
              <c:f>Sheet1!$C$3:$C$14</c:f>
              <c:numCache>
                <c:formatCode>0.0</c:formatCode>
                <c:ptCount val="12"/>
                <c:pt idx="0">
                  <c:v>0.4</c:v>
                </c:pt>
                <c:pt idx="1">
                  <c:v>0.4</c:v>
                </c:pt>
                <c:pt idx="2">
                  <c:v>0.5</c:v>
                </c:pt>
                <c:pt idx="3">
                  <c:v>0.6</c:v>
                </c:pt>
                <c:pt idx="4">
                  <c:v>0.6</c:v>
                </c:pt>
                <c:pt idx="5">
                  <c:v>0.5</c:v>
                </c:pt>
                <c:pt idx="6">
                  <c:v>0.5</c:v>
                </c:pt>
                <c:pt idx="7">
                  <c:v>0.5</c:v>
                </c:pt>
                <c:pt idx="8">
                  <c:v>0.6</c:v>
                </c:pt>
                <c:pt idx="9">
                  <c:v>0.6</c:v>
                </c:pt>
                <c:pt idx="10">
                  <c:v>0.6</c:v>
                </c:pt>
                <c:pt idx="11">
                  <c:v>0.6</c:v>
                </c:pt>
              </c:numCache>
            </c:numRef>
          </c:yVal>
          <c:smooth val="1"/>
          <c:extLst>
            <c:ext xmlns:c="http://schemas.openxmlformats.org/drawingml/2006/chart" xmlns:c16="http://schemas.microsoft.com/office/drawing/2014/chart" uri="{C3380CC4-5D6E-409C-BE32-E72D297353CC}">
              <c16:uniqueId val="{0000000E-0E7E-4D27-87F6-21289E039277}"/>
            </c:ext>
          </c:extLst>
        </c:ser>
        <c:dLbls>
          <c:showLegendKey val="0"/>
          <c:showVal val="0"/>
          <c:showCatName val="0"/>
          <c:showSerName val="0"/>
          <c:showPercent val="0"/>
          <c:showBubbleSize val="0"/>
        </c:dLbls>
        <c:axId val="656254344"/>
        <c:axId val="656256304"/>
      </c:scatterChart>
      <c:valAx>
        <c:axId val="656254344"/>
        <c:scaling>
          <c:orientation val="minMax"/>
          <c:max val="25"/>
          <c:min val="10"/>
        </c:scaling>
        <c:delete val="0"/>
        <c:axPos val="b"/>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56256304"/>
        <c:crosses val="autoZero"/>
        <c:crossBetween val="midCat"/>
        <c:majorUnit val="5"/>
      </c:valAx>
      <c:valAx>
        <c:axId val="656256304"/>
        <c:scaling>
          <c:orientation val="minMax"/>
          <c:min val="0.2"/>
        </c:scaling>
        <c:delete val="0"/>
        <c:axPos val="l"/>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56254344"/>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389.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479108214921412"/>
          <c:y val="0.057971014492753624"/>
          <c:w val="0.73126255769752924"/>
          <c:h val="0.7786665303200736"/>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marker>
              <c:spPr>
                <a:solidFill>
                  <a:srgbClr val="002060"/>
                </a:solidFill>
                <a:ln w="6350">
                  <a:solidFill>
                    <a:sysClr val="windowText" lastClr="000000"/>
                  </a:solidFill>
                </a:ln>
              </c:spPr>
            </c:marker>
            <c:extLst>
              <c:ext xmlns:c="http://schemas.openxmlformats.org/drawingml/2006/chart" xmlns:c16="http://schemas.microsoft.com/office/drawing/2014/chart" uri="{C3380CC4-5D6E-409C-BE32-E72D297353CC}">
                <c16:uniqueId val="{00000000-7407-401B-8EC1-69A758AD5ADD}"/>
              </c:ext>
            </c:extLst>
          </c:dPt>
          <c:dLbls>
            <c:dLbl>
              <c:idx val="0"/>
              <c:tx>
                <c:rich>
                  <a:bodyPr vertOverflow="clip"/>
                  <a:lstStyle/>
                  <a:p>
                    <a:fld id="{abff017a-aeb6-4124-b947-3eb3a5b87eda}" type="CELLRANGE">
                      <a:rPr lang="en-US"/>
                      <a:t>2005</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1-7407-401B-8EC1-69A758AD5ADD}"/>
                </c:ext>
                <c:ext xmlns:c15="http://schemas.microsoft.com/office/drawing/2012/chart" uri="{CE6537A1-D6FC-4f65-9D91-7224C49458BB}">
                  <c15:showDataLabelsRange val="1"/>
                </c:ext>
              </c:extLst>
            </c:dLbl>
            <c:dLbl>
              <c:idx val="1"/>
              <c:delete val="1"/>
              <c:extLst>
                <c:ext xmlns:c="http://schemas.openxmlformats.org/drawingml/2006/chart" xmlns:c16="http://schemas.microsoft.com/office/drawing/2014/chart" uri="{C3380CC4-5D6E-409C-BE32-E72D297353CC}">
                  <c16:uniqueId val="{00000002-7407-401B-8EC1-69A758AD5ADD}"/>
                </c:ext>
                <c:ext xmlns:c15="http://schemas.microsoft.com/office/drawing/2012/chart" uri="{CE6537A1-D6FC-4f65-9D91-7224C49458BB}"/>
              </c:extLst>
            </c:dLbl>
            <c:dLbl>
              <c:idx val="2"/>
              <c:layout>
                <c:manualLayout>
                  <c:x val="-0.24455483377913648"/>
                  <c:y val="0"/>
                </c:manualLayout>
              </c:layout>
              <c:tx>
                <c:rich>
                  <a:bodyPr vertOverflow="clip"/>
                  <a:lstStyle/>
                  <a:p>
                    <a:fld id="{555895b3-7f78-4f37-92b7-b5140c22f6a8}" type="CELLRANGE">
                      <a:rPr lang="en-US"/>
                      <a:t>2007</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3-7407-401B-8EC1-69A758AD5ADD}"/>
                </c:ext>
                <c:ext xmlns:c15="http://schemas.microsoft.com/office/drawing/2012/chart" uri="{CE6537A1-D6FC-4f65-9D91-7224C49458BB}">
                  <c15:showDataLabelsRange val="1"/>
                </c:ext>
              </c:extLst>
            </c:dLbl>
            <c:dLbl>
              <c:idx val="3"/>
              <c:tx>
                <c:rich>
                  <a:bodyPr vertOverflow="clip"/>
                  <a:lstStyle/>
                  <a:p>
                    <a:fld id="{43ad94db-c90c-4a54-b970-2de9a426072b}" type="CELLRANGE">
                      <a:rPr lang="lv-LV"/>
                      <a:t>2008</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4"/>
              <c:delete val="1"/>
              <c:extLst>
                <c:ext xmlns:c="http://schemas.openxmlformats.org/drawingml/2006/chart" xmlns:c16="http://schemas.microsoft.com/office/drawing/2014/chart" uri="{C3380CC4-5D6E-409C-BE32-E72D297353CC}">
                  <c16:uniqueId val="{00000005-7407-401B-8EC1-69A758AD5ADD}"/>
                </c:ext>
                <c:ext xmlns:c15="http://schemas.microsoft.com/office/drawing/2012/chart" uri="{CE6537A1-D6FC-4f65-9D91-7224C49458BB}"/>
              </c:extLst>
            </c:dLbl>
            <c:dLbl>
              <c:idx val="5"/>
              <c:delete val="1"/>
              <c:extLst>
                <c:ext xmlns:c="http://schemas.openxmlformats.org/drawingml/2006/chart" xmlns:c16="http://schemas.microsoft.com/office/drawing/2014/chart" uri="{C3380CC4-5D6E-409C-BE32-E72D297353CC}">
                  <c16:uniqueId val="{00000000-7407-401B-8EC1-69A758AD5ADD}"/>
                </c:ext>
                <c:ext xmlns:c15="http://schemas.microsoft.com/office/drawing/2012/chart" uri="{CE6537A1-D6FC-4f65-9D91-7224C49458BB}"/>
              </c:extLst>
            </c:dLbl>
            <c:dLbl>
              <c:idx val="6"/>
              <c:layout>
                <c:manualLayout>
                  <c:x val="-0.20634314100114642"/>
                  <c:y val="0.092592592592592587"/>
                </c:manualLayout>
              </c:layout>
              <c:tx>
                <c:rich>
                  <a:bodyPr vertOverflow="clip"/>
                  <a:lstStyle/>
                  <a:p>
                    <a:fld id="{7c74030b-49fc-44a1-8f49-51e0d67b1473}" type="CELLRANGE">
                      <a:rPr lang="en-US"/>
                      <a:t>2011</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6-7407-401B-8EC1-69A758AD5ADD}"/>
                </c:ext>
                <c:ext xmlns:c15="http://schemas.microsoft.com/office/drawing/2012/chart" uri="{CE6537A1-D6FC-4f65-9D91-7224C49458BB}">
                  <c15:showDataLabelsRange val="1"/>
                </c:ext>
              </c:extLst>
            </c:dLbl>
            <c:dLbl>
              <c:idx val="7"/>
              <c:delete val="1"/>
              <c:extLst>
                <c:ext xmlns:c="http://schemas.openxmlformats.org/drawingml/2006/chart" xmlns:c16="http://schemas.microsoft.com/office/drawing/2014/chart" uri="{C3380CC4-5D6E-409C-BE32-E72D297353CC}">
                  <c16:uniqueId val="{00000007-7407-401B-8EC1-69A758AD5ADD}"/>
                </c:ext>
                <c:ext xmlns:c15="http://schemas.microsoft.com/office/drawing/2012/chart" uri="{CE6537A1-D6FC-4f65-9D91-7224C49458BB}"/>
              </c:extLst>
            </c:dLbl>
            <c:dLbl>
              <c:idx val="8"/>
              <c:delete val="1"/>
              <c:extLst>
                <c:ext xmlns:c="http://schemas.openxmlformats.org/drawingml/2006/chart" xmlns:c16="http://schemas.microsoft.com/office/drawing/2014/chart" uri="{C3380CC4-5D6E-409C-BE32-E72D297353CC}">
                  <c16:uniqueId val="{00000008-7407-401B-8EC1-69A758AD5ADD}"/>
                </c:ext>
                <c:ext xmlns:c15="http://schemas.microsoft.com/office/drawing/2012/chart" uri="{CE6537A1-D6FC-4f65-9D91-7224C49458BB}"/>
              </c:extLst>
            </c:dLbl>
            <c:dLbl>
              <c:idx val="9"/>
              <c:tx>
                <c:rich>
                  <a:bodyPr vertOverflow="clip"/>
                  <a:lstStyle/>
                  <a:p>
                    <a:fld id="{f08be215-5199-48b5-b594-74de8d831f9e}" type="CELLRANGE">
                      <a:rPr lang="lv-LV"/>
                      <a:t>2014</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0"/>
              <c:layout>
                <c:manualLayout>
                  <c:x val="-0.053496369889186088"/>
                  <c:y val="-0.074074074074074084"/>
                </c:manualLayout>
              </c:layout>
              <c:tx>
                <c:rich>
                  <a:bodyPr vertOverflow="clip"/>
                  <a:lstStyle/>
                  <a:p>
                    <a:fld id="{dc344bd1-731c-42f6-ae52-f84770294a10}" type="CELLRANGE">
                      <a:rPr lang="en-US"/>
                      <a:t>2015</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A-7407-401B-8EC1-69A758AD5ADD}"/>
                </c:ext>
                <c:ext xmlns:c15="http://schemas.microsoft.com/office/drawing/2012/chart" uri="{CE6537A1-D6FC-4f65-9D91-7224C49458BB}">
                  <c15:showDataLabelsRange val="1"/>
                </c:ext>
              </c:extLst>
            </c:dLbl>
            <c:spPr>
              <a:noFill/>
              <a:ln>
                <a:noFill/>
              </a:ln>
              <a:effectLst/>
            </c:spPr>
            <c:txPr>
              <a:bodyPr wrap="square" lIns="38100" tIns="19050" rIns="38100" bIns="19050" anchor="ctr">
                <a:spAutoFit/>
              </a:bodyPr>
              <a:lstStyle/>
              <a:p>
                <a:pPr>
                  <a:defRPr b="0"/>
                </a:pPr>
                <a:endParaRPr lang="lv-LV"/>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Sheet1!$B$3:$B$13</c:f>
              <c:numCache>
                <c:formatCode>0.0</c:formatCode>
                <c:ptCount val="11"/>
                <c:pt idx="0">
                  <c:v>22</c:v>
                </c:pt>
                <c:pt idx="1">
                  <c:v>23.5</c:v>
                </c:pt>
                <c:pt idx="2">
                  <c:v>23</c:v>
                </c:pt>
                <c:pt idx="3">
                  <c:v>21.3</c:v>
                </c:pt>
                <c:pt idx="4">
                  <c:v>16.7</c:v>
                </c:pt>
                <c:pt idx="5">
                  <c:v>17.7</c:v>
                </c:pt>
                <c:pt idx="6">
                  <c:v>16.2</c:v>
                </c:pt>
                <c:pt idx="7">
                  <c:v>16.6</c:v>
                </c:pt>
                <c:pt idx="8">
                  <c:v>18.4</c:v>
                </c:pt>
                <c:pt idx="9">
                  <c:v>19.2</c:v>
                </c:pt>
                <c:pt idx="10">
                  <c:v>19.4</c:v>
                </c:pt>
              </c:numCache>
            </c:numRef>
          </c:xVal>
          <c:yVal>
            <c:numRef>
              <c:f>Sheet1!$C$3:$C$13</c:f>
              <c:numCache>
                <c:formatCode>0.0</c:formatCode>
                <c:ptCount val="11"/>
                <c:pt idx="0">
                  <c:v>0.2</c:v>
                </c:pt>
                <c:pt idx="1">
                  <c:v>0.3</c:v>
                </c:pt>
                <c:pt idx="2">
                  <c:v>0.3</c:v>
                </c:pt>
                <c:pt idx="3">
                  <c:v>0.5</c:v>
                </c:pt>
                <c:pt idx="4">
                  <c:v>0.5</c:v>
                </c:pt>
                <c:pt idx="5">
                  <c:v>0.5</c:v>
                </c:pt>
                <c:pt idx="6">
                  <c:v>0.5</c:v>
                </c:pt>
                <c:pt idx="7">
                  <c:v>0.6</c:v>
                </c:pt>
                <c:pt idx="8">
                  <c:v>0.5</c:v>
                </c:pt>
                <c:pt idx="9">
                  <c:v>0.6</c:v>
                </c:pt>
                <c:pt idx="10">
                  <c:v>0.6</c:v>
                </c:pt>
              </c:numCache>
            </c:numRef>
          </c:yVal>
          <c:smooth val="1"/>
          <c:extLst>
            <c:ext xmlns:c="http://schemas.openxmlformats.org/drawingml/2006/chart" xmlns:c16="http://schemas.microsoft.com/office/drawing/2014/chart" uri="{C3380CC4-5D6E-409C-BE32-E72D297353CC}">
              <c16:uniqueId val="{0000000E-7407-401B-8EC1-69A758AD5ADD}"/>
            </c:ext>
            <c:ext xmlns:c15="http://schemas.microsoft.com/office/drawing/2012/chart" uri="{02D57815-91ED-43cb-92C2-25804820EDAC}">
              <c15:datalabelsRange>
                <c15:f>Sheet1!$A$3:$A$13</c15:f>
                <c15:dlblRangeCache>
                  <c:ptCount val="11"/>
                  <c:pt idx="0">
                    <c:v>2005</c:v>
                  </c:pt>
                  <c:pt idx="1">
                    <c:v>2006</c:v>
                  </c:pt>
                  <c:pt idx="2">
                    <c:v>2007</c:v>
                  </c:pt>
                  <c:pt idx="3">
                    <c:v>2008</c:v>
                  </c:pt>
                  <c:pt idx="4">
                    <c:v>2009</c:v>
                  </c:pt>
                  <c:pt idx="5">
                    <c:v>2010</c:v>
                  </c:pt>
                  <c:pt idx="6">
                    <c:v>2011</c:v>
                  </c:pt>
                  <c:pt idx="7">
                    <c:v>2012</c:v>
                  </c:pt>
                  <c:pt idx="8">
                    <c:v>2013</c:v>
                  </c:pt>
                  <c:pt idx="9">
                    <c:v>2014</c:v>
                  </c:pt>
                  <c:pt idx="10">
                    <c:v>2015</c:v>
                  </c:pt>
                </c15:dlblRangeCache>
              </c15:datalabelsRange>
            </c:ext>
          </c:extLst>
        </c:ser>
        <c:dLbls>
          <c:showLegendKey val="0"/>
          <c:showVal val="0"/>
          <c:showCatName val="0"/>
          <c:showSerName val="0"/>
          <c:showPercent val="0"/>
          <c:showBubbleSize val="0"/>
        </c:dLbls>
        <c:axId val="656257480"/>
        <c:axId val="656259048"/>
      </c:scatterChart>
      <c:valAx>
        <c:axId val="656257480"/>
        <c:scaling>
          <c:orientation val="minMax"/>
          <c:min val="10"/>
        </c:scaling>
        <c:delete val="0"/>
        <c:axPos val="b"/>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56259048"/>
        <c:crosses val="autoZero"/>
        <c:crossBetween val="midCat"/>
        <c:majorUnit val="10"/>
      </c:valAx>
      <c:valAx>
        <c:axId val="656259048"/>
        <c:scaling>
          <c:orientation val="minMax"/>
          <c:min val="0.1"/>
        </c:scaling>
        <c:delete val="0"/>
        <c:axPos val="l"/>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56257480"/>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738"/>
          <c:y val="0.046005165816941182"/>
          <c:w val="0.85762258292899962"/>
          <c:h val="0.83127986337207582"/>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Sheet1!$B$1:$J$1</c:f>
              <c:strCache>
                <c:ptCount val="9"/>
                <c:pt idx="0">
                  <c:v>2007</c:v>
                </c:pt>
                <c:pt idx="1">
                  <c:v>2008</c:v>
                </c:pt>
                <c:pt idx="2">
                  <c:v>2009</c:v>
                </c:pt>
                <c:pt idx="3">
                  <c:v>2010</c:v>
                </c:pt>
                <c:pt idx="4">
                  <c:v>2011</c:v>
                </c:pt>
                <c:pt idx="5">
                  <c:v>2012</c:v>
                </c:pt>
                <c:pt idx="6">
                  <c:v>2013</c:v>
                </c:pt>
                <c:pt idx="7">
                  <c:v>2014</c:v>
                </c:pt>
                <c:pt idx="8">
                  <c:v>2015</c:v>
                </c:pt>
              </c:strCache>
            </c:strRef>
          </c:cat>
          <c:val>
            <c:numRef>
              <c:f>Sheet1!$B$2:$J$2</c:f>
              <c:numCache>
                <c:formatCode>0</c:formatCode>
                <c:ptCount val="9"/>
                <c:pt idx="0">
                  <c:v>37.543267740570116</c:v>
                </c:pt>
                <c:pt idx="1">
                  <c:v>40.842057643741676</c:v>
                </c:pt>
                <c:pt idx="2">
                  <c:v>38.288707041966028</c:v>
                </c:pt>
                <c:pt idx="3">
                  <c:v>37.097778599507883</c:v>
                </c:pt>
                <c:pt idx="4">
                  <c:v>40.389766440010831</c:v>
                </c:pt>
                <c:pt idx="5">
                  <c:v>42.46259667259212</c:v>
                </c:pt>
                <c:pt idx="6">
                  <c:v>42.568476309606638</c:v>
                </c:pt>
                <c:pt idx="7">
                  <c:v>43.635115226322327</c:v>
                </c:pt>
                <c:pt idx="8">
                  <c:v>42.45554310298936</c:v>
                </c:pt>
              </c:numCache>
            </c:numRef>
          </c:val>
          <c:extLst>
            <c:ext xmlns:c="http://schemas.openxmlformats.org/drawingml/2006/chart" xmlns:c16="http://schemas.microsoft.com/office/drawing/2014/chart" uri="{C3380CC4-5D6E-409C-BE32-E72D297353CC}">
              <c16:uniqueId val="{00000000-8025-4DFA-BDDC-25C63D6ECA0E}"/>
            </c:ext>
          </c:extLst>
        </c:ser>
        <c:ser>
          <c:idx val="1"/>
          <c:order val="1"/>
          <c:tx>
            <c:strRef>
              <c:f>Sheet1!$A$3</c:f>
              <c:strCache>
                <c:ptCount val="1"/>
                <c:pt idx="0">
                  <c:v>Ieguves rūpniecība un karjeru izstrāde</c:v>
                </c:pt>
              </c:strCache>
            </c:strRef>
          </c:tx>
          <c:spPr>
            <a:ln>
              <a:solidFill>
                <a:sysClr val="windowText" lastClr="000000"/>
              </a:solidFill>
            </a:ln>
          </c:spPr>
          <c:invertIfNegative val="0"/>
          <c:dLbls>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2007</c:v>
                </c:pt>
                <c:pt idx="1">
                  <c:v>2008</c:v>
                </c:pt>
                <c:pt idx="2">
                  <c:v>2009</c:v>
                </c:pt>
                <c:pt idx="3">
                  <c:v>2010</c:v>
                </c:pt>
                <c:pt idx="4">
                  <c:v>2011</c:v>
                </c:pt>
                <c:pt idx="5">
                  <c:v>2012</c:v>
                </c:pt>
                <c:pt idx="6">
                  <c:v>2013</c:v>
                </c:pt>
                <c:pt idx="7">
                  <c:v>2014</c:v>
                </c:pt>
                <c:pt idx="8">
                  <c:v>2015</c:v>
                </c:pt>
              </c:strCache>
            </c:strRef>
          </c:cat>
          <c:val>
            <c:numRef>
              <c:f>Sheet1!$B$3:$J$3</c:f>
              <c:numCache>
                <c:formatCode>0</c:formatCode>
                <c:ptCount val="9"/>
                <c:pt idx="0">
                  <c:v>18.550536805429278</c:v>
                </c:pt>
                <c:pt idx="1">
                  <c:v>18.132550442515853</c:v>
                </c:pt>
                <c:pt idx="2">
                  <c:v>27.196582570617721</c:v>
                </c:pt>
                <c:pt idx="3">
                  <c:v>23.133457254806842</c:v>
                </c:pt>
                <c:pt idx="4">
                  <c:v>20.976441794938758</c:v>
                </c:pt>
                <c:pt idx="5">
                  <c:v>22.920973524067296</c:v>
                </c:pt>
                <c:pt idx="6">
                  <c:v>27.290273425604717</c:v>
                </c:pt>
                <c:pt idx="7">
                  <c:v>30.009674462941717</c:v>
                </c:pt>
                <c:pt idx="8">
                  <c:v>35.710111340716111</c:v>
                </c:pt>
              </c:numCache>
            </c:numRef>
          </c:val>
          <c:extLst>
            <c:ext xmlns:c="http://schemas.openxmlformats.org/drawingml/2006/chart" xmlns:c16="http://schemas.microsoft.com/office/drawing/2014/chart" uri="{C3380CC4-5D6E-409C-BE32-E72D297353CC}">
              <c16:uniqueId val="{00000001-8025-4DFA-BDDC-25C63D6ECA0E}"/>
            </c:ext>
          </c:extLst>
        </c:ser>
        <c:dLbls>
          <c:showLegendKey val="0"/>
          <c:showVal val="0"/>
          <c:showCatName val="0"/>
          <c:showSerName val="0"/>
          <c:showPercent val="0"/>
          <c:showBubbleSize val="0"/>
        </c:dLbls>
        <c:gapWidth val="50"/>
        <c:overlap val="52"/>
        <c:axId val="629851432"/>
        <c:axId val="629844376"/>
      </c:barChart>
      <c:catAx>
        <c:axId val="629851432"/>
        <c:scaling>
          <c:orientation val="minMax"/>
        </c:scaling>
        <c:delete val="0"/>
        <c:axPos val="b"/>
        <c:numFmt formatCode="General" sourceLinked="0"/>
        <c:majorTickMark val="out"/>
        <c:minorTickMark val="none"/>
        <c:tickLblPos val="nextTo"/>
        <c:txPr>
          <a:bodyPr/>
          <a:lstStyle/>
          <a:p>
            <a:pPr>
              <a:defRPr sz="700"/>
            </a:pPr>
            <a:endParaRPr lang="lv-LV"/>
          </a:p>
        </c:txPr>
        <c:crossAx val="629844376"/>
        <c:crosses val="autoZero"/>
        <c:auto val="1"/>
        <c:lblAlgn val="ctr"/>
        <c:lblOffset val="100"/>
        <c:noMultiLvlLbl val="0"/>
      </c:catAx>
      <c:valAx>
        <c:axId val="629844376"/>
        <c:scaling>
          <c:orientation val="minMax"/>
          <c:max val="80"/>
        </c:scaling>
        <c:delete val="0"/>
        <c:axPos val="l"/>
        <c:numFmt formatCode="0" sourceLinked="1"/>
        <c:majorTickMark val="out"/>
        <c:minorTickMark val="none"/>
        <c:tickLblPos val="nextTo"/>
        <c:txPr>
          <a:bodyPr/>
          <a:lstStyle/>
          <a:p>
            <a:pPr>
              <a:defRPr sz="800"/>
            </a:pPr>
            <a:endParaRPr lang="lv-LV"/>
          </a:p>
        </c:txPr>
        <c:crossAx val="629851432"/>
        <c:crosses val="autoZero"/>
        <c:crossBetween val="between"/>
        <c:majorUnit val="20"/>
      </c:valAx>
      <c:spPr>
        <a:ln>
          <a:noFill/>
        </a:ln>
      </c:spPr>
    </c:plotArea>
    <c:legend>
      <c:legendPos val="r"/>
      <c:layout>
        <c:manualLayout>
          <c:xMode val="edge"/>
          <c:yMode val="edge"/>
          <c:x val="0.11391779152605926"/>
          <c:y val="0.04952826842590622"/>
          <c:w val="0.8553285526809149"/>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390.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02058774445103"/>
          <c:y val="0.057971014492753624"/>
          <c:w val="0.75460561649447"/>
          <c:h val="0.80445774278215221"/>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marker>
              <c:spPr>
                <a:solidFill>
                  <a:srgbClr val="002060"/>
                </a:solidFill>
                <a:ln w="6350">
                  <a:solidFill>
                    <a:sysClr val="windowText" lastClr="000000"/>
                  </a:solidFill>
                </a:ln>
              </c:spPr>
            </c:marker>
            <c:extLst>
              <c:ext xmlns:c="http://schemas.openxmlformats.org/drawingml/2006/chart" xmlns:c16="http://schemas.microsoft.com/office/drawing/2014/chart" uri="{C3380CC4-5D6E-409C-BE32-E72D297353CC}">
                <c16:uniqueId val="{00000000-CE29-4C60-8476-6243BEE0BD8E}"/>
              </c:ext>
            </c:extLst>
          </c:dPt>
          <c:dLbls>
            <c:dLbl>
              <c:idx val="0"/>
              <c:layout>
                <c:manualLayout>
                  <c:x val="-0.24335361190012242"/>
                  <c:y val="-0.01173260744066853"/>
                </c:manualLayout>
              </c:layout>
              <c:tx>
                <c:rich>
                  <a:bodyPr vertOverflow="clip"/>
                  <a:lstStyle/>
                  <a:p>
                    <a:r>
                      <a:rPr lang="en-US"/>
                      <a:t>2005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CE29-4C60-8476-6243BEE0BD8E}"/>
                </c:ext>
                <c:ext xmlns:c15="http://schemas.microsoft.com/office/drawing/2012/chart" uri="{CE6537A1-D6FC-4f65-9D91-7224C49458BB}"/>
              </c:extLst>
            </c:dLbl>
            <c:dLbl>
              <c:idx val="1"/>
              <c:layout>
                <c:manualLayout>
                  <c:x val="-0.3572189301079633"/>
                  <c:y val="-0.279443210624313"/>
                </c:manualLayout>
              </c:layout>
              <c:tx>
                <c:rich>
                  <a:bodyPr vertOverflow="clip"/>
                  <a:lstStyle/>
                  <a:p>
                    <a:r>
                      <a:rPr lang="en-US"/>
                      <a:t>2007</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CE29-4C60-8476-6243BEE0BD8E}"/>
                </c:ext>
                <c:ext xmlns:c15="http://schemas.microsoft.com/office/drawing/2012/chart" uri="{CE6537A1-D6FC-4f65-9D91-7224C49458BB}"/>
              </c:extLst>
            </c:dLbl>
            <c:dLbl>
              <c:idx val="2"/>
              <c:layout>
                <c:manualLayout>
                  <c:x val="0.048025002029385505"/>
                  <c:y val="0.086836709513874871"/>
                </c:manualLayout>
              </c:layout>
              <c:tx>
                <c:rich>
                  <a:bodyPr vertOverflow="clip"/>
                  <a:lstStyle/>
                  <a:p>
                    <a:r>
                      <a:rPr lang="en-US"/>
                      <a:t>2011</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CE29-4C60-8476-6243BEE0BD8E}"/>
                </c:ext>
                <c:ext xmlns:c15="http://schemas.microsoft.com/office/drawing/2012/chart" uri="{CE6537A1-D6FC-4f65-9D91-7224C49458BB}"/>
              </c:extLst>
            </c:dLbl>
            <c:dLbl>
              <c:idx val="3"/>
              <c:layout>
                <c:manualLayout>
                  <c:x val="-0.13084233027572584"/>
                  <c:y val="-0.0592287502523723"/>
                </c:manualLayout>
              </c:layout>
              <c:tx>
                <c:rich>
                  <a:bodyPr vertOverflow="clip"/>
                  <a:lstStyle/>
                  <a:p>
                    <a:r>
                      <a:rPr lang="en-US"/>
                      <a:t>2008</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CE29-4C60-8476-6243BEE0BD8E}"/>
                </c:ext>
                <c:ext xmlns:c15="http://schemas.microsoft.com/office/drawing/2012/chart" uri="{CE6537A1-D6FC-4f65-9D91-7224C49458BB}"/>
              </c:extLst>
            </c:dLbl>
            <c:dLbl>
              <c:idx val="4"/>
              <c:delete val="1"/>
              <c:extLst>
                <c:ext xmlns:c="http://schemas.openxmlformats.org/drawingml/2006/chart" xmlns:c16="http://schemas.microsoft.com/office/drawing/2014/chart" uri="{C3380CC4-5D6E-409C-BE32-E72D297353CC}">
                  <c16:uniqueId val="{00000005-CE29-4C60-8476-6243BEE0BD8E}"/>
                </c:ext>
                <c:ext xmlns:c15="http://schemas.microsoft.com/office/drawing/2012/chart" uri="{CE6537A1-D6FC-4f65-9D91-7224C49458BB}"/>
              </c:extLst>
            </c:dLbl>
            <c:dLbl>
              <c:idx val="5"/>
              <c:delete val="1"/>
              <c:extLst>
                <c:ext xmlns:c="http://schemas.openxmlformats.org/drawingml/2006/chart" xmlns:c16="http://schemas.microsoft.com/office/drawing/2014/chart" uri="{C3380CC4-5D6E-409C-BE32-E72D297353CC}">
                  <c16:uniqueId val="{00000000-CE29-4C60-8476-6243BEE0BD8E}"/>
                </c:ext>
                <c:ext xmlns:c15="http://schemas.microsoft.com/office/drawing/2012/chart" uri="{CE6537A1-D6FC-4f65-9D91-7224C49458BB}"/>
              </c:extLst>
            </c:dLbl>
            <c:dLbl>
              <c:idx val="6"/>
              <c:delete val="1"/>
              <c:extLst>
                <c:ext xmlns:c="http://schemas.openxmlformats.org/drawingml/2006/chart" xmlns:c16="http://schemas.microsoft.com/office/drawing/2014/chart" uri="{C3380CC4-5D6E-409C-BE32-E72D297353CC}">
                  <c16:uniqueId val="{00000006-CE29-4C60-8476-6243BEE0BD8E}"/>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7-CE29-4C60-8476-6243BEE0BD8E}"/>
                </c:ext>
                <c:ext xmlns:c15="http://schemas.microsoft.com/office/drawing/2012/chart" uri="{CE6537A1-D6FC-4f65-9D91-7224C49458BB}"/>
              </c:extLst>
            </c:dLbl>
            <c:dLbl>
              <c:idx val="8"/>
              <c:delete val="1"/>
              <c:extLst>
                <c:ext xmlns:c="http://schemas.openxmlformats.org/drawingml/2006/chart" xmlns:c16="http://schemas.microsoft.com/office/drawing/2014/chart" uri="{C3380CC4-5D6E-409C-BE32-E72D297353CC}">
                  <c16:uniqueId val="{00000008-CE29-4C60-8476-6243BEE0BD8E}"/>
                </c:ext>
                <c:ext xmlns:c15="http://schemas.microsoft.com/office/drawing/2012/chart" uri="{CE6537A1-D6FC-4f65-9D91-7224C49458BB}"/>
              </c:extLst>
            </c:dLbl>
            <c:dLbl>
              <c:idx val="9"/>
              <c:layout>
                <c:manualLayout>
                  <c:x val="-0.014125605433341451"/>
                  <c:y val="-0.030727953877560176"/>
                </c:manualLayout>
              </c:layout>
              <c:tx>
                <c:rich>
                  <a:bodyPr vertOverflow="clip"/>
                  <a:lstStyle/>
                  <a:p>
                    <a:r>
                      <a:rPr lang="en-US"/>
                      <a:t>2014</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CE29-4C60-8476-6243BEE0BD8E}"/>
                </c:ext>
                <c:ext xmlns:c15="http://schemas.microsoft.com/office/drawing/2012/chart" uri="{CE6537A1-D6FC-4f65-9D91-7224C49458BB}"/>
              </c:extLst>
            </c:dLbl>
            <c:dLbl>
              <c:idx val="10"/>
              <c:layout>
                <c:manualLayout>
                  <c:x val="-0.048682691305879967"/>
                  <c:y val="-0.05288250515989211"/>
                </c:manualLayout>
              </c:layout>
              <c:tx>
                <c:rich>
                  <a:bodyPr vertOverflow="clip"/>
                  <a:lstStyle/>
                  <a:p>
                    <a:r>
                      <a:rPr lang="en-US"/>
                      <a:t>2015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CE29-4C60-8476-6243BEE0BD8E}"/>
                </c:ext>
                <c:ext xmlns:c15="http://schemas.microsoft.com/office/drawing/2012/chart" uri="{CE6537A1-D6FC-4f65-9D91-7224C49458BB}"/>
              </c:extLst>
            </c:dLbl>
            <c:dLbl>
              <c:idx val="11"/>
              <c:layout>
                <c:manualLayout>
                  <c:x val="-0.045473776802943768"/>
                  <c:y val="-0.029435967255112244"/>
                </c:manualLayout>
              </c:layout>
              <c:tx>
                <c:rich>
                  <a:bodyPr/>
                  <a:lstStyle/>
                  <a:p>
                    <a:r>
                      <a:rPr lang="lv-LV"/>
                      <a:t>SK</a:t>
                    </a:r>
                    <a:endParaRPr lang="en-US"/>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CE29-4C60-8476-6243BEE0BD8E}"/>
                </c:ext>
                <c:ext xmlns:c15="http://schemas.microsoft.com/office/drawing/2012/chart" uri="{CE6537A1-D6FC-4f65-9D91-7224C49458BB}"/>
              </c:extLst>
            </c:dLbl>
            <c:dLbl>
              <c:idx val="12"/>
              <c:tx>
                <c:rich>
                  <a:bodyPr/>
                  <a:lstStyle/>
                  <a:p>
                    <a:r>
                      <a:rPr lang="lv-LV"/>
                      <a:t>FI</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CE29-4C60-8476-6243BEE0BD8E}"/>
                </c:ext>
                <c:ext xmlns:c15="http://schemas.microsoft.com/office/drawing/2012/chart" uri="{CE6537A1-D6FC-4f65-9D91-7224C49458BB}"/>
              </c:extLst>
            </c:dLbl>
            <c:dLbl>
              <c:idx val="13"/>
              <c:tx>
                <c:rich>
                  <a:bodyPr/>
                  <a:lstStyle/>
                  <a:p>
                    <a:r>
                      <a:rPr lang="lv-LV" b="0"/>
                      <a:t>SE</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CE29-4C60-8476-6243BEE0BD8E}"/>
                </c:ext>
                <c:ext xmlns:c15="http://schemas.microsoft.com/office/drawing/2012/chart" uri="{CE6537A1-D6FC-4f65-9D91-7224C49458BB}"/>
              </c:extLst>
            </c:dLbl>
            <c:spPr>
              <a:noFill/>
              <a:ln>
                <a:noFill/>
              </a:ln>
              <a:effectLst/>
            </c:spPr>
            <c:txPr>
              <a:bodyPr/>
              <a:lstStyle/>
              <a:p>
                <a:pPr>
                  <a:defRPr b="0"/>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Sheet1!$B$3:$B$13</c:f>
              <c:numCache>
                <c:formatCode>0.0</c:formatCode>
                <c:ptCount val="11"/>
                <c:pt idx="0">
                  <c:v>11.1</c:v>
                </c:pt>
                <c:pt idx="1">
                  <c:v>12</c:v>
                </c:pt>
                <c:pt idx="2">
                  <c:v>8.6</c:v>
                </c:pt>
                <c:pt idx="3">
                  <c:v>8.7</c:v>
                </c:pt>
                <c:pt idx="4">
                  <c:v>8.4</c:v>
                </c:pt>
                <c:pt idx="5">
                  <c:v>10</c:v>
                </c:pt>
                <c:pt idx="6">
                  <c:v>10.4</c:v>
                </c:pt>
                <c:pt idx="7">
                  <c:v>9.2</c:v>
                </c:pt>
                <c:pt idx="8">
                  <c:v>9.4</c:v>
                </c:pt>
                <c:pt idx="9">
                  <c:v>9.7</c:v>
                </c:pt>
                <c:pt idx="10">
                  <c:v>9.2</c:v>
                </c:pt>
              </c:numCache>
            </c:numRef>
          </c:xVal>
          <c:yVal>
            <c:numRef>
              <c:f>Sheet1!$C$3:$C$13</c:f>
              <c:numCache>
                <c:formatCode>0.0</c:formatCode>
                <c:ptCount val="11"/>
                <c:pt idx="0">
                  <c:v>0.4</c:v>
                </c:pt>
                <c:pt idx="1">
                  <c:v>0.4</c:v>
                </c:pt>
                <c:pt idx="2">
                  <c:v>0.7</c:v>
                </c:pt>
                <c:pt idx="3">
                  <c:v>0.9</c:v>
                </c:pt>
                <c:pt idx="4">
                  <c:v>0.8</c:v>
                </c:pt>
                <c:pt idx="5">
                  <c:v>0.7</c:v>
                </c:pt>
                <c:pt idx="6">
                  <c:v>0.6</c:v>
                </c:pt>
                <c:pt idx="7">
                  <c:v>0.7</c:v>
                </c:pt>
                <c:pt idx="8">
                  <c:v>0.7</c:v>
                </c:pt>
                <c:pt idx="9">
                  <c:v>0.7</c:v>
                </c:pt>
                <c:pt idx="10">
                  <c:v>0.8</c:v>
                </c:pt>
              </c:numCache>
            </c:numRef>
          </c:yVal>
          <c:smooth val="1"/>
          <c:extLst>
            <c:ext xmlns:c="http://schemas.openxmlformats.org/drawingml/2006/chart" xmlns:c16="http://schemas.microsoft.com/office/drawing/2014/chart" uri="{C3380CC4-5D6E-409C-BE32-E72D297353CC}">
              <c16:uniqueId val="{0000000E-CE29-4C60-8476-6243BEE0BD8E}"/>
            </c:ext>
          </c:extLst>
        </c:ser>
        <c:dLbls>
          <c:showLegendKey val="0"/>
          <c:showVal val="0"/>
          <c:showCatName val="0"/>
          <c:showSerName val="0"/>
          <c:showPercent val="0"/>
          <c:showBubbleSize val="0"/>
        </c:dLbls>
        <c:axId val="656260224"/>
        <c:axId val="656267280"/>
      </c:scatterChart>
      <c:valAx>
        <c:axId val="656260224"/>
        <c:scaling>
          <c:orientation val="minMax"/>
        </c:scaling>
        <c:delete val="0"/>
        <c:axPos val="b"/>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56267280"/>
        <c:crosses val="autoZero"/>
        <c:crossBetween val="midCat"/>
        <c:majorUnit val="10"/>
      </c:valAx>
      <c:valAx>
        <c:axId val="656267280"/>
        <c:scaling>
          <c:orientation val="minMax"/>
          <c:min val="0.30000000000000004"/>
        </c:scaling>
        <c:delete val="0"/>
        <c:axPos val="l"/>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56260224"/>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39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99989176610656"/>
          <c:y val="0.057971014492753624"/>
          <c:w val="0.76167708417891067"/>
          <c:h val="0.777673905411505"/>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marker>
              <c:spPr>
                <a:solidFill>
                  <a:srgbClr val="002060"/>
                </a:solidFill>
                <a:ln w="6350">
                  <a:solidFill>
                    <a:sysClr val="windowText" lastClr="000000"/>
                  </a:solidFill>
                </a:ln>
              </c:spPr>
            </c:marker>
            <c:extLst>
              <c:ext xmlns:c="http://schemas.openxmlformats.org/drawingml/2006/chart" xmlns:c16="http://schemas.microsoft.com/office/drawing/2014/chart" uri="{C3380CC4-5D6E-409C-BE32-E72D297353CC}">
                <c16:uniqueId val="{00000000-B3D1-4A34-8FB9-90E073B42AC3}"/>
              </c:ext>
            </c:extLst>
          </c:dPt>
          <c:dLbls>
            <c:dLbl>
              <c:idx val="0"/>
              <c:layout>
                <c:manualLayout>
                  <c:x val="-0.071738020015512965"/>
                  <c:y val="0.045145704769313656"/>
                </c:manualLayout>
              </c:layout>
              <c:tx>
                <c:rich>
                  <a:bodyPr vertOverflow="clip"/>
                  <a:lstStyle/>
                  <a:p>
                    <a:r>
                      <a:rPr lang="en-US"/>
                      <a:t>2005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B3D1-4A34-8FB9-90E073B42AC3}"/>
                </c:ext>
                <c:ext xmlns:c15="http://schemas.microsoft.com/office/drawing/2012/chart" uri="{CE6537A1-D6FC-4f65-9D91-7224C49458BB}"/>
              </c:extLst>
            </c:dLbl>
            <c:dLbl>
              <c:idx val="1"/>
              <c:layout>
                <c:manualLayout>
                  <c:x val="-0.13468883056284631"/>
                  <c:y val="-0.13193569553805784"/>
                </c:manualLayout>
              </c:layout>
              <c:tx>
                <c:rich>
                  <a:bodyPr vertOverflow="clip"/>
                  <a:lstStyle/>
                  <a:p>
                    <a:r>
                      <a:rPr lang="en-US"/>
                      <a:t>2007</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B3D1-4A34-8FB9-90E073B42AC3}"/>
                </c:ext>
                <c:ext xmlns:c15="http://schemas.microsoft.com/office/drawing/2012/chart" uri="{CE6537A1-D6FC-4f65-9D91-7224C49458BB}"/>
              </c:extLst>
            </c:dLbl>
            <c:dLbl>
              <c:idx val="2"/>
              <c:layout>
                <c:manualLayout>
                  <c:x val="0.078732368862715632"/>
                  <c:y val="0.21156224122047423"/>
                </c:manualLayout>
              </c:layout>
              <c:tx>
                <c:rich>
                  <a:bodyPr vertOverflow="clip"/>
                  <a:lstStyle/>
                  <a:p>
                    <a:r>
                      <a:rPr lang="en-US"/>
                      <a:t>2010</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B3D1-4A34-8FB9-90E073B42AC3}"/>
                </c:ext>
                <c:ext xmlns:c15="http://schemas.microsoft.com/office/drawing/2012/chart" uri="{CE6537A1-D6FC-4f65-9D91-7224C49458BB}"/>
              </c:extLst>
            </c:dLbl>
            <c:dLbl>
              <c:idx val="3"/>
              <c:layout>
                <c:manualLayout>
                  <c:x val="0.0065738230818917177"/>
                  <c:y val="-0.013664678612903674"/>
                </c:manualLayout>
              </c:layout>
              <c:tx>
                <c:rich>
                  <a:bodyPr vertOverflow="clip"/>
                  <a:lstStyle/>
                  <a:p>
                    <a:r>
                      <a:rPr lang="en-US"/>
                      <a:t>2008</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B3D1-4A34-8FB9-90E073B42AC3}"/>
                </c:ext>
                <c:ext xmlns:c15="http://schemas.microsoft.com/office/drawing/2012/chart" uri="{CE6537A1-D6FC-4f65-9D91-7224C49458BB}"/>
              </c:extLst>
            </c:dLbl>
            <c:dLbl>
              <c:idx val="4"/>
              <c:delete val="1"/>
              <c:extLst>
                <c:ext xmlns:c="http://schemas.openxmlformats.org/drawingml/2006/chart" xmlns:c16="http://schemas.microsoft.com/office/drawing/2014/chart" uri="{C3380CC4-5D6E-409C-BE32-E72D297353CC}">
                  <c16:uniqueId val="{00000005-B3D1-4A34-8FB9-90E073B42AC3}"/>
                </c:ext>
                <c:ext xmlns:c15="http://schemas.microsoft.com/office/drawing/2012/chart" uri="{CE6537A1-D6FC-4f65-9D91-7224C49458BB}"/>
              </c:extLst>
            </c:dLbl>
            <c:dLbl>
              <c:idx val="5"/>
              <c:delete val="1"/>
              <c:extLst>
                <c:ext xmlns:c="http://schemas.openxmlformats.org/drawingml/2006/chart" xmlns:c16="http://schemas.microsoft.com/office/drawing/2014/chart" uri="{C3380CC4-5D6E-409C-BE32-E72D297353CC}">
                  <c16:uniqueId val="{00000000-B3D1-4A34-8FB9-90E073B42AC3}"/>
                </c:ext>
                <c:ext xmlns:c15="http://schemas.microsoft.com/office/drawing/2012/chart" uri="{CE6537A1-D6FC-4f65-9D91-7224C49458BB}"/>
              </c:extLst>
            </c:dLbl>
            <c:dLbl>
              <c:idx val="6"/>
              <c:delete val="1"/>
              <c:extLst>
                <c:ext xmlns:c="http://schemas.openxmlformats.org/drawingml/2006/chart" xmlns:c16="http://schemas.microsoft.com/office/drawing/2014/chart" uri="{C3380CC4-5D6E-409C-BE32-E72D297353CC}">
                  <c16:uniqueId val="{00000006-B3D1-4A34-8FB9-90E073B42AC3}"/>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7-B3D1-4A34-8FB9-90E073B42AC3}"/>
                </c:ext>
                <c:ext xmlns:c15="http://schemas.microsoft.com/office/drawing/2012/chart" uri="{CE6537A1-D6FC-4f65-9D91-7224C49458BB}"/>
              </c:extLst>
            </c:dLbl>
            <c:dLbl>
              <c:idx val="8"/>
              <c:delete val="1"/>
              <c:extLst>
                <c:ext xmlns:c="http://schemas.openxmlformats.org/drawingml/2006/chart" xmlns:c16="http://schemas.microsoft.com/office/drawing/2014/chart" uri="{C3380CC4-5D6E-409C-BE32-E72D297353CC}">
                  <c16:uniqueId val="{00000008-B3D1-4A34-8FB9-90E073B42AC3}"/>
                </c:ext>
                <c:ext xmlns:c15="http://schemas.microsoft.com/office/drawing/2012/chart" uri="{CE6537A1-D6FC-4f65-9D91-7224C49458BB}"/>
              </c:extLst>
            </c:dLbl>
            <c:dLbl>
              <c:idx val="9"/>
              <c:layout>
                <c:manualLayout>
                  <c:x val="-0.041616916162405107"/>
                  <c:y val="-0.03072817227589833"/>
                </c:manualLayout>
              </c:layout>
              <c:tx>
                <c:rich>
                  <a:bodyPr vertOverflow="clip"/>
                  <a:lstStyle/>
                  <a:p>
                    <a:r>
                      <a:rPr lang="en-US"/>
                      <a:t>2014</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B3D1-4A34-8FB9-90E073B42AC3}"/>
                </c:ext>
                <c:ext xmlns:c15="http://schemas.microsoft.com/office/drawing/2012/chart" uri="{CE6537A1-D6FC-4f65-9D91-7224C49458BB}"/>
              </c:extLst>
            </c:dLbl>
            <c:dLbl>
              <c:idx val="10"/>
              <c:layout>
                <c:manualLayout>
                  <c:x val="-0.048682691305879967"/>
                  <c:y val="-0.05288250515989211"/>
                </c:manualLayout>
              </c:layout>
              <c:tx>
                <c:rich>
                  <a:bodyPr vertOverflow="clip"/>
                  <a:lstStyle/>
                  <a:p>
                    <a:r>
                      <a:rPr lang="en-US"/>
                      <a:t>2015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B3D1-4A34-8FB9-90E073B42AC3}"/>
                </c:ext>
                <c:ext xmlns:c15="http://schemas.microsoft.com/office/drawing/2012/chart" uri="{CE6537A1-D6FC-4f65-9D91-7224C49458BB}"/>
              </c:extLst>
            </c:dLbl>
            <c:dLbl>
              <c:idx val="11"/>
              <c:layout>
                <c:manualLayout>
                  <c:x val="-0.045473776802943768"/>
                  <c:y val="-0.029435967255112244"/>
                </c:manualLayout>
              </c:layout>
              <c:tx>
                <c:rich>
                  <a:bodyPr/>
                  <a:lstStyle/>
                  <a:p>
                    <a:r>
                      <a:rPr lang="lv-LV"/>
                      <a:t>SK</a:t>
                    </a:r>
                    <a:endParaRPr lang="en-US"/>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B3D1-4A34-8FB9-90E073B42AC3}"/>
                </c:ext>
                <c:ext xmlns:c15="http://schemas.microsoft.com/office/drawing/2012/chart" uri="{CE6537A1-D6FC-4f65-9D91-7224C49458BB}"/>
              </c:extLst>
            </c:dLbl>
            <c:dLbl>
              <c:idx val="12"/>
              <c:tx>
                <c:rich>
                  <a:bodyPr/>
                  <a:lstStyle/>
                  <a:p>
                    <a:r>
                      <a:rPr lang="lv-LV"/>
                      <a:t>FI</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B3D1-4A34-8FB9-90E073B42AC3}"/>
                </c:ext>
                <c:ext xmlns:c15="http://schemas.microsoft.com/office/drawing/2012/chart" uri="{CE6537A1-D6FC-4f65-9D91-7224C49458BB}"/>
              </c:extLst>
            </c:dLbl>
            <c:dLbl>
              <c:idx val="13"/>
              <c:tx>
                <c:rich>
                  <a:bodyPr/>
                  <a:lstStyle/>
                  <a:p>
                    <a:r>
                      <a:rPr lang="lv-LV" b="0"/>
                      <a:t>SE</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B3D1-4A34-8FB9-90E073B42AC3}"/>
                </c:ext>
                <c:ext xmlns:c15="http://schemas.microsoft.com/office/drawing/2012/chart" uri="{CE6537A1-D6FC-4f65-9D91-7224C49458BB}"/>
              </c:extLst>
            </c:dLbl>
            <c:spPr>
              <a:noFill/>
              <a:ln>
                <a:noFill/>
              </a:ln>
              <a:effectLst/>
            </c:spPr>
            <c:txPr>
              <a:bodyPr/>
              <a:lstStyle/>
              <a:p>
                <a:pPr>
                  <a:defRPr b="0"/>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Sheet1!$B$3:$B$13</c:f>
              <c:numCache>
                <c:formatCode>0.0</c:formatCode>
                <c:ptCount val="11"/>
                <c:pt idx="0">
                  <c:v>13.5</c:v>
                </c:pt>
                <c:pt idx="1">
                  <c:v>12.4</c:v>
                </c:pt>
                <c:pt idx="2">
                  <c:v>15.7</c:v>
                </c:pt>
                <c:pt idx="3">
                  <c:v>12.1</c:v>
                </c:pt>
                <c:pt idx="4">
                  <c:v>16.6</c:v>
                </c:pt>
                <c:pt idx="5">
                  <c:v>21</c:v>
                </c:pt>
                <c:pt idx="6">
                  <c:v>21.6</c:v>
                </c:pt>
                <c:pt idx="7">
                  <c:v>22.3</c:v>
                </c:pt>
                <c:pt idx="8">
                  <c:v>20.3</c:v>
                </c:pt>
                <c:pt idx="9">
                  <c:v>21.8</c:v>
                </c:pt>
                <c:pt idx="10">
                  <c:v>21.7</c:v>
                </c:pt>
              </c:numCache>
            </c:numRef>
          </c:xVal>
          <c:yVal>
            <c:numRef>
              <c:f>Sheet1!$C$3:$C$13</c:f>
              <c:numCache>
                <c:formatCode>0.0</c:formatCode>
                <c:ptCount val="11"/>
                <c:pt idx="0">
                  <c:v>0.4</c:v>
                </c:pt>
                <c:pt idx="1">
                  <c:v>0.4</c:v>
                </c:pt>
                <c:pt idx="2">
                  <c:v>0.5</c:v>
                </c:pt>
                <c:pt idx="3">
                  <c:v>0.8</c:v>
                </c:pt>
                <c:pt idx="4">
                  <c:v>0.5</c:v>
                </c:pt>
                <c:pt idx="5">
                  <c:v>0.4</c:v>
                </c:pt>
                <c:pt idx="6">
                  <c:v>0.4</c:v>
                </c:pt>
                <c:pt idx="7">
                  <c:v>0.4</c:v>
                </c:pt>
                <c:pt idx="8">
                  <c:v>0.5</c:v>
                </c:pt>
                <c:pt idx="9">
                  <c:v>0.5</c:v>
                </c:pt>
                <c:pt idx="10">
                  <c:v>0.6</c:v>
                </c:pt>
              </c:numCache>
            </c:numRef>
          </c:yVal>
          <c:smooth val="1"/>
          <c:extLst>
            <c:ext xmlns:c="http://schemas.openxmlformats.org/drawingml/2006/chart" xmlns:c16="http://schemas.microsoft.com/office/drawing/2014/chart" uri="{C3380CC4-5D6E-409C-BE32-E72D297353CC}">
              <c16:uniqueId val="{0000000E-B3D1-4A34-8FB9-90E073B42AC3}"/>
            </c:ext>
          </c:extLst>
        </c:ser>
        <c:dLbls>
          <c:showLegendKey val="0"/>
          <c:showVal val="0"/>
          <c:showCatName val="0"/>
          <c:showSerName val="0"/>
          <c:showPercent val="0"/>
          <c:showBubbleSize val="0"/>
        </c:dLbls>
        <c:axId val="656267672"/>
        <c:axId val="656265712"/>
      </c:scatterChart>
      <c:valAx>
        <c:axId val="656267672"/>
        <c:scaling>
          <c:orientation val="minMax"/>
          <c:max val="25"/>
          <c:min val="10"/>
        </c:scaling>
        <c:delete val="0"/>
        <c:axPos val="b"/>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56265712"/>
        <c:crosses val="autoZero"/>
        <c:crossBetween val="midCat"/>
      </c:valAx>
      <c:valAx>
        <c:axId val="656265712"/>
        <c:scaling>
          <c:orientation val="minMax"/>
          <c:min val="0.30000000000000004"/>
        </c:scaling>
        <c:delete val="0"/>
        <c:axPos val="l"/>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56267672"/>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39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597795508808345"/>
          <c:y val="0.057971014492753624"/>
          <c:w val="0.7225670282514205"/>
          <c:h val="0.78579022558889"/>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marker>
              <c:spPr>
                <a:solidFill>
                  <a:srgbClr val="002060"/>
                </a:solidFill>
                <a:ln w="6350">
                  <a:solidFill>
                    <a:sysClr val="windowText" lastClr="000000"/>
                  </a:solidFill>
                </a:ln>
              </c:spPr>
            </c:marker>
            <c:extLst>
              <c:ext xmlns:c="http://schemas.openxmlformats.org/drawingml/2006/chart" xmlns:c16="http://schemas.microsoft.com/office/drawing/2014/chart" uri="{C3380CC4-5D6E-409C-BE32-E72D297353CC}">
                <c16:uniqueId val="{00000000-1264-4349-921A-6DD52262E56E}"/>
              </c:ext>
            </c:extLst>
          </c:dPt>
          <c:dLbls>
            <c:dLbl>
              <c:idx val="0"/>
              <c:layout>
                <c:manualLayout>
                  <c:x val="-0.24335361190012242"/>
                  <c:y val="-0.01173260744066853"/>
                </c:manualLayout>
              </c:layout>
              <c:tx>
                <c:rich>
                  <a:bodyPr vertOverflow="clip"/>
                  <a:lstStyle/>
                  <a:p>
                    <a:r>
                      <a:rPr lang="en-US"/>
                      <a:t>2005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1264-4349-921A-6DD52262E56E}"/>
                </c:ext>
                <c:ext xmlns:c15="http://schemas.microsoft.com/office/drawing/2012/chart" uri="{CE6537A1-D6FC-4f65-9D91-7224C49458BB}"/>
              </c:extLst>
            </c:dLbl>
            <c:dLbl>
              <c:idx val="1"/>
              <c:layout>
                <c:manualLayout>
                  <c:x val="-0.50674859486158241"/>
                  <c:y val="-0.18827500729075533"/>
                </c:manualLayout>
              </c:layout>
              <c:tx>
                <c:rich>
                  <a:bodyPr vertOverflow="clip"/>
                  <a:lstStyle/>
                  <a:p>
                    <a:r>
                      <a:rPr lang="en-US"/>
                      <a:t>2007</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1264-4349-921A-6DD52262E56E}"/>
                </c:ext>
                <c:ext xmlns:c15="http://schemas.microsoft.com/office/drawing/2012/chart" uri="{CE6537A1-D6FC-4f65-9D91-7224C49458BB}"/>
              </c:extLst>
            </c:dLbl>
            <c:dLbl>
              <c:idx val="2"/>
              <c:layout>
                <c:manualLayout>
                  <c:x val="0.048025002029385505"/>
                  <c:y val="0.10393072660789196"/>
                </c:manualLayout>
              </c:layout>
              <c:tx>
                <c:rich>
                  <a:bodyPr vertOverflow="clip"/>
                  <a:lstStyle/>
                  <a:p>
                    <a:r>
                      <a:rPr lang="en-US"/>
                      <a:t>2010</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1264-4349-921A-6DD52262E56E}"/>
                </c:ext>
                <c:ext xmlns:c15="http://schemas.microsoft.com/office/drawing/2012/chart" uri="{CE6537A1-D6FC-4f65-9D91-7224C49458BB}"/>
              </c:extLst>
            </c:dLbl>
            <c:dLbl>
              <c:idx val="3"/>
              <c:layout>
                <c:manualLayout>
                  <c:x val="-0.22706211723534558"/>
                  <c:y val="-0.069200204141149024"/>
                </c:manualLayout>
              </c:layout>
              <c:tx>
                <c:rich>
                  <a:bodyPr vertOverflow="clip"/>
                  <a:lstStyle/>
                  <a:p>
                    <a:r>
                      <a:rPr lang="en-US"/>
                      <a:t>2008</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1264-4349-921A-6DD52262E56E}"/>
                </c:ext>
                <c:ext xmlns:c15="http://schemas.microsoft.com/office/drawing/2012/chart" uri="{CE6537A1-D6FC-4f65-9D91-7224C49458BB}"/>
              </c:extLst>
            </c:dLbl>
            <c:dLbl>
              <c:idx val="4"/>
              <c:delete val="1"/>
              <c:extLst>
                <c:ext xmlns:c="http://schemas.openxmlformats.org/drawingml/2006/chart" xmlns:c16="http://schemas.microsoft.com/office/drawing/2014/chart" uri="{C3380CC4-5D6E-409C-BE32-E72D297353CC}">
                  <c16:uniqueId val="{00000005-1264-4349-921A-6DD52262E56E}"/>
                </c:ext>
                <c:ext xmlns:c15="http://schemas.microsoft.com/office/drawing/2012/chart" uri="{CE6537A1-D6FC-4f65-9D91-7224C49458BB}"/>
              </c:extLst>
            </c:dLbl>
            <c:dLbl>
              <c:idx val="5"/>
              <c:delete val="1"/>
              <c:extLst>
                <c:ext xmlns:c="http://schemas.openxmlformats.org/drawingml/2006/chart" xmlns:c16="http://schemas.microsoft.com/office/drawing/2014/chart" uri="{C3380CC4-5D6E-409C-BE32-E72D297353CC}">
                  <c16:uniqueId val="{00000000-1264-4349-921A-6DD52262E56E}"/>
                </c:ext>
                <c:ext xmlns:c15="http://schemas.microsoft.com/office/drawing/2012/chart" uri="{CE6537A1-D6FC-4f65-9D91-7224C49458BB}"/>
              </c:extLst>
            </c:dLbl>
            <c:dLbl>
              <c:idx val="6"/>
              <c:delete val="1"/>
              <c:extLst>
                <c:ext xmlns:c="http://schemas.openxmlformats.org/drawingml/2006/chart" xmlns:c16="http://schemas.microsoft.com/office/drawing/2014/chart" uri="{C3380CC4-5D6E-409C-BE32-E72D297353CC}">
                  <c16:uniqueId val="{00000006-1264-4349-921A-6DD52262E56E}"/>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7-1264-4349-921A-6DD52262E56E}"/>
                </c:ext>
                <c:ext xmlns:c15="http://schemas.microsoft.com/office/drawing/2012/chart" uri="{CE6537A1-D6FC-4f65-9D91-7224C49458BB}"/>
              </c:extLst>
            </c:dLbl>
            <c:dLbl>
              <c:idx val="8"/>
              <c:delete val="1"/>
              <c:extLst>
                <c:ext xmlns:c="http://schemas.openxmlformats.org/drawingml/2006/chart" xmlns:c16="http://schemas.microsoft.com/office/drawing/2014/chart" uri="{C3380CC4-5D6E-409C-BE32-E72D297353CC}">
                  <c16:uniqueId val="{00000008-1264-4349-921A-6DD52262E56E}"/>
                </c:ext>
                <c:ext xmlns:c15="http://schemas.microsoft.com/office/drawing/2012/chart" uri="{CE6537A1-D6FC-4f65-9D91-7224C49458BB}"/>
              </c:extLst>
            </c:dLbl>
            <c:dLbl>
              <c:idx val="9"/>
              <c:layout>
                <c:manualLayout>
                  <c:x val="-0.027871309900695404"/>
                  <c:y val="-0.013633936783543082"/>
                </c:manualLayout>
              </c:layout>
              <c:tx>
                <c:rich>
                  <a:bodyPr vertOverflow="clip"/>
                  <a:lstStyle/>
                  <a:p>
                    <a:r>
                      <a:rPr lang="en-US"/>
                      <a:t>2014</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1264-4349-921A-6DD52262E56E}"/>
                </c:ext>
                <c:ext xmlns:c15="http://schemas.microsoft.com/office/drawing/2012/chart" uri="{CE6537A1-D6FC-4f65-9D91-7224C49458BB}"/>
              </c:extLst>
            </c:dLbl>
            <c:dLbl>
              <c:idx val="10"/>
              <c:layout>
                <c:manualLayout>
                  <c:x val="-0.048682691305879967"/>
                  <c:y val="-0.05288250515989211"/>
                </c:manualLayout>
              </c:layout>
              <c:tx>
                <c:rich>
                  <a:bodyPr vertOverflow="clip"/>
                  <a:lstStyle/>
                  <a:p>
                    <a:r>
                      <a:rPr lang="en-US"/>
                      <a:t>2015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1264-4349-921A-6DD52262E56E}"/>
                </c:ext>
                <c:ext xmlns:c15="http://schemas.microsoft.com/office/drawing/2012/chart" uri="{CE6537A1-D6FC-4f65-9D91-7224C49458BB}"/>
              </c:extLst>
            </c:dLbl>
            <c:dLbl>
              <c:idx val="11"/>
              <c:layout>
                <c:manualLayout>
                  <c:x val="-0.045473776802943768"/>
                  <c:y val="-0.029435967255112244"/>
                </c:manualLayout>
              </c:layout>
              <c:tx>
                <c:rich>
                  <a:bodyPr/>
                  <a:lstStyle/>
                  <a:p>
                    <a:r>
                      <a:rPr lang="lv-LV"/>
                      <a:t>SK</a:t>
                    </a:r>
                    <a:endParaRPr lang="en-US"/>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1264-4349-921A-6DD52262E56E}"/>
                </c:ext>
                <c:ext xmlns:c15="http://schemas.microsoft.com/office/drawing/2012/chart" uri="{CE6537A1-D6FC-4f65-9D91-7224C49458BB}"/>
              </c:extLst>
            </c:dLbl>
            <c:dLbl>
              <c:idx val="12"/>
              <c:tx>
                <c:rich>
                  <a:bodyPr/>
                  <a:lstStyle/>
                  <a:p>
                    <a:r>
                      <a:rPr lang="lv-LV"/>
                      <a:t>FI</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1264-4349-921A-6DD52262E56E}"/>
                </c:ext>
                <c:ext xmlns:c15="http://schemas.microsoft.com/office/drawing/2012/chart" uri="{CE6537A1-D6FC-4f65-9D91-7224C49458BB}"/>
              </c:extLst>
            </c:dLbl>
            <c:dLbl>
              <c:idx val="13"/>
              <c:tx>
                <c:rich>
                  <a:bodyPr/>
                  <a:lstStyle/>
                  <a:p>
                    <a:r>
                      <a:rPr lang="lv-LV" b="0"/>
                      <a:t>SE</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1264-4349-921A-6DD52262E56E}"/>
                </c:ext>
                <c:ext xmlns:c15="http://schemas.microsoft.com/office/drawing/2012/chart" uri="{CE6537A1-D6FC-4f65-9D91-7224C49458BB}"/>
              </c:extLst>
            </c:dLbl>
            <c:spPr>
              <a:noFill/>
              <a:ln>
                <a:noFill/>
              </a:ln>
              <a:effectLst/>
            </c:spPr>
            <c:txPr>
              <a:bodyPr/>
              <a:lstStyle/>
              <a:p>
                <a:pPr>
                  <a:defRPr b="0"/>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Sheet1!$B$3:$B$13</c:f>
              <c:numCache>
                <c:formatCode>0.0</c:formatCode>
                <c:ptCount val="11"/>
                <c:pt idx="0">
                  <c:v>19.4</c:v>
                </c:pt>
                <c:pt idx="1">
                  <c:v>21.6</c:v>
                </c:pt>
                <c:pt idx="2">
                  <c:v>15.9</c:v>
                </c:pt>
                <c:pt idx="3">
                  <c:v>16.6</c:v>
                </c:pt>
                <c:pt idx="4">
                  <c:v>16.1</c:v>
                </c:pt>
                <c:pt idx="5">
                  <c:v>18.4</c:v>
                </c:pt>
                <c:pt idx="6">
                  <c:v>16.1</c:v>
                </c:pt>
                <c:pt idx="7">
                  <c:v>16.9</c:v>
                </c:pt>
                <c:pt idx="8">
                  <c:v>16.9</c:v>
                </c:pt>
                <c:pt idx="9">
                  <c:v>18.3</c:v>
                </c:pt>
                <c:pt idx="10">
                  <c:v>17.9</c:v>
                </c:pt>
              </c:numCache>
            </c:numRef>
          </c:xVal>
          <c:yVal>
            <c:numRef>
              <c:f>Sheet1!$C$3:$C$13</c:f>
              <c:numCache>
                <c:formatCode>0.0</c:formatCode>
                <c:ptCount val="11"/>
                <c:pt idx="0">
                  <c:v>0.4</c:v>
                </c:pt>
                <c:pt idx="1">
                  <c:v>0.4</c:v>
                </c:pt>
                <c:pt idx="2">
                  <c:v>0.6</c:v>
                </c:pt>
                <c:pt idx="3">
                  <c:v>0.6</c:v>
                </c:pt>
                <c:pt idx="4">
                  <c:v>0.6</c:v>
                </c:pt>
                <c:pt idx="5">
                  <c:v>0.5</c:v>
                </c:pt>
                <c:pt idx="6">
                  <c:v>0.6</c:v>
                </c:pt>
                <c:pt idx="7">
                  <c:v>0.6</c:v>
                </c:pt>
                <c:pt idx="8">
                  <c:v>0.7</c:v>
                </c:pt>
                <c:pt idx="9">
                  <c:v>0.7</c:v>
                </c:pt>
                <c:pt idx="10">
                  <c:v>0.8</c:v>
                </c:pt>
              </c:numCache>
            </c:numRef>
          </c:yVal>
          <c:smooth val="1"/>
          <c:extLst>
            <c:ext xmlns:c="http://schemas.openxmlformats.org/drawingml/2006/chart" xmlns:c16="http://schemas.microsoft.com/office/drawing/2014/chart" uri="{C3380CC4-5D6E-409C-BE32-E72D297353CC}">
              <c16:uniqueId val="{0000000E-1264-4349-921A-6DD52262E56E}"/>
            </c:ext>
          </c:extLst>
        </c:ser>
        <c:dLbls>
          <c:showLegendKey val="0"/>
          <c:showVal val="0"/>
          <c:showCatName val="0"/>
          <c:showSerName val="0"/>
          <c:showPercent val="0"/>
          <c:showBubbleSize val="0"/>
        </c:dLbls>
        <c:axId val="656265320"/>
        <c:axId val="656263360"/>
      </c:scatterChart>
      <c:valAx>
        <c:axId val="656265320"/>
        <c:scaling>
          <c:orientation val="minMax"/>
          <c:max val="25"/>
          <c:min val="10"/>
        </c:scaling>
        <c:delete val="0"/>
        <c:axPos val="b"/>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56263360"/>
        <c:crosses val="autoZero"/>
        <c:crossBetween val="midCat"/>
      </c:valAx>
      <c:valAx>
        <c:axId val="656263360"/>
        <c:scaling>
          <c:orientation val="minMax"/>
          <c:min val="0.30000000000000004"/>
        </c:scaling>
        <c:delete val="0"/>
        <c:axPos val="l"/>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56265320"/>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39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022950619544649"/>
          <c:y val="0.057971014492753624"/>
          <c:w val="0.754964292254166"/>
          <c:h val="0.77800053839423922"/>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marker>
              <c:spPr>
                <a:solidFill>
                  <a:srgbClr val="002060"/>
                </a:solidFill>
                <a:ln w="6350">
                  <a:solidFill>
                    <a:sysClr val="windowText" lastClr="000000"/>
                  </a:solidFill>
                </a:ln>
              </c:spPr>
            </c:marker>
            <c:extLst>
              <c:ext xmlns:c="http://schemas.openxmlformats.org/drawingml/2006/chart" xmlns:c16="http://schemas.microsoft.com/office/drawing/2014/chart" uri="{C3380CC4-5D6E-409C-BE32-E72D297353CC}">
                <c16:uniqueId val="{00000000-80D0-4DEB-A7A3-46A3FAD21A9D}"/>
              </c:ext>
            </c:extLst>
          </c:dPt>
          <c:dLbls>
            <c:dLbl>
              <c:idx val="0"/>
              <c:layout>
                <c:manualLayout>
                  <c:x val="-0.24335361190012242"/>
                  <c:y val="-0.01173260744066853"/>
                </c:manualLayout>
              </c:layout>
              <c:tx>
                <c:rich>
                  <a:bodyPr vertOverflow="clip"/>
                  <a:lstStyle/>
                  <a:p>
                    <a:r>
                      <a:rPr lang="en-US"/>
                      <a:t>2005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80D0-4DEB-A7A3-46A3FAD21A9D}"/>
                </c:ext>
                <c:ext xmlns:c15="http://schemas.microsoft.com/office/drawing/2012/chart" uri="{CE6537A1-D6FC-4f65-9D91-7224C49458BB}"/>
              </c:extLst>
            </c:dLbl>
            <c:dLbl>
              <c:idx val="1"/>
              <c:layout>
                <c:manualLayout>
                  <c:x val="-0.34347376681007663"/>
                  <c:y val="-0.41619534737644981"/>
                </c:manualLayout>
              </c:layout>
              <c:tx>
                <c:rich>
                  <a:bodyPr vertOverflow="clip"/>
                  <a:lstStyle/>
                  <a:p>
                    <a:r>
                      <a:rPr lang="en-US"/>
                      <a:t>2007</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80D0-4DEB-A7A3-46A3FAD21A9D}"/>
                </c:ext>
                <c:ext xmlns:c15="http://schemas.microsoft.com/office/drawing/2012/chart" uri="{CE6537A1-D6FC-4f65-9D91-7224C49458BB}"/>
              </c:extLst>
            </c:dLbl>
            <c:dLbl>
              <c:idx val="2"/>
              <c:layout>
                <c:manualLayout>
                  <c:x val="0.14923935478938918"/>
                  <c:y val="0.3475204141149022"/>
                </c:manualLayout>
              </c:layout>
              <c:tx>
                <c:rich>
                  <a:bodyPr vertOverflow="clip"/>
                  <a:lstStyle/>
                  <a:p>
                    <a:r>
                      <a:rPr lang="en-US"/>
                      <a:t>2010</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80D0-4DEB-A7A3-46A3FAD21A9D}"/>
                </c:ext>
                <c:ext xmlns:c15="http://schemas.microsoft.com/office/drawing/2012/chart" uri="{CE6537A1-D6FC-4f65-9D91-7224C49458BB}"/>
              </c:extLst>
            </c:dLbl>
            <c:dLbl>
              <c:idx val="3"/>
              <c:layout>
                <c:manualLayout>
                  <c:x val="-0.28204507941661933"/>
                  <c:y val="0.054731363707741662"/>
                </c:manualLayout>
              </c:layout>
              <c:tx>
                <c:rich>
                  <a:bodyPr vertOverflow="clip"/>
                  <a:lstStyle/>
                  <a:p>
                    <a:r>
                      <a:rPr lang="en-US"/>
                      <a:t>2009</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80D0-4DEB-A7A3-46A3FAD21A9D}"/>
                </c:ext>
                <c:ext xmlns:c15="http://schemas.microsoft.com/office/drawing/2012/chart" uri="{CE6537A1-D6FC-4f65-9D91-7224C49458BB}"/>
              </c:extLst>
            </c:dLbl>
            <c:dLbl>
              <c:idx val="4"/>
              <c:delete val="1"/>
              <c:extLst>
                <c:ext xmlns:c="http://schemas.openxmlformats.org/drawingml/2006/chart" xmlns:c16="http://schemas.microsoft.com/office/drawing/2014/chart" uri="{C3380CC4-5D6E-409C-BE32-E72D297353CC}">
                  <c16:uniqueId val="{00000005-80D0-4DEB-A7A3-46A3FAD21A9D}"/>
                </c:ext>
                <c:ext xmlns:c15="http://schemas.microsoft.com/office/drawing/2012/chart" uri="{CE6537A1-D6FC-4f65-9D91-7224C49458BB}"/>
              </c:extLst>
            </c:dLbl>
            <c:dLbl>
              <c:idx val="5"/>
              <c:delete val="1"/>
              <c:extLst>
                <c:ext xmlns:c="http://schemas.openxmlformats.org/drawingml/2006/chart" xmlns:c16="http://schemas.microsoft.com/office/drawing/2014/chart" uri="{C3380CC4-5D6E-409C-BE32-E72D297353CC}">
                  <c16:uniqueId val="{00000000-80D0-4DEB-A7A3-46A3FAD21A9D}"/>
                </c:ext>
                <c:ext xmlns:c15="http://schemas.microsoft.com/office/drawing/2012/chart" uri="{CE6537A1-D6FC-4f65-9D91-7224C49458BB}"/>
              </c:extLst>
            </c:dLbl>
            <c:dLbl>
              <c:idx val="6"/>
              <c:delete val="1"/>
              <c:extLst>
                <c:ext xmlns:c="http://schemas.openxmlformats.org/drawingml/2006/chart" xmlns:c16="http://schemas.microsoft.com/office/drawing/2014/chart" uri="{C3380CC4-5D6E-409C-BE32-E72D297353CC}">
                  <c16:uniqueId val="{00000006-80D0-4DEB-A7A3-46A3FAD21A9D}"/>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7-80D0-4DEB-A7A3-46A3FAD21A9D}"/>
                </c:ext>
                <c:ext xmlns:c15="http://schemas.microsoft.com/office/drawing/2012/chart" uri="{CE6537A1-D6FC-4f65-9D91-7224C49458BB}"/>
              </c:extLst>
            </c:dLbl>
            <c:dLbl>
              <c:idx val="8"/>
              <c:delete val="1"/>
              <c:extLst>
                <c:ext xmlns:c="http://schemas.openxmlformats.org/drawingml/2006/chart" xmlns:c16="http://schemas.microsoft.com/office/drawing/2014/chart" uri="{C3380CC4-5D6E-409C-BE32-E72D297353CC}">
                  <c16:uniqueId val="{00000008-80D0-4DEB-A7A3-46A3FAD21A9D}"/>
                </c:ext>
                <c:ext xmlns:c15="http://schemas.microsoft.com/office/drawing/2012/chart" uri="{CE6537A1-D6FC-4f65-9D91-7224C49458BB}"/>
              </c:extLst>
            </c:dLbl>
            <c:dLbl>
              <c:idx val="9"/>
              <c:layout>
                <c:manualLayout>
                  <c:x val="-0.027871309900695404"/>
                  <c:y val="-0.013633936783543082"/>
                </c:manualLayout>
              </c:layout>
              <c:tx>
                <c:rich>
                  <a:bodyPr vertOverflow="clip"/>
                  <a:lstStyle/>
                  <a:p>
                    <a:r>
                      <a:rPr lang="en-US"/>
                      <a:t>2014</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80D0-4DEB-A7A3-46A3FAD21A9D}"/>
                </c:ext>
                <c:ext xmlns:c15="http://schemas.microsoft.com/office/drawing/2012/chart" uri="{CE6537A1-D6FC-4f65-9D91-7224C49458BB}"/>
              </c:extLst>
            </c:dLbl>
            <c:dLbl>
              <c:idx val="10"/>
              <c:layout>
                <c:manualLayout>
                  <c:x val="-0.048682691305879967"/>
                  <c:y val="-0.05288250515989211"/>
                </c:manualLayout>
              </c:layout>
              <c:tx>
                <c:rich>
                  <a:bodyPr vertOverflow="clip"/>
                  <a:lstStyle/>
                  <a:p>
                    <a:r>
                      <a:rPr lang="en-US"/>
                      <a:t>2015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80D0-4DEB-A7A3-46A3FAD21A9D}"/>
                </c:ext>
                <c:ext xmlns:c15="http://schemas.microsoft.com/office/drawing/2012/chart" uri="{CE6537A1-D6FC-4f65-9D91-7224C49458BB}"/>
              </c:extLst>
            </c:dLbl>
            <c:dLbl>
              <c:idx val="11"/>
              <c:layout>
                <c:manualLayout>
                  <c:x val="-0.045473776802943768"/>
                  <c:y val="-0.029435967255112244"/>
                </c:manualLayout>
              </c:layout>
              <c:tx>
                <c:rich>
                  <a:bodyPr/>
                  <a:lstStyle/>
                  <a:p>
                    <a:r>
                      <a:rPr lang="lv-LV"/>
                      <a:t>SK</a:t>
                    </a:r>
                    <a:endParaRPr lang="en-US"/>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80D0-4DEB-A7A3-46A3FAD21A9D}"/>
                </c:ext>
                <c:ext xmlns:c15="http://schemas.microsoft.com/office/drawing/2012/chart" uri="{CE6537A1-D6FC-4f65-9D91-7224C49458BB}"/>
              </c:extLst>
            </c:dLbl>
            <c:dLbl>
              <c:idx val="12"/>
              <c:tx>
                <c:rich>
                  <a:bodyPr/>
                  <a:lstStyle/>
                  <a:p>
                    <a:r>
                      <a:rPr lang="lv-LV"/>
                      <a:t>FI</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80D0-4DEB-A7A3-46A3FAD21A9D}"/>
                </c:ext>
                <c:ext xmlns:c15="http://schemas.microsoft.com/office/drawing/2012/chart" uri="{CE6537A1-D6FC-4f65-9D91-7224C49458BB}"/>
              </c:extLst>
            </c:dLbl>
            <c:dLbl>
              <c:idx val="13"/>
              <c:tx>
                <c:rich>
                  <a:bodyPr/>
                  <a:lstStyle/>
                  <a:p>
                    <a:r>
                      <a:rPr lang="lv-LV" b="0"/>
                      <a:t>SE</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80D0-4DEB-A7A3-46A3FAD21A9D}"/>
                </c:ext>
                <c:ext xmlns:c15="http://schemas.microsoft.com/office/drawing/2012/chart" uri="{CE6537A1-D6FC-4f65-9D91-7224C49458BB}"/>
              </c:extLst>
            </c:dLbl>
            <c:spPr>
              <a:noFill/>
              <a:ln>
                <a:noFill/>
              </a:ln>
              <a:effectLst/>
            </c:spPr>
            <c:txPr>
              <a:bodyPr/>
              <a:lstStyle/>
              <a:p>
                <a:pPr>
                  <a:defRPr b="0"/>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Sheet1!$B$3:$B$13</c:f>
              <c:numCache>
                <c:formatCode>0.0</c:formatCode>
                <c:ptCount val="11"/>
                <c:pt idx="0">
                  <c:v>18.9</c:v>
                </c:pt>
                <c:pt idx="1">
                  <c:v>23.3</c:v>
                </c:pt>
                <c:pt idx="2">
                  <c:v>19.6</c:v>
                </c:pt>
                <c:pt idx="3">
                  <c:v>22.3</c:v>
                </c:pt>
                <c:pt idx="4">
                  <c:v>20.4</c:v>
                </c:pt>
                <c:pt idx="5">
                  <c:v>26.1</c:v>
                </c:pt>
                <c:pt idx="6">
                  <c:v>25.5</c:v>
                </c:pt>
                <c:pt idx="7">
                  <c:v>25.1</c:v>
                </c:pt>
                <c:pt idx="8">
                  <c:v>24.6</c:v>
                </c:pt>
                <c:pt idx="9">
                  <c:v>21.7</c:v>
                </c:pt>
                <c:pt idx="10">
                  <c:v>21.8</c:v>
                </c:pt>
              </c:numCache>
            </c:numRef>
          </c:xVal>
          <c:yVal>
            <c:numRef>
              <c:f>Sheet1!$C$3:$C$13</c:f>
              <c:numCache>
                <c:formatCode>0.0</c:formatCode>
                <c:ptCount val="11"/>
                <c:pt idx="0">
                  <c:v>0.4</c:v>
                </c:pt>
                <c:pt idx="1">
                  <c:v>0.3</c:v>
                </c:pt>
                <c:pt idx="2">
                  <c:v>0.6</c:v>
                </c:pt>
                <c:pt idx="3">
                  <c:v>0.5</c:v>
                </c:pt>
                <c:pt idx="4">
                  <c:v>0.5</c:v>
                </c:pt>
                <c:pt idx="5">
                  <c:v>0.4</c:v>
                </c:pt>
                <c:pt idx="6">
                  <c:v>0.4</c:v>
                </c:pt>
                <c:pt idx="7">
                  <c:v>0.5</c:v>
                </c:pt>
                <c:pt idx="8">
                  <c:v>0.5</c:v>
                </c:pt>
                <c:pt idx="9">
                  <c:v>0.6</c:v>
                </c:pt>
                <c:pt idx="10">
                  <c:v>0.7</c:v>
                </c:pt>
              </c:numCache>
            </c:numRef>
          </c:yVal>
          <c:smooth val="1"/>
          <c:extLst>
            <c:ext xmlns:c="http://schemas.openxmlformats.org/drawingml/2006/chart" xmlns:c16="http://schemas.microsoft.com/office/drawing/2014/chart" uri="{C3380CC4-5D6E-409C-BE32-E72D297353CC}">
              <c16:uniqueId val="{0000000E-80D0-4DEB-A7A3-46A3FAD21A9D}"/>
            </c:ext>
          </c:extLst>
        </c:ser>
        <c:dLbls>
          <c:showLegendKey val="0"/>
          <c:showVal val="0"/>
          <c:showCatName val="0"/>
          <c:showSerName val="0"/>
          <c:showPercent val="0"/>
          <c:showBubbleSize val="0"/>
        </c:dLbls>
        <c:axId val="656270024"/>
        <c:axId val="656269240"/>
      </c:scatterChart>
      <c:valAx>
        <c:axId val="656270024"/>
        <c:scaling>
          <c:orientation val="minMax"/>
          <c:min val="10"/>
        </c:scaling>
        <c:delete val="0"/>
        <c:axPos val="b"/>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56269240"/>
        <c:crosses val="autoZero"/>
        <c:crossBetween val="midCat"/>
        <c:majorUnit val="5"/>
      </c:valAx>
      <c:valAx>
        <c:axId val="656269240"/>
        <c:scaling>
          <c:orientation val="minMax"/>
          <c:min val="0.2"/>
        </c:scaling>
        <c:delete val="0"/>
        <c:axPos val="l"/>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56270024"/>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39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18778334526365"/>
          <c:y val="0.057971014492753624"/>
          <c:w val="0.76870615604867576"/>
          <c:h val="0.801649793775778"/>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extLst>
              <c:ext xmlns:c="http://schemas.openxmlformats.org/drawingml/2006/chart" xmlns:c16="http://schemas.microsoft.com/office/drawing/2014/chart" uri="{C3380CC4-5D6E-409C-BE32-E72D297353CC}">
                <c16:uniqueId val="{00000000-C690-4C08-B26E-D0DDFA287FF1}"/>
              </c:ext>
            </c:extLst>
          </c:dPt>
          <c:dLbls>
            <c:dLbl>
              <c:idx val="0"/>
              <c:layout>
                <c:manualLayout>
                  <c:x val="-0.20898936601996915"/>
                  <c:y val="0.045247549184557055"/>
                </c:manualLayout>
              </c:layout>
              <c:tx>
                <c:rich>
                  <a:bodyPr vertOverflow="clip"/>
                  <a:lstStyle/>
                  <a:p>
                    <a:r>
                      <a:rPr lang="en-US"/>
                      <a:t>2005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C690-4C08-B26E-D0DDFA287FF1}"/>
                </c:ext>
                <c:ext xmlns:c15="http://schemas.microsoft.com/office/drawing/2012/chart" uri="{CE6537A1-D6FC-4f65-9D91-7224C49458BB}"/>
              </c:extLst>
            </c:dLbl>
            <c:dLbl>
              <c:idx val="1"/>
              <c:layout>
                <c:manualLayout>
                  <c:x val="-0.19227047649971588"/>
                  <c:y val="-0.11989905108015345"/>
                </c:manualLayout>
              </c:layout>
              <c:tx>
                <c:rich>
                  <a:bodyPr vertOverflow="clip"/>
                  <a:lstStyle/>
                  <a:p>
                    <a:r>
                      <a:rPr lang="en-US"/>
                      <a:t>2007</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C690-4C08-B26E-D0DDFA287FF1}"/>
                </c:ext>
                <c:ext xmlns:c15="http://schemas.microsoft.com/office/drawing/2012/chart" uri="{CE6537A1-D6FC-4f65-9D91-7224C49458BB}"/>
              </c:extLst>
            </c:dLbl>
            <c:dLbl>
              <c:idx val="2"/>
              <c:layout>
                <c:manualLayout>
                  <c:x val="-0.027576372541061232"/>
                  <c:y val="0.20649482917199452"/>
                </c:manualLayout>
              </c:layout>
              <c:tx>
                <c:rich>
                  <a:bodyPr vertOverflow="clip"/>
                  <a:lstStyle/>
                  <a:p>
                    <a:r>
                      <a:rPr lang="en-US"/>
                      <a:t>2010</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C690-4C08-B26E-D0DDFA287FF1}"/>
                </c:ext>
                <c:ext xmlns:c15="http://schemas.microsoft.com/office/drawing/2012/chart" uri="{CE6537A1-D6FC-4f65-9D91-7224C49458BB}"/>
              </c:extLst>
            </c:dLbl>
            <c:dLbl>
              <c:idx val="3"/>
              <c:layout>
                <c:manualLayout>
                  <c:x val="-0.1239694780420488"/>
                  <c:y val="-0.047832738856360905"/>
                </c:manualLayout>
              </c:layout>
              <c:tx>
                <c:rich>
                  <a:bodyPr vertOverflow="clip"/>
                  <a:lstStyle/>
                  <a:p>
                    <a:r>
                      <a:rPr lang="en-US"/>
                      <a:t>2008</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C690-4C08-B26E-D0DDFA287FF1}"/>
                </c:ext>
                <c:ext xmlns:c15="http://schemas.microsoft.com/office/drawing/2012/chart" uri="{CE6537A1-D6FC-4f65-9D91-7224C49458BB}"/>
              </c:extLst>
            </c:dLbl>
            <c:dLbl>
              <c:idx val="4"/>
              <c:delete val="1"/>
              <c:extLst>
                <c:ext xmlns:c="http://schemas.openxmlformats.org/drawingml/2006/chart" xmlns:c16="http://schemas.microsoft.com/office/drawing/2014/chart" uri="{C3380CC4-5D6E-409C-BE32-E72D297353CC}">
                  <c16:uniqueId val="{00000005-C690-4C08-B26E-D0DDFA287FF1}"/>
                </c:ext>
                <c:ext xmlns:c15="http://schemas.microsoft.com/office/drawing/2012/chart" uri="{CE6537A1-D6FC-4f65-9D91-7224C49458BB}"/>
              </c:extLst>
            </c:dLbl>
            <c:dLbl>
              <c:idx val="5"/>
              <c:delete val="1"/>
              <c:extLst>
                <c:ext xmlns:c="http://schemas.openxmlformats.org/drawingml/2006/chart" xmlns:c16="http://schemas.microsoft.com/office/drawing/2014/chart" uri="{C3380CC4-5D6E-409C-BE32-E72D297353CC}">
                  <c16:uniqueId val="{00000000-C690-4C08-B26E-D0DDFA287FF1}"/>
                </c:ext>
                <c:ext xmlns:c15="http://schemas.microsoft.com/office/drawing/2012/chart" uri="{CE6537A1-D6FC-4f65-9D91-7224C49458BB}"/>
              </c:extLst>
            </c:dLbl>
            <c:dLbl>
              <c:idx val="6"/>
              <c:delete val="1"/>
              <c:extLst>
                <c:ext xmlns:c="http://schemas.openxmlformats.org/drawingml/2006/chart" xmlns:c16="http://schemas.microsoft.com/office/drawing/2014/chart" uri="{C3380CC4-5D6E-409C-BE32-E72D297353CC}">
                  <c16:uniqueId val="{00000006-C690-4C08-B26E-D0DDFA287FF1}"/>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7-C690-4C08-B26E-D0DDFA287FF1}"/>
                </c:ext>
                <c:ext xmlns:c15="http://schemas.microsoft.com/office/drawing/2012/chart" uri="{CE6537A1-D6FC-4f65-9D91-7224C49458BB}"/>
              </c:extLst>
            </c:dLbl>
            <c:dLbl>
              <c:idx val="8"/>
              <c:delete val="1"/>
              <c:extLst>
                <c:ext xmlns:c="http://schemas.openxmlformats.org/drawingml/2006/chart" xmlns:c16="http://schemas.microsoft.com/office/drawing/2014/chart" uri="{C3380CC4-5D6E-409C-BE32-E72D297353CC}">
                  <c16:uniqueId val="{00000008-C690-4C08-B26E-D0DDFA287FF1}"/>
                </c:ext>
                <c:ext xmlns:c15="http://schemas.microsoft.com/office/drawing/2012/chart" uri="{CE6537A1-D6FC-4f65-9D91-7224C49458BB}"/>
              </c:extLst>
            </c:dLbl>
            <c:dLbl>
              <c:idx val="9"/>
              <c:layout>
                <c:manualLayout>
                  <c:x val="-0.055362718835403307"/>
                  <c:y val="-0.047821970971577268"/>
                </c:manualLayout>
              </c:layout>
              <c:tx>
                <c:rich>
                  <a:bodyPr vertOverflow="clip"/>
                  <a:lstStyle/>
                  <a:p>
                    <a:r>
                      <a:rPr lang="en-US"/>
                      <a:t>2014</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C690-4C08-B26E-D0DDFA287FF1}"/>
                </c:ext>
                <c:ext xmlns:c15="http://schemas.microsoft.com/office/drawing/2012/chart" uri="{CE6537A1-D6FC-4f65-9D91-7224C49458BB}"/>
              </c:extLst>
            </c:dLbl>
            <c:dLbl>
              <c:idx val="10"/>
              <c:layout>
                <c:manualLayout>
                  <c:x val="-0.048682691305879967"/>
                  <c:y val="-0.05288250515989211"/>
                </c:manualLayout>
              </c:layout>
              <c:tx>
                <c:rich>
                  <a:bodyPr vertOverflow="clip"/>
                  <a:lstStyle/>
                  <a:p>
                    <a:r>
                      <a:rPr lang="en-US"/>
                      <a:t>2015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C690-4C08-B26E-D0DDFA287FF1}"/>
                </c:ext>
                <c:ext xmlns:c15="http://schemas.microsoft.com/office/drawing/2012/chart" uri="{CE6537A1-D6FC-4f65-9D91-7224C49458BB}"/>
              </c:extLst>
            </c:dLbl>
            <c:dLbl>
              <c:idx val="11"/>
              <c:layout>
                <c:manualLayout>
                  <c:x val="-0.045473776802943768"/>
                  <c:y val="-0.029435967255112244"/>
                </c:manualLayout>
              </c:layout>
              <c:tx>
                <c:rich>
                  <a:bodyPr/>
                  <a:lstStyle/>
                  <a:p>
                    <a:r>
                      <a:rPr lang="lv-LV"/>
                      <a:t>SK</a:t>
                    </a:r>
                    <a:endParaRPr lang="en-US"/>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C690-4C08-B26E-D0DDFA287FF1}"/>
                </c:ext>
                <c:ext xmlns:c15="http://schemas.microsoft.com/office/drawing/2012/chart" uri="{CE6537A1-D6FC-4f65-9D91-7224C49458BB}"/>
              </c:extLst>
            </c:dLbl>
            <c:dLbl>
              <c:idx val="12"/>
              <c:tx>
                <c:rich>
                  <a:bodyPr/>
                  <a:lstStyle/>
                  <a:p>
                    <a:r>
                      <a:rPr lang="lv-LV"/>
                      <a:t>FI</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C690-4C08-B26E-D0DDFA287FF1}"/>
                </c:ext>
                <c:ext xmlns:c15="http://schemas.microsoft.com/office/drawing/2012/chart" uri="{CE6537A1-D6FC-4f65-9D91-7224C49458BB}"/>
              </c:extLst>
            </c:dLbl>
            <c:dLbl>
              <c:idx val="13"/>
              <c:tx>
                <c:rich>
                  <a:bodyPr/>
                  <a:lstStyle/>
                  <a:p>
                    <a:r>
                      <a:rPr lang="lv-LV" b="0"/>
                      <a:t>SE</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C690-4C08-B26E-D0DDFA287FF1}"/>
                </c:ext>
                <c:ext xmlns:c15="http://schemas.microsoft.com/office/drawing/2012/chart" uri="{CE6537A1-D6FC-4f65-9D91-7224C49458BB}"/>
              </c:extLst>
            </c:dLbl>
            <c:spPr>
              <a:noFill/>
              <a:ln>
                <a:noFill/>
              </a:ln>
              <a:effectLst/>
            </c:spPr>
            <c:txPr>
              <a:bodyPr/>
              <a:lstStyle/>
              <a:p>
                <a:pPr>
                  <a:defRPr b="0"/>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Sheet1!$B$3:$B$13</c:f>
              <c:numCache>
                <c:formatCode>0.0</c:formatCode>
                <c:ptCount val="11"/>
                <c:pt idx="0">
                  <c:v>12.4</c:v>
                </c:pt>
                <c:pt idx="1">
                  <c:v>15.9</c:v>
                </c:pt>
                <c:pt idx="2">
                  <c:v>17.5</c:v>
                </c:pt>
                <c:pt idx="3">
                  <c:v>17.6</c:v>
                </c:pt>
                <c:pt idx="4">
                  <c:v>21.8</c:v>
                </c:pt>
                <c:pt idx="5">
                  <c:v>26.9</c:v>
                </c:pt>
                <c:pt idx="6">
                  <c:v>31.9</c:v>
                </c:pt>
                <c:pt idx="7">
                  <c:v>31.7</c:v>
                </c:pt>
                <c:pt idx="8">
                  <c:v>32.2</c:v>
                </c:pt>
                <c:pt idx="9">
                  <c:v>32.5</c:v>
                </c:pt>
                <c:pt idx="10">
                  <c:v>27.3</c:v>
                </c:pt>
              </c:numCache>
            </c:numRef>
          </c:xVal>
          <c:yVal>
            <c:numRef>
              <c:f>Sheet1!$C$3:$C$13</c:f>
              <c:numCache>
                <c:formatCode>0.0</c:formatCode>
                <c:ptCount val="11"/>
                <c:pt idx="0">
                  <c:v>0.5</c:v>
                </c:pt>
                <c:pt idx="1">
                  <c:v>0.5</c:v>
                </c:pt>
                <c:pt idx="2">
                  <c:v>0.6</c:v>
                </c:pt>
                <c:pt idx="3">
                  <c:v>0.7</c:v>
                </c:pt>
                <c:pt idx="4">
                  <c:v>0.6</c:v>
                </c:pt>
                <c:pt idx="5">
                  <c:v>0.5</c:v>
                </c:pt>
                <c:pt idx="6">
                  <c:v>0.4</c:v>
                </c:pt>
                <c:pt idx="7">
                  <c:v>0.4</c:v>
                </c:pt>
                <c:pt idx="8">
                  <c:v>0.5</c:v>
                </c:pt>
                <c:pt idx="9">
                  <c:v>0.5</c:v>
                </c:pt>
                <c:pt idx="10">
                  <c:v>0.6</c:v>
                </c:pt>
              </c:numCache>
            </c:numRef>
          </c:yVal>
          <c:smooth val="1"/>
          <c:extLst>
            <c:ext xmlns:c="http://schemas.openxmlformats.org/drawingml/2006/chart" xmlns:c16="http://schemas.microsoft.com/office/drawing/2014/chart" uri="{C3380CC4-5D6E-409C-BE32-E72D297353CC}">
              <c16:uniqueId val="{0000000E-C690-4C08-B26E-D0DDFA287FF1}"/>
            </c:ext>
          </c:extLst>
        </c:ser>
        <c:dLbls>
          <c:showLegendKey val="0"/>
          <c:showVal val="0"/>
          <c:showCatName val="0"/>
          <c:showSerName val="0"/>
          <c:showPercent val="0"/>
          <c:showBubbleSize val="0"/>
        </c:dLbls>
        <c:axId val="656270808"/>
        <c:axId val="656266104"/>
      </c:scatterChart>
      <c:valAx>
        <c:axId val="656270808"/>
        <c:scaling>
          <c:orientation val="minMax"/>
        </c:scaling>
        <c:delete val="0"/>
        <c:axPos val="b"/>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56266104"/>
        <c:crosses val="autoZero"/>
        <c:crossBetween val="midCat"/>
        <c:majorUnit val="10"/>
      </c:valAx>
      <c:valAx>
        <c:axId val="656266104"/>
        <c:scaling>
          <c:orientation val="minMax"/>
          <c:min val="0.30000000000000004"/>
        </c:scaling>
        <c:delete val="0"/>
        <c:axPos val="l"/>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56270808"/>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39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780071130161983"/>
          <c:y val="0.057971014492753624"/>
          <c:w val="0.75606516641041177"/>
          <c:h val="0.80259842519685043"/>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extLst>
              <c:ext xmlns:c="http://schemas.openxmlformats.org/drawingml/2006/chart" xmlns:c16="http://schemas.microsoft.com/office/drawing/2014/chart" uri="{C3380CC4-5D6E-409C-BE32-E72D297353CC}">
                <c16:uniqueId val="{00000000-B306-4445-9780-C88932B1D52B}"/>
              </c:ext>
            </c:extLst>
          </c:dPt>
          <c:dLbls>
            <c:dLbl>
              <c:idx val="0"/>
              <c:layout>
                <c:manualLayout>
                  <c:x val="-0.22680412371134021"/>
                  <c:y val="0.017094017094017096"/>
                </c:manualLayout>
              </c:layout>
              <c:tx>
                <c:rich>
                  <a:bodyPr vertOverflow="clip"/>
                  <a:lstStyle/>
                  <a:p>
                    <a:r>
                      <a:rPr lang="en-US" sz="800" b="0"/>
                      <a:t>2005</a:t>
                    </a:r>
                    <a:endParaRPr lang="en-US"/>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B306-4445-9780-C88932B1D52B}"/>
                </c:ext>
                <c:ext xmlns:c15="http://schemas.microsoft.com/office/drawing/2012/chart" uri="{CE6537A1-D6FC-4f65-9D91-7224C49458BB}"/>
              </c:extLst>
            </c:dLbl>
            <c:dLbl>
              <c:idx val="1"/>
              <c:delete val="1"/>
              <c:extLst>
                <c:ext xmlns:c="http://schemas.openxmlformats.org/drawingml/2006/chart" xmlns:c16="http://schemas.microsoft.com/office/drawing/2014/chart" uri="{C3380CC4-5D6E-409C-BE32-E72D297353CC}">
                  <c16:uniqueId val="{00000002-B306-4445-9780-C88932B1D52B}"/>
                </c:ext>
                <c:ext xmlns:c15="http://schemas.microsoft.com/office/drawing/2012/chart" uri="{CE6537A1-D6FC-4f65-9D91-7224C49458BB}"/>
              </c:extLst>
            </c:dLbl>
            <c:dLbl>
              <c:idx val="2"/>
              <c:layout>
                <c:manualLayout>
                  <c:x val="-0.19727299280960053"/>
                  <c:y val="0.065527121609798775"/>
                </c:manualLayout>
              </c:layout>
              <c:tx>
                <c:rich>
                  <a:bodyPr vertOverflow="clip"/>
                  <a:lstStyle/>
                  <a:p>
                    <a:r>
                      <a:rPr lang="en-US" sz="800" b="0"/>
                      <a:t>2007</a:t>
                    </a:r>
                    <a:endParaRPr lang="en-US"/>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B306-4445-9780-C88932B1D52B}"/>
                </c:ext>
                <c:ext xmlns:c15="http://schemas.microsoft.com/office/drawing/2012/chart" uri="{CE6537A1-D6FC-4f65-9D91-7224C49458BB}"/>
              </c:extLst>
            </c:dLbl>
            <c:dLbl>
              <c:idx val="3"/>
              <c:layout>
                <c:manualLayout>
                  <c:x val="-0.23673629194140788"/>
                  <c:y val="0.034187809857101237"/>
                </c:manualLayout>
              </c:layout>
              <c:tx>
                <c:rich>
                  <a:bodyPr vertOverflow="clip"/>
                  <a:lstStyle/>
                  <a:p>
                    <a:r>
                      <a:rPr lang="en-US" sz="800" b="0"/>
                      <a:t>2008</a:t>
                    </a:r>
                    <a:endParaRPr lang="en-US"/>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B306-4445-9780-C88932B1D52B}"/>
                </c:ext>
                <c:ext xmlns:c15="http://schemas.microsoft.com/office/drawing/2012/chart" uri="{CE6537A1-D6FC-4f65-9D91-7224C49458BB}"/>
              </c:extLst>
            </c:dLbl>
            <c:dLbl>
              <c:idx val="4"/>
              <c:layout>
                <c:manualLayout>
                  <c:x val="-0.24258991106774636"/>
                  <c:y val="0"/>
                </c:manualLayout>
              </c:layout>
              <c:tx>
                <c:rich>
                  <a:bodyPr vertOverflow="clip"/>
                  <a:lstStyle/>
                  <a:p>
                    <a:r>
                      <a:rPr lang="en-US" sz="800" b="0"/>
                      <a:t>2009</a:t>
                    </a:r>
                    <a:endParaRPr lang="en-US"/>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B306-4445-9780-C88932B1D52B}"/>
                </c:ext>
                <c:ext xmlns:c15="http://schemas.microsoft.com/office/drawing/2012/chart" uri="{CE6537A1-D6FC-4f65-9D91-7224C49458BB}"/>
              </c:extLst>
            </c:dLbl>
            <c:dLbl>
              <c:idx val="5"/>
              <c:layout>
                <c:manualLayout>
                  <c:x val="-0.20618556701030927"/>
                  <c:y val="0.039886039886039885"/>
                </c:manualLayout>
              </c:layout>
              <c:tx>
                <c:rich>
                  <a:bodyPr vertOverflow="clip"/>
                  <a:lstStyle/>
                  <a:p>
                    <a:r>
                      <a:rPr lang="en-US" sz="800" b="0"/>
                      <a:t>2010</a:t>
                    </a:r>
                    <a:endParaRPr lang="en-US"/>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B306-4445-9780-C88932B1D52B}"/>
                </c:ext>
                <c:ext xmlns:c15="http://schemas.microsoft.com/office/drawing/2012/chart" uri="{CE6537A1-D6FC-4f65-9D91-7224C49458BB}"/>
              </c:extLst>
            </c:dLbl>
            <c:dLbl>
              <c:idx val="6"/>
              <c:layout>
                <c:manualLayout>
                  <c:x val="0"/>
                  <c:y val="-0.07407407407407407"/>
                </c:manualLayout>
              </c:layout>
              <c:tx>
                <c:rich>
                  <a:bodyPr vertOverflow="clip"/>
                  <a:lstStyle/>
                  <a:p>
                    <a:r>
                      <a:rPr lang="en-US" sz="800" b="0"/>
                      <a:t>2011</a:t>
                    </a:r>
                    <a:endParaRPr lang="en-US"/>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B306-4445-9780-C88932B1D52B}"/>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7-B306-4445-9780-C88932B1D52B}"/>
                </c:ext>
                <c:ext xmlns:c15="http://schemas.microsoft.com/office/drawing/2012/chart" uri="{CE6537A1-D6FC-4f65-9D91-7224C49458BB}"/>
              </c:extLst>
            </c:dLbl>
            <c:dLbl>
              <c:idx val="8"/>
              <c:layout>
                <c:manualLayout>
                  <c:x val="-0.054982817869415807"/>
                  <c:y val="-0.068376068376068369"/>
                </c:manualLayout>
              </c:layout>
              <c:tx>
                <c:rich>
                  <a:bodyPr vertOverflow="clip"/>
                  <a:lstStyle/>
                  <a:p>
                    <a:r>
                      <a:rPr lang="en-US" sz="800" b="0"/>
                      <a:t>2013</a:t>
                    </a:r>
                    <a:endParaRPr lang="en-US"/>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B306-4445-9780-C88932B1D52B}"/>
                </c:ext>
                <c:ext xmlns:c15="http://schemas.microsoft.com/office/drawing/2012/chart" uri="{CE6537A1-D6FC-4f65-9D91-7224C49458BB}"/>
              </c:extLst>
            </c:dLbl>
            <c:dLbl>
              <c:idx val="9"/>
              <c:layout>
                <c:manualLayout>
                  <c:x val="-0.038443468047157092"/>
                  <c:y val="-0.059829396325459319"/>
                </c:manualLayout>
              </c:layout>
              <c:tx>
                <c:rich>
                  <a:bodyPr vertOverflow="clip"/>
                  <a:lstStyle/>
                  <a:p>
                    <a:r>
                      <a:rPr lang="en-US" sz="800" b="0"/>
                      <a:t>2014</a:t>
                    </a:r>
                    <a:endParaRPr lang="en-US"/>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B306-4445-9780-C88932B1D52B}"/>
                </c:ext>
                <c:ext xmlns:c15="http://schemas.microsoft.com/office/drawing/2012/chart" uri="{CE6537A1-D6FC-4f65-9D91-7224C49458BB}"/>
              </c:extLst>
            </c:dLbl>
            <c:dLbl>
              <c:idx val="10"/>
              <c:tx>
                <c:rich>
                  <a:bodyPr vertOverflow="clip"/>
                  <a:lstStyle/>
                  <a:p>
                    <a:r>
                      <a:rPr lang="en-US"/>
                      <a:t>2015</a:t>
                    </a:r>
                  </a:p>
                </c:rich>
              </c:tx>
              <c:showLegendKey val="0"/>
              <c:showVal val="0"/>
              <c:showCatName val="0"/>
              <c:showSerName val="1"/>
              <c:showPercent val="0"/>
              <c:showBubbleSize val="0"/>
              <c:extLst>
                <c:ext xmlns:c="http://schemas.openxmlformats.org/drawingml/2006/chart" xmlns:c16="http://schemas.microsoft.com/office/drawing/2014/chart" uri="{C3380CC4-5D6E-409C-BE32-E72D297353CC}">
                  <c16:uniqueId val="{0000000B-B306-4445-9780-C88932B1D52B}"/>
                </c:ext>
                <c:ext xmlns:c15="http://schemas.microsoft.com/office/drawing/2012/chart" uri="{CE6537A1-D6FC-4f65-9D91-7224C49458BB}"/>
              </c:extLst>
            </c:dLbl>
            <c:spPr>
              <a:noFill/>
              <a:ln>
                <a:noFill/>
              </a:ln>
              <a:effectLst/>
            </c:spPr>
            <c:txPr>
              <a:bodyPr/>
              <a:lstStyle/>
              <a:p>
                <a:pPr>
                  <a:defRPr sz="800" b="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Sheet1!$B$3:$B$13</c:f>
              <c:numCache>
                <c:formatCode>0.0</c:formatCode>
                <c:ptCount val="11"/>
                <c:pt idx="0">
                  <c:v>15.9</c:v>
                </c:pt>
                <c:pt idx="1">
                  <c:v>19.4</c:v>
                </c:pt>
                <c:pt idx="2">
                  <c:v>17.7</c:v>
                </c:pt>
                <c:pt idx="3">
                  <c:v>14.9</c:v>
                </c:pt>
                <c:pt idx="4">
                  <c:v>16.6</c:v>
                </c:pt>
                <c:pt idx="5">
                  <c:v>18.8</c:v>
                </c:pt>
                <c:pt idx="6">
                  <c:v>19.5</c:v>
                </c:pt>
                <c:pt idx="7">
                  <c:v>16.8</c:v>
                </c:pt>
                <c:pt idx="8">
                  <c:v>12.5</c:v>
                </c:pt>
                <c:pt idx="9">
                  <c:v>15.4</c:v>
                </c:pt>
                <c:pt idx="10">
                  <c:v>16.7</c:v>
                </c:pt>
              </c:numCache>
            </c:numRef>
          </c:xVal>
          <c:yVal>
            <c:numRef>
              <c:f>Sheet1!$C$3:$C$13</c:f>
              <c:numCache>
                <c:formatCode>0.0</c:formatCode>
                <c:ptCount val="11"/>
                <c:pt idx="0">
                  <c:v>0.4</c:v>
                </c:pt>
                <c:pt idx="1">
                  <c:v>0.4</c:v>
                </c:pt>
                <c:pt idx="2">
                  <c:v>0.6</c:v>
                </c:pt>
                <c:pt idx="3">
                  <c:v>0.8</c:v>
                </c:pt>
                <c:pt idx="4">
                  <c:v>0.6</c:v>
                </c:pt>
                <c:pt idx="5">
                  <c:v>0.5</c:v>
                </c:pt>
                <c:pt idx="6">
                  <c:v>0.5</c:v>
                </c:pt>
                <c:pt idx="7">
                  <c:v>0.7</c:v>
                </c:pt>
                <c:pt idx="8">
                  <c:v>0.9</c:v>
                </c:pt>
                <c:pt idx="9">
                  <c:v>0.8</c:v>
                </c:pt>
                <c:pt idx="10">
                  <c:v>0.8</c:v>
                </c:pt>
              </c:numCache>
            </c:numRef>
          </c:yVal>
          <c:smooth val="1"/>
          <c:extLst>
            <c:ext xmlns:c="http://schemas.openxmlformats.org/drawingml/2006/chart" xmlns:c16="http://schemas.microsoft.com/office/drawing/2014/chart" uri="{C3380CC4-5D6E-409C-BE32-E72D297353CC}">
              <c16:uniqueId val="{0000000A-B306-4445-9780-C88932B1D52B}"/>
            </c:ext>
          </c:extLst>
        </c:ser>
        <c:dLbls>
          <c:showLegendKey val="0"/>
          <c:showVal val="0"/>
          <c:showCatName val="0"/>
          <c:showSerName val="0"/>
          <c:showPercent val="0"/>
          <c:showBubbleSize val="0"/>
        </c:dLbls>
        <c:axId val="656268848"/>
        <c:axId val="656271200"/>
      </c:scatterChart>
      <c:valAx>
        <c:axId val="656268848"/>
        <c:scaling>
          <c:orientation val="minMax"/>
          <c:max val="20"/>
          <c:min val="12"/>
        </c:scaling>
        <c:delete val="0"/>
        <c:axPos val="b"/>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56271200"/>
        <c:crosses val="autoZero"/>
        <c:crossBetween val="midCat"/>
        <c:majorUnit val="2"/>
      </c:valAx>
      <c:valAx>
        <c:axId val="656271200"/>
        <c:scaling>
          <c:orientation val="minMax"/>
          <c:min val="0.30000000000000004"/>
        </c:scaling>
        <c:delete val="0"/>
        <c:axPos val="l"/>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56268848"/>
        <c:crosses val="autoZero"/>
        <c:crossBetween val="midCat"/>
        <c:majorUnit val="0.2"/>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39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712824690017196"/>
          <c:y val="0.057971014492753624"/>
          <c:w val="0.654859955650366"/>
          <c:h val="0.7786665303200736"/>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marker>
              <c:spPr>
                <a:solidFill>
                  <a:srgbClr val="002060"/>
                </a:solidFill>
                <a:ln w="6350">
                  <a:solidFill>
                    <a:sysClr val="windowText" lastClr="000000"/>
                  </a:solidFill>
                </a:ln>
              </c:spPr>
            </c:marker>
            <c:extLst>
              <c:ext xmlns:c="http://schemas.openxmlformats.org/drawingml/2006/chart" xmlns:c16="http://schemas.microsoft.com/office/drawing/2014/chart" uri="{C3380CC4-5D6E-409C-BE32-E72D297353CC}">
                <c16:uniqueId val="{00000000-F91C-4384-975B-10B43F384969}"/>
              </c:ext>
            </c:extLst>
          </c:dPt>
          <c:dLbls>
            <c:dLbl>
              <c:idx val="0"/>
              <c:layout>
                <c:manualLayout>
                  <c:x val="-0.13729247350768756"/>
                  <c:y val="0.051190480988983968"/>
                </c:manualLayout>
              </c:layout>
              <c:tx>
                <c:rich>
                  <a:bodyPr vertOverflow="clip"/>
                  <a:lstStyle/>
                  <a:p>
                    <a:r>
                      <a:rPr lang="en-US"/>
                      <a:t>2005</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F91C-4384-975B-10B43F384969}"/>
                </c:ext>
                <c:ext xmlns:c15="http://schemas.microsoft.com/office/drawing/2012/chart" uri="{CE6537A1-D6FC-4f65-9D91-7224C49458BB}"/>
              </c:extLst>
            </c:dLbl>
            <c:dLbl>
              <c:idx val="1"/>
              <c:delete val="1"/>
              <c:extLst>
                <c:ext xmlns:c="http://schemas.openxmlformats.org/drawingml/2006/chart" xmlns:c16="http://schemas.microsoft.com/office/drawing/2014/chart" uri="{C3380CC4-5D6E-409C-BE32-E72D297353CC}">
                  <c16:uniqueId val="{00000002-F91C-4384-975B-10B43F384969}"/>
                </c:ext>
                <c:ext xmlns:c15="http://schemas.microsoft.com/office/drawing/2012/chart" uri="{CE6537A1-D6FC-4f65-9D91-7224C49458BB}"/>
              </c:extLst>
            </c:dLbl>
            <c:dLbl>
              <c:idx val="2"/>
              <c:delete val="1"/>
              <c:extLst>
                <c:ext xmlns:c="http://schemas.openxmlformats.org/drawingml/2006/chart" xmlns:c16="http://schemas.microsoft.com/office/drawing/2014/chart" uri="{C3380CC4-5D6E-409C-BE32-E72D297353CC}">
                  <c16:uniqueId val="{00000003-F91C-4384-975B-10B43F384969}"/>
                </c:ext>
                <c:ext xmlns:c15="http://schemas.microsoft.com/office/drawing/2012/chart" uri="{CE6537A1-D6FC-4f65-9D91-7224C49458BB}"/>
              </c:extLst>
            </c:dLbl>
            <c:dLbl>
              <c:idx val="3"/>
              <c:layout>
                <c:manualLayout>
                  <c:x val="-0.058805689029031862"/>
                  <c:y val="-0.078307086614173252"/>
                </c:manualLayout>
              </c:layout>
              <c:tx>
                <c:rich>
                  <a:bodyPr vertOverflow="clip"/>
                  <a:lstStyle/>
                  <a:p>
                    <a:r>
                      <a:rPr lang="en-US"/>
                      <a:t>2008</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F91C-4384-975B-10B43F384969}"/>
                </c:ext>
                <c:ext xmlns:c15="http://schemas.microsoft.com/office/drawing/2012/chart" uri="{CE6537A1-D6FC-4f65-9D91-7224C49458BB}"/>
              </c:extLst>
            </c:dLbl>
            <c:dLbl>
              <c:idx val="4"/>
              <c:layout>
                <c:manualLayout>
                  <c:x val="-0.10296935513076562"/>
                  <c:y val="-0.056878312209982192"/>
                </c:manualLayout>
              </c:layout>
              <c:tx>
                <c:rich>
                  <a:bodyPr vertOverflow="clip"/>
                  <a:lstStyle/>
                  <a:p>
                    <a:r>
                      <a:rPr lang="en-US"/>
                      <a:t>2009</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F91C-4384-975B-10B43F384969}"/>
                </c:ext>
                <c:ext xmlns:c15="http://schemas.microsoft.com/office/drawing/2012/chart" uri="{CE6537A1-D6FC-4f65-9D91-7224C49458BB}"/>
              </c:extLst>
            </c:dLbl>
            <c:dLbl>
              <c:idx val="5"/>
              <c:delete val="1"/>
              <c:extLst>
                <c:ext xmlns:c="http://schemas.openxmlformats.org/drawingml/2006/chart" xmlns:c16="http://schemas.microsoft.com/office/drawing/2014/chart" uri="{C3380CC4-5D6E-409C-BE32-E72D297353CC}">
                  <c16:uniqueId val="{00000000-F91C-4384-975B-10B43F384969}"/>
                </c:ext>
                <c:ext xmlns:c15="http://schemas.microsoft.com/office/drawing/2012/chart" uri="{CE6537A1-D6FC-4f65-9D91-7224C49458BB}"/>
              </c:extLst>
            </c:dLbl>
            <c:dLbl>
              <c:idx val="6"/>
              <c:layout>
                <c:manualLayout>
                  <c:x val="-0.14273661913773969"/>
                  <c:y val="0.086772382618839225"/>
                </c:manualLayout>
              </c:layout>
              <c:tx>
                <c:rich>
                  <a:bodyPr vertOverflow="clip"/>
                  <a:lstStyle/>
                  <a:p>
                    <a:r>
                      <a:rPr lang="en-US"/>
                      <a:t>2011</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F91C-4384-975B-10B43F384969}"/>
                </c:ext>
                <c:ext xmlns:c15="http://schemas.microsoft.com/office/drawing/2012/chart" uri="{CE6537A1-D6FC-4f65-9D91-7224C49458BB}"/>
              </c:extLst>
            </c:dLbl>
            <c:dLbl>
              <c:idx val="7"/>
              <c:layout>
                <c:manualLayout>
                  <c:x val="-0.011396110831961825"/>
                  <c:y val="-0.00066127150772820069"/>
                </c:manualLayout>
              </c:layout>
              <c:tx>
                <c:rich>
                  <a:bodyPr vertOverflow="clip"/>
                  <a:lstStyle/>
                  <a:p>
                    <a:r>
                      <a:rPr lang="en-US"/>
                      <a:t>2012</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F91C-4384-975B-10B43F384969}"/>
                </c:ext>
                <c:ext xmlns:c15="http://schemas.microsoft.com/office/drawing/2012/chart" uri="{CE6537A1-D6FC-4f65-9D91-7224C49458BB}"/>
              </c:extLst>
            </c:dLbl>
            <c:dLbl>
              <c:idx val="8"/>
              <c:delete val="1"/>
              <c:extLst>
                <c:ext xmlns:c="http://schemas.openxmlformats.org/drawingml/2006/chart" xmlns:c16="http://schemas.microsoft.com/office/drawing/2014/chart" uri="{C3380CC4-5D6E-409C-BE32-E72D297353CC}">
                  <c16:uniqueId val="{00000008-F91C-4384-975B-10B43F384969}"/>
                </c:ext>
                <c:ext xmlns:c15="http://schemas.microsoft.com/office/drawing/2012/chart" uri="{CE6537A1-D6FC-4f65-9D91-7224C49458BB}"/>
              </c:extLst>
            </c:dLbl>
            <c:dLbl>
              <c:idx val="9"/>
              <c:layout>
                <c:manualLayout>
                  <c:x val="-0.020593871026153135"/>
                  <c:y val="-0.034126987325989316"/>
                </c:manualLayout>
              </c:layout>
              <c:tx>
                <c:rich>
                  <a:bodyPr vertOverflow="clip"/>
                  <a:lstStyle/>
                  <a:p>
                    <a:r>
                      <a:rPr lang="en-US"/>
                      <a:t>2014</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F91C-4384-975B-10B43F384969}"/>
                </c:ext>
                <c:ext xmlns:c15="http://schemas.microsoft.com/office/drawing/2012/chart" uri="{CE6537A1-D6FC-4f65-9D91-7224C49458BB}"/>
              </c:extLst>
            </c:dLbl>
            <c:dLbl>
              <c:idx val="10"/>
              <c:layout>
                <c:manualLayout>
                  <c:x val="-0.068781047000382123"/>
                  <c:y val="-0.10185185185185185"/>
                </c:manualLayout>
              </c:layout>
              <c:tx>
                <c:rich>
                  <a:bodyPr vertOverflow="clip"/>
                  <a:lstStyle/>
                  <a:p>
                    <a:r>
                      <a:rPr lang="en-US"/>
                      <a:t>2015</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F91C-4384-975B-10B43F384969}"/>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b="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Sheet1!$B$3:$B$13</c:f>
              <c:numCache>
                <c:formatCode>0.0</c:formatCode>
                <c:ptCount val="11"/>
                <c:pt idx="0">
                  <c:v>15.3</c:v>
                </c:pt>
                <c:pt idx="1">
                  <c:v>12.7</c:v>
                </c:pt>
                <c:pt idx="2">
                  <c:v>18.5</c:v>
                </c:pt>
                <c:pt idx="3">
                  <c:v>20.3</c:v>
                </c:pt>
                <c:pt idx="4">
                  <c:v>16.8</c:v>
                </c:pt>
                <c:pt idx="5">
                  <c:v>19.9</c:v>
                </c:pt>
                <c:pt idx="6">
                  <c:v>25.8</c:v>
                </c:pt>
                <c:pt idx="7">
                  <c:v>22.9</c:v>
                </c:pt>
                <c:pt idx="8">
                  <c:v>29.1</c:v>
                </c:pt>
                <c:pt idx="9">
                  <c:v>30</c:v>
                </c:pt>
                <c:pt idx="10">
                  <c:v>45.4</c:v>
                </c:pt>
              </c:numCache>
            </c:numRef>
          </c:xVal>
          <c:yVal>
            <c:numRef>
              <c:f>Sheet1!$C$3:$C$13</c:f>
              <c:numCache>
                <c:formatCode>0.0</c:formatCode>
                <c:ptCount val="11"/>
                <c:pt idx="0">
                  <c:v>0.5</c:v>
                </c:pt>
                <c:pt idx="1">
                  <c:v>0.6</c:v>
                </c:pt>
                <c:pt idx="2">
                  <c:v>0.6</c:v>
                </c:pt>
                <c:pt idx="3">
                  <c:v>0.6</c:v>
                </c:pt>
                <c:pt idx="4">
                  <c:v>0.7</c:v>
                </c:pt>
                <c:pt idx="5">
                  <c:v>0.6</c:v>
                </c:pt>
                <c:pt idx="6">
                  <c:v>0.4</c:v>
                </c:pt>
                <c:pt idx="7">
                  <c:v>0.6</c:v>
                </c:pt>
                <c:pt idx="8">
                  <c:v>0.4</c:v>
                </c:pt>
                <c:pt idx="9">
                  <c:v>0.5</c:v>
                </c:pt>
                <c:pt idx="10">
                  <c:v>0.3</c:v>
                </c:pt>
              </c:numCache>
            </c:numRef>
          </c:yVal>
          <c:smooth val="1"/>
          <c:extLst>
            <c:ext xmlns:c="http://schemas.openxmlformats.org/drawingml/2006/chart" xmlns:c16="http://schemas.microsoft.com/office/drawing/2014/chart" uri="{C3380CC4-5D6E-409C-BE32-E72D297353CC}">
              <c16:uniqueId val="{0000000A-F91C-4384-975B-10B43F384969}"/>
            </c:ext>
          </c:extLst>
        </c:ser>
        <c:dLbls>
          <c:showLegendKey val="0"/>
          <c:showVal val="0"/>
          <c:showCatName val="0"/>
          <c:showSerName val="0"/>
          <c:showPercent val="0"/>
          <c:showBubbleSize val="0"/>
        </c:dLbls>
        <c:axId val="656271984"/>
        <c:axId val="656269632"/>
      </c:scatterChart>
      <c:valAx>
        <c:axId val="656271984"/>
        <c:scaling>
          <c:orientation val="minMax"/>
        </c:scaling>
        <c:delete val="0"/>
        <c:axPos val="b"/>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56269632"/>
        <c:crosses val="autoZero"/>
        <c:crossBetween val="midCat"/>
        <c:majorUnit val="10"/>
      </c:valAx>
      <c:valAx>
        <c:axId val="656269632"/>
        <c:scaling>
          <c:orientation val="minMax"/>
          <c:min val="0.2"/>
        </c:scaling>
        <c:delete val="0"/>
        <c:axPos val="l"/>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56271984"/>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39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179560762735983"/>
          <c:y val="0.057971014492753624"/>
          <c:w val="0.7155387297220378"/>
          <c:h val="0.7783313859961053"/>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extLst>
              <c:ext xmlns:c="http://schemas.openxmlformats.org/drawingml/2006/chart" xmlns:c16="http://schemas.microsoft.com/office/drawing/2014/chart" uri="{C3380CC4-5D6E-409C-BE32-E72D297353CC}">
                <c16:uniqueId val="{00000000-3B2B-42A4-9E1B-B2F7EB38B23B}"/>
              </c:ext>
            </c:extLst>
          </c:dPt>
          <c:dLbls>
            <c:dLbl>
              <c:idx val="0"/>
              <c:layout>
                <c:manualLayout>
                  <c:x val="-0.20898936601996915"/>
                  <c:y val="0.045247549184557055"/>
                </c:manualLayout>
              </c:layout>
              <c:tx>
                <c:rich>
                  <a:bodyPr vertOverflow="clip"/>
                  <a:lstStyle/>
                  <a:p>
                    <a:r>
                      <a:rPr lang="en-US"/>
                      <a:t>2005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3B2B-42A4-9E1B-B2F7EB38B23B}"/>
                </c:ext>
                <c:ext xmlns:c15="http://schemas.microsoft.com/office/drawing/2012/chart" uri="{CE6537A1-D6FC-4f65-9D91-7224C49458BB}"/>
              </c:extLst>
            </c:dLbl>
            <c:dLbl>
              <c:idx val="1"/>
              <c:layout>
                <c:manualLayout>
                  <c:x val="0.20635495305354873"/>
                  <c:y val="-0.040126971308073668"/>
                </c:manualLayout>
              </c:layout>
              <c:tx>
                <c:rich>
                  <a:bodyPr vertOverflow="clip"/>
                  <a:lstStyle/>
                  <a:p>
                    <a:r>
                      <a:rPr lang="en-US"/>
                      <a:t>2007</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3B2B-42A4-9E1B-B2F7EB38B23B}"/>
                </c:ext>
                <c:ext xmlns:c15="http://schemas.microsoft.com/office/drawing/2012/chart" uri="{CE6537A1-D6FC-4f65-9D91-7224C49458BB}"/>
              </c:extLst>
            </c:dLbl>
            <c:dLbl>
              <c:idx val="2"/>
              <c:layout>
                <c:manualLayout>
                  <c:x val="-0.32998187082284819"/>
                  <c:y val="-0.4145877919106265"/>
                </c:manualLayout>
              </c:layout>
              <c:tx>
                <c:rich>
                  <a:bodyPr vertOverflow="clip"/>
                  <a:lstStyle/>
                  <a:p>
                    <a:r>
                      <a:rPr lang="en-US"/>
                      <a:t>2010</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3B2B-42A4-9E1B-B2F7EB38B23B}"/>
                </c:ext>
                <c:ext xmlns:c15="http://schemas.microsoft.com/office/drawing/2012/chart" uri="{CE6537A1-D6FC-4f65-9D91-7224C49458BB}"/>
              </c:extLst>
            </c:dLbl>
            <c:dLbl>
              <c:idx val="3"/>
              <c:layout>
                <c:manualLayout>
                  <c:x val="-0.25159109625969439"/>
                  <c:y val="0.10672572178477686"/>
                </c:manualLayout>
              </c:layout>
              <c:tx>
                <c:rich>
                  <a:bodyPr vertOverflow="clip"/>
                  <a:lstStyle/>
                  <a:p>
                    <a:r>
                      <a:rPr lang="en-US"/>
                      <a:t>2009</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3B2B-42A4-9E1B-B2F7EB38B23B}"/>
                </c:ext>
                <c:ext xmlns:c15="http://schemas.microsoft.com/office/drawing/2012/chart" uri="{CE6537A1-D6FC-4f65-9D91-7224C49458BB}"/>
              </c:extLst>
            </c:dLbl>
            <c:dLbl>
              <c:idx val="4"/>
              <c:delete val="1"/>
              <c:extLst>
                <c:ext xmlns:c="http://schemas.openxmlformats.org/drawingml/2006/chart" xmlns:c16="http://schemas.microsoft.com/office/drawing/2014/chart" uri="{C3380CC4-5D6E-409C-BE32-E72D297353CC}">
                  <c16:uniqueId val="{00000005-3B2B-42A4-9E1B-B2F7EB38B23B}"/>
                </c:ext>
                <c:ext xmlns:c15="http://schemas.microsoft.com/office/drawing/2012/chart" uri="{CE6537A1-D6FC-4f65-9D91-7224C49458BB}"/>
              </c:extLst>
            </c:dLbl>
            <c:dLbl>
              <c:idx val="5"/>
              <c:delete val="1"/>
              <c:extLst>
                <c:ext xmlns:c="http://schemas.openxmlformats.org/drawingml/2006/chart" xmlns:c16="http://schemas.microsoft.com/office/drawing/2014/chart" uri="{C3380CC4-5D6E-409C-BE32-E72D297353CC}">
                  <c16:uniqueId val="{00000000-3B2B-42A4-9E1B-B2F7EB38B23B}"/>
                </c:ext>
                <c:ext xmlns:c15="http://schemas.microsoft.com/office/drawing/2012/chart" uri="{CE6537A1-D6FC-4f65-9D91-7224C49458BB}"/>
              </c:extLst>
            </c:dLbl>
            <c:dLbl>
              <c:idx val="6"/>
              <c:layout>
                <c:manualLayout>
                  <c:x val="-0.21305818713970009"/>
                  <c:y val="0.0633902012248469"/>
                </c:manualLayout>
              </c:layout>
              <c:tx>
                <c:rich>
                  <a:bodyPr vertOverflow="clip"/>
                  <a:lstStyle/>
                  <a:p>
                    <a:r>
                      <a:rPr lang="en-US"/>
                      <a:t>2011</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3B2B-42A4-9E1B-B2F7EB38B23B}"/>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7-3B2B-42A4-9E1B-B2F7EB38B23B}"/>
                </c:ext>
                <c:ext xmlns:c15="http://schemas.microsoft.com/office/drawing/2012/chart" uri="{CE6537A1-D6FC-4f65-9D91-7224C49458BB}"/>
              </c:extLst>
            </c:dLbl>
            <c:dLbl>
              <c:idx val="8"/>
              <c:delete val="1"/>
              <c:extLst>
                <c:ext xmlns:c="http://schemas.openxmlformats.org/drawingml/2006/chart" xmlns:c16="http://schemas.microsoft.com/office/drawing/2014/chart" uri="{C3380CC4-5D6E-409C-BE32-E72D297353CC}">
                  <c16:uniqueId val="{00000008-3B2B-42A4-9E1B-B2F7EB38B23B}"/>
                </c:ext>
                <c:ext xmlns:c15="http://schemas.microsoft.com/office/drawing/2012/chart" uri="{CE6537A1-D6FC-4f65-9D91-7224C49458BB}"/>
              </c:extLst>
            </c:dLbl>
            <c:dLbl>
              <c:idx val="9"/>
              <c:layout>
                <c:manualLayout>
                  <c:x val="-0.01774053074065516"/>
                  <c:y val="-0.0015259550889472149"/>
                </c:manualLayout>
              </c:layout>
              <c:tx>
                <c:rich>
                  <a:bodyPr vertOverflow="clip"/>
                  <a:lstStyle/>
                  <a:p>
                    <a:r>
                      <a:rPr lang="en-US"/>
                      <a:t>2014</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3B2B-42A4-9E1B-B2F7EB38B23B}"/>
                </c:ext>
                <c:ext xmlns:c15="http://schemas.microsoft.com/office/drawing/2012/chart" uri="{CE6537A1-D6FC-4f65-9D91-7224C49458BB}"/>
              </c:extLst>
            </c:dLbl>
            <c:dLbl>
              <c:idx val="10"/>
              <c:layout>
                <c:manualLayout>
                  <c:x val="-0.093829354852088251"/>
                  <c:y val="-0.071401283172936716"/>
                </c:manualLayout>
              </c:layout>
              <c:tx>
                <c:rich>
                  <a:bodyPr vertOverflow="clip"/>
                  <a:lstStyle/>
                  <a:p>
                    <a:r>
                      <a:rPr lang="en-US"/>
                      <a:t>2015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3B2B-42A4-9E1B-B2F7EB38B23B}"/>
                </c:ext>
                <c:ext xmlns:c15="http://schemas.microsoft.com/office/drawing/2012/chart" uri="{CE6537A1-D6FC-4f65-9D91-7224C49458BB}"/>
              </c:extLst>
            </c:dLbl>
            <c:dLbl>
              <c:idx val="11"/>
              <c:layout>
                <c:manualLayout>
                  <c:x val="-0.045473776802943768"/>
                  <c:y val="-0.029435967255112244"/>
                </c:manualLayout>
              </c:layout>
              <c:tx>
                <c:rich>
                  <a:bodyPr/>
                  <a:lstStyle/>
                  <a:p>
                    <a:r>
                      <a:rPr lang="lv-LV"/>
                      <a:t>SK</a:t>
                    </a:r>
                    <a:endParaRPr lang="en-US"/>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3B2B-42A4-9E1B-B2F7EB38B23B}"/>
                </c:ext>
                <c:ext xmlns:c15="http://schemas.microsoft.com/office/drawing/2012/chart" uri="{CE6537A1-D6FC-4f65-9D91-7224C49458BB}"/>
              </c:extLst>
            </c:dLbl>
            <c:dLbl>
              <c:idx val="12"/>
              <c:tx>
                <c:rich>
                  <a:bodyPr/>
                  <a:lstStyle/>
                  <a:p>
                    <a:r>
                      <a:rPr lang="lv-LV"/>
                      <a:t>FI</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3B2B-42A4-9E1B-B2F7EB38B23B}"/>
                </c:ext>
                <c:ext xmlns:c15="http://schemas.microsoft.com/office/drawing/2012/chart" uri="{CE6537A1-D6FC-4f65-9D91-7224C49458BB}"/>
              </c:extLst>
            </c:dLbl>
            <c:dLbl>
              <c:idx val="13"/>
              <c:tx>
                <c:rich>
                  <a:bodyPr/>
                  <a:lstStyle/>
                  <a:p>
                    <a:r>
                      <a:rPr lang="lv-LV" b="0"/>
                      <a:t>SE</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3B2B-42A4-9E1B-B2F7EB38B23B}"/>
                </c:ext>
                <c:ext xmlns:c15="http://schemas.microsoft.com/office/drawing/2012/chart" uri="{CE6537A1-D6FC-4f65-9D91-7224C49458BB}"/>
              </c:extLst>
            </c:dLbl>
            <c:spPr>
              <a:noFill/>
              <a:ln>
                <a:noFill/>
              </a:ln>
              <a:effectLst/>
            </c:spPr>
            <c:txPr>
              <a:bodyPr/>
              <a:lstStyle/>
              <a:p>
                <a:pPr>
                  <a:defRPr b="0"/>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Sheet1!$B$3:$B$13</c:f>
              <c:numCache>
                <c:formatCode>0.0</c:formatCode>
                <c:ptCount val="11"/>
                <c:pt idx="0">
                  <c:v>12</c:v>
                </c:pt>
                <c:pt idx="1">
                  <c:v>9.7</c:v>
                </c:pt>
                <c:pt idx="2">
                  <c:v>16.5</c:v>
                </c:pt>
                <c:pt idx="3">
                  <c:v>15.2</c:v>
                </c:pt>
                <c:pt idx="4">
                  <c:v>15.3</c:v>
                </c:pt>
                <c:pt idx="5">
                  <c:v>13</c:v>
                </c:pt>
                <c:pt idx="6">
                  <c:v>16</c:v>
                </c:pt>
                <c:pt idx="7">
                  <c:v>16.5</c:v>
                </c:pt>
                <c:pt idx="8">
                  <c:v>16.5</c:v>
                </c:pt>
                <c:pt idx="9">
                  <c:v>16.4</c:v>
                </c:pt>
                <c:pt idx="10">
                  <c:v>15.6</c:v>
                </c:pt>
              </c:numCache>
            </c:numRef>
          </c:xVal>
          <c:yVal>
            <c:numRef>
              <c:f>Sheet1!$C$3:$C$13</c:f>
              <c:numCache>
                <c:formatCode>0.0</c:formatCode>
                <c:ptCount val="11"/>
                <c:pt idx="0">
                  <c:v>0.4</c:v>
                </c:pt>
                <c:pt idx="1">
                  <c:v>0.5</c:v>
                </c:pt>
                <c:pt idx="2">
                  <c:v>0.6</c:v>
                </c:pt>
                <c:pt idx="3">
                  <c:v>0.7</c:v>
                </c:pt>
                <c:pt idx="4">
                  <c:v>0.6</c:v>
                </c:pt>
                <c:pt idx="5">
                  <c:v>0.8</c:v>
                </c:pt>
                <c:pt idx="6">
                  <c:v>0.6</c:v>
                </c:pt>
                <c:pt idx="7">
                  <c:v>0.7</c:v>
                </c:pt>
                <c:pt idx="8">
                  <c:v>0.7</c:v>
                </c:pt>
                <c:pt idx="9">
                  <c:v>0.8</c:v>
                </c:pt>
                <c:pt idx="10">
                  <c:v>0.8</c:v>
                </c:pt>
              </c:numCache>
            </c:numRef>
          </c:yVal>
          <c:smooth val="1"/>
          <c:extLst>
            <c:ext xmlns:c="http://schemas.openxmlformats.org/drawingml/2006/chart" xmlns:c16="http://schemas.microsoft.com/office/drawing/2014/chart" uri="{C3380CC4-5D6E-409C-BE32-E72D297353CC}">
              <c16:uniqueId val="{0000000E-3B2B-42A4-9E1B-B2F7EB38B23B}"/>
            </c:ext>
          </c:extLst>
        </c:ser>
        <c:dLbls>
          <c:showLegendKey val="0"/>
          <c:showVal val="0"/>
          <c:showCatName val="0"/>
          <c:showSerName val="0"/>
          <c:showPercent val="0"/>
          <c:showBubbleSize val="0"/>
        </c:dLbls>
        <c:axId val="656274336"/>
        <c:axId val="656266888"/>
      </c:scatterChart>
      <c:valAx>
        <c:axId val="656274336"/>
        <c:scaling>
          <c:orientation val="minMax"/>
          <c:max val="25"/>
          <c:min val="5"/>
        </c:scaling>
        <c:delete val="0"/>
        <c:axPos val="b"/>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56266888"/>
        <c:crosses val="autoZero"/>
        <c:crossBetween val="midCat"/>
        <c:majorUnit val="5"/>
      </c:valAx>
      <c:valAx>
        <c:axId val="656266888"/>
        <c:scaling>
          <c:orientation val="minMax"/>
          <c:min val="0.30000000000000004"/>
        </c:scaling>
        <c:delete val="0"/>
        <c:axPos val="l"/>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56274336"/>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39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420587670443632"/>
          <c:y val="0.057971014492753624"/>
          <c:w val="0.71733883874271809"/>
          <c:h val="0.78772065256548818"/>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extLst>
              <c:ext xmlns:c="http://schemas.openxmlformats.org/drawingml/2006/chart" xmlns:c16="http://schemas.microsoft.com/office/drawing/2014/chart" uri="{C3380CC4-5D6E-409C-BE32-E72D297353CC}">
                <c16:uniqueId val="{00000000-6100-484E-B419-5613D1AC6485}"/>
              </c:ext>
            </c:extLst>
          </c:dPt>
          <c:dLbls>
            <c:dLbl>
              <c:idx val="0"/>
              <c:layout>
                <c:manualLayout>
                  <c:x val="-0.10589658251481451"/>
                  <c:y val="0.056643560580568457"/>
                </c:manualLayout>
              </c:layout>
              <c:tx>
                <c:rich>
                  <a:bodyPr vertOverflow="clip"/>
                  <a:lstStyle/>
                  <a:p>
                    <a:r>
                      <a:rPr lang="en-US"/>
                      <a:t>2005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6100-484E-B419-5613D1AC6485}"/>
                </c:ext>
                <c:ext xmlns:c15="http://schemas.microsoft.com/office/drawing/2012/chart" uri="{CE6537A1-D6FC-4f65-9D91-7224C49458BB}"/>
              </c:extLst>
            </c:dLbl>
            <c:dLbl>
              <c:idx val="1"/>
              <c:layout>
                <c:manualLayout>
                  <c:x val="-0.21288903320074681"/>
                  <c:y val="-0.15408708526818762"/>
                </c:manualLayout>
              </c:layout>
              <c:tx>
                <c:rich>
                  <a:bodyPr vertOverflow="clip"/>
                  <a:lstStyle/>
                  <a:p>
                    <a:r>
                      <a:rPr lang="en-US"/>
                      <a:t>2007</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6100-484E-B419-5613D1AC6485}"/>
                </c:ext>
                <c:ext xmlns:c15="http://schemas.microsoft.com/office/drawing/2012/chart" uri="{CE6537A1-D6FC-4f65-9D91-7224C49458BB}"/>
              </c:extLst>
            </c:dLbl>
            <c:dLbl>
              <c:idx val="2"/>
              <c:layout>
                <c:manualLayout>
                  <c:x val="-0.0069583570094975244"/>
                  <c:y val="-0.041311438634273279"/>
                </c:manualLayout>
              </c:layout>
              <c:tx>
                <c:rich>
                  <a:bodyPr vertOverflow="clip"/>
                  <a:lstStyle/>
                  <a:p>
                    <a:r>
                      <a:rPr lang="en-US"/>
                      <a:t>2010</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6100-484E-B419-5613D1AC6485}"/>
                </c:ext>
                <c:ext xmlns:c15="http://schemas.microsoft.com/office/drawing/2012/chart" uri="{CE6537A1-D6FC-4f65-9D91-7224C49458BB}"/>
              </c:extLst>
            </c:dLbl>
            <c:dLbl>
              <c:idx val="3"/>
              <c:layout>
                <c:manualLayout>
                  <c:x val="-0.30953702952079443"/>
                  <c:y val="-0.15609484711846913"/>
                </c:manualLayout>
              </c:layout>
              <c:tx>
                <c:rich>
                  <a:bodyPr vertOverflow="clip"/>
                  <a:lstStyle/>
                  <a:p>
                    <a:r>
                      <a:rPr lang="en-US"/>
                      <a:t>2009</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6100-484E-B419-5613D1AC6485}"/>
                </c:ext>
                <c:ext xmlns:c15="http://schemas.microsoft.com/office/drawing/2012/chart" uri="{CE6537A1-D6FC-4f65-9D91-7224C49458BB}"/>
              </c:extLst>
            </c:dLbl>
            <c:dLbl>
              <c:idx val="4"/>
              <c:delete val="1"/>
              <c:extLst>
                <c:ext xmlns:c="http://schemas.openxmlformats.org/drawingml/2006/chart" xmlns:c16="http://schemas.microsoft.com/office/drawing/2014/chart" uri="{C3380CC4-5D6E-409C-BE32-E72D297353CC}">
                  <c16:uniqueId val="{00000005-6100-484E-B419-5613D1AC6485}"/>
                </c:ext>
                <c:ext xmlns:c15="http://schemas.microsoft.com/office/drawing/2012/chart" uri="{CE6537A1-D6FC-4f65-9D91-7224C49458BB}"/>
              </c:extLst>
            </c:dLbl>
            <c:dLbl>
              <c:idx val="5"/>
              <c:delete val="1"/>
              <c:extLst>
                <c:ext xmlns:c="http://schemas.openxmlformats.org/drawingml/2006/chart" xmlns:c16="http://schemas.microsoft.com/office/drawing/2014/chart" uri="{C3380CC4-5D6E-409C-BE32-E72D297353CC}">
                  <c16:uniqueId val="{00000000-6100-484E-B419-5613D1AC6485}"/>
                </c:ext>
                <c:ext xmlns:c15="http://schemas.microsoft.com/office/drawing/2012/chart" uri="{CE6537A1-D6FC-4f65-9D91-7224C49458BB}"/>
              </c:extLst>
            </c:dLbl>
            <c:dLbl>
              <c:idx val="6"/>
              <c:layout>
                <c:manualLayout>
                  <c:x val="-0.13745704467353953"/>
                  <c:y val="0.062677614016196689"/>
                </c:manualLayout>
              </c:layout>
              <c:tx>
                <c:rich>
                  <a:bodyPr vertOverflow="clip"/>
                  <a:lstStyle/>
                  <a:p>
                    <a:r>
                      <a:rPr lang="en-US"/>
                      <a:t>2011</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6100-484E-B419-5613D1AC6485}"/>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7-6100-484E-B419-5613D1AC6485}"/>
                </c:ext>
                <c:ext xmlns:c15="http://schemas.microsoft.com/office/drawing/2012/chart" uri="{CE6537A1-D6FC-4f65-9D91-7224C49458BB}"/>
              </c:extLst>
            </c:dLbl>
            <c:dLbl>
              <c:idx val="8"/>
              <c:delete val="1"/>
              <c:extLst>
                <c:ext xmlns:c="http://schemas.openxmlformats.org/drawingml/2006/chart" xmlns:c16="http://schemas.microsoft.com/office/drawing/2014/chart" uri="{C3380CC4-5D6E-409C-BE32-E72D297353CC}">
                  <c16:uniqueId val="{00000008-6100-484E-B419-5613D1AC6485}"/>
                </c:ext>
                <c:ext xmlns:c15="http://schemas.microsoft.com/office/drawing/2012/chart" uri="{CE6537A1-D6FC-4f65-9D91-7224C49458BB}"/>
              </c:extLst>
            </c:dLbl>
            <c:dLbl>
              <c:idx val="9"/>
              <c:layout>
                <c:manualLayout>
                  <c:x val="-0.020998457667018428"/>
                  <c:y val="0.00915808600847971"/>
                </c:manualLayout>
              </c:layout>
              <c:tx>
                <c:rich>
                  <a:bodyPr vertOverflow="clip"/>
                  <a:lstStyle/>
                  <a:p>
                    <a:r>
                      <a:rPr lang="en-US"/>
                      <a:t>2014</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6100-484E-B419-5613D1AC6485}"/>
                </c:ext>
                <c:ext xmlns:c15="http://schemas.microsoft.com/office/drawing/2012/chart" uri="{CE6537A1-D6FC-4f65-9D91-7224C49458BB}"/>
              </c:extLst>
            </c:dLbl>
            <c:dLbl>
              <c:idx val="10"/>
              <c:layout>
                <c:manualLayout>
                  <c:x val="-0.048682691305879967"/>
                  <c:y val="-0.05288250515989211"/>
                </c:manualLayout>
              </c:layout>
              <c:tx>
                <c:rich>
                  <a:bodyPr vertOverflow="clip"/>
                  <a:lstStyle/>
                  <a:p>
                    <a:r>
                      <a:rPr lang="en-US"/>
                      <a:t>2015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6100-484E-B419-5613D1AC6485}"/>
                </c:ext>
                <c:ext xmlns:c15="http://schemas.microsoft.com/office/drawing/2012/chart" uri="{CE6537A1-D6FC-4f65-9D91-7224C49458BB}"/>
              </c:extLst>
            </c:dLbl>
            <c:dLbl>
              <c:idx val="11"/>
              <c:layout>
                <c:manualLayout>
                  <c:x val="-0.045473776802943768"/>
                  <c:y val="-0.029435967255112244"/>
                </c:manualLayout>
              </c:layout>
              <c:tx>
                <c:rich>
                  <a:bodyPr/>
                  <a:lstStyle/>
                  <a:p>
                    <a:r>
                      <a:rPr lang="lv-LV"/>
                      <a:t>SK</a:t>
                    </a:r>
                    <a:endParaRPr lang="en-US"/>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6100-484E-B419-5613D1AC6485}"/>
                </c:ext>
                <c:ext xmlns:c15="http://schemas.microsoft.com/office/drawing/2012/chart" uri="{CE6537A1-D6FC-4f65-9D91-7224C49458BB}"/>
              </c:extLst>
            </c:dLbl>
            <c:dLbl>
              <c:idx val="12"/>
              <c:tx>
                <c:rich>
                  <a:bodyPr/>
                  <a:lstStyle/>
                  <a:p>
                    <a:r>
                      <a:rPr lang="lv-LV"/>
                      <a:t>FI</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6100-484E-B419-5613D1AC6485}"/>
                </c:ext>
                <c:ext xmlns:c15="http://schemas.microsoft.com/office/drawing/2012/chart" uri="{CE6537A1-D6FC-4f65-9D91-7224C49458BB}"/>
              </c:extLst>
            </c:dLbl>
            <c:dLbl>
              <c:idx val="13"/>
              <c:tx>
                <c:rich>
                  <a:bodyPr/>
                  <a:lstStyle/>
                  <a:p>
                    <a:r>
                      <a:rPr lang="lv-LV" b="0"/>
                      <a:t>SE</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6100-484E-B419-5613D1AC6485}"/>
                </c:ext>
                <c:ext xmlns:c15="http://schemas.microsoft.com/office/drawing/2012/chart" uri="{CE6537A1-D6FC-4f65-9D91-7224C49458BB}"/>
              </c:extLst>
            </c:dLbl>
            <c:spPr>
              <a:noFill/>
              <a:ln>
                <a:noFill/>
              </a:ln>
              <a:effectLst/>
            </c:spPr>
            <c:txPr>
              <a:bodyPr/>
              <a:lstStyle/>
              <a:p>
                <a:pPr>
                  <a:defRPr b="0"/>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Sheet1!$B$3:$B$13</c:f>
              <c:numCache>
                <c:formatCode>0.0</c:formatCode>
                <c:ptCount val="11"/>
                <c:pt idx="0">
                  <c:v>8.3</c:v>
                </c:pt>
                <c:pt idx="1">
                  <c:v>12.2</c:v>
                </c:pt>
                <c:pt idx="2">
                  <c:v>12.3</c:v>
                </c:pt>
                <c:pt idx="3">
                  <c:v>13.7</c:v>
                </c:pt>
                <c:pt idx="4">
                  <c:v>9.9</c:v>
                </c:pt>
                <c:pt idx="5">
                  <c:v>12.9</c:v>
                </c:pt>
                <c:pt idx="6">
                  <c:v>16.2</c:v>
                </c:pt>
                <c:pt idx="7">
                  <c:v>16.4</c:v>
                </c:pt>
                <c:pt idx="8">
                  <c:v>17</c:v>
                </c:pt>
                <c:pt idx="9">
                  <c:v>20</c:v>
                </c:pt>
                <c:pt idx="10">
                  <c:v>18.7</c:v>
                </c:pt>
              </c:numCache>
            </c:numRef>
          </c:xVal>
          <c:yVal>
            <c:numRef>
              <c:f>Sheet1!$C$3:$C$13</c:f>
              <c:numCache>
                <c:formatCode>0.0</c:formatCode>
                <c:ptCount val="11"/>
                <c:pt idx="0">
                  <c:v>0.6</c:v>
                </c:pt>
                <c:pt idx="1">
                  <c:v>0.6</c:v>
                </c:pt>
                <c:pt idx="2">
                  <c:v>0.8</c:v>
                </c:pt>
                <c:pt idx="3">
                  <c:v>0.9</c:v>
                </c:pt>
                <c:pt idx="4">
                  <c:v>1</c:v>
                </c:pt>
                <c:pt idx="5">
                  <c:v>0.8</c:v>
                </c:pt>
                <c:pt idx="6">
                  <c:v>0.7</c:v>
                </c:pt>
                <c:pt idx="7">
                  <c:v>0.7</c:v>
                </c:pt>
                <c:pt idx="8">
                  <c:v>0.7</c:v>
                </c:pt>
                <c:pt idx="9">
                  <c:v>0.6</c:v>
                </c:pt>
                <c:pt idx="10">
                  <c:v>0.7</c:v>
                </c:pt>
              </c:numCache>
            </c:numRef>
          </c:yVal>
          <c:smooth val="1"/>
          <c:extLst>
            <c:ext xmlns:c="http://schemas.openxmlformats.org/drawingml/2006/chart" xmlns:c16="http://schemas.microsoft.com/office/drawing/2014/chart" uri="{C3380CC4-5D6E-409C-BE32-E72D297353CC}">
              <c16:uniqueId val="{0000000E-6100-484E-B419-5613D1AC6485}"/>
            </c:ext>
          </c:extLst>
        </c:ser>
        <c:dLbls>
          <c:showLegendKey val="0"/>
          <c:showVal val="0"/>
          <c:showCatName val="0"/>
          <c:showSerName val="0"/>
          <c:showPercent val="0"/>
          <c:showBubbleSize val="0"/>
        </c:dLbls>
        <c:axId val="656271592"/>
        <c:axId val="656266496"/>
      </c:scatterChart>
      <c:valAx>
        <c:axId val="656271592"/>
        <c:scaling>
          <c:orientation val="minMax"/>
          <c:max val="25"/>
          <c:min val="5"/>
        </c:scaling>
        <c:delete val="0"/>
        <c:axPos val="b"/>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56266496"/>
        <c:crosses val="autoZero"/>
        <c:crossBetween val="midCat"/>
        <c:majorUnit val="5"/>
      </c:valAx>
      <c:valAx>
        <c:axId val="656266496"/>
        <c:scaling>
          <c:orientation val="minMax"/>
          <c:min val="0.4"/>
        </c:scaling>
        <c:delete val="0"/>
        <c:axPos val="l"/>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56271592"/>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399.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574559623346051"/>
          <c:y val="0.057971014492753624"/>
          <c:w val="0.74793137971155665"/>
          <c:h val="0.78151296156473593"/>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extLst>
              <c:ext xmlns:c="http://schemas.openxmlformats.org/drawingml/2006/chart" xmlns:c16="http://schemas.microsoft.com/office/drawing/2014/chart" uri="{C3380CC4-5D6E-409C-BE32-E72D297353CC}">
                <c16:uniqueId val="{00000000-0CA0-4118-80F3-150FEC1B501B}"/>
              </c:ext>
            </c:extLst>
          </c:dPt>
          <c:dLbls>
            <c:dLbl>
              <c:idx val="0"/>
              <c:layout>
                <c:manualLayout>
                  <c:x val="-0.20898936601996915"/>
                  <c:y val="0.045247549184557055"/>
                </c:manualLayout>
              </c:layout>
              <c:tx>
                <c:rich>
                  <a:bodyPr vertOverflow="clip"/>
                  <a:lstStyle/>
                  <a:p>
                    <a:r>
                      <a:rPr lang="en-US"/>
                      <a:t>2005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0CA0-4118-80F3-150FEC1B501B}"/>
                </c:ext>
                <c:ext xmlns:c15="http://schemas.microsoft.com/office/drawing/2012/chart" uri="{CE6537A1-D6FC-4f65-9D91-7224C49458BB}"/>
              </c:extLst>
            </c:dLbl>
            <c:dLbl>
              <c:idx val="1"/>
              <c:layout>
                <c:manualLayout>
                  <c:x val="-0.19227047649971588"/>
                  <c:y val="-0.24525562509814477"/>
                </c:manualLayout>
              </c:layout>
              <c:tx>
                <c:rich>
                  <a:bodyPr vertOverflow="clip"/>
                  <a:lstStyle/>
                  <a:p>
                    <a:r>
                      <a:rPr lang="en-US"/>
                      <a:t>2007</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0CA0-4118-80F3-150FEC1B501B}"/>
                </c:ext>
                <c:ext xmlns:c15="http://schemas.microsoft.com/office/drawing/2012/chart" uri="{CE6537A1-D6FC-4f65-9D91-7224C49458BB}"/>
              </c:extLst>
            </c:dLbl>
            <c:dLbl>
              <c:idx val="2"/>
              <c:delete val="1"/>
              <c:extLst>
                <c:ext xmlns:c="http://schemas.openxmlformats.org/drawingml/2006/chart" xmlns:c16="http://schemas.microsoft.com/office/drawing/2014/chart" uri="{C3380CC4-5D6E-409C-BE32-E72D297353CC}">
                  <c16:uniqueId val="{00000003-0CA0-4118-80F3-150FEC1B501B}"/>
                </c:ext>
                <c:ext xmlns:c15="http://schemas.microsoft.com/office/drawing/2012/chart" uri="{CE6537A1-D6FC-4f65-9D91-7224C49458BB}"/>
              </c:extLst>
            </c:dLbl>
            <c:dLbl>
              <c:idx val="3"/>
              <c:layout>
                <c:manualLayout>
                  <c:x val="-0.11022431474416219"/>
                  <c:y val="-0.059228750252372259"/>
                </c:manualLayout>
              </c:layout>
              <c:tx>
                <c:rich>
                  <a:bodyPr vertOverflow="clip"/>
                  <a:lstStyle/>
                  <a:p>
                    <a:r>
                      <a:rPr lang="en-US"/>
                      <a:t>2008</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0CA0-4118-80F3-150FEC1B501B}"/>
                </c:ext>
                <c:ext xmlns:c15="http://schemas.microsoft.com/office/drawing/2012/chart" uri="{CE6537A1-D6FC-4f65-9D91-7224C49458BB}"/>
              </c:extLst>
            </c:dLbl>
            <c:dLbl>
              <c:idx val="4"/>
              <c:delete val="1"/>
              <c:extLst>
                <c:ext xmlns:c="http://schemas.openxmlformats.org/drawingml/2006/chart" xmlns:c16="http://schemas.microsoft.com/office/drawing/2014/chart" uri="{C3380CC4-5D6E-409C-BE32-E72D297353CC}">
                  <c16:uniqueId val="{00000005-0CA0-4118-80F3-150FEC1B501B}"/>
                </c:ext>
                <c:ext xmlns:c15="http://schemas.microsoft.com/office/drawing/2012/chart" uri="{CE6537A1-D6FC-4f65-9D91-7224C49458BB}"/>
              </c:extLst>
            </c:dLbl>
            <c:dLbl>
              <c:idx val="5"/>
              <c:delete val="1"/>
              <c:extLst>
                <c:ext xmlns:c="http://schemas.openxmlformats.org/drawingml/2006/chart" xmlns:c16="http://schemas.microsoft.com/office/drawing/2014/chart" uri="{C3380CC4-5D6E-409C-BE32-E72D297353CC}">
                  <c16:uniqueId val="{00000000-0CA0-4118-80F3-150FEC1B501B}"/>
                </c:ext>
                <c:ext xmlns:c15="http://schemas.microsoft.com/office/drawing/2012/chart" uri="{CE6537A1-D6FC-4f65-9D91-7224C49458BB}"/>
              </c:extLst>
            </c:dLbl>
            <c:dLbl>
              <c:idx val="6"/>
              <c:layout>
                <c:manualLayout>
                  <c:x val="0.027491408934707903"/>
                  <c:y val="0.051281602620185295"/>
                </c:manualLayout>
              </c:layout>
              <c:tx>
                <c:rich>
                  <a:bodyPr vertOverflow="clip"/>
                  <a:lstStyle/>
                  <a:p>
                    <a:r>
                      <a:rPr lang="en-US"/>
                      <a:t>2012</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0CA0-4118-80F3-150FEC1B501B}"/>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7-0CA0-4118-80F3-150FEC1B501B}"/>
                </c:ext>
                <c:ext xmlns:c15="http://schemas.microsoft.com/office/drawing/2012/chart" uri="{CE6537A1-D6FC-4f65-9D91-7224C49458BB}"/>
              </c:extLst>
            </c:dLbl>
            <c:dLbl>
              <c:idx val="8"/>
              <c:delete val="1"/>
              <c:extLst>
                <c:ext xmlns:c="http://schemas.openxmlformats.org/drawingml/2006/chart" xmlns:c16="http://schemas.microsoft.com/office/drawing/2014/chart" uri="{C3380CC4-5D6E-409C-BE32-E72D297353CC}">
                  <c16:uniqueId val="{00000008-0CA0-4118-80F3-150FEC1B501B}"/>
                </c:ext>
                <c:ext xmlns:c15="http://schemas.microsoft.com/office/drawing/2012/chart" uri="{CE6537A1-D6FC-4f65-9D91-7224C49458BB}"/>
              </c:extLst>
            </c:dLbl>
            <c:dLbl>
              <c:idx val="9"/>
              <c:layout>
                <c:manualLayout>
                  <c:x val="-0.055362718835403307"/>
                  <c:y val="-0.047821970971577268"/>
                </c:manualLayout>
              </c:layout>
              <c:tx>
                <c:rich>
                  <a:bodyPr vertOverflow="clip"/>
                  <a:lstStyle/>
                  <a:p>
                    <a:r>
                      <a:rPr lang="en-US"/>
                      <a:t>2014</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0CA0-4118-80F3-150FEC1B501B}"/>
                </c:ext>
                <c:ext xmlns:c15="http://schemas.microsoft.com/office/drawing/2012/chart" uri="{CE6537A1-D6FC-4f65-9D91-7224C49458BB}"/>
              </c:extLst>
            </c:dLbl>
            <c:dLbl>
              <c:idx val="10"/>
              <c:layout>
                <c:manualLayout>
                  <c:x val="-0.078780445897987356"/>
                  <c:y val="-0.0528827646544182"/>
                </c:manualLayout>
              </c:layout>
              <c:tx>
                <c:rich>
                  <a:bodyPr vertOverflow="clip"/>
                  <a:lstStyle/>
                  <a:p>
                    <a:r>
                      <a:rPr lang="en-US"/>
                      <a:t>2015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0CA0-4118-80F3-150FEC1B501B}"/>
                </c:ext>
                <c:ext xmlns:c15="http://schemas.microsoft.com/office/drawing/2012/chart" uri="{CE6537A1-D6FC-4f65-9D91-7224C49458BB}"/>
              </c:extLst>
            </c:dLbl>
            <c:dLbl>
              <c:idx val="11"/>
              <c:layout>
                <c:manualLayout>
                  <c:x val="-0.045473776802943768"/>
                  <c:y val="-0.029435967255112244"/>
                </c:manualLayout>
              </c:layout>
              <c:tx>
                <c:rich>
                  <a:bodyPr/>
                  <a:lstStyle/>
                  <a:p>
                    <a:r>
                      <a:rPr lang="lv-LV"/>
                      <a:t>SK</a:t>
                    </a:r>
                    <a:endParaRPr lang="en-US"/>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0CA0-4118-80F3-150FEC1B501B}"/>
                </c:ext>
                <c:ext xmlns:c15="http://schemas.microsoft.com/office/drawing/2012/chart" uri="{CE6537A1-D6FC-4f65-9D91-7224C49458BB}"/>
              </c:extLst>
            </c:dLbl>
            <c:dLbl>
              <c:idx val="12"/>
              <c:tx>
                <c:rich>
                  <a:bodyPr/>
                  <a:lstStyle/>
                  <a:p>
                    <a:r>
                      <a:rPr lang="lv-LV"/>
                      <a:t>FI</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0CA0-4118-80F3-150FEC1B501B}"/>
                </c:ext>
                <c:ext xmlns:c15="http://schemas.microsoft.com/office/drawing/2012/chart" uri="{CE6537A1-D6FC-4f65-9D91-7224C49458BB}"/>
              </c:extLst>
            </c:dLbl>
            <c:dLbl>
              <c:idx val="13"/>
              <c:tx>
                <c:rich>
                  <a:bodyPr/>
                  <a:lstStyle/>
                  <a:p>
                    <a:r>
                      <a:rPr lang="lv-LV" b="0"/>
                      <a:t>SE</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0CA0-4118-80F3-150FEC1B501B}"/>
                </c:ext>
                <c:ext xmlns:c15="http://schemas.microsoft.com/office/drawing/2012/chart" uri="{CE6537A1-D6FC-4f65-9D91-7224C49458BB}"/>
              </c:extLst>
            </c:dLbl>
            <c:spPr>
              <a:noFill/>
              <a:ln>
                <a:noFill/>
              </a:ln>
              <a:effectLst/>
            </c:spPr>
            <c:txPr>
              <a:bodyPr/>
              <a:lstStyle/>
              <a:p>
                <a:pPr>
                  <a:defRPr b="0"/>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Sheet1!$B$3:$B$13</c:f>
              <c:numCache>
                <c:formatCode>0.0</c:formatCode>
                <c:ptCount val="11"/>
                <c:pt idx="0">
                  <c:v>12.3</c:v>
                </c:pt>
                <c:pt idx="1">
                  <c:v>13.3</c:v>
                </c:pt>
                <c:pt idx="2">
                  <c:v>14.1</c:v>
                </c:pt>
                <c:pt idx="3">
                  <c:v>14.6</c:v>
                </c:pt>
                <c:pt idx="4">
                  <c:v>15.7</c:v>
                </c:pt>
                <c:pt idx="5">
                  <c:v>17.6</c:v>
                </c:pt>
                <c:pt idx="6">
                  <c:v>17.3</c:v>
                </c:pt>
                <c:pt idx="7">
                  <c:v>18.8</c:v>
                </c:pt>
                <c:pt idx="8">
                  <c:v>16.8</c:v>
                </c:pt>
                <c:pt idx="9">
                  <c:v>17</c:v>
                </c:pt>
                <c:pt idx="10">
                  <c:v>16.7</c:v>
                </c:pt>
              </c:numCache>
            </c:numRef>
          </c:xVal>
          <c:yVal>
            <c:numRef>
              <c:f>Sheet1!$C$3:$C$13</c:f>
              <c:numCache>
                <c:formatCode>0.0</c:formatCode>
                <c:ptCount val="11"/>
                <c:pt idx="0">
                  <c:v>0.4</c:v>
                </c:pt>
                <c:pt idx="1">
                  <c:v>0.4</c:v>
                </c:pt>
                <c:pt idx="2">
                  <c:v>0.6</c:v>
                </c:pt>
                <c:pt idx="3">
                  <c:v>0.6</c:v>
                </c:pt>
                <c:pt idx="4">
                  <c:v>0.6</c:v>
                </c:pt>
                <c:pt idx="5">
                  <c:v>0.5</c:v>
                </c:pt>
                <c:pt idx="6">
                  <c:v>0.5</c:v>
                </c:pt>
                <c:pt idx="7">
                  <c:v>0.5</c:v>
                </c:pt>
                <c:pt idx="8">
                  <c:v>0.6</c:v>
                </c:pt>
                <c:pt idx="9">
                  <c:v>0.6</c:v>
                </c:pt>
                <c:pt idx="10">
                  <c:v>0.7</c:v>
                </c:pt>
              </c:numCache>
            </c:numRef>
          </c:yVal>
          <c:smooth val="1"/>
          <c:extLst>
            <c:ext xmlns:c="http://schemas.openxmlformats.org/drawingml/2006/chart" xmlns:c16="http://schemas.microsoft.com/office/drawing/2014/chart" uri="{C3380CC4-5D6E-409C-BE32-E72D297353CC}">
              <c16:uniqueId val="{0000000E-0CA0-4118-80F3-150FEC1B501B}"/>
            </c:ext>
          </c:extLst>
        </c:ser>
        <c:dLbls>
          <c:showLegendKey val="0"/>
          <c:showVal val="0"/>
          <c:showCatName val="0"/>
          <c:showSerName val="0"/>
          <c:showPercent val="0"/>
          <c:showBubbleSize val="0"/>
        </c:dLbls>
        <c:axId val="656273160"/>
        <c:axId val="656268064"/>
      </c:scatterChart>
      <c:valAx>
        <c:axId val="656273160"/>
        <c:scaling>
          <c:orientation val="minMax"/>
          <c:max val="25"/>
          <c:min val="5"/>
        </c:scaling>
        <c:delete val="0"/>
        <c:axPos val="b"/>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56268064"/>
        <c:crosses val="autoZero"/>
        <c:crossBetween val="midCat"/>
        <c:majorUnit val="5"/>
      </c:valAx>
      <c:valAx>
        <c:axId val="656268064"/>
        <c:scaling>
          <c:orientation val="minMax"/>
          <c:min val="0.30000000000000004"/>
        </c:scaling>
        <c:delete val="0"/>
        <c:axPos val="l"/>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56273160"/>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30307899251493849"/>
          <c:y val="0.038493219843582546"/>
          <c:w val="0.93532376100046322"/>
          <c:h val="0.91449828613942941"/>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chemeClr val="accent2">
                  <a:lumMod val="75000"/>
                </a:schemeClr>
              </a:solidFill>
              <a:ln>
                <a:noFill/>
              </a:ln>
              <a:effectLst/>
            </c:spPr>
            <c:extLst>
              <c:ext xmlns:c="http://schemas.openxmlformats.org/drawingml/2006/chart" xmlns:c16="http://schemas.microsoft.com/office/drawing/2014/chart" uri="{C3380CC4-5D6E-409C-BE32-E72D297353CC}">
                <c16:uniqueId val="{00000001-25AD-4E18-9335-A2853A991DCD}"/>
              </c:ext>
            </c:extLst>
          </c:dPt>
          <c:dPt>
            <c:idx val="1"/>
            <c:invertIfNegative val="0"/>
            <c:bubble3D val="0"/>
            <c:extLst>
              <c:ext xmlns:c="http://schemas.openxmlformats.org/drawingml/2006/chart" xmlns:c16="http://schemas.microsoft.com/office/drawing/2014/chart" uri="{C3380CC4-5D6E-409C-BE32-E72D297353CC}">
                <c16:uniqueId val="{00000002-25AD-4E18-9335-A2853A991DCD}"/>
              </c:ext>
            </c:extLst>
          </c:dPt>
          <c:dPt>
            <c:idx val="2"/>
            <c:invertIfNegative val="0"/>
            <c:bubble3D val="0"/>
            <c:extLst>
              <c:ext xmlns:c="http://schemas.openxmlformats.org/drawingml/2006/chart" xmlns:c16="http://schemas.microsoft.com/office/drawing/2014/chart" uri="{C3380CC4-5D6E-409C-BE32-E72D297353CC}">
                <c16:uniqueId val="{00000003-25AD-4E18-9335-A2853A991DCD}"/>
              </c:ext>
            </c:extLst>
          </c:dPt>
          <c:dPt>
            <c:idx val="3"/>
            <c:invertIfNegative val="0"/>
            <c:bubble3D val="0"/>
            <c:extLst>
              <c:ext xmlns:c="http://schemas.openxmlformats.org/drawingml/2006/chart" xmlns:c16="http://schemas.microsoft.com/office/drawing/2014/chart" uri="{C3380CC4-5D6E-409C-BE32-E72D297353CC}">
                <c16:uniqueId val="{00000004-25AD-4E18-9335-A2853A991DCD}"/>
              </c:ext>
            </c:extLst>
          </c:dPt>
          <c:dLbls>
            <c:dLbl>
              <c:idx val="1"/>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lv-LV"/>
                </a:p>
              </c:txPr>
              <c:dLblPos val="inBase"/>
              <c:showLegendKey val="0"/>
              <c:showVal val="1"/>
              <c:showCatName val="0"/>
              <c:showSerName val="0"/>
              <c:showPercent val="0"/>
              <c:showBubbleSize val="0"/>
            </c:dLbl>
            <c:dLbl>
              <c:idx val="4"/>
              <c:layout>
                <c:manualLayout>
                  <c:x val="-0.24705882352941166"/>
                  <c:y val="-4.0434763007385952E-17"/>
                </c:manualLayout>
              </c:layout>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25AD-4E18-9335-A2853A991DCD}"/>
                </c:ext>
                <c:ext xmlns:c15="http://schemas.microsoft.com/office/drawing/2012/chart" uri="{CE6537A1-D6FC-4f65-9D91-7224C49458BB}"/>
              </c:extLst>
            </c:dLbl>
            <c:dLbl>
              <c:idx val="5"/>
              <c:layout>
                <c:manualLayout>
                  <c:x val="-0.23529411764705893"/>
                  <c:y val="0"/>
                </c:manualLayout>
              </c:layout>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25AD-4E18-9335-A2853A991DC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Vieglā rūpniecība</c:v>
                </c:pt>
                <c:pt idx="1">
                  <c:v>Transports un uzglabāšana</c:v>
                </c:pt>
                <c:pt idx="2">
                  <c:v>Transportlīdzekļu ražošana</c:v>
                </c:pt>
                <c:pt idx="3">
                  <c:v>Būvniecība</c:v>
                </c:pt>
                <c:pt idx="4">
                  <c:v>Finanšu un apdroš. darbības</c:v>
                </c:pt>
                <c:pt idx="5">
                  <c:v>Pārtikas rūpniecība</c:v>
                </c:pt>
              </c:strCache>
            </c:strRef>
          </c:cat>
          <c:val>
            <c:numRef>
              <c:f>Sheet1!$B$2:$B$7</c:f>
              <c:numCache>
                <c:formatCode>0</c:formatCode>
                <c:ptCount val="6"/>
                <c:pt idx="0">
                  <c:v>-15</c:v>
                </c:pt>
                <c:pt idx="1">
                  <c:v>1</c:v>
                </c:pt>
                <c:pt idx="2">
                  <c:v>4</c:v>
                </c:pt>
                <c:pt idx="3">
                  <c:v>5</c:v>
                </c:pt>
                <c:pt idx="4">
                  <c:v>9</c:v>
                </c:pt>
                <c:pt idx="5">
                  <c:v>9</c:v>
                </c:pt>
              </c:numCache>
            </c:numRef>
          </c:val>
          <c:extLst>
            <c:ext xmlns:c="http://schemas.openxmlformats.org/drawingml/2006/chart" xmlns:c16="http://schemas.microsoft.com/office/drawing/2014/chart" uri="{C3380CC4-5D6E-409C-BE32-E72D297353CC}">
              <c16:uniqueId val="{00000007-25AD-4E18-9335-A2853A991DCD}"/>
            </c:ext>
          </c:extLst>
        </c:ser>
        <c:dLbls>
          <c:showLegendKey val="0"/>
          <c:showVal val="0"/>
          <c:showCatName val="0"/>
          <c:showSerName val="0"/>
          <c:showPercent val="0"/>
          <c:showBubbleSize val="0"/>
        </c:dLbls>
        <c:gapWidth val="40"/>
        <c:axId val="629813408"/>
        <c:axId val="629809880"/>
      </c:barChart>
      <c:catAx>
        <c:axId val="629813408"/>
        <c:scaling>
          <c:orientation val="minMax"/>
        </c:scaling>
        <c:delete val="1"/>
        <c:axPos val="l"/>
        <c:numFmt formatCode="General" sourceLinked="1"/>
        <c:majorTickMark val="none"/>
        <c:minorTickMark val="none"/>
        <c:tickLblPos val="low"/>
        <c:crossAx val="629809880"/>
        <c:crosses val="autoZero"/>
        <c:auto val="1"/>
        <c:lblAlgn val="ctr"/>
        <c:lblOffset val="100"/>
        <c:noMultiLvlLbl val="0"/>
      </c:catAx>
      <c:valAx>
        <c:axId val="629809880"/>
        <c:scaling>
          <c:orientation val="minMax"/>
          <c:max val="10"/>
          <c:min val="-15"/>
        </c:scaling>
        <c:delete val="1"/>
        <c:axPos val="b"/>
        <c:numFmt formatCode="0" sourceLinked="1"/>
        <c:majorTickMark val="out"/>
        <c:minorTickMark val="none"/>
        <c:tickLblPos val="nextTo"/>
        <c:crossAx val="629813408"/>
        <c:crosses val="autoZero"/>
        <c:crossBetween val="between"/>
        <c:majorUnit val="10"/>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lv-LV"/>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46717244654"/>
          <c:y val="0.044057617797775277"/>
          <c:w val="0.9310540474739486"/>
          <c:h val="0.61410067643983524"/>
        </c:manualLayout>
      </c:layout>
      <c:barChart>
        <c:barDir val="col"/>
        <c:grouping val="clustered"/>
        <c:varyColors val="0"/>
        <c:ser>
          <c:idx val="1"/>
          <c:order val="0"/>
          <c:tx>
            <c:strRef>
              <c:f>Sheet1!$B$3</c:f>
              <c:strCache>
                <c:ptCount val="1"/>
                <c:pt idx="0">
                  <c:v>Compensation per employees 1000 of euro</c:v>
                </c:pt>
              </c:strCache>
            </c:strRef>
          </c:tx>
          <c:spPr>
            <a:solidFill>
              <a:schemeClr val="accent3">
                <a:lumMod val="50000"/>
              </a:schemeClr>
            </a:solidFill>
            <a:ln w="19050"/>
          </c:spPr>
          <c:invertIfNegative val="0"/>
          <c:dPt>
            <c:idx val="10"/>
            <c:invertIfNegative val="0"/>
            <c:bubble3D val="0"/>
            <c:extLst>
              <c:ext xmlns:c="http://schemas.openxmlformats.org/drawingml/2006/chart" xmlns:c16="http://schemas.microsoft.com/office/drawing/2014/chart" uri="{C3380CC4-5D6E-409C-BE32-E72D297353CC}">
                <c16:uniqueId val="{00000007-3F0D-49E5-A964-9B89B2B78589}"/>
              </c:ext>
            </c:extLst>
          </c:dPt>
          <c:dPt>
            <c:idx val="11"/>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9-6B6F-46A4-AA6F-EC7481E9DC59}"/>
              </c:ext>
            </c:extLst>
          </c:dPt>
          <c:dPt>
            <c:idx val="20"/>
            <c:invertIfNegative val="0"/>
            <c:bubble3D val="0"/>
            <c:spPr>
              <a:solidFill>
                <a:srgbClr val="C00000"/>
              </a:solidFill>
              <a:ln w="19050"/>
            </c:spPr>
            <c:extLst>
              <c:ext xmlns:c="http://schemas.openxmlformats.org/drawingml/2006/chart" xmlns:c16="http://schemas.microsoft.com/office/drawing/2014/chart" uri="{C3380CC4-5D6E-409C-BE32-E72D297353CC}">
                <c16:uniqueId val="{00000000-B083-4F93-A7A0-BA924192598C}"/>
              </c:ext>
            </c:extLst>
          </c:dPt>
          <c:dPt>
            <c:idx val="21"/>
            <c:invertIfNegative val="0"/>
            <c:bubble3D val="0"/>
            <c:extLst>
              <c:ext xmlns:c="http://schemas.openxmlformats.org/drawingml/2006/chart" xmlns:c16="http://schemas.microsoft.com/office/drawing/2014/chart" uri="{C3380CC4-5D6E-409C-BE32-E72D297353CC}">
                <c16:uniqueId val="{00000002-B083-4F93-A7A0-BA924192598C}"/>
              </c:ext>
            </c:extLst>
          </c:dPt>
          <c:dPt>
            <c:idx val="22"/>
            <c:invertIfNegative val="0"/>
            <c:bubble3D val="0"/>
            <c:extLst>
              <c:ext xmlns:c="http://schemas.openxmlformats.org/drawingml/2006/chart" xmlns:c16="http://schemas.microsoft.com/office/drawing/2014/chart" uri="{C3380CC4-5D6E-409C-BE32-E72D297353CC}">
                <c16:uniqueId val="{00000003-B083-4F93-A7A0-BA924192598C}"/>
              </c:ext>
            </c:extLst>
          </c:dPt>
          <c:dPt>
            <c:idx val="24"/>
            <c:invertIfNegative val="0"/>
            <c:bubble3D val="0"/>
            <c:extLst>
              <c:ext xmlns:c="http://schemas.openxmlformats.org/drawingml/2006/chart" xmlns:c16="http://schemas.microsoft.com/office/drawing/2014/chart" uri="{C3380CC4-5D6E-409C-BE32-E72D297353CC}">
                <c16:uniqueId val="{00000005-B083-4F93-A7A0-BA924192598C}"/>
              </c:ext>
            </c:extLst>
          </c:dPt>
          <c:dPt>
            <c:idx val="25"/>
            <c:invertIfNegative val="0"/>
            <c:bubble3D val="0"/>
            <c:extLst>
              <c:ext xmlns:c="http://schemas.openxmlformats.org/drawingml/2006/chart" xmlns:c16="http://schemas.microsoft.com/office/drawing/2014/chart" uri="{C3380CC4-5D6E-409C-BE32-E72D297353CC}">
                <c16:uniqueId val="{00000006-B083-4F93-A7A0-BA924192598C}"/>
              </c:ext>
            </c:extLst>
          </c:dPt>
          <c:dLbls>
            <c:dLbl>
              <c:idx val="11"/>
              <c:numFmt formatCode="#,##0" sourceLinked="0"/>
              <c:spPr>
                <a:noFill/>
                <a:ln>
                  <a:noFill/>
                </a:ln>
                <a:effectLst/>
              </c:spPr>
              <c:txPr>
                <a:bodyPr/>
                <a:lstStyle/>
                <a:p>
                  <a:pPr>
                    <a:defRPr sz="600" b="0"/>
                  </a:pPr>
                  <a:endParaRPr lang="lv-LV"/>
                </a:p>
              </c:txPr>
              <c:showLegendKey val="0"/>
              <c:showVal val="1"/>
              <c:showCatName val="0"/>
              <c:showSerName val="0"/>
              <c:showPercent val="0"/>
              <c:showBubbleSize val="0"/>
            </c:dLbl>
            <c:dLbl>
              <c:idx val="20"/>
              <c:numFmt formatCode="#,##0" sourceLinked="0"/>
              <c:spPr>
                <a:noFill/>
                <a:ln>
                  <a:noFill/>
                </a:ln>
                <a:effectLst/>
              </c:spPr>
              <c:txPr>
                <a:bodyPr/>
                <a:lstStyle/>
                <a:p>
                  <a:pPr>
                    <a:defRPr sz="600" b="1"/>
                  </a:pPr>
                  <a:endParaRPr lang="lv-LV"/>
                </a:p>
              </c:txPr>
              <c:showLegendKey val="0"/>
              <c:showVal val="1"/>
              <c:showCatName val="0"/>
              <c:showSerName val="0"/>
              <c:showPercent val="0"/>
              <c:showBubbleSize val="0"/>
            </c:dLbl>
            <c:dLbl>
              <c:idx val="21"/>
              <c:numFmt formatCode="#,##0" sourceLinked="0"/>
              <c:spPr>
                <a:noFill/>
                <a:ln>
                  <a:noFill/>
                </a:ln>
                <a:effectLst/>
              </c:spPr>
              <c:txPr>
                <a:bodyPr/>
                <a:lstStyle/>
                <a:p>
                  <a:pPr>
                    <a:defRPr sz="600" b="0"/>
                  </a:pPr>
                  <a:endParaRPr lang="lv-LV"/>
                </a:p>
              </c:txPr>
              <c:showLegendKey val="0"/>
              <c:showVal val="1"/>
              <c:showCatName val="0"/>
              <c:showSerName val="0"/>
              <c:showPercent val="0"/>
              <c:showBubbleSize val="0"/>
            </c:dLbl>
            <c:dLbl>
              <c:idx val="22"/>
              <c:layout>
                <c:manualLayout>
                  <c:x val="0"/>
                  <c:y val="0.010957045003520901"/>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B083-4F93-A7A0-BA924192598C}"/>
                </c:ext>
                <c:ext xmlns:c15="http://schemas.microsoft.com/office/drawing/2012/chart" uri="{CE6537A1-D6FC-4f65-9D91-7224C49458BB}"/>
              </c:extLst>
            </c:dLbl>
            <c:dLbl>
              <c:idx val="24"/>
              <c:layout>
                <c:manualLayout>
                  <c:x val="0"/>
                  <c:y val="-0.010840108401084011"/>
                </c:manualLayout>
              </c:layout>
              <c:numFmt formatCode="#,##0" sourceLinked="0"/>
              <c:spPr>
                <a:noFill/>
                <a:ln>
                  <a:noFill/>
                </a:ln>
                <a:effectLst/>
              </c:spPr>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B083-4F93-A7A0-BA924192598C}"/>
                </c:ext>
                <c:ext xmlns:c15="http://schemas.microsoft.com/office/drawing/2012/chart" uri="{CE6537A1-D6FC-4f65-9D91-7224C49458BB}"/>
              </c:extLst>
            </c:dLbl>
            <c:dLbl>
              <c:idx val="25"/>
              <c:layout>
                <c:manualLayout>
                  <c:x val="0"/>
                  <c:y val="0.0047350290403144375"/>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B083-4F93-A7A0-BA924192598C}"/>
                </c:ext>
                <c:ext xmlns:c15="http://schemas.microsoft.com/office/drawing/2012/chart" uri="{CE6537A1-D6FC-4f65-9D91-7224C49458BB}"/>
              </c:extLst>
            </c:dLbl>
            <c:numFmt formatCode="#,##0" sourceLinked="0"/>
            <c:spPr>
              <a:noFill/>
              <a:ln>
                <a:noFill/>
              </a:ln>
              <a:effectLst/>
            </c:spPr>
            <c:txPr>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Sheet1!$A$4:$A$28</c:f>
              <c:strCache>
                <c:ptCount val="25"/>
                <c:pt idx="0">
                  <c:v>Dānija</c:v>
                </c:pt>
                <c:pt idx="1">
                  <c:v>Nīderlande</c:v>
                </c:pt>
                <c:pt idx="2">
                  <c:v>Īrija</c:v>
                </c:pt>
                <c:pt idx="3">
                  <c:v>Vācija</c:v>
                </c:pt>
                <c:pt idx="4">
                  <c:v>Zviedrija</c:v>
                </c:pt>
                <c:pt idx="5">
                  <c:v>Beļģija</c:v>
                </c:pt>
                <c:pt idx="6">
                  <c:v>Austrija</c:v>
                </c:pt>
                <c:pt idx="7">
                  <c:v>Luksemburga</c:v>
                </c:pt>
                <c:pt idx="8">
                  <c:v>Itālija</c:v>
                </c:pt>
                <c:pt idx="9">
                  <c:v>Somija</c:v>
                </c:pt>
                <c:pt idx="10">
                  <c:v>Spānija</c:v>
                </c:pt>
                <c:pt idx="11">
                  <c:v>ES-28</c:v>
                </c:pt>
                <c:pt idx="12">
                  <c:v>Grieķija</c:v>
                </c:pt>
                <c:pt idx="13">
                  <c:v>Slovēnija</c:v>
                </c:pt>
                <c:pt idx="14">
                  <c:v>Kipra</c:v>
                </c:pt>
                <c:pt idx="15">
                  <c:v>Igaunija</c:v>
                </c:pt>
                <c:pt idx="16">
                  <c:v>Portugāle</c:v>
                </c:pt>
                <c:pt idx="17">
                  <c:v>Čehija</c:v>
                </c:pt>
                <c:pt idx="18">
                  <c:v>Slovākija</c:v>
                </c:pt>
                <c:pt idx="19">
                  <c:v>Bulgārija</c:v>
                </c:pt>
                <c:pt idx="20">
                  <c:v>Latvija</c:v>
                </c:pt>
                <c:pt idx="21">
                  <c:v>Lietuva</c:v>
                </c:pt>
                <c:pt idx="22">
                  <c:v>Polija</c:v>
                </c:pt>
                <c:pt idx="23">
                  <c:v>Ungārija</c:v>
                </c:pt>
                <c:pt idx="24">
                  <c:v>Rumānija</c:v>
                </c:pt>
              </c:strCache>
            </c:strRef>
          </c:cat>
          <c:val>
            <c:numRef>
              <c:f>Sheet1!$B$4:$B$28</c:f>
              <c:numCache>
                <c:formatCode>0.0</c:formatCode>
                <c:ptCount val="25"/>
                <c:pt idx="0">
                  <c:v>126.9</c:v>
                </c:pt>
                <c:pt idx="1">
                  <c:v>119.33333333333333</c:v>
                </c:pt>
                <c:pt idx="2">
                  <c:v>65.1048951048951</c:v>
                </c:pt>
                <c:pt idx="3">
                  <c:v>64.870370370370367</c:v>
                </c:pt>
                <c:pt idx="4">
                  <c:v>64.125</c:v>
                </c:pt>
                <c:pt idx="5">
                  <c:v>61.782608695652179</c:v>
                </c:pt>
                <c:pt idx="6">
                  <c:v>61.669394435351883</c:v>
                </c:pt>
                <c:pt idx="7">
                  <c:v>57.083333333333336</c:v>
                </c:pt>
                <c:pt idx="8">
                  <c:v>55.349282296650721</c:v>
                </c:pt>
                <c:pt idx="9">
                  <c:v>55.178571428571431</c:v>
                </c:pt>
                <c:pt idx="10">
                  <c:v>40.459363957597169</c:v>
                </c:pt>
                <c:pt idx="11">
                  <c:v>39.308913347754164</c:v>
                </c:pt>
                <c:pt idx="12">
                  <c:v>36.436119116234387</c:v>
                </c:pt>
                <c:pt idx="13">
                  <c:v>34.462809917355372</c:v>
                </c:pt>
                <c:pt idx="14">
                  <c:v>29.31818181818182</c:v>
                </c:pt>
                <c:pt idx="15">
                  <c:v>29.312499999999996</c:v>
                </c:pt>
                <c:pt idx="16">
                  <c:v>21.247563352826511</c:v>
                </c:pt>
                <c:pt idx="17">
                  <c:v>19.922576649117374</c:v>
                </c:pt>
                <c:pt idx="18">
                  <c:v>19.043209876543209</c:v>
                </c:pt>
                <c:pt idx="19">
                  <c:v>17.560975609756095</c:v>
                </c:pt>
                <c:pt idx="20">
                  <c:v>15.954198473282441</c:v>
                </c:pt>
                <c:pt idx="21">
                  <c:v>15.839160839160838</c:v>
                </c:pt>
                <c:pt idx="22">
                  <c:v>14.659151193633953</c:v>
                </c:pt>
                <c:pt idx="23">
                  <c:v>12.226277372262773</c:v>
                </c:pt>
                <c:pt idx="24">
                  <c:v>10.132425742574258</c:v>
                </c:pt>
              </c:numCache>
            </c:numRef>
          </c:val>
          <c:extLst>
            <c:ext xmlns:c="http://schemas.openxmlformats.org/drawingml/2006/chart" xmlns:c16="http://schemas.microsoft.com/office/drawing/2014/chart" uri="{C3380CC4-5D6E-409C-BE32-E72D297353CC}">
              <c16:uniqueId val="{00000007-B083-4F93-A7A0-BA924192598C}"/>
            </c:ext>
          </c:extLst>
        </c:ser>
        <c:dLbls>
          <c:showLegendKey val="0"/>
          <c:showVal val="0"/>
          <c:showCatName val="0"/>
          <c:showSerName val="0"/>
          <c:showPercent val="0"/>
          <c:showBubbleSize val="0"/>
        </c:dLbls>
        <c:gapWidth val="20"/>
        <c:axId val="629843592"/>
        <c:axId val="629844768"/>
      </c:barChart>
      <c:catAx>
        <c:axId val="629843592"/>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29844768"/>
        <c:crosses val="autoZero"/>
        <c:auto val="1"/>
        <c:lblAlgn val="ctr"/>
        <c:lblOffset val="100"/>
        <c:tickLblSkip val="1"/>
        <c:noMultiLvlLbl val="0"/>
      </c:catAx>
      <c:valAx>
        <c:axId val="629844768"/>
        <c:scaling>
          <c:orientation val="minMax"/>
        </c:scaling>
        <c:delete val="0"/>
        <c:axPos val="l"/>
        <c:numFmt formatCode="0" sourceLinked="0"/>
        <c:majorTickMark val="out"/>
        <c:minorTickMark val="none"/>
        <c:tickLblPos val="nextTo"/>
        <c:txPr>
          <a:bodyPr/>
          <a:lstStyle/>
          <a:p>
            <a:pPr>
              <a:defRPr sz="600"/>
            </a:pPr>
            <a:endParaRPr lang="lv-LV"/>
          </a:p>
        </c:txPr>
        <c:crossAx val="629843592"/>
        <c:crosses val="autoZero"/>
        <c:crossBetween val="between"/>
      </c:valAx>
    </c:plotArea>
    <c:plotVisOnly val="1"/>
    <c:dispBlanksAs val="gap"/>
    <c:showDLblsOverMax val="0"/>
  </c:chart>
  <c:spPr>
    <a:ln w="9525">
      <a:noFill/>
    </a:ln>
  </c:spPr>
  <c:externalData r:id="rId1">
    <c:autoUpdate val="0"/>
  </c:externalData>
</c:chartSpace>
</file>

<file path=word/charts/chart400.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607579540362333"/>
          <c:y val="0.057971014492753624"/>
          <c:w val="0.72546892004353114"/>
          <c:h val="0.77800053839423922"/>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extLst>
              <c:ext xmlns:c="http://schemas.openxmlformats.org/drawingml/2006/chart" xmlns:c16="http://schemas.microsoft.com/office/drawing/2014/chart" uri="{C3380CC4-5D6E-409C-BE32-E72D297353CC}">
                <c16:uniqueId val="{00000000-8322-4AD0-BB74-5B9CF29DE1AD}"/>
              </c:ext>
            </c:extLst>
          </c:dPt>
          <c:dLbls>
            <c:dLbl>
              <c:idx val="0"/>
              <c:layout>
                <c:manualLayout>
                  <c:x val="-0.22962436454935367"/>
                  <c:y val="0.028082211106319"/>
                </c:manualLayout>
              </c:layout>
              <c:tx>
                <c:rich>
                  <a:bodyPr vertOverflow="clip"/>
                  <a:lstStyle/>
                  <a:p>
                    <a:r>
                      <a:rPr lang="en-US"/>
                      <a:t>2005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8322-4AD0-BB74-5B9CF29DE1AD}"/>
                </c:ext>
                <c:ext xmlns:c15="http://schemas.microsoft.com/office/drawing/2012/chart" uri="{CE6537A1-D6FC-4f65-9D91-7224C49458BB}"/>
              </c:extLst>
            </c:dLbl>
            <c:dLbl>
              <c:idx val="1"/>
              <c:layout>
                <c:manualLayout>
                  <c:x val="-0.016227180527383516"/>
                  <c:y val="-0.052086614173228345"/>
                </c:manualLayout>
              </c:layout>
              <c:tx>
                <c:rich>
                  <a:bodyPr vertOverflow="clip"/>
                  <a:lstStyle/>
                  <a:p>
                    <a:r>
                      <a:rPr lang="en-US"/>
                      <a:t>2007</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8322-4AD0-BB74-5B9CF29DE1AD}"/>
                </c:ext>
                <c:ext xmlns:c15="http://schemas.microsoft.com/office/drawing/2012/chart" uri="{CE6537A1-D6FC-4f65-9D91-7224C49458BB}"/>
              </c:extLst>
            </c:dLbl>
            <c:dLbl>
              <c:idx val="2"/>
              <c:layout>
                <c:manualLayout>
                  <c:x val="-0.16256312788487653"/>
                  <c:y val="-0.11441819772528435"/>
                </c:manualLayout>
              </c:layout>
              <c:tx>
                <c:rich>
                  <a:bodyPr vertOverflow="clip"/>
                  <a:lstStyle/>
                  <a:p>
                    <a:r>
                      <a:rPr lang="en-US"/>
                      <a:t>2010</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8322-4AD0-BB74-5B9CF29DE1AD}"/>
                </c:ext>
                <c:ext xmlns:c15="http://schemas.microsoft.com/office/drawing/2012/chart" uri="{CE6537A1-D6FC-4f65-9D91-7224C49458BB}"/>
              </c:extLst>
            </c:dLbl>
            <c:dLbl>
              <c:idx val="3"/>
              <c:layout>
                <c:manualLayout>
                  <c:x val="-0.279584098640814"/>
                  <c:y val="0.014913969087197434"/>
                </c:manualLayout>
              </c:layout>
              <c:tx>
                <c:rich>
                  <a:bodyPr vertOverflow="clip"/>
                  <a:lstStyle/>
                  <a:p>
                    <a:r>
                      <a:rPr lang="en-US"/>
                      <a:t>2008</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8322-4AD0-BB74-5B9CF29DE1AD}"/>
                </c:ext>
                <c:ext xmlns:c15="http://schemas.microsoft.com/office/drawing/2012/chart" uri="{CE6537A1-D6FC-4f65-9D91-7224C49458BB}"/>
              </c:extLst>
            </c:dLbl>
            <c:dLbl>
              <c:idx val="4"/>
              <c:delete val="1"/>
              <c:extLst>
                <c:ext xmlns:c="http://schemas.openxmlformats.org/drawingml/2006/chart" xmlns:c16="http://schemas.microsoft.com/office/drawing/2014/chart" uri="{C3380CC4-5D6E-409C-BE32-E72D297353CC}">
                  <c16:uniqueId val="{00000005-8322-4AD0-BB74-5B9CF29DE1AD}"/>
                </c:ext>
                <c:ext xmlns:c15="http://schemas.microsoft.com/office/drawing/2012/chart" uri="{CE6537A1-D6FC-4f65-9D91-7224C49458BB}"/>
              </c:extLst>
            </c:dLbl>
            <c:dLbl>
              <c:idx val="5"/>
              <c:delete val="1"/>
              <c:extLst>
                <c:ext xmlns:c="http://schemas.openxmlformats.org/drawingml/2006/chart" xmlns:c16="http://schemas.microsoft.com/office/drawing/2014/chart" uri="{C3380CC4-5D6E-409C-BE32-E72D297353CC}">
                  <c16:uniqueId val="{00000000-8322-4AD0-BB74-5B9CF29DE1AD}"/>
                </c:ext>
                <c:ext xmlns:c15="http://schemas.microsoft.com/office/drawing/2012/chart" uri="{CE6537A1-D6FC-4f65-9D91-7224C49458BB}"/>
              </c:extLst>
            </c:dLbl>
            <c:dLbl>
              <c:idx val="6"/>
              <c:delete val="1"/>
              <c:extLst>
                <c:ext xmlns:c="http://schemas.openxmlformats.org/drawingml/2006/chart" xmlns:c16="http://schemas.microsoft.com/office/drawing/2014/chart" uri="{C3380CC4-5D6E-409C-BE32-E72D297353CC}">
                  <c16:uniqueId val="{00000006-8322-4AD0-BB74-5B9CF29DE1AD}"/>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7-8322-4AD0-BB74-5B9CF29DE1AD}"/>
                </c:ext>
                <c:ext xmlns:c15="http://schemas.microsoft.com/office/drawing/2012/chart" uri="{CE6537A1-D6FC-4f65-9D91-7224C49458BB}"/>
              </c:extLst>
            </c:dLbl>
            <c:dLbl>
              <c:idx val="8"/>
              <c:delete val="1"/>
              <c:extLst>
                <c:ext xmlns:c="http://schemas.openxmlformats.org/drawingml/2006/chart" xmlns:c16="http://schemas.microsoft.com/office/drawing/2014/chart" uri="{C3380CC4-5D6E-409C-BE32-E72D297353CC}">
                  <c16:uniqueId val="{00000008-8322-4AD0-BB74-5B9CF29DE1AD}"/>
                </c:ext>
                <c:ext xmlns:c15="http://schemas.microsoft.com/office/drawing/2012/chart" uri="{CE6537A1-D6FC-4f65-9D91-7224C49458BB}"/>
              </c:extLst>
            </c:dLbl>
            <c:dLbl>
              <c:idx val="9"/>
              <c:layout>
                <c:manualLayout>
                  <c:x val="-0.2202360607560972"/>
                  <c:y val="-0.032306794983960337"/>
                </c:manualLayout>
              </c:layout>
              <c:tx>
                <c:rich>
                  <a:bodyPr vertOverflow="clip"/>
                  <a:lstStyle/>
                  <a:p>
                    <a:r>
                      <a:rPr lang="en-US"/>
                      <a:t>2014</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8322-4AD0-BB74-5B9CF29DE1AD}"/>
                </c:ext>
                <c:ext xmlns:c15="http://schemas.microsoft.com/office/drawing/2012/chart" uri="{CE6537A1-D6FC-4f65-9D91-7224C49458BB}"/>
              </c:extLst>
            </c:dLbl>
            <c:dLbl>
              <c:idx val="10"/>
              <c:layout>
                <c:manualLayout>
                  <c:x val="-0.089250770631358778"/>
                  <c:y val="-0.089919801691455234"/>
                </c:manualLayout>
              </c:layout>
              <c:tx>
                <c:rich>
                  <a:bodyPr vertOverflow="clip"/>
                  <a:lstStyle/>
                  <a:p>
                    <a:r>
                      <a:rPr lang="en-US"/>
                      <a:t>2015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8322-4AD0-BB74-5B9CF29DE1AD}"/>
                </c:ext>
                <c:ext xmlns:c15="http://schemas.microsoft.com/office/drawing/2012/chart" uri="{CE6537A1-D6FC-4f65-9D91-7224C49458BB}"/>
              </c:extLst>
            </c:dLbl>
            <c:dLbl>
              <c:idx val="11"/>
              <c:layout>
                <c:manualLayout>
                  <c:x val="0.01132133331203782"/>
                  <c:y val="-0.0016579177602799649"/>
                </c:manualLayout>
              </c:layout>
              <c:tx>
                <c:rich>
                  <a:bodyPr vertOverflow="clip"/>
                  <a:lstStyle/>
                  <a:p>
                    <a:r>
                      <a:rPr lang="en-US"/>
                      <a:t>2016</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8322-4AD0-BB74-5B9CF29DE1AD}"/>
                </c:ext>
                <c:ext xmlns:c15="http://schemas.microsoft.com/office/drawing/2012/chart" uri="{CE6537A1-D6FC-4f65-9D91-7224C49458BB}"/>
              </c:extLst>
            </c:dLbl>
            <c:dLbl>
              <c:idx val="12"/>
              <c:tx>
                <c:rich>
                  <a:bodyPr/>
                  <a:lstStyle/>
                  <a:p>
                    <a:r>
                      <a:rPr lang="lv-LV"/>
                      <a:t>FI</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8322-4AD0-BB74-5B9CF29DE1AD}"/>
                </c:ext>
                <c:ext xmlns:c15="http://schemas.microsoft.com/office/drawing/2012/chart" uri="{CE6537A1-D6FC-4f65-9D91-7224C49458BB}"/>
              </c:extLst>
            </c:dLbl>
            <c:dLbl>
              <c:idx val="13"/>
              <c:tx>
                <c:rich>
                  <a:bodyPr/>
                  <a:lstStyle/>
                  <a:p>
                    <a:r>
                      <a:rPr lang="lv-LV" b="0"/>
                      <a:t>SE</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8322-4AD0-BB74-5B9CF29DE1AD}"/>
                </c:ext>
                <c:ext xmlns:c15="http://schemas.microsoft.com/office/drawing/2012/chart" uri="{CE6537A1-D6FC-4f65-9D91-7224C49458BB}"/>
              </c:extLst>
            </c:dLbl>
            <c:spPr>
              <a:noFill/>
              <a:ln>
                <a:noFill/>
              </a:ln>
              <a:effectLst/>
            </c:spPr>
            <c:txPr>
              <a:bodyPr/>
              <a:lstStyle/>
              <a:p>
                <a:pPr>
                  <a:defRPr b="0"/>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Sheet1!$B$3:$B$14</c:f>
              <c:numCache>
                <c:formatCode>0.0</c:formatCode>
                <c:ptCount val="12"/>
                <c:pt idx="0">
                  <c:v>41.1</c:v>
                </c:pt>
                <c:pt idx="1">
                  <c:v>45.8</c:v>
                </c:pt>
                <c:pt idx="2">
                  <c:v>47.4</c:v>
                </c:pt>
                <c:pt idx="3">
                  <c:v>36.1</c:v>
                </c:pt>
                <c:pt idx="4">
                  <c:v>36</c:v>
                </c:pt>
                <c:pt idx="5">
                  <c:v>42</c:v>
                </c:pt>
                <c:pt idx="6">
                  <c:v>38.5</c:v>
                </c:pt>
                <c:pt idx="7">
                  <c:v>35.3</c:v>
                </c:pt>
                <c:pt idx="8">
                  <c:v>32.4</c:v>
                </c:pt>
                <c:pt idx="9">
                  <c:v>28.3</c:v>
                </c:pt>
                <c:pt idx="10">
                  <c:v>35.4</c:v>
                </c:pt>
                <c:pt idx="11">
                  <c:v>37.9</c:v>
                </c:pt>
              </c:numCache>
            </c:numRef>
          </c:xVal>
          <c:yVal>
            <c:numRef>
              <c:f>Sheet1!$C$3:$C$14</c:f>
              <c:numCache>
                <c:formatCode>0.0</c:formatCode>
                <c:ptCount val="12"/>
                <c:pt idx="0">
                  <c:v>0.2</c:v>
                </c:pt>
                <c:pt idx="1">
                  <c:v>0.2</c:v>
                </c:pt>
                <c:pt idx="2">
                  <c:v>0.3</c:v>
                </c:pt>
                <c:pt idx="3">
                  <c:v>0.4</c:v>
                </c:pt>
                <c:pt idx="4">
                  <c:v>0.4</c:v>
                </c:pt>
                <c:pt idx="5">
                  <c:v>0.3</c:v>
                </c:pt>
                <c:pt idx="6">
                  <c:v>0.4</c:v>
                </c:pt>
                <c:pt idx="7">
                  <c:v>0.4</c:v>
                </c:pt>
                <c:pt idx="8">
                  <c:v>0.5</c:v>
                </c:pt>
                <c:pt idx="9">
                  <c:v>0.6</c:v>
                </c:pt>
                <c:pt idx="10">
                  <c:v>0.5</c:v>
                </c:pt>
                <c:pt idx="11">
                  <c:v>0.5</c:v>
                </c:pt>
              </c:numCache>
            </c:numRef>
          </c:yVal>
          <c:smooth val="1"/>
          <c:extLst>
            <c:ext xmlns:c="http://schemas.openxmlformats.org/drawingml/2006/chart" xmlns:c16="http://schemas.microsoft.com/office/drawing/2014/chart" uri="{C3380CC4-5D6E-409C-BE32-E72D297353CC}">
              <c16:uniqueId val="{0000000E-8322-4AD0-BB74-5B9CF29DE1AD}"/>
            </c:ext>
          </c:extLst>
        </c:ser>
        <c:dLbls>
          <c:showLegendKey val="0"/>
          <c:showVal val="0"/>
          <c:showCatName val="0"/>
          <c:showSerName val="0"/>
          <c:showPercent val="0"/>
          <c:showBubbleSize val="0"/>
        </c:dLbls>
        <c:axId val="656272376"/>
        <c:axId val="656273552"/>
      </c:scatterChart>
      <c:valAx>
        <c:axId val="656272376"/>
        <c:scaling>
          <c:orientation val="minMax"/>
          <c:min val="20"/>
        </c:scaling>
        <c:delete val="0"/>
        <c:axPos val="b"/>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56273552"/>
        <c:crosses val="autoZero"/>
        <c:crossBetween val="midCat"/>
      </c:valAx>
      <c:valAx>
        <c:axId val="656273552"/>
        <c:scaling>
          <c:orientation val="minMax"/>
        </c:scaling>
        <c:delete val="0"/>
        <c:axPos val="l"/>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56272376"/>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40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261844846713749"/>
          <c:y val="0.057971014492753624"/>
          <c:w val="0.70669426630949483"/>
          <c:h val="0.76864722098416938"/>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extLst>
              <c:ext xmlns:c="http://schemas.openxmlformats.org/drawingml/2006/chart" xmlns:c16="http://schemas.microsoft.com/office/drawing/2014/chart" uri="{C3380CC4-5D6E-409C-BE32-E72D297353CC}">
                <c16:uniqueId val="{00000000-5047-4C0A-B074-A8DACA06D391}"/>
              </c:ext>
            </c:extLst>
          </c:dPt>
          <c:dLbls>
            <c:dLbl>
              <c:idx val="0"/>
              <c:layout>
                <c:manualLayout>
                  <c:x val="-0.22962436454935367"/>
                  <c:y val="0.028082211106319"/>
                </c:manualLayout>
              </c:layout>
              <c:tx>
                <c:rich>
                  <a:bodyPr vertOverflow="clip"/>
                  <a:lstStyle/>
                  <a:p>
                    <a:r>
                      <a:rPr lang="en-US"/>
                      <a:t>2005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5047-4C0A-B074-A8DACA06D391}"/>
                </c:ext>
                <c:ext xmlns:c15="http://schemas.microsoft.com/office/drawing/2012/chart" uri="{CE6537A1-D6FC-4f65-9D91-7224C49458BB}"/>
              </c:extLst>
            </c:dLbl>
            <c:dLbl>
              <c:idx val="1"/>
              <c:layout>
                <c:manualLayout>
                  <c:x val="-0.11413842606690745"/>
                  <c:y val="-0.064252697579469234"/>
                </c:manualLayout>
              </c:layout>
              <c:tx>
                <c:rich>
                  <a:bodyPr vertOverflow="clip"/>
                  <a:lstStyle/>
                  <a:p>
                    <a:r>
                      <a:rPr lang="en-US"/>
                      <a:t>2007</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5047-4C0A-B074-A8DACA06D391}"/>
                </c:ext>
                <c:ext xmlns:c15="http://schemas.microsoft.com/office/drawing/2012/chart" uri="{CE6537A1-D6FC-4f65-9D91-7224C49458BB}"/>
              </c:extLst>
            </c:dLbl>
            <c:dLbl>
              <c:idx val="2"/>
              <c:layout>
                <c:manualLayout>
                  <c:x val="0.20941028780242249"/>
                  <c:y val="0.43564668999708361"/>
                </c:manualLayout>
              </c:layout>
              <c:tx>
                <c:rich>
                  <a:bodyPr vertOverflow="clip"/>
                  <a:lstStyle/>
                  <a:p>
                    <a:r>
                      <a:rPr lang="en-US"/>
                      <a:t>2009</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5047-4C0A-B074-A8DACA06D391}"/>
                </c:ext>
                <c:ext xmlns:c15="http://schemas.microsoft.com/office/drawing/2012/chart" uri="{CE6537A1-D6FC-4f65-9D91-7224C49458BB}"/>
              </c:extLst>
            </c:dLbl>
            <c:dLbl>
              <c:idx val="3"/>
              <c:delete val="1"/>
              <c:extLst>
                <c:ext xmlns:c="http://schemas.openxmlformats.org/drawingml/2006/chart" xmlns:c16="http://schemas.microsoft.com/office/drawing/2014/chart" uri="{C3380CC4-5D6E-409C-BE32-E72D297353CC}">
                  <c16:uniqueId val="{00000004-5047-4C0A-B074-A8DACA06D391}"/>
                </c:ext>
                <c:ext xmlns:c15="http://schemas.microsoft.com/office/drawing/2012/chart" uri="{CE6537A1-D6FC-4f65-9D91-7224C49458BB}"/>
              </c:extLst>
            </c:dLbl>
            <c:dLbl>
              <c:idx val="4"/>
              <c:delete val="1"/>
              <c:extLst>
                <c:ext xmlns:c="http://schemas.openxmlformats.org/drawingml/2006/chart" xmlns:c16="http://schemas.microsoft.com/office/drawing/2014/chart" uri="{C3380CC4-5D6E-409C-BE32-E72D297353CC}">
                  <c16:uniqueId val="{00000005-5047-4C0A-B074-A8DACA06D391}"/>
                </c:ext>
                <c:ext xmlns:c15="http://schemas.microsoft.com/office/drawing/2012/chart" uri="{CE6537A1-D6FC-4f65-9D91-7224C49458BB}"/>
              </c:extLst>
            </c:dLbl>
            <c:dLbl>
              <c:idx val="5"/>
              <c:layout>
                <c:manualLayout>
                  <c:x val="-0.20051954831612906"/>
                  <c:y val="0.067721638961796449"/>
                </c:manualLayout>
              </c:layout>
              <c:tx>
                <c:rich>
                  <a:bodyPr vertOverflow="clip"/>
                  <a:lstStyle/>
                  <a:p>
                    <a:r>
                      <a:rPr lang="en-US"/>
                      <a:t>2010</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5047-4C0A-B074-A8DACA06D391}"/>
                </c:ext>
                <c:ext xmlns:c15="http://schemas.microsoft.com/office/drawing/2012/chart" uri="{CE6537A1-D6FC-4f65-9D91-7224C49458BB}"/>
              </c:extLst>
            </c:dLbl>
            <c:dLbl>
              <c:idx val="6"/>
              <c:layout>
                <c:manualLayout>
                  <c:x val="-0.15822947661849363"/>
                  <c:y val="0.051356591324195781"/>
                </c:manualLayout>
              </c:layout>
              <c:tx>
                <c:rich>
                  <a:bodyPr vertOverflow="clip"/>
                  <a:lstStyle/>
                  <a:p>
                    <a:r>
                      <a:rPr lang="en-US"/>
                      <a:t>2011</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5047-4C0A-B074-A8DACA06D391}"/>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7-5047-4C0A-B074-A8DACA06D391}"/>
                </c:ext>
                <c:ext xmlns:c15="http://schemas.microsoft.com/office/drawing/2012/chart" uri="{CE6537A1-D6FC-4f65-9D91-7224C49458BB}"/>
              </c:extLst>
            </c:dLbl>
            <c:dLbl>
              <c:idx val="8"/>
              <c:layout>
                <c:manualLayout>
                  <c:x val="-0.086606715597014536"/>
                  <c:y val="-0.062015164771070282"/>
                </c:manualLayout>
              </c:layout>
              <c:tx>
                <c:rich>
                  <a:bodyPr vertOverflow="clip"/>
                  <a:lstStyle/>
                  <a:p>
                    <a:r>
                      <a:rPr lang="en-US"/>
                      <a:t>2013</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5047-4C0A-B074-A8DACA06D391}"/>
                </c:ext>
                <c:ext xmlns:c15="http://schemas.microsoft.com/office/drawing/2012/chart" uri="{CE6537A1-D6FC-4f65-9D91-7224C49458BB}"/>
              </c:extLst>
            </c:dLbl>
            <c:dLbl>
              <c:idx val="9"/>
              <c:delete val="1"/>
              <c:extLst>
                <c:ext xmlns:c="http://schemas.openxmlformats.org/drawingml/2006/chart" xmlns:c16="http://schemas.microsoft.com/office/drawing/2014/chart" uri="{C3380CC4-5D6E-409C-BE32-E72D297353CC}">
                  <c16:uniqueId val="{00000009-5047-4C0A-B074-A8DACA06D391}"/>
                </c:ext>
                <c:ext xmlns:c15="http://schemas.microsoft.com/office/drawing/2012/chart" uri="{CE6537A1-D6FC-4f65-9D91-7224C49458BB}"/>
              </c:extLst>
            </c:dLbl>
            <c:dLbl>
              <c:idx val="10"/>
              <c:layout>
                <c:manualLayout>
                  <c:x val="-0.021164614450397686"/>
                  <c:y val="0.0041804175475093405"/>
                </c:manualLayout>
              </c:layout>
              <c:tx>
                <c:rich>
                  <a:bodyPr vertOverflow="clip"/>
                  <a:lstStyle/>
                  <a:p>
                    <a:r>
                      <a:rPr lang="en-US"/>
                      <a:t>2015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5047-4C0A-B074-A8DACA06D391}"/>
                </c:ext>
                <c:ext xmlns:c15="http://schemas.microsoft.com/office/drawing/2012/chart" uri="{CE6537A1-D6FC-4f65-9D91-7224C49458BB}"/>
              </c:extLst>
            </c:dLbl>
            <c:dLbl>
              <c:idx val="11"/>
              <c:layout>
                <c:manualLayout>
                  <c:x val="-0.045473776802943768"/>
                  <c:y val="-0.029435967255112244"/>
                </c:manualLayout>
              </c:layout>
              <c:tx>
                <c:rich>
                  <a:bodyPr vertOverflow="clip"/>
                  <a:lstStyle/>
                  <a:p>
                    <a:r>
                      <a:rPr lang="en-US"/>
                      <a:t>2016</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5047-4C0A-B074-A8DACA06D391}"/>
                </c:ext>
                <c:ext xmlns:c15="http://schemas.microsoft.com/office/drawing/2012/chart" uri="{CE6537A1-D6FC-4f65-9D91-7224C49458BB}"/>
              </c:extLst>
            </c:dLbl>
            <c:dLbl>
              <c:idx val="12"/>
              <c:tx>
                <c:rich>
                  <a:bodyPr/>
                  <a:lstStyle/>
                  <a:p>
                    <a:r>
                      <a:rPr lang="lv-LV"/>
                      <a:t>FI</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5047-4C0A-B074-A8DACA06D391}"/>
                </c:ext>
                <c:ext xmlns:c15="http://schemas.microsoft.com/office/drawing/2012/chart" uri="{CE6537A1-D6FC-4f65-9D91-7224C49458BB}"/>
              </c:extLst>
            </c:dLbl>
            <c:dLbl>
              <c:idx val="13"/>
              <c:tx>
                <c:rich>
                  <a:bodyPr/>
                  <a:lstStyle/>
                  <a:p>
                    <a:r>
                      <a:rPr lang="lv-LV" b="0"/>
                      <a:t>SE</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5047-4C0A-B074-A8DACA06D391}"/>
                </c:ext>
                <c:ext xmlns:c15="http://schemas.microsoft.com/office/drawing/2012/chart" uri="{CE6537A1-D6FC-4f65-9D91-7224C49458BB}"/>
              </c:extLst>
            </c:dLbl>
            <c:spPr>
              <a:noFill/>
              <a:ln>
                <a:noFill/>
              </a:ln>
              <a:effectLst/>
            </c:spPr>
            <c:txPr>
              <a:bodyPr/>
              <a:lstStyle/>
              <a:p>
                <a:pPr>
                  <a:defRPr b="0"/>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Sheet1!$B$3:$B$14</c:f>
              <c:numCache>
                <c:formatCode>0.0</c:formatCode>
                <c:ptCount val="12"/>
                <c:pt idx="0">
                  <c:v>14.8</c:v>
                </c:pt>
                <c:pt idx="1">
                  <c:v>15.9</c:v>
                </c:pt>
                <c:pt idx="2">
                  <c:v>17.2</c:v>
                </c:pt>
                <c:pt idx="3">
                  <c:v>21.5</c:v>
                </c:pt>
                <c:pt idx="4">
                  <c:v>32.2</c:v>
                </c:pt>
                <c:pt idx="5">
                  <c:v>24.2</c:v>
                </c:pt>
                <c:pt idx="6">
                  <c:v>25.8</c:v>
                </c:pt>
                <c:pt idx="7">
                  <c:v>23.7</c:v>
                </c:pt>
                <c:pt idx="8">
                  <c:v>22</c:v>
                </c:pt>
                <c:pt idx="9">
                  <c:v>24.6</c:v>
                </c:pt>
                <c:pt idx="10">
                  <c:v>23.7</c:v>
                </c:pt>
                <c:pt idx="11">
                  <c:v>23.9</c:v>
                </c:pt>
              </c:numCache>
            </c:numRef>
          </c:xVal>
          <c:yVal>
            <c:numRef>
              <c:f>Sheet1!$C$3:$C$14</c:f>
              <c:numCache>
                <c:formatCode>0.0</c:formatCode>
                <c:ptCount val="12"/>
                <c:pt idx="0">
                  <c:v>0.4</c:v>
                </c:pt>
                <c:pt idx="1">
                  <c:v>0.6</c:v>
                </c:pt>
                <c:pt idx="2">
                  <c:v>0.6</c:v>
                </c:pt>
                <c:pt idx="3">
                  <c:v>0.5</c:v>
                </c:pt>
                <c:pt idx="4">
                  <c:v>0.3</c:v>
                </c:pt>
                <c:pt idx="5">
                  <c:v>0.5</c:v>
                </c:pt>
                <c:pt idx="6">
                  <c:v>0.4</c:v>
                </c:pt>
                <c:pt idx="7">
                  <c:v>0.5</c:v>
                </c:pt>
                <c:pt idx="8">
                  <c:v>0.5</c:v>
                </c:pt>
                <c:pt idx="9">
                  <c:v>0.5</c:v>
                </c:pt>
                <c:pt idx="10">
                  <c:v>0.5</c:v>
                </c:pt>
                <c:pt idx="11">
                  <c:v>0.6</c:v>
                </c:pt>
              </c:numCache>
            </c:numRef>
          </c:yVal>
          <c:smooth val="1"/>
          <c:extLst>
            <c:ext xmlns:c="http://schemas.openxmlformats.org/drawingml/2006/chart" xmlns:c16="http://schemas.microsoft.com/office/drawing/2014/chart" uri="{C3380CC4-5D6E-409C-BE32-E72D297353CC}">
              <c16:uniqueId val="{0000000E-5047-4C0A-B074-A8DACA06D391}"/>
            </c:ext>
          </c:extLst>
        </c:ser>
        <c:dLbls>
          <c:showLegendKey val="0"/>
          <c:showVal val="0"/>
          <c:showCatName val="0"/>
          <c:showSerName val="0"/>
          <c:showPercent val="0"/>
          <c:showBubbleSize val="0"/>
        </c:dLbls>
        <c:axId val="656277864"/>
        <c:axId val="656285704"/>
      </c:scatterChart>
      <c:valAx>
        <c:axId val="656277864"/>
        <c:scaling>
          <c:orientation val="minMax"/>
        </c:scaling>
        <c:delete val="0"/>
        <c:axPos val="b"/>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56285704"/>
        <c:crosses val="autoZero"/>
        <c:crossBetween val="midCat"/>
      </c:valAx>
      <c:valAx>
        <c:axId val="656285704"/>
        <c:scaling>
          <c:orientation val="minMax"/>
          <c:min val="0.2"/>
        </c:scaling>
        <c:delete val="0"/>
        <c:axPos val="l"/>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56277864"/>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40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574559623346051"/>
          <c:y val="0.057971014492753624"/>
          <c:w val="0.74793137971155665"/>
          <c:h val="0.78005179352580922"/>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marker>
              <c:spPr>
                <a:solidFill>
                  <a:srgbClr val="002060"/>
                </a:solidFill>
                <a:ln w="6350">
                  <a:solidFill>
                    <a:sysClr val="windowText" lastClr="000000"/>
                  </a:solidFill>
                </a:ln>
              </c:spPr>
            </c:marker>
            <c:extLst>
              <c:ext xmlns:c="http://schemas.openxmlformats.org/drawingml/2006/chart" xmlns:c16="http://schemas.microsoft.com/office/drawing/2014/chart" uri="{C3380CC4-5D6E-409C-BE32-E72D297353CC}">
                <c16:uniqueId val="{00000000-F02E-4276-BAFF-10B55963086E}"/>
              </c:ext>
            </c:extLst>
          </c:dPt>
          <c:dLbls>
            <c:dLbl>
              <c:idx val="0"/>
              <c:layout>
                <c:manualLayout>
                  <c:x val="-0.23649701003869356"/>
                  <c:y val="0.016686183457837"/>
                </c:manualLayout>
              </c:layout>
              <c:tx>
                <c:rich>
                  <a:bodyPr vertOverflow="clip"/>
                  <a:lstStyle/>
                  <a:p>
                    <a:r>
                      <a:rPr lang="en-US"/>
                      <a:t>2005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F02E-4276-BAFF-10B55963086E}"/>
                </c:ext>
                <c:ext xmlns:c15="http://schemas.microsoft.com/office/drawing/2012/chart" uri="{CE6537A1-D6FC-4f65-9D91-7224C49458BB}"/>
              </c:extLst>
            </c:dLbl>
            <c:dLbl>
              <c:idx val="1"/>
              <c:layout>
                <c:manualLayout>
                  <c:x val="0.035221089831905424"/>
                  <c:y val="-0.19972149314669"/>
                </c:manualLayout>
              </c:layout>
              <c:tx>
                <c:rich>
                  <a:bodyPr vertOverflow="clip"/>
                  <a:lstStyle/>
                  <a:p>
                    <a:r>
                      <a:rPr lang="en-US"/>
                      <a:t>2007</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F02E-4276-BAFF-10B55963086E}"/>
                </c:ext>
                <c:ext xmlns:c15="http://schemas.microsoft.com/office/drawing/2012/chart" uri="{CE6537A1-D6FC-4f65-9D91-7224C49458BB}"/>
              </c:extLst>
            </c:dLbl>
            <c:dLbl>
              <c:idx val="2"/>
              <c:layout>
                <c:manualLayout>
                  <c:x val="-0.42947208918472818"/>
                  <c:y val="-0.095692397424680886"/>
                </c:manualLayout>
              </c:layout>
              <c:tx>
                <c:rich>
                  <a:bodyPr vertOverflow="clip"/>
                  <a:lstStyle/>
                  <a:p>
                    <a:r>
                      <a:rPr lang="en-US"/>
                      <a:t>2010</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F02E-4276-BAFF-10B55963086E}"/>
                </c:ext>
                <c:ext xmlns:c15="http://schemas.microsoft.com/office/drawing/2012/chart" uri="{CE6537A1-D6FC-4f65-9D91-7224C49458BB}"/>
              </c:extLst>
            </c:dLbl>
            <c:dLbl>
              <c:idx val="3"/>
              <c:layout>
                <c:manualLayout>
                  <c:x val="-0.23736827218729756"/>
                  <c:y val="-0.037179206765820982"/>
                </c:manualLayout>
              </c:layout>
              <c:tx>
                <c:rich>
                  <a:bodyPr vertOverflow="clip"/>
                  <a:lstStyle/>
                  <a:p>
                    <a:r>
                      <a:rPr lang="en-US"/>
                      <a:t>2008</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F02E-4276-BAFF-10B55963086E}"/>
                </c:ext>
                <c:ext xmlns:c15="http://schemas.microsoft.com/office/drawing/2012/chart" uri="{CE6537A1-D6FC-4f65-9D91-7224C49458BB}"/>
              </c:extLst>
            </c:dLbl>
            <c:dLbl>
              <c:idx val="4"/>
              <c:delete val="1"/>
              <c:extLst>
                <c:ext xmlns:c="http://schemas.openxmlformats.org/drawingml/2006/chart" xmlns:c16="http://schemas.microsoft.com/office/drawing/2014/chart" uri="{C3380CC4-5D6E-409C-BE32-E72D297353CC}">
                  <c16:uniqueId val="{00000005-F02E-4276-BAFF-10B55963086E}"/>
                </c:ext>
                <c:ext xmlns:c15="http://schemas.microsoft.com/office/drawing/2012/chart" uri="{CE6537A1-D6FC-4f65-9D91-7224C49458BB}"/>
              </c:extLst>
            </c:dLbl>
            <c:dLbl>
              <c:idx val="5"/>
              <c:delete val="1"/>
              <c:extLst>
                <c:ext xmlns:c="http://schemas.openxmlformats.org/drawingml/2006/chart" xmlns:c16="http://schemas.microsoft.com/office/drawing/2014/chart" uri="{C3380CC4-5D6E-409C-BE32-E72D297353CC}">
                  <c16:uniqueId val="{00000000-F02E-4276-BAFF-10B55963086E}"/>
                </c:ext>
                <c:ext xmlns:c15="http://schemas.microsoft.com/office/drawing/2012/chart" uri="{CE6537A1-D6FC-4f65-9D91-7224C49458BB}"/>
              </c:extLst>
            </c:dLbl>
            <c:dLbl>
              <c:idx val="6"/>
              <c:delete val="1"/>
              <c:extLst>
                <c:ext xmlns:c="http://schemas.openxmlformats.org/drawingml/2006/chart" xmlns:c16="http://schemas.microsoft.com/office/drawing/2014/chart" uri="{C3380CC4-5D6E-409C-BE32-E72D297353CC}">
                  <c16:uniqueId val="{00000006-F02E-4276-BAFF-10B55963086E}"/>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7-F02E-4276-BAFF-10B55963086E}"/>
                </c:ext>
                <c:ext xmlns:c15="http://schemas.microsoft.com/office/drawing/2012/chart" uri="{CE6537A1-D6FC-4f65-9D91-7224C49458BB}"/>
              </c:extLst>
            </c:dLbl>
            <c:dLbl>
              <c:idx val="8"/>
              <c:delete val="1"/>
              <c:extLst>
                <c:ext xmlns:c="http://schemas.openxmlformats.org/drawingml/2006/chart" xmlns:c16="http://schemas.microsoft.com/office/drawing/2014/chart" uri="{C3380CC4-5D6E-409C-BE32-E72D297353CC}">
                  <c16:uniqueId val="{00000008-F02E-4276-BAFF-10B55963086E}"/>
                </c:ext>
                <c:ext xmlns:c15="http://schemas.microsoft.com/office/drawing/2012/chart" uri="{CE6537A1-D6FC-4f65-9D91-7224C49458BB}"/>
              </c:extLst>
            </c:dLbl>
            <c:dLbl>
              <c:idx val="9"/>
              <c:layout>
                <c:manualLayout>
                  <c:x val="-0.0069973212111372673"/>
                  <c:y val="-0.013705274020234651"/>
                </c:manualLayout>
              </c:layout>
              <c:tx>
                <c:rich>
                  <a:bodyPr vertOverflow="clip"/>
                  <a:lstStyle/>
                  <a:p>
                    <a:r>
                      <a:rPr lang="en-US"/>
                      <a:t>2014</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F02E-4276-BAFF-10B55963086E}"/>
                </c:ext>
                <c:ext xmlns:c15="http://schemas.microsoft.com/office/drawing/2012/chart" uri="{CE6537A1-D6FC-4f65-9D91-7224C49458BB}"/>
              </c:extLst>
            </c:dLbl>
            <c:dLbl>
              <c:idx val="10"/>
              <c:layout>
                <c:manualLayout>
                  <c:x val="-0.048682645839606228"/>
                  <c:y val="-0.089919801691455234"/>
                </c:manualLayout>
              </c:layout>
              <c:tx>
                <c:rich>
                  <a:bodyPr vertOverflow="clip"/>
                  <a:lstStyle/>
                  <a:p>
                    <a:r>
                      <a:rPr lang="en-US"/>
                      <a:t>2015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F02E-4276-BAFF-10B55963086E}"/>
                </c:ext>
                <c:ext xmlns:c15="http://schemas.microsoft.com/office/drawing/2012/chart" uri="{CE6537A1-D6FC-4f65-9D91-7224C49458BB}"/>
              </c:extLst>
            </c:dLbl>
            <c:dLbl>
              <c:idx val="11"/>
              <c:layout>
                <c:manualLayout>
                  <c:x val="-0.045473776802943768"/>
                  <c:y val="-0.029435967255112244"/>
                </c:manualLayout>
              </c:layout>
              <c:tx>
                <c:rich>
                  <a:bodyPr vertOverflow="clip"/>
                  <a:lstStyle/>
                  <a:p>
                    <a:r>
                      <a:rPr lang="en-US"/>
                      <a:t>2016</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F02E-4276-BAFF-10B55963086E}"/>
                </c:ext>
                <c:ext xmlns:c15="http://schemas.microsoft.com/office/drawing/2012/chart" uri="{CE6537A1-D6FC-4f65-9D91-7224C49458BB}"/>
              </c:extLst>
            </c:dLbl>
            <c:dLbl>
              <c:idx val="12"/>
              <c:tx>
                <c:rich>
                  <a:bodyPr/>
                  <a:lstStyle/>
                  <a:p>
                    <a:r>
                      <a:rPr lang="lv-LV"/>
                      <a:t>FI</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F02E-4276-BAFF-10B55963086E}"/>
                </c:ext>
                <c:ext xmlns:c15="http://schemas.microsoft.com/office/drawing/2012/chart" uri="{CE6537A1-D6FC-4f65-9D91-7224C49458BB}"/>
              </c:extLst>
            </c:dLbl>
            <c:dLbl>
              <c:idx val="13"/>
              <c:tx>
                <c:rich>
                  <a:bodyPr/>
                  <a:lstStyle/>
                  <a:p>
                    <a:r>
                      <a:rPr lang="lv-LV" b="0"/>
                      <a:t>SE</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F02E-4276-BAFF-10B55963086E}"/>
                </c:ext>
                <c:ext xmlns:c15="http://schemas.microsoft.com/office/drawing/2012/chart" uri="{CE6537A1-D6FC-4f65-9D91-7224C49458BB}"/>
              </c:extLst>
            </c:dLbl>
            <c:spPr>
              <a:noFill/>
              <a:ln>
                <a:noFill/>
              </a:ln>
              <a:effectLst/>
            </c:spPr>
            <c:txPr>
              <a:bodyPr/>
              <a:lstStyle/>
              <a:p>
                <a:pPr>
                  <a:defRPr b="0"/>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Sheet1!$B$3:$B$14</c:f>
              <c:numCache>
                <c:formatCode>0.0</c:formatCode>
                <c:ptCount val="12"/>
                <c:pt idx="0">
                  <c:v>18.5</c:v>
                </c:pt>
                <c:pt idx="1">
                  <c:v>17.6</c:v>
                </c:pt>
                <c:pt idx="2">
                  <c:v>18.6</c:v>
                </c:pt>
                <c:pt idx="3">
                  <c:v>18</c:v>
                </c:pt>
                <c:pt idx="4">
                  <c:v>16.6</c:v>
                </c:pt>
                <c:pt idx="5">
                  <c:v>13.6</c:v>
                </c:pt>
                <c:pt idx="6">
                  <c:v>16.8</c:v>
                </c:pt>
                <c:pt idx="7">
                  <c:v>18.5</c:v>
                </c:pt>
                <c:pt idx="8">
                  <c:v>18</c:v>
                </c:pt>
                <c:pt idx="9">
                  <c:v>18.4</c:v>
                </c:pt>
                <c:pt idx="10">
                  <c:v>18.4</c:v>
                </c:pt>
                <c:pt idx="11">
                  <c:v>16.4</c:v>
                </c:pt>
              </c:numCache>
            </c:numRef>
          </c:xVal>
          <c:yVal>
            <c:numRef>
              <c:f>Sheet1!$C$3:$C$14</c:f>
              <c:numCache>
                <c:formatCode>0.0</c:formatCode>
                <c:ptCount val="12"/>
                <c:pt idx="0">
                  <c:v>0.4</c:v>
                </c:pt>
                <c:pt idx="1">
                  <c:v>0.5</c:v>
                </c:pt>
                <c:pt idx="2">
                  <c:v>0.8</c:v>
                </c:pt>
                <c:pt idx="3">
                  <c:v>0.8</c:v>
                </c:pt>
                <c:pt idx="4" formatCode="0.00">
                  <c:v>0.7</c:v>
                </c:pt>
                <c:pt idx="5" formatCode="0.00">
                  <c:v>0.81</c:v>
                </c:pt>
                <c:pt idx="6" formatCode="0.00">
                  <c:v>0.65</c:v>
                </c:pt>
                <c:pt idx="7" formatCode="0.00">
                  <c:v>0.67</c:v>
                </c:pt>
                <c:pt idx="8">
                  <c:v>0.7</c:v>
                </c:pt>
                <c:pt idx="9">
                  <c:v>0.8</c:v>
                </c:pt>
                <c:pt idx="10">
                  <c:v>0.8</c:v>
                </c:pt>
                <c:pt idx="11">
                  <c:v>1</c:v>
                </c:pt>
              </c:numCache>
            </c:numRef>
          </c:yVal>
          <c:smooth val="1"/>
          <c:extLst>
            <c:ext xmlns:c="http://schemas.openxmlformats.org/drawingml/2006/chart" xmlns:c16="http://schemas.microsoft.com/office/drawing/2014/chart" uri="{C3380CC4-5D6E-409C-BE32-E72D297353CC}">
              <c16:uniqueId val="{0000000E-F02E-4276-BAFF-10B55963086E}"/>
            </c:ext>
          </c:extLst>
        </c:ser>
        <c:dLbls>
          <c:showLegendKey val="0"/>
          <c:showVal val="0"/>
          <c:showCatName val="0"/>
          <c:showSerName val="0"/>
          <c:showPercent val="0"/>
          <c:showBubbleSize val="0"/>
        </c:dLbls>
        <c:axId val="656280216"/>
        <c:axId val="656277472"/>
      </c:scatterChart>
      <c:valAx>
        <c:axId val="656280216"/>
        <c:scaling>
          <c:orientation val="minMax"/>
          <c:max val="25"/>
          <c:min val="10"/>
        </c:scaling>
        <c:delete val="0"/>
        <c:axPos val="b"/>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56277472"/>
        <c:crosses val="autoZero"/>
        <c:crossBetween val="midCat"/>
        <c:majorUnit val="5"/>
      </c:valAx>
      <c:valAx>
        <c:axId val="656277472"/>
        <c:scaling>
          <c:orientation val="minMax"/>
          <c:min val="0.30000000000000004"/>
        </c:scaling>
        <c:delete val="0"/>
        <c:axPos val="l"/>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56280216"/>
        <c:crosses val="autoZero"/>
        <c:crossBetween val="midCat"/>
        <c:majorUnit val="0.2"/>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40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509062837733516"/>
          <c:y val="0.057971014492753624"/>
          <c:w val="0.77891763921512946"/>
          <c:h val="0.805489234445606"/>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extLst>
              <c:ext xmlns:c="http://schemas.openxmlformats.org/drawingml/2006/chart" xmlns:c16="http://schemas.microsoft.com/office/drawing/2014/chart" uri="{C3380CC4-5D6E-409C-BE32-E72D297353CC}">
                <c16:uniqueId val="{00000000-0F0C-4058-BBF4-86EE25CECD5F}"/>
              </c:ext>
            </c:extLst>
          </c:dPt>
          <c:dLbls>
            <c:dLbl>
              <c:idx val="0"/>
              <c:layout>
                <c:manualLayout>
                  <c:x val="-0.22962436454935367"/>
                  <c:y val="0.028082211106319"/>
                </c:manualLayout>
              </c:layout>
              <c:tx>
                <c:rich>
                  <a:bodyPr vertOverflow="clip"/>
                  <a:lstStyle/>
                  <a:p>
                    <a:r>
                      <a:rPr lang="en-US"/>
                      <a:t>2005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0F0C-4058-BBF4-86EE25CECD5F}"/>
                </c:ext>
                <c:ext xmlns:c15="http://schemas.microsoft.com/office/drawing/2012/chart" uri="{CE6537A1-D6FC-4f65-9D91-7224C49458BB}"/>
              </c:extLst>
            </c:dLbl>
            <c:dLbl>
              <c:idx val="1"/>
              <c:delete val="1"/>
              <c:extLst>
                <c:ext xmlns:c="http://schemas.openxmlformats.org/drawingml/2006/chart" xmlns:c16="http://schemas.microsoft.com/office/drawing/2014/chart" uri="{C3380CC4-5D6E-409C-BE32-E72D297353CC}">
                  <c16:uniqueId val="{00000002-0F0C-4058-BBF4-86EE25CECD5F}"/>
                </c:ext>
                <c:ext xmlns:c15="http://schemas.microsoft.com/office/drawing/2012/chart" uri="{CE6537A1-D6FC-4f65-9D91-7224C49458BB}"/>
              </c:extLst>
            </c:dLbl>
            <c:dLbl>
              <c:idx val="2"/>
              <c:delete val="1"/>
              <c:extLst>
                <c:ext xmlns:c="http://schemas.openxmlformats.org/drawingml/2006/chart" xmlns:c16="http://schemas.microsoft.com/office/drawing/2014/chart" uri="{C3380CC4-5D6E-409C-BE32-E72D297353CC}">
                  <c16:uniqueId val="{00000003-0F0C-4058-BBF4-86EE25CECD5F}"/>
                </c:ext>
                <c:ext xmlns:c15="http://schemas.microsoft.com/office/drawing/2012/chart" uri="{CE6537A1-D6FC-4f65-9D91-7224C49458BB}"/>
              </c:extLst>
            </c:dLbl>
            <c:dLbl>
              <c:idx val="3"/>
              <c:layout>
                <c:manualLayout>
                  <c:x val="-0.24367515825227729"/>
                  <c:y val="-0.023366185187116511"/>
                </c:manualLayout>
              </c:layout>
              <c:tx>
                <c:rich>
                  <a:bodyPr vertOverflow="clip"/>
                  <a:lstStyle/>
                  <a:p>
                    <a:r>
                      <a:rPr lang="en-US"/>
                      <a:t>2008</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0F0C-4058-BBF4-86EE25CECD5F}"/>
                </c:ext>
                <c:ext xmlns:c15="http://schemas.microsoft.com/office/drawing/2012/chart" uri="{CE6537A1-D6FC-4f65-9D91-7224C49458BB}"/>
              </c:extLst>
            </c:dLbl>
            <c:dLbl>
              <c:idx val="4"/>
              <c:delete val="1"/>
              <c:extLst>
                <c:ext xmlns:c="http://schemas.openxmlformats.org/drawingml/2006/chart" xmlns:c16="http://schemas.microsoft.com/office/drawing/2014/chart" uri="{C3380CC4-5D6E-409C-BE32-E72D297353CC}">
                  <c16:uniqueId val="{00000005-0F0C-4058-BBF4-86EE25CECD5F}"/>
                </c:ext>
                <c:ext xmlns:c15="http://schemas.microsoft.com/office/drawing/2012/chart" uri="{CE6537A1-D6FC-4f65-9D91-7224C49458BB}"/>
              </c:extLst>
            </c:dLbl>
            <c:dLbl>
              <c:idx val="5"/>
              <c:layout>
                <c:manualLayout>
                  <c:x val="-0.25344511347846227"/>
                  <c:y val="0.028531400462359423"/>
                </c:manualLayout>
              </c:layout>
              <c:tx>
                <c:rich>
                  <a:bodyPr vertOverflow="clip"/>
                  <a:lstStyle/>
                  <a:p>
                    <a:r>
                      <a:rPr lang="en-US"/>
                      <a:t>2010</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0F0C-4058-BBF4-86EE25CECD5F}"/>
                </c:ext>
                <c:ext xmlns:c15="http://schemas.microsoft.com/office/drawing/2012/chart" uri="{CE6537A1-D6FC-4f65-9D91-7224C49458BB}"/>
              </c:extLst>
            </c:dLbl>
            <c:dLbl>
              <c:idx val="6"/>
              <c:layout>
                <c:manualLayout>
                  <c:x val="-0.020638627385020907"/>
                  <c:y val="0.022825151699642571"/>
                </c:manualLayout>
              </c:layout>
              <c:tx>
                <c:rich>
                  <a:bodyPr vertOverflow="clip"/>
                  <a:lstStyle/>
                  <a:p>
                    <a:r>
                      <a:rPr lang="en-US"/>
                      <a:t>2011</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0F0C-4058-BBF4-86EE25CECD5F}"/>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7-0F0C-4058-BBF4-86EE25CECD5F}"/>
                </c:ext>
                <c:ext xmlns:c15="http://schemas.microsoft.com/office/drawing/2012/chart" uri="{CE6537A1-D6FC-4f65-9D91-7224C49458BB}"/>
              </c:extLst>
            </c:dLbl>
            <c:dLbl>
              <c:idx val="8"/>
              <c:delete val="1"/>
              <c:extLst>
                <c:ext xmlns:c="http://schemas.openxmlformats.org/drawingml/2006/chart" xmlns:c16="http://schemas.microsoft.com/office/drawing/2014/chart" uri="{C3380CC4-5D6E-409C-BE32-E72D297353CC}">
                  <c16:uniqueId val="{00000008-0F0C-4058-BBF4-86EE25CECD5F}"/>
                </c:ext>
                <c:ext xmlns:c15="http://schemas.microsoft.com/office/drawing/2012/chart" uri="{CE6537A1-D6FC-4f65-9D91-7224C49458BB}"/>
              </c:extLst>
            </c:dLbl>
            <c:dLbl>
              <c:idx val="9"/>
              <c:delete val="1"/>
              <c:extLst>
                <c:ext xmlns:c="http://schemas.openxmlformats.org/drawingml/2006/chart" xmlns:c16="http://schemas.microsoft.com/office/drawing/2014/chart" uri="{C3380CC4-5D6E-409C-BE32-E72D297353CC}">
                  <c16:uniqueId val="{00000009-0F0C-4058-BBF4-86EE25CECD5F}"/>
                </c:ext>
                <c:ext xmlns:c15="http://schemas.microsoft.com/office/drawing/2012/chart" uri="{CE6537A1-D6FC-4f65-9D91-7224C49458BB}"/>
              </c:extLst>
            </c:dLbl>
            <c:dLbl>
              <c:idx val="10"/>
              <c:layout>
                <c:manualLayout>
                  <c:x val="-0.099657597745336848"/>
                  <c:y val="-0.10628463108778069"/>
                </c:manualLayout>
              </c:layout>
              <c:tx>
                <c:rich>
                  <a:bodyPr vertOverflow="clip"/>
                  <a:lstStyle/>
                  <a:p>
                    <a:r>
                      <a:rPr lang="en-US"/>
                      <a:t>2015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0F0C-4058-BBF4-86EE25CECD5F}"/>
                </c:ext>
                <c:ext xmlns:c15="http://schemas.microsoft.com/office/drawing/2012/chart" uri="{CE6537A1-D6FC-4f65-9D91-7224C49458BB}"/>
              </c:extLst>
            </c:dLbl>
            <c:dLbl>
              <c:idx val="11"/>
              <c:layout>
                <c:manualLayout>
                  <c:x val="-0.045473776802943768"/>
                  <c:y val="-0.029435967255112244"/>
                </c:manualLayout>
              </c:layout>
              <c:tx>
                <c:rich>
                  <a:bodyPr vertOverflow="clip"/>
                  <a:lstStyle/>
                  <a:p>
                    <a:r>
                      <a:rPr lang="en-US"/>
                      <a:t>2016</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0F0C-4058-BBF4-86EE25CECD5F}"/>
                </c:ext>
                <c:ext xmlns:c15="http://schemas.microsoft.com/office/drawing/2012/chart" uri="{CE6537A1-D6FC-4f65-9D91-7224C49458BB}"/>
              </c:extLst>
            </c:dLbl>
            <c:dLbl>
              <c:idx val="12"/>
              <c:tx>
                <c:rich>
                  <a:bodyPr/>
                  <a:lstStyle/>
                  <a:p>
                    <a:r>
                      <a:rPr lang="lv-LV"/>
                      <a:t>FI</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0F0C-4058-BBF4-86EE25CECD5F}"/>
                </c:ext>
                <c:ext xmlns:c15="http://schemas.microsoft.com/office/drawing/2012/chart" uri="{CE6537A1-D6FC-4f65-9D91-7224C49458BB}"/>
              </c:extLst>
            </c:dLbl>
            <c:dLbl>
              <c:idx val="13"/>
              <c:tx>
                <c:rich>
                  <a:bodyPr/>
                  <a:lstStyle/>
                  <a:p>
                    <a:r>
                      <a:rPr lang="lv-LV" b="0"/>
                      <a:t>SE</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0F0C-4058-BBF4-86EE25CECD5F}"/>
                </c:ext>
                <c:ext xmlns:c15="http://schemas.microsoft.com/office/drawing/2012/chart" uri="{CE6537A1-D6FC-4f65-9D91-7224C49458BB}"/>
              </c:extLst>
            </c:dLbl>
            <c:spPr>
              <a:noFill/>
              <a:ln>
                <a:noFill/>
              </a:ln>
              <a:effectLst/>
            </c:spPr>
            <c:txPr>
              <a:bodyPr/>
              <a:lstStyle/>
              <a:p>
                <a:pPr>
                  <a:defRPr b="0"/>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Sheet1!$B$3:$B$14</c:f>
              <c:numCache>
                <c:formatCode>0.0</c:formatCode>
                <c:ptCount val="12"/>
                <c:pt idx="0">
                  <c:v>13.9</c:v>
                </c:pt>
                <c:pt idx="1">
                  <c:v>15.8</c:v>
                </c:pt>
                <c:pt idx="2">
                  <c:v>16.1</c:v>
                </c:pt>
                <c:pt idx="3">
                  <c:v>15.7</c:v>
                </c:pt>
                <c:pt idx="4">
                  <c:v>15.5</c:v>
                </c:pt>
                <c:pt idx="5">
                  <c:v>16</c:v>
                </c:pt>
                <c:pt idx="6">
                  <c:v>17.4</c:v>
                </c:pt>
                <c:pt idx="7">
                  <c:v>17.8</c:v>
                </c:pt>
                <c:pt idx="8">
                  <c:v>18</c:v>
                </c:pt>
                <c:pt idx="9">
                  <c:v>19.1</c:v>
                </c:pt>
                <c:pt idx="10">
                  <c:v>20.2</c:v>
                </c:pt>
                <c:pt idx="11">
                  <c:v>21</c:v>
                </c:pt>
              </c:numCache>
            </c:numRef>
          </c:xVal>
          <c:yVal>
            <c:numRef>
              <c:f>Sheet1!$C$3:$C$14</c:f>
              <c:numCache>
                <c:formatCode>0.0</c:formatCode>
                <c:ptCount val="12"/>
                <c:pt idx="0">
                  <c:v>0.4</c:v>
                </c:pt>
                <c:pt idx="1">
                  <c:v>0.4</c:v>
                </c:pt>
                <c:pt idx="2">
                  <c:v>0.5</c:v>
                </c:pt>
                <c:pt idx="3">
                  <c:v>0.7</c:v>
                </c:pt>
                <c:pt idx="4">
                  <c:v>0.6</c:v>
                </c:pt>
                <c:pt idx="5">
                  <c:v>0.5</c:v>
                </c:pt>
                <c:pt idx="6">
                  <c:v>0.5</c:v>
                </c:pt>
                <c:pt idx="7">
                  <c:v>0.6</c:v>
                </c:pt>
                <c:pt idx="8">
                  <c:v>0.6</c:v>
                </c:pt>
                <c:pt idx="9">
                  <c:v>0.6</c:v>
                </c:pt>
                <c:pt idx="10">
                  <c:v>0.6</c:v>
                </c:pt>
                <c:pt idx="11">
                  <c:v>0.6</c:v>
                </c:pt>
              </c:numCache>
            </c:numRef>
          </c:yVal>
          <c:smooth val="1"/>
          <c:extLst>
            <c:ext xmlns:c="http://schemas.openxmlformats.org/drawingml/2006/chart" xmlns:c16="http://schemas.microsoft.com/office/drawing/2014/chart" uri="{C3380CC4-5D6E-409C-BE32-E72D297353CC}">
              <c16:uniqueId val="{0000000E-0F0C-4058-BBF4-86EE25CECD5F}"/>
            </c:ext>
          </c:extLst>
        </c:ser>
        <c:dLbls>
          <c:showLegendKey val="0"/>
          <c:showVal val="0"/>
          <c:showCatName val="0"/>
          <c:showSerName val="0"/>
          <c:showPercent val="0"/>
          <c:showBubbleSize val="0"/>
        </c:dLbls>
        <c:axId val="656283744"/>
        <c:axId val="656284136"/>
      </c:scatterChart>
      <c:valAx>
        <c:axId val="656283744"/>
        <c:scaling>
          <c:orientation val="minMax"/>
          <c:max val="25"/>
          <c:min val="10"/>
        </c:scaling>
        <c:delete val="0"/>
        <c:axPos val="b"/>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56284136"/>
        <c:crosses val="autoZero"/>
        <c:crossBetween val="midCat"/>
      </c:valAx>
      <c:valAx>
        <c:axId val="656284136"/>
        <c:scaling>
          <c:orientation val="minMax"/>
          <c:max val="0.70000000000000007"/>
          <c:min val="0.30000000000000004"/>
        </c:scaling>
        <c:delete val="0"/>
        <c:axPos val="l"/>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56283744"/>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40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12703953242958"/>
          <c:y val="0.057971014492753624"/>
          <c:w val="0.76854993641258762"/>
          <c:h val="0.79567617877552543"/>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extLst>
              <c:ext xmlns:c="http://schemas.openxmlformats.org/drawingml/2006/chart" xmlns:c16="http://schemas.microsoft.com/office/drawing/2014/chart" uri="{C3380CC4-5D6E-409C-BE32-E72D297353CC}">
                <c16:uniqueId val="{00000000-A97F-41BC-BAED-99DF9A865342}"/>
              </c:ext>
            </c:extLst>
          </c:dPt>
          <c:dLbls>
            <c:dLbl>
              <c:idx val="0"/>
              <c:layout>
                <c:manualLayout>
                  <c:x val="-0.2296245015717317"/>
                  <c:y val="0.0052569739150751587"/>
                </c:manualLayout>
              </c:layout>
              <c:tx>
                <c:rich>
                  <a:bodyPr vertOverflow="clip"/>
                  <a:lstStyle/>
                  <a:p>
                    <a:r>
                      <a:rPr lang="en-US"/>
                      <a:t>2005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A97F-41BC-BAED-99DF9A865342}"/>
                </c:ext>
                <c:ext xmlns:c15="http://schemas.microsoft.com/office/drawing/2012/chart" uri="{CE6537A1-D6FC-4f65-9D91-7224C49458BB}"/>
              </c:extLst>
            </c:dLbl>
            <c:dLbl>
              <c:idx val="1"/>
              <c:layout>
                <c:manualLayout>
                  <c:x val="-0.041760564428501255"/>
                  <c:y val="-0.14909375911344425"/>
                </c:manualLayout>
              </c:layout>
              <c:tx>
                <c:rich>
                  <a:bodyPr vertOverflow="clip"/>
                  <a:lstStyle/>
                  <a:p>
                    <a:r>
                      <a:rPr lang="en-US"/>
                      <a:t>2007</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A97F-41BC-BAED-99DF9A865342}"/>
                </c:ext>
                <c:ext xmlns:c15="http://schemas.microsoft.com/office/drawing/2012/chart" uri="{CE6537A1-D6FC-4f65-9D91-7224C49458BB}"/>
              </c:extLst>
            </c:dLbl>
            <c:dLbl>
              <c:idx val="2"/>
              <c:delete val="1"/>
              <c:extLst>
                <c:ext xmlns:c="http://schemas.openxmlformats.org/drawingml/2006/chart" xmlns:c16="http://schemas.microsoft.com/office/drawing/2014/chart" uri="{C3380CC4-5D6E-409C-BE32-E72D297353CC}">
                  <c16:uniqueId val="{00000003-A97F-41BC-BAED-99DF9A865342}"/>
                </c:ext>
                <c:ext xmlns:c15="http://schemas.microsoft.com/office/drawing/2012/chart" uri="{CE6537A1-D6FC-4f65-9D91-7224C49458BB}"/>
              </c:extLst>
            </c:dLbl>
            <c:dLbl>
              <c:idx val="3"/>
              <c:delete val="1"/>
              <c:extLst>
                <c:ext xmlns:c="http://schemas.openxmlformats.org/drawingml/2006/chart" xmlns:c16="http://schemas.microsoft.com/office/drawing/2014/chart" uri="{C3380CC4-5D6E-409C-BE32-E72D297353CC}">
                  <c16:uniqueId val="{00000004-A97F-41BC-BAED-99DF9A865342}"/>
                </c:ext>
                <c:ext xmlns:c15="http://schemas.microsoft.com/office/drawing/2012/chart" uri="{CE6537A1-D6FC-4f65-9D91-7224C49458BB}"/>
              </c:extLst>
            </c:dLbl>
            <c:dLbl>
              <c:idx val="4"/>
              <c:delete val="1"/>
              <c:extLst>
                <c:ext xmlns:c="http://schemas.openxmlformats.org/drawingml/2006/chart" xmlns:c16="http://schemas.microsoft.com/office/drawing/2014/chart" uri="{C3380CC4-5D6E-409C-BE32-E72D297353CC}">
                  <c16:uniqueId val="{00000005-A97F-41BC-BAED-99DF9A865342}"/>
                </c:ext>
                <c:ext xmlns:c15="http://schemas.microsoft.com/office/drawing/2012/chart" uri="{CE6537A1-D6FC-4f65-9D91-7224C49458BB}"/>
              </c:extLst>
            </c:dLbl>
            <c:dLbl>
              <c:idx val="5"/>
              <c:layout>
                <c:manualLayout>
                  <c:x val="-0.22014535877355634"/>
                  <c:y val="0.0057062879249106429"/>
                </c:manualLayout>
              </c:layout>
              <c:tx>
                <c:rich>
                  <a:bodyPr vertOverflow="clip"/>
                  <a:lstStyle/>
                  <a:p>
                    <a:r>
                      <a:rPr lang="en-US"/>
                      <a:t>2010</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A97F-41BC-BAED-99DF9A865342}"/>
                </c:ext>
                <c:ext xmlns:c15="http://schemas.microsoft.com/office/drawing/2012/chart" uri="{CE6537A1-D6FC-4f65-9D91-7224C49458BB}"/>
              </c:extLst>
            </c:dLbl>
            <c:dLbl>
              <c:idx val="6"/>
              <c:layout>
                <c:manualLayout>
                  <c:x val="-0.18574764646518815"/>
                  <c:y val="0.051356591324195781"/>
                </c:manualLayout>
              </c:layout>
              <c:tx>
                <c:rich>
                  <a:bodyPr vertOverflow="clip"/>
                  <a:lstStyle/>
                  <a:p>
                    <a:r>
                      <a:rPr lang="en-US"/>
                      <a:t>2011</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A97F-41BC-BAED-99DF9A865342}"/>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7-A97F-41BC-BAED-99DF9A865342}"/>
                </c:ext>
                <c:ext xmlns:c15="http://schemas.microsoft.com/office/drawing/2012/chart" uri="{CE6537A1-D6FC-4f65-9D91-7224C49458BB}"/>
              </c:extLst>
            </c:dLbl>
            <c:dLbl>
              <c:idx val="8"/>
              <c:layout>
                <c:manualLayout>
                  <c:x val="-1.3862473759961278E-16"/>
                  <c:y val="0.0015069991251093614"/>
                </c:manualLayout>
              </c:layout>
              <c:tx>
                <c:rich>
                  <a:bodyPr vertOverflow="clip"/>
                  <a:lstStyle/>
                  <a:p>
                    <a:r>
                      <a:rPr lang="en-US"/>
                      <a:t>2012</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A97F-41BC-BAED-99DF9A865342}"/>
                </c:ext>
                <c:ext xmlns:c15="http://schemas.microsoft.com/office/drawing/2012/chart" uri="{CE6537A1-D6FC-4f65-9D91-7224C49458BB}"/>
              </c:extLst>
            </c:dLbl>
            <c:dLbl>
              <c:idx val="9"/>
              <c:delete val="1"/>
              <c:extLst>
                <c:ext xmlns:c="http://schemas.openxmlformats.org/drawingml/2006/chart" xmlns:c16="http://schemas.microsoft.com/office/drawing/2014/chart" uri="{C3380CC4-5D6E-409C-BE32-E72D297353CC}">
                  <c16:uniqueId val="{00000009-A97F-41BC-BAED-99DF9A865342}"/>
                </c:ext>
                <c:ext xmlns:c15="http://schemas.microsoft.com/office/drawing/2012/chart" uri="{CE6537A1-D6FC-4f65-9D91-7224C49458BB}"/>
              </c:extLst>
            </c:dLbl>
            <c:dLbl>
              <c:idx val="10"/>
              <c:layout>
                <c:manualLayout>
                  <c:x val="-0.21639819597219534"/>
                  <c:y val="-0.05998906386701662"/>
                </c:manualLayout>
              </c:layout>
              <c:tx>
                <c:rich>
                  <a:bodyPr vertOverflow="clip"/>
                  <a:lstStyle/>
                  <a:p>
                    <a:r>
                      <a:rPr lang="en-US"/>
                      <a:t>2015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A97F-41BC-BAED-99DF9A865342}"/>
                </c:ext>
                <c:ext xmlns:c15="http://schemas.microsoft.com/office/drawing/2012/chart" uri="{CE6537A1-D6FC-4f65-9D91-7224C49458BB}"/>
              </c:extLst>
            </c:dLbl>
            <c:dLbl>
              <c:idx val="11"/>
              <c:layout>
                <c:manualLayout>
                  <c:x val="-0.045473776802943768"/>
                  <c:y val="-0.029435967255112244"/>
                </c:manualLayout>
              </c:layout>
              <c:tx>
                <c:rich>
                  <a:bodyPr vertOverflow="clip"/>
                  <a:lstStyle/>
                  <a:p>
                    <a:r>
                      <a:rPr lang="en-US"/>
                      <a:t>2016</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A97F-41BC-BAED-99DF9A865342}"/>
                </c:ext>
                <c:ext xmlns:c15="http://schemas.microsoft.com/office/drawing/2012/chart" uri="{CE6537A1-D6FC-4f65-9D91-7224C49458BB}"/>
              </c:extLst>
            </c:dLbl>
            <c:dLbl>
              <c:idx val="12"/>
              <c:tx>
                <c:rich>
                  <a:bodyPr/>
                  <a:lstStyle/>
                  <a:p>
                    <a:r>
                      <a:rPr lang="lv-LV"/>
                      <a:t>FI</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A97F-41BC-BAED-99DF9A865342}"/>
                </c:ext>
                <c:ext xmlns:c15="http://schemas.microsoft.com/office/drawing/2012/chart" uri="{CE6537A1-D6FC-4f65-9D91-7224C49458BB}"/>
              </c:extLst>
            </c:dLbl>
            <c:dLbl>
              <c:idx val="13"/>
              <c:tx>
                <c:rich>
                  <a:bodyPr/>
                  <a:lstStyle/>
                  <a:p>
                    <a:r>
                      <a:rPr lang="lv-LV" b="0"/>
                      <a:t>SE</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A97F-41BC-BAED-99DF9A865342}"/>
                </c:ext>
                <c:ext xmlns:c15="http://schemas.microsoft.com/office/drawing/2012/chart" uri="{CE6537A1-D6FC-4f65-9D91-7224C49458BB}"/>
              </c:extLst>
            </c:dLbl>
            <c:spPr>
              <a:noFill/>
              <a:ln>
                <a:noFill/>
              </a:ln>
              <a:effectLst/>
            </c:spPr>
            <c:txPr>
              <a:bodyPr/>
              <a:lstStyle/>
              <a:p>
                <a:pPr>
                  <a:defRPr b="0"/>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Sheet1!$B$3:$B$14</c:f>
              <c:numCache>
                <c:formatCode>0.0</c:formatCode>
                <c:ptCount val="12"/>
                <c:pt idx="0">
                  <c:v>26.8</c:v>
                </c:pt>
                <c:pt idx="1">
                  <c:v>27.3</c:v>
                </c:pt>
                <c:pt idx="2">
                  <c:v>26.5</c:v>
                </c:pt>
                <c:pt idx="3">
                  <c:v>27.7</c:v>
                </c:pt>
                <c:pt idx="4">
                  <c:v>23.4</c:v>
                </c:pt>
                <c:pt idx="5">
                  <c:v>21.8</c:v>
                </c:pt>
                <c:pt idx="6">
                  <c:v>25.4</c:v>
                </c:pt>
                <c:pt idx="7">
                  <c:v>29.3</c:v>
                </c:pt>
                <c:pt idx="8">
                  <c:v>29.1</c:v>
                </c:pt>
                <c:pt idx="9">
                  <c:v>29.2</c:v>
                </c:pt>
                <c:pt idx="10">
                  <c:v>26.6</c:v>
                </c:pt>
                <c:pt idx="11">
                  <c:v>27.4</c:v>
                </c:pt>
              </c:numCache>
            </c:numRef>
          </c:xVal>
          <c:yVal>
            <c:numRef>
              <c:f>Sheet1!$C$3:$C$14</c:f>
              <c:numCache>
                <c:formatCode>0.0</c:formatCode>
                <c:ptCount val="12"/>
                <c:pt idx="0">
                  <c:v>0.3</c:v>
                </c:pt>
                <c:pt idx="1">
                  <c:v>0.3</c:v>
                </c:pt>
                <c:pt idx="2">
                  <c:v>0.4</c:v>
                </c:pt>
                <c:pt idx="3">
                  <c:v>0.5</c:v>
                </c:pt>
                <c:pt idx="4">
                  <c:v>0.5</c:v>
                </c:pt>
                <c:pt idx="5">
                  <c:v>0.5</c:v>
                </c:pt>
                <c:pt idx="6">
                  <c:v>0.4</c:v>
                </c:pt>
                <c:pt idx="7">
                  <c:v>0.5</c:v>
                </c:pt>
                <c:pt idx="8">
                  <c:v>0.5</c:v>
                </c:pt>
                <c:pt idx="9">
                  <c:v>0.5</c:v>
                </c:pt>
                <c:pt idx="10">
                  <c:v>0.6</c:v>
                </c:pt>
                <c:pt idx="11">
                  <c:v>0.6</c:v>
                </c:pt>
              </c:numCache>
            </c:numRef>
          </c:yVal>
          <c:smooth val="1"/>
          <c:extLst>
            <c:ext xmlns:c="http://schemas.openxmlformats.org/drawingml/2006/chart" xmlns:c16="http://schemas.microsoft.com/office/drawing/2014/chart" uri="{C3380CC4-5D6E-409C-BE32-E72D297353CC}">
              <c16:uniqueId val="{0000000E-A97F-41BC-BAED-99DF9A865342}"/>
            </c:ext>
          </c:extLst>
        </c:ser>
        <c:dLbls>
          <c:showLegendKey val="0"/>
          <c:showVal val="0"/>
          <c:showCatName val="0"/>
          <c:showSerName val="0"/>
          <c:showPercent val="0"/>
          <c:showBubbleSize val="0"/>
        </c:dLbls>
        <c:axId val="656282960"/>
        <c:axId val="656276688"/>
      </c:scatterChart>
      <c:valAx>
        <c:axId val="656282960"/>
        <c:scaling>
          <c:orientation val="minMax"/>
          <c:max val="40"/>
          <c:min val="10"/>
        </c:scaling>
        <c:delete val="0"/>
        <c:axPos val="b"/>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56276688"/>
        <c:crosses val="autoZero"/>
        <c:crossBetween val="midCat"/>
      </c:valAx>
      <c:valAx>
        <c:axId val="656276688"/>
        <c:scaling>
          <c:orientation val="minMax"/>
          <c:max val="0.70000000000000007"/>
          <c:min val="0.2"/>
        </c:scaling>
        <c:delete val="0"/>
        <c:axPos val="l"/>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56282960"/>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40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862004014204107"/>
          <c:y val="0.057971014492753624"/>
          <c:w val="0.75539745105362421"/>
          <c:h val="0.80547742515864384"/>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extLst>
              <c:ext xmlns:c="http://schemas.openxmlformats.org/drawingml/2006/chart" xmlns:c16="http://schemas.microsoft.com/office/drawing/2014/chart" uri="{C3380CC4-5D6E-409C-BE32-E72D297353CC}">
                <c16:uniqueId val="{00000000-2C6B-4DD1-A85E-2602AFA3E87D}"/>
              </c:ext>
            </c:extLst>
          </c:dPt>
          <c:dLbls>
            <c:dLbl>
              <c:idx val="0"/>
              <c:layout>
                <c:manualLayout>
                  <c:x val="-0.2296245015717317"/>
                  <c:y val="0.0052569739150751587"/>
                </c:manualLayout>
              </c:layout>
              <c:tx>
                <c:rich>
                  <a:bodyPr vertOverflow="clip"/>
                  <a:lstStyle/>
                  <a:p>
                    <a:r>
                      <a:rPr lang="en-US"/>
                      <a:t>2005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2C6B-4DD1-A85E-2602AFA3E87D}"/>
                </c:ext>
                <c:ext xmlns:c15="http://schemas.microsoft.com/office/drawing/2012/chart" uri="{CE6537A1-D6FC-4f65-9D91-7224C49458BB}"/>
              </c:extLst>
            </c:dLbl>
            <c:dLbl>
              <c:idx val="1"/>
              <c:delete val="1"/>
              <c:extLst>
                <c:ext xmlns:c="http://schemas.openxmlformats.org/drawingml/2006/chart" xmlns:c16="http://schemas.microsoft.com/office/drawing/2014/chart" uri="{C3380CC4-5D6E-409C-BE32-E72D297353CC}">
                  <c16:uniqueId val="{00000002-2C6B-4DD1-A85E-2602AFA3E87D}"/>
                </c:ext>
                <c:ext xmlns:c15="http://schemas.microsoft.com/office/drawing/2012/chart" uri="{CE6537A1-D6FC-4f65-9D91-7224C49458BB}"/>
              </c:extLst>
            </c:dLbl>
            <c:dLbl>
              <c:idx val="2"/>
              <c:delete val="1"/>
              <c:extLst>
                <c:ext xmlns:c="http://schemas.openxmlformats.org/drawingml/2006/chart" xmlns:c16="http://schemas.microsoft.com/office/drawing/2014/chart" uri="{C3380CC4-5D6E-409C-BE32-E72D297353CC}">
                  <c16:uniqueId val="{00000003-2C6B-4DD1-A85E-2602AFA3E87D}"/>
                </c:ext>
                <c:ext xmlns:c15="http://schemas.microsoft.com/office/drawing/2012/chart" uri="{CE6537A1-D6FC-4f65-9D91-7224C49458BB}"/>
              </c:extLst>
            </c:dLbl>
            <c:dLbl>
              <c:idx val="3"/>
              <c:layout>
                <c:manualLayout>
                  <c:x val="-0.16208368071638105"/>
                  <c:y val="-0.054480540925761746"/>
                </c:manualLayout>
              </c:layout>
              <c:tx>
                <c:rich>
                  <a:bodyPr vertOverflow="clip"/>
                  <a:lstStyle/>
                  <a:p>
                    <a:r>
                      <a:rPr lang="en-US"/>
                      <a:t>2008</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2C6B-4DD1-A85E-2602AFA3E87D}"/>
                </c:ext>
                <c:ext xmlns:c15="http://schemas.microsoft.com/office/drawing/2012/chart" uri="{CE6537A1-D6FC-4f65-9D91-7224C49458BB}"/>
              </c:extLst>
            </c:dLbl>
            <c:dLbl>
              <c:idx val="4"/>
              <c:layout>
                <c:manualLayout>
                  <c:x val="-0.23583140342751274"/>
                  <c:y val="0.0057061410370061356"/>
                </c:manualLayout>
              </c:layout>
              <c:tx>
                <c:rich>
                  <a:bodyPr vertOverflow="clip"/>
                  <a:lstStyle/>
                  <a:p>
                    <a:r>
                      <a:rPr lang="en-US"/>
                      <a:t>2009</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2C6B-4DD1-A85E-2602AFA3E87D}"/>
                </c:ext>
                <c:ext xmlns:c15="http://schemas.microsoft.com/office/drawing/2012/chart" uri="{CE6537A1-D6FC-4f65-9D91-7224C49458BB}"/>
              </c:extLst>
            </c:dLbl>
            <c:dLbl>
              <c:idx val="5"/>
              <c:delete val="1"/>
              <c:extLst>
                <c:ext xmlns:c="http://schemas.openxmlformats.org/drawingml/2006/chart" xmlns:c16="http://schemas.microsoft.com/office/drawing/2014/chart" uri="{C3380CC4-5D6E-409C-BE32-E72D297353CC}">
                  <c16:uniqueId val="{00000000-2C6B-4DD1-A85E-2602AFA3E87D}"/>
                </c:ext>
                <c:ext xmlns:c15="http://schemas.microsoft.com/office/drawing/2012/chart" uri="{CE6537A1-D6FC-4f65-9D91-7224C49458BB}"/>
              </c:extLst>
            </c:dLbl>
            <c:dLbl>
              <c:idx val="6"/>
              <c:layout>
                <c:manualLayout>
                  <c:x val="-0.089434052001757261"/>
                  <c:y val="0.062769167174017065"/>
                </c:manualLayout>
              </c:layout>
              <c:tx>
                <c:rich>
                  <a:bodyPr vertOverflow="clip"/>
                  <a:lstStyle/>
                  <a:p>
                    <a:r>
                      <a:rPr lang="en-US"/>
                      <a:t>2011</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2C6B-4DD1-A85E-2602AFA3E87D}"/>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7-2C6B-4DD1-A85E-2602AFA3E87D}"/>
                </c:ext>
                <c:ext xmlns:c15="http://schemas.microsoft.com/office/drawing/2012/chart" uri="{CE6537A1-D6FC-4f65-9D91-7224C49458BB}"/>
              </c:extLst>
            </c:dLbl>
            <c:dLbl>
              <c:idx val="8"/>
              <c:layout>
                <c:manualLayout>
                  <c:x val="-0.027518169846694543"/>
                  <c:y val="0.011412575849821286"/>
                </c:manualLayout>
              </c:layout>
              <c:tx>
                <c:rich>
                  <a:bodyPr vertOverflow="clip"/>
                  <a:lstStyle/>
                  <a:p>
                    <a:r>
                      <a:rPr lang="en-US"/>
                      <a:t>2013</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2C6B-4DD1-A85E-2602AFA3E87D}"/>
                </c:ext>
                <c:ext xmlns:c15="http://schemas.microsoft.com/office/drawing/2012/chart" uri="{CE6537A1-D6FC-4f65-9D91-7224C49458BB}"/>
              </c:extLst>
            </c:dLbl>
            <c:dLbl>
              <c:idx val="9"/>
              <c:delete val="1"/>
              <c:extLst>
                <c:ext xmlns:c="http://schemas.openxmlformats.org/drawingml/2006/chart" xmlns:c16="http://schemas.microsoft.com/office/drawing/2014/chart" uri="{C3380CC4-5D6E-409C-BE32-E72D297353CC}">
                  <c16:uniqueId val="{00000009-2C6B-4DD1-A85E-2602AFA3E87D}"/>
                </c:ext>
                <c:ext xmlns:c15="http://schemas.microsoft.com/office/drawing/2012/chart" uri="{CE6537A1-D6FC-4f65-9D91-7224C49458BB}"/>
              </c:extLst>
            </c:dLbl>
            <c:dLbl>
              <c:idx val="10"/>
              <c:layout>
                <c:manualLayout>
                  <c:x val="-0.13016185476815406"/>
                  <c:y val="-0.078507582385535138"/>
                </c:manualLayout>
              </c:layout>
              <c:tx>
                <c:rich>
                  <a:bodyPr vertOverflow="clip"/>
                  <a:lstStyle/>
                  <a:p>
                    <a:r>
                      <a:rPr lang="en-US"/>
                      <a:t>2015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2C6B-4DD1-A85E-2602AFA3E87D}"/>
                </c:ext>
                <c:ext xmlns:c15="http://schemas.microsoft.com/office/drawing/2012/chart" uri="{CE6537A1-D6FC-4f65-9D91-7224C49458BB}"/>
              </c:extLst>
            </c:dLbl>
            <c:dLbl>
              <c:idx val="11"/>
              <c:layout>
                <c:manualLayout>
                  <c:x val="-0.045473776802943768"/>
                  <c:y val="-0.029435967255112244"/>
                </c:manualLayout>
              </c:layout>
              <c:tx>
                <c:rich>
                  <a:bodyPr vertOverflow="clip"/>
                  <a:lstStyle/>
                  <a:p>
                    <a:r>
                      <a:rPr lang="en-US"/>
                      <a:t>2016</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2C6B-4DD1-A85E-2602AFA3E87D}"/>
                </c:ext>
                <c:ext xmlns:c15="http://schemas.microsoft.com/office/drawing/2012/chart" uri="{CE6537A1-D6FC-4f65-9D91-7224C49458BB}"/>
              </c:extLst>
            </c:dLbl>
            <c:dLbl>
              <c:idx val="12"/>
              <c:tx>
                <c:rich>
                  <a:bodyPr/>
                  <a:lstStyle/>
                  <a:p>
                    <a:r>
                      <a:rPr lang="lv-LV"/>
                      <a:t>FI</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2C6B-4DD1-A85E-2602AFA3E87D}"/>
                </c:ext>
                <c:ext xmlns:c15="http://schemas.microsoft.com/office/drawing/2012/chart" uri="{CE6537A1-D6FC-4f65-9D91-7224C49458BB}"/>
              </c:extLst>
            </c:dLbl>
            <c:dLbl>
              <c:idx val="13"/>
              <c:tx>
                <c:rich>
                  <a:bodyPr/>
                  <a:lstStyle/>
                  <a:p>
                    <a:r>
                      <a:rPr lang="lv-LV" b="0"/>
                      <a:t>SE</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2C6B-4DD1-A85E-2602AFA3E87D}"/>
                </c:ext>
                <c:ext xmlns:c15="http://schemas.microsoft.com/office/drawing/2012/chart" uri="{CE6537A1-D6FC-4f65-9D91-7224C49458BB}"/>
              </c:extLst>
            </c:dLbl>
            <c:spPr>
              <a:noFill/>
              <a:ln>
                <a:noFill/>
              </a:ln>
              <a:effectLst/>
            </c:spPr>
            <c:txPr>
              <a:bodyPr/>
              <a:lstStyle/>
              <a:p>
                <a:pPr>
                  <a:defRPr b="0"/>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Sheet1!$B$3:$B$14</c:f>
              <c:numCache>
                <c:formatCode>0.0</c:formatCode>
                <c:ptCount val="12"/>
                <c:pt idx="0">
                  <c:v>9.6</c:v>
                </c:pt>
                <c:pt idx="1">
                  <c:v>10.5</c:v>
                </c:pt>
                <c:pt idx="2">
                  <c:v>11.7</c:v>
                </c:pt>
                <c:pt idx="3">
                  <c:v>11.2</c:v>
                </c:pt>
                <c:pt idx="4">
                  <c:v>10.3</c:v>
                </c:pt>
                <c:pt idx="5">
                  <c:v>11.2</c:v>
                </c:pt>
                <c:pt idx="6">
                  <c:v>12.7</c:v>
                </c:pt>
                <c:pt idx="7">
                  <c:v>11.3</c:v>
                </c:pt>
                <c:pt idx="8">
                  <c:v>11.7</c:v>
                </c:pt>
                <c:pt idx="9">
                  <c:v>11.9</c:v>
                </c:pt>
                <c:pt idx="10">
                  <c:v>12.2</c:v>
                </c:pt>
                <c:pt idx="11">
                  <c:v>13.1</c:v>
                </c:pt>
              </c:numCache>
            </c:numRef>
          </c:xVal>
          <c:yVal>
            <c:numRef>
              <c:f>Sheet1!$C$3:$C$14</c:f>
              <c:numCache>
                <c:formatCode>0.0</c:formatCode>
                <c:ptCount val="12"/>
                <c:pt idx="0">
                  <c:v>0.5</c:v>
                </c:pt>
                <c:pt idx="1">
                  <c:v>0.6</c:v>
                </c:pt>
                <c:pt idx="2">
                  <c:v>0.7</c:v>
                </c:pt>
                <c:pt idx="3">
                  <c:v>0.8</c:v>
                </c:pt>
                <c:pt idx="4">
                  <c:v>0.7</c:v>
                </c:pt>
                <c:pt idx="5">
                  <c:v>0.6</c:v>
                </c:pt>
                <c:pt idx="6">
                  <c:v>0.5</c:v>
                </c:pt>
                <c:pt idx="7">
                  <c:v>0.7</c:v>
                </c:pt>
                <c:pt idx="8">
                  <c:v>0.7</c:v>
                </c:pt>
                <c:pt idx="9">
                  <c:v>0.8</c:v>
                </c:pt>
                <c:pt idx="10">
                  <c:v>0.9</c:v>
                </c:pt>
                <c:pt idx="11">
                  <c:v>0.9</c:v>
                </c:pt>
              </c:numCache>
            </c:numRef>
          </c:yVal>
          <c:smooth val="1"/>
          <c:extLst>
            <c:ext xmlns:c="http://schemas.openxmlformats.org/drawingml/2006/chart" xmlns:c16="http://schemas.microsoft.com/office/drawing/2014/chart" uri="{C3380CC4-5D6E-409C-BE32-E72D297353CC}">
              <c16:uniqueId val="{0000000E-2C6B-4DD1-A85E-2602AFA3E87D}"/>
            </c:ext>
          </c:extLst>
        </c:ser>
        <c:dLbls>
          <c:showLegendKey val="0"/>
          <c:showVal val="0"/>
          <c:showCatName val="0"/>
          <c:showSerName val="0"/>
          <c:showPercent val="0"/>
          <c:showBubbleSize val="0"/>
        </c:dLbls>
        <c:axId val="656274728"/>
        <c:axId val="656282568"/>
      </c:scatterChart>
      <c:valAx>
        <c:axId val="656274728"/>
        <c:scaling>
          <c:orientation val="minMax"/>
          <c:max val="15"/>
          <c:min val="7"/>
        </c:scaling>
        <c:delete val="0"/>
        <c:axPos val="b"/>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56282568"/>
        <c:crosses val="autoZero"/>
        <c:crossBetween val="midCat"/>
      </c:valAx>
      <c:valAx>
        <c:axId val="656282568"/>
        <c:scaling>
          <c:orientation val="minMax"/>
          <c:max val="1"/>
          <c:min val="0.4"/>
        </c:scaling>
        <c:delete val="0"/>
        <c:axPos val="l"/>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56274728"/>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40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87274399978353"/>
          <c:y val="0.057971014492753624"/>
          <c:w val="0.69262062698278815"/>
          <c:h val="0.78369876842317787"/>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marker>
              <c:spPr>
                <a:solidFill>
                  <a:srgbClr val="002060"/>
                </a:solidFill>
                <a:ln w="6350">
                  <a:solidFill>
                    <a:sysClr val="windowText" lastClr="000000"/>
                  </a:solidFill>
                </a:ln>
              </c:spPr>
            </c:marker>
            <c:extLst>
              <c:ext xmlns:c="http://schemas.openxmlformats.org/drawingml/2006/chart" xmlns:c16="http://schemas.microsoft.com/office/drawing/2014/chart" uri="{C3380CC4-5D6E-409C-BE32-E72D297353CC}">
                <c16:uniqueId val="{00000000-966F-4CEE-BC34-8848E6D1E101}"/>
              </c:ext>
            </c:extLst>
          </c:dPt>
          <c:dLbls>
            <c:dLbl>
              <c:idx val="0"/>
              <c:layout>
                <c:manualLayout>
                  <c:x val="-0.22962436454935367"/>
                  <c:y val="0.028082211106319"/>
                </c:manualLayout>
              </c:layout>
              <c:tx>
                <c:rich>
                  <a:bodyPr vertOverflow="clip"/>
                  <a:lstStyle/>
                  <a:p>
                    <a:r>
                      <a:rPr lang="en-US"/>
                      <a:t>2005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966F-4CEE-BC34-8848E6D1E101}"/>
                </c:ext>
                <c:ext xmlns:c15="http://schemas.microsoft.com/office/drawing/2012/chart" uri="{CE6537A1-D6FC-4f65-9D91-7224C49458BB}"/>
              </c:extLst>
            </c:dLbl>
            <c:dLbl>
              <c:idx val="1"/>
              <c:layout>
                <c:manualLayout>
                  <c:x val="-0.096214997851426842"/>
                  <c:y val="-0.091459430312199233"/>
                </c:manualLayout>
              </c:layout>
              <c:tx>
                <c:rich>
                  <a:bodyPr vertOverflow="clip"/>
                  <a:lstStyle/>
                  <a:p>
                    <a:r>
                      <a:rPr lang="en-US"/>
                      <a:t>2007</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966F-4CEE-BC34-8848E6D1E101}"/>
                </c:ext>
                <c:ext xmlns:c15="http://schemas.microsoft.com/office/drawing/2012/chart" uri="{CE6537A1-D6FC-4f65-9D91-7224C49458BB}"/>
              </c:extLst>
            </c:dLbl>
            <c:dLbl>
              <c:idx val="2"/>
              <c:layout>
                <c:manualLayout>
                  <c:x val="-0.24390494388035022"/>
                  <c:y val="-0.033014501282449191"/>
                </c:manualLayout>
              </c:layout>
              <c:tx>
                <c:rich>
                  <a:bodyPr vertOverflow="clip"/>
                  <a:lstStyle/>
                  <a:p>
                    <a:r>
                      <a:rPr lang="en-US"/>
                      <a:t>2010</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966F-4CEE-BC34-8848E6D1E101}"/>
                </c:ext>
                <c:ext xmlns:c15="http://schemas.microsoft.com/office/drawing/2012/chart" uri="{CE6537A1-D6FC-4f65-9D91-7224C49458BB}"/>
              </c:extLst>
            </c:dLbl>
            <c:dLbl>
              <c:idx val="3"/>
              <c:layout>
                <c:manualLayout>
                  <c:x val="-0.0071554242688770392"/>
                  <c:y val="-0.007977295252631517"/>
                </c:manualLayout>
              </c:layout>
              <c:tx>
                <c:rich>
                  <a:bodyPr vertOverflow="clip"/>
                  <a:lstStyle/>
                  <a:p>
                    <a:r>
                      <a:rPr lang="en-US"/>
                      <a:t>2008</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966F-4CEE-BC34-8848E6D1E101}"/>
                </c:ext>
                <c:ext xmlns:c15="http://schemas.microsoft.com/office/drawing/2012/chart" uri="{CE6537A1-D6FC-4f65-9D91-7224C49458BB}"/>
              </c:extLst>
            </c:dLbl>
            <c:dLbl>
              <c:idx val="4"/>
              <c:delete val="1"/>
              <c:extLst>
                <c:ext xmlns:c="http://schemas.openxmlformats.org/drawingml/2006/chart" xmlns:c16="http://schemas.microsoft.com/office/drawing/2014/chart" uri="{C3380CC4-5D6E-409C-BE32-E72D297353CC}">
                  <c16:uniqueId val="{00000005-966F-4CEE-BC34-8848E6D1E101}"/>
                </c:ext>
                <c:ext xmlns:c15="http://schemas.microsoft.com/office/drawing/2012/chart" uri="{CE6537A1-D6FC-4f65-9D91-7224C49458BB}"/>
              </c:extLst>
            </c:dLbl>
            <c:dLbl>
              <c:idx val="5"/>
              <c:delete val="1"/>
              <c:extLst>
                <c:ext xmlns:c="http://schemas.openxmlformats.org/drawingml/2006/chart" xmlns:c16="http://schemas.microsoft.com/office/drawing/2014/chart" uri="{C3380CC4-5D6E-409C-BE32-E72D297353CC}">
                  <c16:uniqueId val="{00000000-966F-4CEE-BC34-8848E6D1E101}"/>
                </c:ext>
                <c:ext xmlns:c15="http://schemas.microsoft.com/office/drawing/2012/chart" uri="{CE6537A1-D6FC-4f65-9D91-7224C49458BB}"/>
              </c:extLst>
            </c:dLbl>
            <c:dLbl>
              <c:idx val="6"/>
              <c:delete val="1"/>
              <c:extLst>
                <c:ext xmlns:c="http://schemas.openxmlformats.org/drawingml/2006/chart" xmlns:c16="http://schemas.microsoft.com/office/drawing/2014/chart" uri="{C3380CC4-5D6E-409C-BE32-E72D297353CC}">
                  <c16:uniqueId val="{00000006-966F-4CEE-BC34-8848E6D1E101}"/>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7-966F-4CEE-BC34-8848E6D1E101}"/>
                </c:ext>
                <c:ext xmlns:c15="http://schemas.microsoft.com/office/drawing/2012/chart" uri="{CE6537A1-D6FC-4f65-9D91-7224C49458BB}"/>
              </c:extLst>
            </c:dLbl>
            <c:dLbl>
              <c:idx val="8"/>
              <c:delete val="1"/>
              <c:extLst>
                <c:ext xmlns:c="http://schemas.openxmlformats.org/drawingml/2006/chart" xmlns:c16="http://schemas.microsoft.com/office/drawing/2014/chart" uri="{C3380CC4-5D6E-409C-BE32-E72D297353CC}">
                  <c16:uniqueId val="{00000008-966F-4CEE-BC34-8848E6D1E101}"/>
                </c:ext>
                <c:ext xmlns:c15="http://schemas.microsoft.com/office/drawing/2012/chart" uri="{CE6537A1-D6FC-4f65-9D91-7224C49458BB}"/>
              </c:extLst>
            </c:dLbl>
            <c:dLbl>
              <c:idx val="9"/>
              <c:layout>
                <c:manualLayout>
                  <c:x val="-0.25442025009932084"/>
                  <c:y val="0.0090866462710892017"/>
                </c:manualLayout>
              </c:layout>
              <c:tx>
                <c:rich>
                  <a:bodyPr vertOverflow="clip"/>
                  <a:lstStyle/>
                  <a:p>
                    <a:r>
                      <a:rPr lang="en-US"/>
                      <a:t>2014</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966F-4CEE-BC34-8848E6D1E101}"/>
                </c:ext>
                <c:ext xmlns:c15="http://schemas.microsoft.com/office/drawing/2012/chart" uri="{CE6537A1-D6FC-4f65-9D91-7224C49458BB}"/>
              </c:extLst>
            </c:dLbl>
            <c:dLbl>
              <c:idx val="10"/>
              <c:layout>
                <c:manualLayout>
                  <c:x val="-0.048682691305879967"/>
                  <c:y val="-0.05288250515989211"/>
                </c:manualLayout>
              </c:layout>
              <c:tx>
                <c:rich>
                  <a:bodyPr vertOverflow="clip"/>
                  <a:lstStyle/>
                  <a:p>
                    <a:r>
                      <a:rPr lang="en-US"/>
                      <a:t>2016</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966F-4CEE-BC34-8848E6D1E101}"/>
                </c:ext>
                <c:ext xmlns:c15="http://schemas.microsoft.com/office/drawing/2012/chart" uri="{CE6537A1-D6FC-4f65-9D91-7224C49458BB}"/>
              </c:extLst>
            </c:dLbl>
            <c:dLbl>
              <c:idx val="11"/>
              <c:delete val="1"/>
              <c:extLst>
                <c:ext xmlns:c="http://schemas.openxmlformats.org/drawingml/2006/chart" xmlns:c16="http://schemas.microsoft.com/office/drawing/2014/chart" uri="{C3380CC4-5D6E-409C-BE32-E72D297353CC}">
                  <c16:uniqueId val="{0000000B-966F-4CEE-BC34-8848E6D1E101}"/>
                </c:ext>
                <c:ext xmlns:c15="http://schemas.microsoft.com/office/drawing/2012/chart" uri="{CE6537A1-D6FC-4f65-9D91-7224C49458BB}"/>
              </c:extLst>
            </c:dLbl>
            <c:dLbl>
              <c:idx val="12"/>
              <c:tx>
                <c:rich>
                  <a:bodyPr/>
                  <a:lstStyle/>
                  <a:p>
                    <a:r>
                      <a:rPr lang="lv-LV"/>
                      <a:t>FI</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966F-4CEE-BC34-8848E6D1E101}"/>
                </c:ext>
                <c:ext xmlns:c15="http://schemas.microsoft.com/office/drawing/2012/chart" uri="{CE6537A1-D6FC-4f65-9D91-7224C49458BB}"/>
              </c:extLst>
            </c:dLbl>
            <c:dLbl>
              <c:idx val="13"/>
              <c:tx>
                <c:rich>
                  <a:bodyPr/>
                  <a:lstStyle/>
                  <a:p>
                    <a:r>
                      <a:rPr lang="lv-LV" b="0"/>
                      <a:t>SE</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966F-4CEE-BC34-8848E6D1E101}"/>
                </c:ext>
                <c:ext xmlns:c15="http://schemas.microsoft.com/office/drawing/2012/chart" uri="{CE6537A1-D6FC-4f65-9D91-7224C49458BB}"/>
              </c:extLst>
            </c:dLbl>
            <c:spPr>
              <a:noFill/>
              <a:ln>
                <a:noFill/>
              </a:ln>
              <a:effectLst/>
            </c:spPr>
            <c:txPr>
              <a:bodyPr/>
              <a:lstStyle/>
              <a:p>
                <a:pPr>
                  <a:defRPr b="0"/>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Sheet1!$B$3:$B$14</c:f>
              <c:numCache>
                <c:formatCode>0.0</c:formatCode>
                <c:ptCount val="12"/>
                <c:pt idx="0">
                  <c:v>40.8</c:v>
                </c:pt>
                <c:pt idx="1">
                  <c:v>47.6</c:v>
                </c:pt>
                <c:pt idx="2">
                  <c:v>40.2</c:v>
                </c:pt>
                <c:pt idx="3">
                  <c:v>39.8</c:v>
                </c:pt>
                <c:pt idx="4">
                  <c:v>36.8</c:v>
                </c:pt>
                <c:pt idx="5">
                  <c:v>36.7</c:v>
                </c:pt>
                <c:pt idx="6">
                  <c:v>35.2</c:v>
                </c:pt>
                <c:pt idx="7">
                  <c:v>37.1</c:v>
                </c:pt>
                <c:pt idx="8">
                  <c:v>35.2</c:v>
                </c:pt>
                <c:pt idx="9">
                  <c:v>30.8</c:v>
                </c:pt>
                <c:pt idx="10">
                  <c:v>29.5</c:v>
                </c:pt>
                <c:pt idx="11">
                  <c:v>28.7</c:v>
                </c:pt>
              </c:numCache>
            </c:numRef>
          </c:xVal>
          <c:yVal>
            <c:numRef>
              <c:f>Sheet1!$C$3:$C$14</c:f>
              <c:numCache>
                <c:formatCode>0.0</c:formatCode>
                <c:ptCount val="12"/>
                <c:pt idx="0">
                  <c:v>0.3</c:v>
                </c:pt>
                <c:pt idx="1">
                  <c:v>0.3</c:v>
                </c:pt>
                <c:pt idx="2">
                  <c:v>0.4</c:v>
                </c:pt>
                <c:pt idx="3">
                  <c:v>0.5</c:v>
                </c:pt>
                <c:pt idx="4" formatCode="0.00">
                  <c:v>0.54</c:v>
                </c:pt>
                <c:pt idx="5" formatCode="0.00">
                  <c:v>0.48</c:v>
                </c:pt>
                <c:pt idx="6" formatCode="0.00">
                  <c:v>0.51</c:v>
                </c:pt>
                <c:pt idx="7" formatCode="0.00">
                  <c:v>0.55</c:v>
                </c:pt>
                <c:pt idx="8">
                  <c:v>0.6</c:v>
                </c:pt>
                <c:pt idx="9">
                  <c:v>0.7</c:v>
                </c:pt>
                <c:pt idx="10">
                  <c:v>0.8</c:v>
                </c:pt>
                <c:pt idx="11">
                  <c:v>0.8</c:v>
                </c:pt>
              </c:numCache>
            </c:numRef>
          </c:yVal>
          <c:smooth val="1"/>
          <c:extLst>
            <c:ext xmlns:c="http://schemas.openxmlformats.org/drawingml/2006/chart" xmlns:c16="http://schemas.microsoft.com/office/drawing/2014/chart" uri="{C3380CC4-5D6E-409C-BE32-E72D297353CC}">
              <c16:uniqueId val="{0000000E-966F-4CEE-BC34-8848E6D1E101}"/>
            </c:ext>
          </c:extLst>
        </c:ser>
        <c:dLbls>
          <c:showLegendKey val="0"/>
          <c:showVal val="0"/>
          <c:showCatName val="0"/>
          <c:showSerName val="0"/>
          <c:showPercent val="0"/>
          <c:showBubbleSize val="0"/>
        </c:dLbls>
        <c:axId val="656275512"/>
        <c:axId val="656275904"/>
      </c:scatterChart>
      <c:valAx>
        <c:axId val="656275512"/>
        <c:scaling>
          <c:orientation val="minMax"/>
          <c:min val="20"/>
        </c:scaling>
        <c:delete val="0"/>
        <c:axPos val="b"/>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56275904"/>
        <c:crosses val="autoZero"/>
        <c:crossBetween val="midCat"/>
        <c:majorUnit val="10"/>
      </c:valAx>
      <c:valAx>
        <c:axId val="656275904"/>
        <c:scaling>
          <c:orientation val="minMax"/>
          <c:min val="0.2"/>
        </c:scaling>
        <c:delete val="0"/>
        <c:axPos val="l"/>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56275512"/>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40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756717266011851"/>
          <c:y val="0.057971014492753624"/>
          <c:w val="0.6508574599842849"/>
          <c:h val="0.81218879691320633"/>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marker>
              <c:spPr>
                <a:solidFill>
                  <a:srgbClr val="002060"/>
                </a:solidFill>
                <a:ln w="6350">
                  <a:solidFill>
                    <a:sysClr val="windowText" lastClr="000000"/>
                  </a:solidFill>
                </a:ln>
              </c:spPr>
            </c:marker>
            <c:extLst>
              <c:ext xmlns:c="http://schemas.openxmlformats.org/drawingml/2006/chart" xmlns:c16="http://schemas.microsoft.com/office/drawing/2014/chart" uri="{C3380CC4-5D6E-409C-BE32-E72D297353CC}">
                <c16:uniqueId val="{00000000-0CFE-4C17-ABBD-6C2D12A58F81}"/>
              </c:ext>
            </c:extLst>
          </c:dPt>
          <c:dLbls>
            <c:dLbl>
              <c:idx val="0"/>
              <c:layout>
                <c:manualLayout>
                  <c:x val="-0.22962436454935367"/>
                  <c:y val="0.028082211106319"/>
                </c:manualLayout>
              </c:layout>
              <c:tx>
                <c:rich>
                  <a:bodyPr vertOverflow="clip"/>
                  <a:lstStyle/>
                  <a:p>
                    <a:r>
                      <a:rPr lang="en-US"/>
                      <a:t>2005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0CFE-4C17-ABBD-6C2D12A58F81}"/>
                </c:ext>
                <c:ext xmlns:c15="http://schemas.microsoft.com/office/drawing/2012/chart" uri="{CE6537A1-D6FC-4f65-9D91-7224C49458BB}"/>
              </c:extLst>
            </c:dLbl>
            <c:dLbl>
              <c:idx val="1"/>
              <c:layout>
                <c:manualLayout>
                  <c:x val="-0.05497794734421084"/>
                  <c:y val="-0.091459272719115234"/>
                </c:manualLayout>
              </c:layout>
              <c:tx>
                <c:rich>
                  <a:bodyPr vertOverflow="clip"/>
                  <a:lstStyle/>
                  <a:p>
                    <a:r>
                      <a:rPr lang="en-US"/>
                      <a:t>2007</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0CFE-4C17-ABBD-6C2D12A58F81}"/>
                </c:ext>
                <c:ext xmlns:c15="http://schemas.microsoft.com/office/drawing/2012/chart" uri="{CE6537A1-D6FC-4f65-9D91-7224C49458BB}"/>
              </c:extLst>
            </c:dLbl>
            <c:dLbl>
              <c:idx val="2"/>
              <c:layout>
                <c:manualLayout>
                  <c:x val="-0.30576074897854261"/>
                  <c:y val="-0.32361262534490876"/>
                </c:manualLayout>
              </c:layout>
              <c:tx>
                <c:rich>
                  <a:bodyPr vertOverflow="clip"/>
                  <a:lstStyle/>
                  <a:p>
                    <a:r>
                      <a:rPr lang="en-US"/>
                      <a:t>2010</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0CFE-4C17-ABBD-6C2D12A58F81}"/>
                </c:ext>
                <c:ext xmlns:c15="http://schemas.microsoft.com/office/drawing/2012/chart" uri="{CE6537A1-D6FC-4f65-9D91-7224C49458BB}"/>
              </c:extLst>
            </c:dLbl>
            <c:dLbl>
              <c:idx val="3"/>
              <c:layout>
                <c:manualLayout>
                  <c:x val="-0.014028194929242092"/>
                  <c:y val="-0.019373219373219373"/>
                </c:manualLayout>
              </c:layout>
              <c:tx>
                <c:rich>
                  <a:bodyPr vertOverflow="clip"/>
                  <a:lstStyle/>
                  <a:p>
                    <a:r>
                      <a:rPr lang="en-US"/>
                      <a:t>2008</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0CFE-4C17-ABBD-6C2D12A58F81}"/>
                </c:ext>
                <c:ext xmlns:c15="http://schemas.microsoft.com/office/drawing/2012/chart" uri="{CE6537A1-D6FC-4f65-9D91-7224C49458BB}"/>
              </c:extLst>
            </c:dLbl>
            <c:dLbl>
              <c:idx val="4"/>
              <c:layout>
                <c:manualLayout>
                  <c:x val="-0.20602086953701626"/>
                  <c:y val="-0.051292145373800238"/>
                </c:manualLayout>
              </c:layout>
              <c:tx>
                <c:rich>
                  <a:bodyPr vertOverflow="clip"/>
                  <a:lstStyle/>
                  <a:p>
                    <a:r>
                      <a:rPr lang="en-US"/>
                      <a:t>2009</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0CFE-4C17-ABBD-6C2D12A58F81}"/>
                </c:ext>
                <c:ext xmlns:c15="http://schemas.microsoft.com/office/drawing/2012/chart" uri="{CE6537A1-D6FC-4f65-9D91-7224C49458BB}"/>
              </c:extLst>
            </c:dLbl>
            <c:dLbl>
              <c:idx val="5"/>
              <c:delete val="1"/>
              <c:extLst>
                <c:ext xmlns:c="http://schemas.openxmlformats.org/drawingml/2006/chart" xmlns:c16="http://schemas.microsoft.com/office/drawing/2014/chart" uri="{C3380CC4-5D6E-409C-BE32-E72D297353CC}">
                  <c16:uniqueId val="{00000000-0CFE-4C17-ABBD-6C2D12A58F81}"/>
                </c:ext>
                <c:ext xmlns:c15="http://schemas.microsoft.com/office/drawing/2012/chart" uri="{CE6537A1-D6FC-4f65-9D91-7224C49458BB}"/>
              </c:extLst>
            </c:dLbl>
            <c:dLbl>
              <c:idx val="6"/>
              <c:delete val="1"/>
              <c:extLst>
                <c:ext xmlns:c="http://schemas.openxmlformats.org/drawingml/2006/chart" xmlns:c16="http://schemas.microsoft.com/office/drawing/2014/chart" uri="{C3380CC4-5D6E-409C-BE32-E72D297353CC}">
                  <c16:uniqueId val="{00000006-0CFE-4C17-ABBD-6C2D12A58F81}"/>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7-0CFE-4C17-ABBD-6C2D12A58F81}"/>
                </c:ext>
                <c:ext xmlns:c15="http://schemas.microsoft.com/office/drawing/2012/chart" uri="{CE6537A1-D6FC-4f65-9D91-7224C49458BB}"/>
              </c:extLst>
            </c:dLbl>
            <c:dLbl>
              <c:idx val="8"/>
              <c:delete val="1"/>
              <c:extLst>
                <c:ext xmlns:c="http://schemas.openxmlformats.org/drawingml/2006/chart" xmlns:c16="http://schemas.microsoft.com/office/drawing/2014/chart" uri="{C3380CC4-5D6E-409C-BE32-E72D297353CC}">
                  <c16:uniqueId val="{00000008-0CFE-4C17-ABBD-6C2D12A58F81}"/>
                </c:ext>
                <c:ext xmlns:c15="http://schemas.microsoft.com/office/drawing/2012/chart" uri="{CE6537A1-D6FC-4f65-9D91-7224C49458BB}"/>
              </c:extLst>
            </c:dLbl>
            <c:dLbl>
              <c:idx val="9"/>
              <c:layout>
                <c:manualLayout>
                  <c:x val="-0.034711212849278271"/>
                  <c:y val="-0.0477818130029196"/>
                </c:manualLayout>
              </c:layout>
              <c:tx>
                <c:rich>
                  <a:bodyPr vertOverflow="clip"/>
                  <a:lstStyle/>
                  <a:p>
                    <a:r>
                      <a:rPr lang="en-US"/>
                      <a:t>2014</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0CFE-4C17-ABBD-6C2D12A58F81}"/>
                </c:ext>
                <c:ext xmlns:c15="http://schemas.microsoft.com/office/drawing/2012/chart" uri="{CE6537A1-D6FC-4f65-9D91-7224C49458BB}"/>
              </c:extLst>
            </c:dLbl>
            <c:dLbl>
              <c:idx val="10"/>
              <c:layout>
                <c:manualLayout>
                  <c:x val="-0.048682691305879967"/>
                  <c:y val="-0.05288250515989211"/>
                </c:manualLayout>
              </c:layout>
              <c:tx>
                <c:rich>
                  <a:bodyPr vertOverflow="clip"/>
                  <a:lstStyle/>
                  <a:p>
                    <a:r>
                      <a:rPr lang="en-US"/>
                      <a:t>2015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0CFE-4C17-ABBD-6C2D12A58F81}"/>
                </c:ext>
                <c:ext xmlns:c15="http://schemas.microsoft.com/office/drawing/2012/chart" uri="{CE6537A1-D6FC-4f65-9D91-7224C49458BB}"/>
              </c:extLst>
            </c:dLbl>
            <c:dLbl>
              <c:idx val="11"/>
              <c:layout>
                <c:manualLayout>
                  <c:x val="-0.045473776802943768"/>
                  <c:y val="-0.029435967255112244"/>
                </c:manualLayout>
              </c:layout>
              <c:tx>
                <c:rich>
                  <a:bodyPr/>
                  <a:lstStyle/>
                  <a:p>
                    <a:r>
                      <a:rPr lang="lv-LV"/>
                      <a:t>SK</a:t>
                    </a:r>
                    <a:endParaRPr lang="en-US"/>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0CFE-4C17-ABBD-6C2D12A58F81}"/>
                </c:ext>
                <c:ext xmlns:c15="http://schemas.microsoft.com/office/drawing/2012/chart" uri="{CE6537A1-D6FC-4f65-9D91-7224C49458BB}"/>
              </c:extLst>
            </c:dLbl>
            <c:dLbl>
              <c:idx val="12"/>
              <c:tx>
                <c:rich>
                  <a:bodyPr/>
                  <a:lstStyle/>
                  <a:p>
                    <a:r>
                      <a:rPr lang="lv-LV"/>
                      <a:t>FI</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0CFE-4C17-ABBD-6C2D12A58F81}"/>
                </c:ext>
                <c:ext xmlns:c15="http://schemas.microsoft.com/office/drawing/2012/chart" uri="{CE6537A1-D6FC-4f65-9D91-7224C49458BB}"/>
              </c:extLst>
            </c:dLbl>
            <c:dLbl>
              <c:idx val="13"/>
              <c:tx>
                <c:rich>
                  <a:bodyPr/>
                  <a:lstStyle/>
                  <a:p>
                    <a:r>
                      <a:rPr lang="lv-LV" b="0"/>
                      <a:t>SE</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0CFE-4C17-ABBD-6C2D12A58F81}"/>
                </c:ext>
                <c:ext xmlns:c15="http://schemas.microsoft.com/office/drawing/2012/chart" uri="{CE6537A1-D6FC-4f65-9D91-7224C49458BB}"/>
              </c:extLst>
            </c:dLbl>
            <c:spPr>
              <a:noFill/>
              <a:ln>
                <a:noFill/>
              </a:ln>
              <a:effectLst/>
            </c:spPr>
            <c:txPr>
              <a:bodyPr/>
              <a:lstStyle/>
              <a:p>
                <a:pPr>
                  <a:defRPr b="0"/>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Sheet1!$B$3:$B$13</c:f>
              <c:numCache>
                <c:formatCode>0.0</c:formatCode>
                <c:ptCount val="11"/>
                <c:pt idx="0">
                  <c:v>55.4</c:v>
                </c:pt>
                <c:pt idx="1">
                  <c:v>82.7</c:v>
                </c:pt>
                <c:pt idx="2">
                  <c:v>75</c:v>
                </c:pt>
                <c:pt idx="3">
                  <c:v>71.5</c:v>
                </c:pt>
                <c:pt idx="4">
                  <c:v>59.9</c:v>
                </c:pt>
                <c:pt idx="5">
                  <c:v>60</c:v>
                </c:pt>
                <c:pt idx="6">
                  <c:v>59.5</c:v>
                </c:pt>
                <c:pt idx="7">
                  <c:v>65.7</c:v>
                </c:pt>
                <c:pt idx="8">
                  <c:v>64.3</c:v>
                </c:pt>
                <c:pt idx="9">
                  <c:v>64.8</c:v>
                </c:pt>
                <c:pt idx="10">
                  <c:v>62.9</c:v>
                </c:pt>
              </c:numCache>
            </c:numRef>
          </c:xVal>
          <c:yVal>
            <c:numRef>
              <c:f>Sheet1!$C$3:$C$13</c:f>
              <c:numCache>
                <c:formatCode>0.00</c:formatCode>
                <c:ptCount val="11"/>
                <c:pt idx="0">
                  <c:v>0.22</c:v>
                </c:pt>
                <c:pt idx="1">
                  <c:v>0.21</c:v>
                </c:pt>
                <c:pt idx="2">
                  <c:v>0.23</c:v>
                </c:pt>
                <c:pt idx="3">
                  <c:v>0.3</c:v>
                </c:pt>
                <c:pt idx="4">
                  <c:v>0.37</c:v>
                </c:pt>
                <c:pt idx="5">
                  <c:v>0.32</c:v>
                </c:pt>
                <c:pt idx="6">
                  <c:v>0.31</c:v>
                </c:pt>
                <c:pt idx="7">
                  <c:v>0.34</c:v>
                </c:pt>
                <c:pt idx="8">
                  <c:v>0.36</c:v>
                </c:pt>
                <c:pt idx="9">
                  <c:v>0.37</c:v>
                </c:pt>
                <c:pt idx="10" formatCode="0.0">
                  <c:v>0.4</c:v>
                </c:pt>
              </c:numCache>
            </c:numRef>
          </c:yVal>
          <c:smooth val="1"/>
          <c:extLst>
            <c:ext xmlns:c="http://schemas.openxmlformats.org/drawingml/2006/chart" xmlns:c16="http://schemas.microsoft.com/office/drawing/2014/chart" uri="{C3380CC4-5D6E-409C-BE32-E72D297353CC}">
              <c16:uniqueId val="{0000000E-0CFE-4C17-ABBD-6C2D12A58F81}"/>
            </c:ext>
          </c:extLst>
        </c:ser>
        <c:dLbls>
          <c:showLegendKey val="0"/>
          <c:showVal val="0"/>
          <c:showCatName val="0"/>
          <c:showSerName val="0"/>
          <c:showPercent val="0"/>
          <c:showBubbleSize val="0"/>
        </c:dLbls>
        <c:axId val="656280608"/>
        <c:axId val="656282176"/>
      </c:scatterChart>
      <c:valAx>
        <c:axId val="656280608"/>
        <c:scaling>
          <c:orientation val="minMax"/>
          <c:max val="100"/>
          <c:min val="20"/>
        </c:scaling>
        <c:delete val="0"/>
        <c:axPos val="b"/>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56282176"/>
        <c:crosses val="autoZero"/>
        <c:crossBetween val="midCat"/>
        <c:majorUnit val="20"/>
      </c:valAx>
      <c:valAx>
        <c:axId val="656282176"/>
        <c:scaling>
          <c:orientation val="minMax"/>
          <c:min val="0.2"/>
        </c:scaling>
        <c:delete val="0"/>
        <c:axPos val="l"/>
        <c:numFmt formatCode="0.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56280608"/>
        <c:crosses val="autoZero"/>
        <c:crossBetween val="midCat"/>
        <c:majorUnit val="0.050000000000000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40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010985740184538"/>
          <c:y val="0.057971014492753624"/>
          <c:w val="0.665457152907433"/>
          <c:h val="0.76423697037870264"/>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extLst>
              <c:ext xmlns:c="http://schemas.openxmlformats.org/drawingml/2006/chart" xmlns:c16="http://schemas.microsoft.com/office/drawing/2014/chart" uri="{C3380CC4-5D6E-409C-BE32-E72D297353CC}">
                <c16:uniqueId val="{00000000-8D55-4539-81A7-C57F04E3E334}"/>
              </c:ext>
            </c:extLst>
          </c:dPt>
          <c:dLbls>
            <c:dLbl>
              <c:idx val="0"/>
              <c:layout>
                <c:manualLayout>
                  <c:x val="-0.12454580797149803"/>
                  <c:y val="0.05443569553805757"/>
                </c:manualLayout>
              </c:layout>
              <c:tx>
                <c:rich>
                  <a:bodyPr vertOverflow="clip"/>
                  <a:lstStyle/>
                  <a:p>
                    <a:r>
                      <a:rPr lang="en-US"/>
                      <a:t>2005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8D55-4539-81A7-C57F04E3E334}"/>
                </c:ext>
                <c:ext xmlns:c15="http://schemas.microsoft.com/office/drawing/2012/chart" uri="{CE6537A1-D6FC-4f65-9D91-7224C49458BB}"/>
              </c:extLst>
            </c:dLbl>
            <c:dLbl>
              <c:idx val="1"/>
              <c:layout>
                <c:manualLayout>
                  <c:x val="-0.32011732689640765"/>
                  <c:y val="-0.033054826480023329"/>
                </c:manualLayout>
              </c:layout>
              <c:tx>
                <c:rich>
                  <a:bodyPr vertOverflow="clip"/>
                  <a:lstStyle/>
                  <a:p>
                    <a:r>
                      <a:rPr lang="en-US"/>
                      <a:t>2007</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8D55-4539-81A7-C57F04E3E334}"/>
                </c:ext>
                <c:ext xmlns:c15="http://schemas.microsoft.com/office/drawing/2012/chart" uri="{CE6537A1-D6FC-4f65-9D91-7224C49458BB}"/>
              </c:extLst>
            </c:dLbl>
            <c:dLbl>
              <c:idx val="2"/>
              <c:layout>
                <c:manualLayout>
                  <c:x val="-0.32496649046356307"/>
                  <c:y val="-0.044410177894429866"/>
                </c:manualLayout>
              </c:layout>
              <c:tx>
                <c:rich>
                  <a:bodyPr vertOverflow="clip"/>
                  <a:lstStyle/>
                  <a:p>
                    <a:r>
                      <a:rPr lang="en-US"/>
                      <a:t>2010</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8D55-4539-81A7-C57F04E3E334}"/>
                </c:ext>
                <c:ext xmlns:c15="http://schemas.microsoft.com/office/drawing/2012/chart" uri="{CE6537A1-D6FC-4f65-9D91-7224C49458BB}"/>
              </c:extLst>
            </c:dLbl>
            <c:dLbl>
              <c:idx val="3"/>
              <c:layout>
                <c:manualLayout>
                  <c:x val="-0.014524280632938568"/>
                  <c:y val="-0.000142169728783902"/>
                </c:manualLayout>
              </c:layout>
              <c:tx>
                <c:rich>
                  <a:bodyPr vertOverflow="clip"/>
                  <a:lstStyle/>
                  <a:p>
                    <a:r>
                      <a:rPr lang="en-US"/>
                      <a:t>2008</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8D55-4539-81A7-C57F04E3E334}"/>
                </c:ext>
                <c:ext xmlns:c15="http://schemas.microsoft.com/office/drawing/2012/chart" uri="{CE6537A1-D6FC-4f65-9D91-7224C49458BB}"/>
              </c:extLst>
            </c:dLbl>
            <c:dLbl>
              <c:idx val="4"/>
              <c:delete val="1"/>
              <c:extLst>
                <c:ext xmlns:c="http://schemas.openxmlformats.org/drawingml/2006/chart" xmlns:c16="http://schemas.microsoft.com/office/drawing/2014/chart" uri="{C3380CC4-5D6E-409C-BE32-E72D297353CC}">
                  <c16:uniqueId val="{00000005-8D55-4539-81A7-C57F04E3E334}"/>
                </c:ext>
                <c:ext xmlns:c15="http://schemas.microsoft.com/office/drawing/2012/chart" uri="{CE6537A1-D6FC-4f65-9D91-7224C49458BB}"/>
              </c:extLst>
            </c:dLbl>
            <c:dLbl>
              <c:idx val="5"/>
              <c:delete val="1"/>
              <c:extLst>
                <c:ext xmlns:c="http://schemas.openxmlformats.org/drawingml/2006/chart" xmlns:c16="http://schemas.microsoft.com/office/drawing/2014/chart" uri="{C3380CC4-5D6E-409C-BE32-E72D297353CC}">
                  <c16:uniqueId val="{00000000-8D55-4539-81A7-C57F04E3E334}"/>
                </c:ext>
                <c:ext xmlns:c15="http://schemas.microsoft.com/office/drawing/2012/chart" uri="{CE6537A1-D6FC-4f65-9D91-7224C49458BB}"/>
              </c:extLst>
            </c:dLbl>
            <c:dLbl>
              <c:idx val="6"/>
              <c:delete val="1"/>
              <c:extLst>
                <c:ext xmlns:c="http://schemas.openxmlformats.org/drawingml/2006/chart" xmlns:c16="http://schemas.microsoft.com/office/drawing/2014/chart" uri="{C3380CC4-5D6E-409C-BE32-E72D297353CC}">
                  <c16:uniqueId val="{00000006-8D55-4539-81A7-C57F04E3E334}"/>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7-8D55-4539-81A7-C57F04E3E334}"/>
                </c:ext>
                <c:ext xmlns:c15="http://schemas.microsoft.com/office/drawing/2012/chart" uri="{CE6537A1-D6FC-4f65-9D91-7224C49458BB}"/>
              </c:extLst>
            </c:dLbl>
            <c:dLbl>
              <c:idx val="8"/>
              <c:delete val="1"/>
              <c:extLst>
                <c:ext xmlns:c="http://schemas.openxmlformats.org/drawingml/2006/chart" xmlns:c16="http://schemas.microsoft.com/office/drawing/2014/chart" uri="{C3380CC4-5D6E-409C-BE32-E72D297353CC}">
                  <c16:uniqueId val="{00000008-8D55-4539-81A7-C57F04E3E334}"/>
                </c:ext>
                <c:ext xmlns:c15="http://schemas.microsoft.com/office/drawing/2012/chart" uri="{CE6537A1-D6FC-4f65-9D91-7224C49458BB}"/>
              </c:extLst>
            </c:dLbl>
            <c:dLbl>
              <c:idx val="9"/>
              <c:layout>
                <c:manualLayout>
                  <c:x val="-0.22792113218714277"/>
                  <c:y val="0.0012518226888305628"/>
                </c:manualLayout>
              </c:layout>
              <c:tx>
                <c:rich>
                  <a:bodyPr vertOverflow="clip"/>
                  <a:lstStyle/>
                  <a:p>
                    <a:r>
                      <a:rPr lang="en-US"/>
                      <a:t>2014</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8D55-4539-81A7-C57F04E3E334}"/>
                </c:ext>
                <c:ext xmlns:c15="http://schemas.microsoft.com/office/drawing/2012/chart" uri="{CE6537A1-D6FC-4f65-9D91-7224C49458BB}"/>
              </c:extLst>
            </c:dLbl>
            <c:dLbl>
              <c:idx val="10"/>
              <c:layout>
                <c:manualLayout>
                  <c:x val="-0.048682691305879967"/>
                  <c:y val="-0.05288250515989211"/>
                </c:manualLayout>
              </c:layout>
              <c:tx>
                <c:rich>
                  <a:bodyPr vertOverflow="clip"/>
                  <a:lstStyle/>
                  <a:p>
                    <a:r>
                      <a:rPr lang="en-US"/>
                      <a:t>2015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8D55-4539-81A7-C57F04E3E334}"/>
                </c:ext>
                <c:ext xmlns:c15="http://schemas.microsoft.com/office/drawing/2012/chart" uri="{CE6537A1-D6FC-4f65-9D91-7224C49458BB}"/>
              </c:extLst>
            </c:dLbl>
            <c:dLbl>
              <c:idx val="11"/>
              <c:layout>
                <c:manualLayout>
                  <c:x val="-0.045473776802943768"/>
                  <c:y val="-0.029435967255112244"/>
                </c:manualLayout>
              </c:layout>
              <c:tx>
                <c:rich>
                  <a:bodyPr/>
                  <a:lstStyle/>
                  <a:p>
                    <a:r>
                      <a:rPr lang="lv-LV"/>
                      <a:t>SK</a:t>
                    </a:r>
                    <a:endParaRPr lang="en-US"/>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8D55-4539-81A7-C57F04E3E334}"/>
                </c:ext>
                <c:ext xmlns:c15="http://schemas.microsoft.com/office/drawing/2012/chart" uri="{CE6537A1-D6FC-4f65-9D91-7224C49458BB}"/>
              </c:extLst>
            </c:dLbl>
            <c:dLbl>
              <c:idx val="12"/>
              <c:tx>
                <c:rich>
                  <a:bodyPr/>
                  <a:lstStyle/>
                  <a:p>
                    <a:r>
                      <a:rPr lang="lv-LV"/>
                      <a:t>FI</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8D55-4539-81A7-C57F04E3E334}"/>
                </c:ext>
                <c:ext xmlns:c15="http://schemas.microsoft.com/office/drawing/2012/chart" uri="{CE6537A1-D6FC-4f65-9D91-7224C49458BB}"/>
              </c:extLst>
            </c:dLbl>
            <c:dLbl>
              <c:idx val="13"/>
              <c:tx>
                <c:rich>
                  <a:bodyPr/>
                  <a:lstStyle/>
                  <a:p>
                    <a:r>
                      <a:rPr lang="lv-LV" b="0"/>
                      <a:t>SE</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8D55-4539-81A7-C57F04E3E334}"/>
                </c:ext>
                <c:ext xmlns:c15="http://schemas.microsoft.com/office/drawing/2012/chart" uri="{CE6537A1-D6FC-4f65-9D91-7224C49458BB}"/>
              </c:extLst>
            </c:dLbl>
            <c:spPr>
              <a:noFill/>
              <a:ln>
                <a:noFill/>
              </a:ln>
              <a:effectLst/>
            </c:spPr>
            <c:txPr>
              <a:bodyPr/>
              <a:lstStyle/>
              <a:p>
                <a:pPr>
                  <a:defRPr b="0"/>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Sheet1!$B$3:$B$13</c:f>
              <c:numCache>
                <c:formatCode>0.0</c:formatCode>
                <c:ptCount val="11"/>
                <c:pt idx="0">
                  <c:v>42.3</c:v>
                </c:pt>
                <c:pt idx="1">
                  <c:v>37.6</c:v>
                </c:pt>
                <c:pt idx="2">
                  <c:v>31.8</c:v>
                </c:pt>
                <c:pt idx="3">
                  <c:v>36.3</c:v>
                </c:pt>
                <c:pt idx="4">
                  <c:v>32.6</c:v>
                </c:pt>
                <c:pt idx="5">
                  <c:v>28.9</c:v>
                </c:pt>
                <c:pt idx="6">
                  <c:v>26.8</c:v>
                </c:pt>
                <c:pt idx="7">
                  <c:v>28.7</c:v>
                </c:pt>
                <c:pt idx="8">
                  <c:v>27.5</c:v>
                </c:pt>
                <c:pt idx="9">
                  <c:v>22.1</c:v>
                </c:pt>
                <c:pt idx="10">
                  <c:v>21.3</c:v>
                </c:pt>
              </c:numCache>
            </c:numRef>
          </c:xVal>
          <c:yVal>
            <c:numRef>
              <c:f>Sheet1!$C$3:$C$13</c:f>
              <c:numCache>
                <c:formatCode>0.0</c:formatCode>
                <c:ptCount val="11"/>
                <c:pt idx="0">
                  <c:v>0.4</c:v>
                </c:pt>
                <c:pt idx="1">
                  <c:v>0.5</c:v>
                </c:pt>
                <c:pt idx="2">
                  <c:v>0.6</c:v>
                </c:pt>
                <c:pt idx="3">
                  <c:v>0.6</c:v>
                </c:pt>
                <c:pt idx="4">
                  <c:v>0.7</c:v>
                </c:pt>
                <c:pt idx="5">
                  <c:v>0.7</c:v>
                </c:pt>
                <c:pt idx="6">
                  <c:v>0.7</c:v>
                </c:pt>
                <c:pt idx="7">
                  <c:v>0.7</c:v>
                </c:pt>
                <c:pt idx="8">
                  <c:v>0.8</c:v>
                </c:pt>
                <c:pt idx="9">
                  <c:v>1</c:v>
                </c:pt>
                <c:pt idx="10">
                  <c:v>1.2</c:v>
                </c:pt>
              </c:numCache>
            </c:numRef>
          </c:yVal>
          <c:smooth val="1"/>
          <c:extLst>
            <c:ext xmlns:c="http://schemas.openxmlformats.org/drawingml/2006/chart" xmlns:c16="http://schemas.microsoft.com/office/drawing/2014/chart" uri="{C3380CC4-5D6E-409C-BE32-E72D297353CC}">
              <c16:uniqueId val="{0000000E-8D55-4539-81A7-C57F04E3E334}"/>
            </c:ext>
          </c:extLst>
        </c:ser>
        <c:dLbls>
          <c:showLegendKey val="0"/>
          <c:showVal val="0"/>
          <c:showCatName val="0"/>
          <c:showSerName val="0"/>
          <c:showPercent val="0"/>
          <c:showBubbleSize val="0"/>
        </c:dLbls>
        <c:axId val="656277080"/>
        <c:axId val="656279040"/>
      </c:scatterChart>
      <c:valAx>
        <c:axId val="656277080"/>
        <c:scaling>
          <c:orientation val="minMax"/>
          <c:min val="10"/>
        </c:scaling>
        <c:delete val="0"/>
        <c:axPos val="b"/>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56279040"/>
        <c:crosses val="autoZero"/>
        <c:crossBetween val="midCat"/>
        <c:majorUnit val="10"/>
      </c:valAx>
      <c:valAx>
        <c:axId val="656279040"/>
        <c:scaling>
          <c:orientation val="minMax"/>
          <c:min val="0.2"/>
        </c:scaling>
        <c:delete val="0"/>
        <c:axPos val="l"/>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56277080"/>
        <c:crosses val="autoZero"/>
        <c:crossBetween val="midCat"/>
        <c:majorUnit val="0.2"/>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409.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61023776379188"/>
          <c:y val="0.057971014492753624"/>
          <c:w val="0.76273315698336608"/>
          <c:h val="0.84637683110124051"/>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marker>
              <c:spPr>
                <a:solidFill>
                  <a:srgbClr val="002060"/>
                </a:solidFill>
                <a:ln w="6350">
                  <a:solidFill>
                    <a:sysClr val="windowText" lastClr="000000"/>
                  </a:solidFill>
                </a:ln>
              </c:spPr>
            </c:marker>
            <c:extLst>
              <c:ext xmlns:c="http://schemas.openxmlformats.org/drawingml/2006/chart" xmlns:c16="http://schemas.microsoft.com/office/drawing/2014/chart" uri="{C3380CC4-5D6E-409C-BE32-E72D297353CC}">
                <c16:uniqueId val="{00000000-EA08-4E0B-877C-327040577A6D}"/>
              </c:ext>
            </c:extLst>
          </c:dPt>
          <c:dLbls>
            <c:dLbl>
              <c:idx val="0"/>
              <c:layout>
                <c:manualLayout>
                  <c:x val="-0.22962436454935367"/>
                  <c:y val="0.028082211106319"/>
                </c:manualLayout>
              </c:layout>
              <c:tx>
                <c:rich>
                  <a:bodyPr vertOverflow="clip"/>
                  <a:lstStyle/>
                  <a:p>
                    <a:r>
                      <a:rPr lang="en-US"/>
                      <a:t>2005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EA08-4E0B-877C-327040577A6D}"/>
                </c:ext>
                <c:ext xmlns:c15="http://schemas.microsoft.com/office/drawing/2012/chart" uri="{CE6537A1-D6FC-4f65-9D91-7224C49458BB}"/>
              </c:extLst>
            </c:dLbl>
            <c:dLbl>
              <c:idx val="1"/>
              <c:layout>
                <c:manualLayout>
                  <c:x val="-0.19243499201775036"/>
                  <c:y val="-0.10855328981313238"/>
                </c:manualLayout>
              </c:layout>
              <c:tx>
                <c:rich>
                  <a:bodyPr vertOverflow="clip"/>
                  <a:lstStyle/>
                  <a:p>
                    <a:r>
                      <a:rPr lang="en-US"/>
                      <a:t>2007</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EA08-4E0B-877C-327040577A6D}"/>
                </c:ext>
                <c:ext xmlns:c15="http://schemas.microsoft.com/office/drawing/2012/chart" uri="{CE6537A1-D6FC-4f65-9D91-7224C49458BB}"/>
              </c:extLst>
            </c:dLbl>
            <c:dLbl>
              <c:idx val="2"/>
              <c:layout>
                <c:manualLayout>
                  <c:x val="0.085991828341045"/>
                  <c:y val="0.063851762119478545"/>
                </c:manualLayout>
              </c:layout>
              <c:tx>
                <c:rich>
                  <a:bodyPr vertOverflow="clip"/>
                  <a:lstStyle/>
                  <a:p>
                    <a:r>
                      <a:rPr lang="en-US"/>
                      <a:t>2011</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EA08-4E0B-877C-327040577A6D}"/>
                </c:ext>
                <c:ext xmlns:c15="http://schemas.microsoft.com/office/drawing/2012/chart" uri="{CE6537A1-D6FC-4f65-9D91-7224C49458BB}"/>
              </c:extLst>
            </c:dLbl>
            <c:dLbl>
              <c:idx val="3"/>
              <c:layout>
                <c:manualLayout>
                  <c:x val="-0.21334090970587438"/>
                  <c:y val="-0.025071225071225098"/>
                </c:manualLayout>
              </c:layout>
              <c:tx>
                <c:rich>
                  <a:bodyPr vertOverflow="clip"/>
                  <a:lstStyle/>
                  <a:p>
                    <a:r>
                      <a:rPr lang="en-US"/>
                      <a:t>2008</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EA08-4E0B-877C-327040577A6D}"/>
                </c:ext>
                <c:ext xmlns:c15="http://schemas.microsoft.com/office/drawing/2012/chart" uri="{CE6537A1-D6FC-4f65-9D91-7224C49458BB}"/>
              </c:extLst>
            </c:dLbl>
            <c:dLbl>
              <c:idx val="4"/>
              <c:delete val="1"/>
              <c:extLst>
                <c:ext xmlns:c="http://schemas.openxmlformats.org/drawingml/2006/chart" xmlns:c16="http://schemas.microsoft.com/office/drawing/2014/chart" uri="{C3380CC4-5D6E-409C-BE32-E72D297353CC}">
                  <c16:uniqueId val="{00000005-EA08-4E0B-877C-327040577A6D}"/>
                </c:ext>
                <c:ext xmlns:c15="http://schemas.microsoft.com/office/drawing/2012/chart" uri="{CE6537A1-D6FC-4f65-9D91-7224C49458BB}"/>
              </c:extLst>
            </c:dLbl>
            <c:dLbl>
              <c:idx val="5"/>
              <c:delete val="1"/>
              <c:extLst>
                <c:ext xmlns:c="http://schemas.openxmlformats.org/drawingml/2006/chart" xmlns:c16="http://schemas.microsoft.com/office/drawing/2014/chart" uri="{C3380CC4-5D6E-409C-BE32-E72D297353CC}">
                  <c16:uniqueId val="{00000000-EA08-4E0B-877C-327040577A6D}"/>
                </c:ext>
                <c:ext xmlns:c15="http://schemas.microsoft.com/office/drawing/2012/chart" uri="{CE6537A1-D6FC-4f65-9D91-7224C49458BB}"/>
              </c:extLst>
            </c:dLbl>
            <c:dLbl>
              <c:idx val="6"/>
              <c:delete val="1"/>
              <c:extLst>
                <c:ext xmlns:c="http://schemas.openxmlformats.org/drawingml/2006/chart" xmlns:c16="http://schemas.microsoft.com/office/drawing/2014/chart" uri="{C3380CC4-5D6E-409C-BE32-E72D297353CC}">
                  <c16:uniqueId val="{00000006-EA08-4E0B-877C-327040577A6D}"/>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7-EA08-4E0B-877C-327040577A6D}"/>
                </c:ext>
                <c:ext xmlns:c15="http://schemas.microsoft.com/office/drawing/2012/chart" uri="{CE6537A1-D6FC-4f65-9D91-7224C49458BB}"/>
              </c:extLst>
            </c:dLbl>
            <c:dLbl>
              <c:idx val="8"/>
              <c:delete val="1"/>
              <c:extLst>
                <c:ext xmlns:c="http://schemas.openxmlformats.org/drawingml/2006/chart" xmlns:c16="http://schemas.microsoft.com/office/drawing/2014/chart" uri="{C3380CC4-5D6E-409C-BE32-E72D297353CC}">
                  <c16:uniqueId val="{00000008-EA08-4E0B-877C-327040577A6D}"/>
                </c:ext>
                <c:ext xmlns:c15="http://schemas.microsoft.com/office/drawing/2012/chart" uri="{CE6537A1-D6FC-4f65-9D91-7224C49458BB}"/>
              </c:extLst>
            </c:dLbl>
            <c:dLbl>
              <c:idx val="9"/>
              <c:layout>
                <c:manualLayout>
                  <c:x val="-0.020743025678491345"/>
                  <c:y val="0.0033887430737824437"/>
                </c:manualLayout>
              </c:layout>
              <c:tx>
                <c:rich>
                  <a:bodyPr vertOverflow="clip"/>
                  <a:lstStyle/>
                  <a:p>
                    <a:r>
                      <a:rPr lang="en-US"/>
                      <a:t>2014</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EA08-4E0B-877C-327040577A6D}"/>
                </c:ext>
                <c:ext xmlns:c15="http://schemas.microsoft.com/office/drawing/2012/chart" uri="{CE6537A1-D6FC-4f65-9D91-7224C49458BB}"/>
              </c:extLst>
            </c:dLbl>
            <c:dLbl>
              <c:idx val="10"/>
              <c:delete val="1"/>
              <c:extLst>
                <c:ext xmlns:c="http://schemas.openxmlformats.org/drawingml/2006/chart" xmlns:c16="http://schemas.microsoft.com/office/drawing/2014/chart" uri="{C3380CC4-5D6E-409C-BE32-E72D297353CC}">
                  <c16:uniqueId val="{0000000A-EA08-4E0B-877C-327040577A6D}"/>
                </c:ext>
                <c:ext xmlns:c15="http://schemas.microsoft.com/office/drawing/2012/chart" uri="{CE6537A1-D6FC-4f65-9D91-7224C49458BB}"/>
              </c:extLst>
            </c:dLbl>
            <c:dLbl>
              <c:idx val="11"/>
              <c:layout>
                <c:manualLayout>
                  <c:x val="-0.059219633628270756"/>
                  <c:y val="-0.05222783049554703"/>
                </c:manualLayout>
              </c:layout>
              <c:tx>
                <c:rich>
                  <a:bodyPr vertOverflow="clip"/>
                  <a:lstStyle/>
                  <a:p>
                    <a:r>
                      <a:rPr lang="en-US"/>
                      <a:t>2016</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EA08-4E0B-877C-327040577A6D}"/>
                </c:ext>
                <c:ext xmlns:c15="http://schemas.microsoft.com/office/drawing/2012/chart" uri="{CE6537A1-D6FC-4f65-9D91-7224C49458BB}"/>
              </c:extLst>
            </c:dLbl>
            <c:dLbl>
              <c:idx val="12"/>
              <c:tx>
                <c:rich>
                  <a:bodyPr/>
                  <a:lstStyle/>
                  <a:p>
                    <a:r>
                      <a:rPr lang="lv-LV"/>
                      <a:t>FI</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EA08-4E0B-877C-327040577A6D}"/>
                </c:ext>
                <c:ext xmlns:c15="http://schemas.microsoft.com/office/drawing/2012/chart" uri="{CE6537A1-D6FC-4f65-9D91-7224C49458BB}"/>
              </c:extLst>
            </c:dLbl>
            <c:dLbl>
              <c:idx val="13"/>
              <c:tx>
                <c:rich>
                  <a:bodyPr/>
                  <a:lstStyle/>
                  <a:p>
                    <a:r>
                      <a:rPr lang="lv-LV" b="0"/>
                      <a:t>SE</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EA08-4E0B-877C-327040577A6D}"/>
                </c:ext>
                <c:ext xmlns:c15="http://schemas.microsoft.com/office/drawing/2012/chart" uri="{CE6537A1-D6FC-4f65-9D91-7224C49458BB}"/>
              </c:extLst>
            </c:dLbl>
            <c:spPr>
              <a:noFill/>
              <a:ln>
                <a:noFill/>
              </a:ln>
              <a:effectLst/>
            </c:spPr>
            <c:txPr>
              <a:bodyPr/>
              <a:lstStyle/>
              <a:p>
                <a:pPr>
                  <a:defRPr b="0"/>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Sheet1!$B$3:$B$14</c:f>
              <c:numCache>
                <c:formatCode>0.0</c:formatCode>
                <c:ptCount val="12"/>
                <c:pt idx="0">
                  <c:v>25.4</c:v>
                </c:pt>
                <c:pt idx="1">
                  <c:v>26.9</c:v>
                </c:pt>
                <c:pt idx="2">
                  <c:v>27.4</c:v>
                </c:pt>
                <c:pt idx="3">
                  <c:v>26.2</c:v>
                </c:pt>
                <c:pt idx="4">
                  <c:v>28.3</c:v>
                </c:pt>
                <c:pt idx="5">
                  <c:v>29.3</c:v>
                </c:pt>
                <c:pt idx="6">
                  <c:v>29.7</c:v>
                </c:pt>
                <c:pt idx="7">
                  <c:v>28.6</c:v>
                </c:pt>
                <c:pt idx="8">
                  <c:v>27.5</c:v>
                </c:pt>
                <c:pt idx="9">
                  <c:v>28.1</c:v>
                </c:pt>
                <c:pt idx="10">
                  <c:v>28.2</c:v>
                </c:pt>
                <c:pt idx="11">
                  <c:v>28.2</c:v>
                </c:pt>
              </c:numCache>
            </c:numRef>
          </c:xVal>
          <c:yVal>
            <c:numRef>
              <c:f>Sheet1!$C$3:$C$14</c:f>
              <c:numCache>
                <c:formatCode>0.0</c:formatCode>
                <c:ptCount val="12"/>
                <c:pt idx="0">
                  <c:v>0.3</c:v>
                </c:pt>
                <c:pt idx="1">
                  <c:v>0.4</c:v>
                </c:pt>
                <c:pt idx="2">
                  <c:v>0.5</c:v>
                </c:pt>
                <c:pt idx="3">
                  <c:v>0.5</c:v>
                </c:pt>
                <c:pt idx="4" formatCode="0.00">
                  <c:v>0.46</c:v>
                </c:pt>
                <c:pt idx="5" formatCode="0.00">
                  <c:v>0.43</c:v>
                </c:pt>
                <c:pt idx="6" formatCode="0.00">
                  <c:v>0.43</c:v>
                </c:pt>
                <c:pt idx="7" formatCode="0.00">
                  <c:v>0.45</c:v>
                </c:pt>
                <c:pt idx="8">
                  <c:v>0.5</c:v>
                </c:pt>
                <c:pt idx="9">
                  <c:v>0.5</c:v>
                </c:pt>
                <c:pt idx="10">
                  <c:v>0.6</c:v>
                </c:pt>
                <c:pt idx="11">
                  <c:v>0.6</c:v>
                </c:pt>
              </c:numCache>
            </c:numRef>
          </c:yVal>
          <c:smooth val="1"/>
          <c:extLst>
            <c:ext xmlns:c="http://schemas.openxmlformats.org/drawingml/2006/chart" xmlns:c16="http://schemas.microsoft.com/office/drawing/2014/chart" uri="{C3380CC4-5D6E-409C-BE32-E72D297353CC}">
              <c16:uniqueId val="{0000000E-EA08-4E0B-877C-327040577A6D}"/>
            </c:ext>
          </c:extLst>
        </c:ser>
        <c:dLbls>
          <c:showLegendKey val="0"/>
          <c:showVal val="0"/>
          <c:showCatName val="0"/>
          <c:showSerName val="0"/>
          <c:showPercent val="0"/>
          <c:showBubbleSize val="0"/>
        </c:dLbls>
        <c:axId val="656286096"/>
        <c:axId val="656279432"/>
      </c:scatterChart>
      <c:valAx>
        <c:axId val="656286096"/>
        <c:scaling>
          <c:orientation val="minMax"/>
          <c:max val="35"/>
          <c:min val="20"/>
        </c:scaling>
        <c:delete val="0"/>
        <c:axPos val="b"/>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56279432"/>
        <c:crosses val="autoZero"/>
        <c:crossBetween val="midCat"/>
        <c:majorUnit val="5"/>
      </c:valAx>
      <c:valAx>
        <c:axId val="656279432"/>
        <c:scaling>
          <c:orientation val="minMax"/>
          <c:min val="0.2"/>
        </c:scaling>
        <c:delete val="0"/>
        <c:axPos val="l"/>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56286096"/>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46717244654"/>
          <c:y val="0.044057617797775277"/>
          <c:w val="0.9310540474739486"/>
          <c:h val="0.61410067643983524"/>
        </c:manualLayout>
      </c:layout>
      <c:barChart>
        <c:barDir val="col"/>
        <c:grouping val="clustered"/>
        <c:varyColors val="0"/>
        <c:ser>
          <c:idx val="1"/>
          <c:order val="0"/>
          <c:tx>
            <c:strRef>
              <c:f>Sheet1!$B$3</c:f>
              <c:strCache>
                <c:ptCount val="1"/>
                <c:pt idx="0">
                  <c:v>Resource productivity</c:v>
                </c:pt>
              </c:strCache>
            </c:strRef>
          </c:tx>
          <c:spPr>
            <a:solidFill>
              <a:schemeClr val="accent3">
                <a:lumMod val="50000"/>
              </a:schemeClr>
            </a:solidFill>
            <a:ln w="19050"/>
          </c:spPr>
          <c:invertIfNegative val="0"/>
          <c:dPt>
            <c:idx val="7"/>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7-1DE9-4E7F-8564-F4AA41F9F6E0}"/>
              </c:ext>
            </c:extLst>
          </c:dPt>
          <c:dPt>
            <c:idx val="16"/>
            <c:invertIfNegative val="0"/>
            <c:bubble3D val="0"/>
            <c:extLst>
              <c:ext xmlns:c="http://schemas.openxmlformats.org/drawingml/2006/chart" xmlns:c16="http://schemas.microsoft.com/office/drawing/2014/chart" uri="{C3380CC4-5D6E-409C-BE32-E72D297353CC}">
                <c16:uniqueId val="{00000000-B1FA-4B36-B4BA-4A076993902A}"/>
              </c:ext>
            </c:extLst>
          </c:dPt>
          <c:dPt>
            <c:idx val="17"/>
            <c:invertIfNegative val="0"/>
            <c:bubble3D val="0"/>
            <c:extLst>
              <c:ext xmlns:c="http://schemas.openxmlformats.org/drawingml/2006/chart" xmlns:c16="http://schemas.microsoft.com/office/drawing/2014/chart" uri="{C3380CC4-5D6E-409C-BE32-E72D297353CC}">
                <c16:uniqueId val="{00000001-B1FA-4B36-B4BA-4A076993902A}"/>
              </c:ext>
            </c:extLst>
          </c:dPt>
          <c:dPt>
            <c:idx val="23"/>
            <c:invertIfNegative val="0"/>
            <c:bubble3D val="0"/>
            <c:spPr>
              <a:solidFill>
                <a:srgbClr val="C00000"/>
              </a:solidFill>
              <a:ln w="19050"/>
            </c:spPr>
            <c:extLst>
              <c:ext xmlns:c="http://schemas.openxmlformats.org/drawingml/2006/chart" xmlns:c16="http://schemas.microsoft.com/office/drawing/2014/chart" uri="{C3380CC4-5D6E-409C-BE32-E72D297353CC}">
                <c16:uniqueId val="{00000003-B1FA-4B36-B4BA-4A076993902A}"/>
              </c:ext>
            </c:extLst>
          </c:dPt>
          <c:dPt>
            <c:idx val="25"/>
            <c:invertIfNegative val="0"/>
            <c:bubble3D val="0"/>
            <c:extLst>
              <c:ext xmlns:c="http://schemas.openxmlformats.org/drawingml/2006/chart" xmlns:c16="http://schemas.microsoft.com/office/drawing/2014/chart" uri="{C3380CC4-5D6E-409C-BE32-E72D297353CC}">
                <c16:uniqueId val="{00000004-B1FA-4B36-B4BA-4A076993902A}"/>
              </c:ext>
            </c:extLst>
          </c:dPt>
          <c:dPt>
            <c:idx val="26"/>
            <c:invertIfNegative val="0"/>
            <c:bubble3D val="0"/>
            <c:spPr>
              <a:solidFill>
                <a:srgbClr val="C00000"/>
              </a:solidFill>
              <a:ln w="19050"/>
            </c:spPr>
            <c:extLst>
              <c:ext xmlns:c="http://schemas.openxmlformats.org/drawingml/2006/chart" xmlns:c16="http://schemas.microsoft.com/office/drawing/2014/chart" uri="{C3380CC4-5D6E-409C-BE32-E72D297353CC}">
                <c16:uniqueId val="{00000006-B1FA-4B36-B4BA-4A076993902A}"/>
              </c:ext>
            </c:extLst>
          </c:dPt>
          <c:dLbls>
            <c:dLbl>
              <c:idx val="23"/>
              <c:layout>
                <c:manualLayout>
                  <c:x val="-1.4769886443141018E-16"/>
                  <c:y val="0"/>
                </c:manualLayout>
              </c:layout>
              <c:numFmt formatCode="#,##0" sourceLinked="0"/>
              <c:spPr>
                <a:noFill/>
                <a:ln>
                  <a:noFill/>
                </a:ln>
                <a:effectLst/>
              </c:spPr>
              <c:txPr>
                <a:bodyPr/>
                <a:lstStyle/>
                <a:p>
                  <a:pPr>
                    <a:defRPr sz="600" b="1"/>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B1FA-4B36-B4BA-4A076993902A}"/>
                </c:ext>
                <c:ext xmlns:c15="http://schemas.microsoft.com/office/drawing/2012/chart" uri="{CE6537A1-D6FC-4f65-9D91-7224C49458BB}"/>
              </c:extLst>
            </c:dLbl>
            <c:dLbl>
              <c:idx val="25"/>
              <c:layout>
                <c:manualLayout>
                  <c:x val="0"/>
                  <c:y val="0.0045439455203234733"/>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B1FA-4B36-B4BA-4A076993902A}"/>
                </c:ext>
                <c:ext xmlns:c15="http://schemas.microsoft.com/office/drawing/2012/chart" uri="{CE6537A1-D6FC-4f65-9D91-7224C49458BB}"/>
              </c:extLst>
            </c:dLbl>
            <c:dLbl>
              <c:idx val="26"/>
              <c:layout>
                <c:manualLayout>
                  <c:x val="0"/>
                  <c:y val="-0.032432432432432434"/>
                </c:manualLayout>
              </c:layout>
              <c:numFmt formatCode="#,##0" sourceLinked="0"/>
              <c:txPr>
                <a:bodyPr/>
                <a:lstStyle/>
                <a:p>
                  <a:pPr>
                    <a:defRPr sz="600" b="1"/>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B1FA-4B36-B4BA-4A076993902A}"/>
                </c:ext>
                <c:ext xmlns:c15="http://schemas.microsoft.com/office/drawing/2012/chart" uri="{CE6537A1-D6FC-4f65-9D91-7224C49458BB}"/>
              </c:extLst>
            </c:dLbl>
            <c:numFmt formatCode="#,##0" sourceLinked="0"/>
            <c:spPr>
              <a:noFill/>
              <a:ln>
                <a:noFill/>
              </a:ln>
              <a:effectLst/>
            </c:spPr>
            <c:txPr>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Sheet1!$A$4:$A$29</c:f>
              <c:strCache>
                <c:ptCount val="26"/>
                <c:pt idx="0">
                  <c:v>Nīderlande</c:v>
                </c:pt>
                <c:pt idx="1">
                  <c:v>Dānija</c:v>
                </c:pt>
                <c:pt idx="2">
                  <c:v>Apv. Karaliste</c:v>
                </c:pt>
                <c:pt idx="3">
                  <c:v>Itālija</c:v>
                </c:pt>
                <c:pt idx="4">
                  <c:v>Zviedrija</c:v>
                </c:pt>
                <c:pt idx="5">
                  <c:v>Austrija</c:v>
                </c:pt>
                <c:pt idx="6">
                  <c:v>Īrija</c:v>
                </c:pt>
                <c:pt idx="7">
                  <c:v>ES-28</c:v>
                </c:pt>
                <c:pt idx="8">
                  <c:v>Somija</c:v>
                </c:pt>
                <c:pt idx="9">
                  <c:v>Luksemburga</c:v>
                </c:pt>
                <c:pt idx="10">
                  <c:v>Horvātija</c:v>
                </c:pt>
                <c:pt idx="11">
                  <c:v>Beļģija</c:v>
                </c:pt>
                <c:pt idx="12">
                  <c:v>Spānija</c:v>
                </c:pt>
                <c:pt idx="13">
                  <c:v>Vācija</c:v>
                </c:pt>
                <c:pt idx="14">
                  <c:v>Grieķija</c:v>
                </c:pt>
                <c:pt idx="15">
                  <c:v>Igaunija</c:v>
                </c:pt>
                <c:pt idx="16">
                  <c:v>Portugāle</c:v>
                </c:pt>
                <c:pt idx="17">
                  <c:v>Slovākija</c:v>
                </c:pt>
                <c:pt idx="18">
                  <c:v>Slovēnija</c:v>
                </c:pt>
                <c:pt idx="19">
                  <c:v>Čehija</c:v>
                </c:pt>
                <c:pt idx="20">
                  <c:v>Bulgārija</c:v>
                </c:pt>
                <c:pt idx="21">
                  <c:v>Lietuva</c:v>
                </c:pt>
                <c:pt idx="22">
                  <c:v>Polija</c:v>
                </c:pt>
                <c:pt idx="23">
                  <c:v>Latvija</c:v>
                </c:pt>
                <c:pt idx="24">
                  <c:v>Ungārija</c:v>
                </c:pt>
                <c:pt idx="25">
                  <c:v>Kipra</c:v>
                </c:pt>
              </c:strCache>
            </c:strRef>
          </c:cat>
          <c:val>
            <c:numRef>
              <c:f>Sheet1!$B$4:$B$29</c:f>
              <c:numCache>
                <c:formatCode>0.0</c:formatCode>
                <c:ptCount val="26"/>
                <c:pt idx="0">
                  <c:v>1243.6</c:v>
                </c:pt>
                <c:pt idx="1">
                  <c:v>928.925</c:v>
                </c:pt>
                <c:pt idx="2">
                  <c:v>367.6864906434248</c:v>
                </c:pt>
                <c:pt idx="3">
                  <c:v>326.87553648068666</c:v>
                </c:pt>
                <c:pt idx="4">
                  <c:v>234.06666666666666</c:v>
                </c:pt>
                <c:pt idx="5">
                  <c:v>190.24844720496893</c:v>
                </c:pt>
                <c:pt idx="6">
                  <c:v>135.32894736842107</c:v>
                </c:pt>
                <c:pt idx="7">
                  <c:v>118.18521103255759</c:v>
                </c:pt>
                <c:pt idx="8">
                  <c:v>97.903225806451616</c:v>
                </c:pt>
                <c:pt idx="9">
                  <c:v>96.4</c:v>
                </c:pt>
                <c:pt idx="10">
                  <c:v>92.348284960422163</c:v>
                </c:pt>
                <c:pt idx="11">
                  <c:v>87.88</c:v>
                </c:pt>
                <c:pt idx="12">
                  <c:v>72.464250083139348</c:v>
                </c:pt>
                <c:pt idx="13">
                  <c:v>68.858620689655169</c:v>
                </c:pt>
                <c:pt idx="14">
                  <c:v>66.490335707019327</c:v>
                </c:pt>
                <c:pt idx="15">
                  <c:v>63.064516129032256</c:v>
                </c:pt>
                <c:pt idx="16">
                  <c:v>54.555749128919857</c:v>
                </c:pt>
                <c:pt idx="17">
                  <c:v>53.574593796159526</c:v>
                </c:pt>
                <c:pt idx="18">
                  <c:v>50.198412698412696</c:v>
                </c:pt>
                <c:pt idx="19">
                  <c:v>46.715328467153284</c:v>
                </c:pt>
                <c:pt idx="20">
                  <c:v>41.386655948553056</c:v>
                </c:pt>
                <c:pt idx="21">
                  <c:v>39.735682819383264</c:v>
                </c:pt>
                <c:pt idx="22">
                  <c:v>35.388548951048946</c:v>
                </c:pt>
                <c:pt idx="23">
                  <c:v>27.550335570469798</c:v>
                </c:pt>
                <c:pt idx="24">
                  <c:v>24.767441860465116</c:v>
                </c:pt>
                <c:pt idx="25">
                  <c:v>24.545454545454547</c:v>
                </c:pt>
              </c:numCache>
            </c:numRef>
          </c:val>
          <c:extLst>
            <c:ext xmlns:c="http://schemas.openxmlformats.org/drawingml/2006/chart" xmlns:c16="http://schemas.microsoft.com/office/drawing/2014/chart" uri="{C3380CC4-5D6E-409C-BE32-E72D297353CC}">
              <c16:uniqueId val="{00000007-B1FA-4B36-B4BA-4A076993902A}"/>
            </c:ext>
          </c:extLst>
        </c:ser>
        <c:dLbls>
          <c:showLegendKey val="0"/>
          <c:showVal val="0"/>
          <c:showCatName val="0"/>
          <c:showSerName val="0"/>
          <c:showPercent val="0"/>
          <c:showBubbleSize val="0"/>
        </c:dLbls>
        <c:gapWidth val="20"/>
        <c:axId val="629853392"/>
        <c:axId val="629843984"/>
      </c:barChart>
      <c:catAx>
        <c:axId val="629853392"/>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29843984"/>
        <c:crosses val="autoZero"/>
        <c:auto val="1"/>
        <c:lblAlgn val="ctr"/>
        <c:lblOffset val="100"/>
        <c:tickLblSkip val="1"/>
        <c:noMultiLvlLbl val="0"/>
      </c:catAx>
      <c:valAx>
        <c:axId val="629843984"/>
        <c:scaling>
          <c:orientation val="minMax"/>
        </c:scaling>
        <c:delete val="0"/>
        <c:axPos val="l"/>
        <c:numFmt formatCode="0" sourceLinked="0"/>
        <c:majorTickMark val="out"/>
        <c:minorTickMark val="none"/>
        <c:tickLblPos val="nextTo"/>
        <c:txPr>
          <a:bodyPr/>
          <a:lstStyle/>
          <a:p>
            <a:pPr>
              <a:defRPr sz="600"/>
            </a:pPr>
            <a:endParaRPr lang="lv-LV"/>
          </a:p>
        </c:txPr>
        <c:crossAx val="629853392"/>
        <c:crosses val="autoZero"/>
        <c:crossBetween val="between"/>
      </c:valAx>
    </c:plotArea>
    <c:plotVisOnly val="1"/>
    <c:dispBlanksAs val="gap"/>
    <c:showDLblsOverMax val="0"/>
  </c:chart>
  <c:spPr>
    <a:ln w="9525">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2247329548922656"/>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ED21-4DD7-B4A7-8A5C6A9555A0}"/>
              </c:ext>
            </c:extLst>
          </c:dPt>
          <c:dPt>
            <c:idx val="5"/>
            <c:bubble3D val="0"/>
            <c:extLst>
              <c:ext xmlns:c="http://schemas.openxmlformats.org/drawingml/2006/chart" xmlns:c16="http://schemas.microsoft.com/office/drawing/2014/chart" uri="{C3380CC4-5D6E-409C-BE32-E72D297353CC}">
                <c16:uniqueId val="{00000001-ED21-4DD7-B4A7-8A5C6A9555A0}"/>
              </c:ext>
            </c:extLst>
          </c:dPt>
          <c:dPt>
            <c:idx val="11"/>
            <c:bubble3D val="0"/>
            <c:extLst>
              <c:ext xmlns:c="http://schemas.openxmlformats.org/drawingml/2006/chart" xmlns:c16="http://schemas.microsoft.com/office/drawing/2014/chart" uri="{C3380CC4-5D6E-409C-BE32-E72D297353CC}">
                <c16:uniqueId val="{00000002-ED21-4DD7-B4A7-8A5C6A9555A0}"/>
              </c:ext>
            </c:extLst>
          </c:dPt>
          <c:dPt>
            <c:idx val="12"/>
            <c:bubble3D val="0"/>
            <c:extLst>
              <c:ext xmlns:c="http://schemas.openxmlformats.org/drawingml/2006/chart" xmlns:c16="http://schemas.microsoft.com/office/drawing/2014/chart" uri="{C3380CC4-5D6E-409C-BE32-E72D297353CC}">
                <c16:uniqueId val="{00000003-ED21-4DD7-B4A7-8A5C6A9555A0}"/>
              </c:ext>
            </c:extLst>
          </c:dPt>
          <c:dPt>
            <c:idx val="13"/>
            <c:bubble3D val="0"/>
            <c:extLst>
              <c:ext xmlns:c="http://schemas.openxmlformats.org/drawingml/2006/chart" xmlns:c16="http://schemas.microsoft.com/office/drawing/2014/chart" uri="{C3380CC4-5D6E-409C-BE32-E72D297353CC}">
                <c16:uniqueId val="{00000004-ED21-4DD7-B4A7-8A5C6A9555A0}"/>
              </c:ext>
            </c:extLst>
          </c:dPt>
          <c:dPt>
            <c:idx val="14"/>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5-ED21-4DD7-B4A7-8A5C6A9555A0}"/>
              </c:ext>
            </c:extLst>
          </c:dPt>
          <c:dLbls>
            <c:dLbl>
              <c:idx val="0"/>
              <c:layout>
                <c:manualLayout>
                  <c:x val="-0.13292832323264078"/>
                  <c:y val="0.0097031250584289942"/>
                </c:manualLayout>
              </c:layout>
              <c:tx>
                <c:rich>
                  <a:bodyPr vertOverflow="clip"/>
                  <a:lstStyle/>
                  <a:p>
                    <a:r>
                      <a:rPr lang="en-US"/>
                      <a:t>EU-28</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ED21-4DD7-B4A7-8A5C6A9555A0}"/>
                </c:ext>
                <c:ext xmlns:c15="http://schemas.microsoft.com/office/drawing/2012/chart" uri="{CE6537A1-D6FC-4f65-9D91-7224C49458BB}"/>
              </c:extLst>
            </c:dLbl>
            <c:dLbl>
              <c:idx val="1"/>
              <c:layout>
                <c:manualLayout>
                  <c:x val="-0.074791952585525068"/>
                  <c:y val="-0.047746794356421943"/>
                </c:manualLayout>
              </c:layout>
              <c:tx>
                <c:rich>
                  <a:bodyPr vertOverflow="clip"/>
                  <a:lstStyle/>
                  <a:p>
                    <a:r>
                      <a:rPr lang="en-US"/>
                      <a:t>BE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ED21-4DD7-B4A7-8A5C6A9555A0}"/>
                </c:ext>
                <c:ext xmlns:c15="http://schemas.microsoft.com/office/drawing/2012/chart" uri="{CE6537A1-D6FC-4f65-9D91-7224C49458BB}"/>
              </c:extLst>
            </c:dLbl>
            <c:dLbl>
              <c:idx val="2"/>
              <c:delete val="1"/>
              <c:extLst>
                <c:ext xmlns:c="http://schemas.openxmlformats.org/drawingml/2006/chart" xmlns:c16="http://schemas.microsoft.com/office/drawing/2014/chart" uri="{C3380CC4-5D6E-409C-BE32-E72D297353CC}">
                  <c16:uniqueId val="{00000007-ED21-4DD7-B4A7-8A5C6A9555A0}"/>
                </c:ext>
                <c:ext xmlns:c15="http://schemas.microsoft.com/office/drawing/2012/chart" uri="{CE6537A1-D6FC-4f65-9D91-7224C49458BB}"/>
              </c:extLst>
            </c:dLbl>
            <c:dLbl>
              <c:idx val="3"/>
              <c:layout>
                <c:manualLayout>
                  <c:x val="-0.016614745586708203"/>
                  <c:y val="0.019047619047619049"/>
                </c:manualLayout>
              </c:layout>
              <c:tx>
                <c:rich>
                  <a:bodyPr vertOverflow="clip"/>
                  <a:lstStyle/>
                  <a:p>
                    <a:r>
                      <a:rPr lang="en-US"/>
                      <a:t>CZ</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ED21-4DD7-B4A7-8A5C6A9555A0}"/>
                </c:ext>
                <c:ext xmlns:c15="http://schemas.microsoft.com/office/drawing/2012/chart" uri="{CE6537A1-D6FC-4f65-9D91-7224C49458BB}"/>
              </c:extLst>
            </c:dLbl>
            <c:dLbl>
              <c:idx val="4"/>
              <c:layout>
                <c:manualLayout>
                  <c:x val="-0.0083073727933541015"/>
                  <c:y val="0.0095238095238095247"/>
                </c:manualLayout>
              </c:layout>
              <c:tx>
                <c:rich>
                  <a:bodyPr/>
                  <a:lstStyle/>
                  <a:p>
                    <a:r>
                      <a:rPr lang="en-US"/>
                      <a:t>DK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ED21-4DD7-B4A7-8A5C6A9555A0}"/>
                </c:ext>
                <c:ext xmlns:c15="http://schemas.microsoft.com/office/drawing/2012/chart" uri="{CE6537A1-D6FC-4f65-9D91-7224C49458BB}"/>
              </c:extLst>
            </c:dLbl>
            <c:dLbl>
              <c:idx val="5"/>
              <c:layout>
                <c:manualLayout>
                  <c:x val="-0.020742686617212732"/>
                  <c:y val="-0.03778789091276237"/>
                </c:manualLayout>
              </c:layout>
              <c:tx>
                <c:rich>
                  <a:bodyPr vertOverflow="clip"/>
                  <a:lstStyle/>
                  <a:p>
                    <a:r>
                      <a:rPr lang="en-US"/>
                      <a:t>DE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ED21-4DD7-B4A7-8A5C6A9555A0}"/>
                </c:ext>
                <c:ext xmlns:c15="http://schemas.microsoft.com/office/drawing/2012/chart" uri="{CE6537A1-D6FC-4f65-9D91-7224C49458BB}"/>
              </c:extLst>
            </c:dLbl>
            <c:dLbl>
              <c:idx val="6"/>
              <c:layout>
                <c:manualLayout>
                  <c:x val="-0.058182543370431973"/>
                  <c:y val="-0.057143284508580167"/>
                </c:manualLayout>
              </c:layout>
              <c:tx>
                <c:rich>
                  <a:bodyPr vertOverflow="clip"/>
                  <a:lstStyle/>
                  <a:p>
                    <a:r>
                      <a:rPr lang="en-US"/>
                      <a:t>EE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ED21-4DD7-B4A7-8A5C6A9555A0}"/>
                </c:ext>
                <c:ext xmlns:c15="http://schemas.microsoft.com/office/drawing/2012/chart" uri="{CE6537A1-D6FC-4f65-9D91-7224C49458BB}"/>
              </c:extLst>
            </c:dLbl>
            <c:dLbl>
              <c:idx val="7"/>
              <c:layout>
                <c:manualLayout>
                  <c:x val="-0.020794098798494049"/>
                  <c:y val="-0.0094982031942382559"/>
                </c:manualLayout>
              </c:layout>
              <c:tx>
                <c:rich>
                  <a:bodyPr vertOverflow="clip"/>
                  <a:lstStyle/>
                  <a:p>
                    <a:r>
                      <a:rPr lang="en-US"/>
                      <a:t>IE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ED21-4DD7-B4A7-8A5C6A9555A0}"/>
                </c:ext>
                <c:ext xmlns:c15="http://schemas.microsoft.com/office/drawing/2012/chart" uri="{CE6537A1-D6FC-4f65-9D91-7224C49458BB}"/>
              </c:extLst>
            </c:dLbl>
            <c:dLbl>
              <c:idx val="8"/>
              <c:layout>
                <c:manualLayout>
                  <c:x val="-0.04569055036344756"/>
                  <c:y val="-0.0761904761904762"/>
                </c:manualLayout>
              </c:layout>
              <c:tx>
                <c:rich>
                  <a:bodyPr vertOverflow="clip"/>
                  <a:lstStyle/>
                  <a:p>
                    <a:r>
                      <a:rPr lang="en-US"/>
                      <a:t>EL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ED21-4DD7-B4A7-8A5C6A9555A0}"/>
                </c:ext>
                <c:ext xmlns:c15="http://schemas.microsoft.com/office/drawing/2012/chart" uri="{CE6537A1-D6FC-4f65-9D91-7224C49458BB}"/>
              </c:extLst>
            </c:dLbl>
            <c:dLbl>
              <c:idx val="9"/>
              <c:layout>
                <c:manualLayout>
                  <c:x val="-0.083155764828239109"/>
                  <c:y val="-0.037993560666968317"/>
                </c:manualLayout>
              </c:layout>
              <c:tx>
                <c:rich>
                  <a:bodyPr vertOverflow="clip"/>
                  <a:lstStyle/>
                  <a:p>
                    <a:r>
                      <a:rPr lang="en-US"/>
                      <a:t>ES</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ED21-4DD7-B4A7-8A5C6A9555A0}"/>
                </c:ext>
                <c:ext xmlns:c15="http://schemas.microsoft.com/office/drawing/2012/chart" uri="{CE6537A1-D6FC-4f65-9D91-7224C49458BB}"/>
              </c:extLst>
            </c:dLbl>
            <c:dLbl>
              <c:idx val="10"/>
              <c:layout>
                <c:manualLayout>
                  <c:x val="-0.037383177570093455"/>
                  <c:y val="-0.085714285714285715"/>
                </c:manualLayout>
              </c:layout>
              <c:tx>
                <c:rich>
                  <a:bodyPr vertOverflow="clip"/>
                  <a:lstStyle/>
                  <a:p>
                    <a:r>
                      <a:rPr lang="en-US"/>
                      <a:t>FR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E-ED21-4DD7-B4A7-8A5C6A9555A0}"/>
                </c:ext>
                <c:ext xmlns:c15="http://schemas.microsoft.com/office/drawing/2012/chart" uri="{CE6537A1-D6FC-4f65-9D91-7224C49458BB}"/>
              </c:extLst>
            </c:dLbl>
            <c:dLbl>
              <c:idx val="11"/>
              <c:layout>
                <c:manualLayout>
                  <c:x val="-0.020737774625370568"/>
                  <c:y val="0.047311522367520634"/>
                </c:manualLayout>
              </c:layout>
              <c:tx>
                <c:rich>
                  <a:bodyPr vertOverflow="clip"/>
                  <a:lstStyle/>
                  <a:p>
                    <a:r>
                      <a:rPr lang="en-US"/>
                      <a:t>HR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ED21-4DD7-B4A7-8A5C6A9555A0}"/>
                </c:ext>
                <c:ext xmlns:c15="http://schemas.microsoft.com/office/drawing/2012/chart" uri="{CE6537A1-D6FC-4f65-9D91-7224C49458BB}"/>
              </c:extLst>
            </c:dLbl>
            <c:dLbl>
              <c:idx val="12"/>
              <c:layout>
                <c:manualLayout>
                  <c:x val="-0.04569055036344756"/>
                  <c:y val="-0.0761904761904762"/>
                </c:manualLayout>
              </c:layout>
              <c:tx>
                <c:rich>
                  <a:bodyPr vertOverflow="clip"/>
                  <a:lstStyle/>
                  <a:p>
                    <a:r>
                      <a:rPr lang="en-US"/>
                      <a:t>IT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ED21-4DD7-B4A7-8A5C6A9555A0}"/>
                </c:ext>
                <c:ext xmlns:c15="http://schemas.microsoft.com/office/drawing/2012/chart" uri="{CE6537A1-D6FC-4f65-9D91-7224C49458BB}"/>
              </c:extLst>
            </c:dLbl>
            <c:dLbl>
              <c:idx val="13"/>
              <c:layout>
                <c:manualLayout>
                  <c:x val="-0.037429377837289286"/>
                  <c:y val="0.056989219165429532"/>
                </c:manualLayout>
              </c:layout>
              <c:tx>
                <c:rich>
                  <a:bodyPr vertOverflow="clip"/>
                  <a:lstStyle/>
                  <a:p>
                    <a:r>
                      <a:rPr lang="en-US"/>
                      <a:t>CY</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ED21-4DD7-B4A7-8A5C6A9555A0}"/>
                </c:ext>
                <c:ext xmlns:c15="http://schemas.microsoft.com/office/drawing/2012/chart" uri="{CE6537A1-D6FC-4f65-9D91-7224C49458BB}"/>
              </c:extLst>
            </c:dLbl>
            <c:dLbl>
              <c:idx val="14"/>
              <c:layout>
                <c:manualLayout>
                  <c:x val="-0.024845182203788025"/>
                  <c:y val="-0.0094727749337182466"/>
                </c:manualLayout>
              </c:layout>
              <c:tx>
                <c:rich>
                  <a:bodyPr vertOverflow="clip"/>
                  <a:lstStyle/>
                  <a:p>
                    <a:r>
                      <a:rPr lang="en-US"/>
                      <a:t>LV</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ED21-4DD7-B4A7-8A5C6A9555A0}"/>
                </c:ext>
                <c:ext xmlns:c15="http://schemas.microsoft.com/office/drawing/2012/chart" uri="{CE6537A1-D6FC-4f65-9D91-7224C49458BB}"/>
              </c:extLst>
            </c:dLbl>
            <c:dLbl>
              <c:idx val="15"/>
              <c:layout>
                <c:manualLayout>
                  <c:x val="-0.054039114518505273"/>
                  <c:y val="0.066640739812803218"/>
                </c:manualLayout>
              </c:layout>
              <c:tx>
                <c:rich>
                  <a:bodyPr vertOverflow="clip"/>
                  <a:lstStyle/>
                  <a:p>
                    <a:r>
                      <a:rPr lang="en-US"/>
                      <a:t>LT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F-ED21-4DD7-B4A7-8A5C6A9555A0}"/>
                </c:ext>
                <c:ext xmlns:c15="http://schemas.microsoft.com/office/drawing/2012/chart" uri="{CE6537A1-D6FC-4f65-9D91-7224C49458BB}"/>
              </c:extLst>
            </c:dLbl>
            <c:dLbl>
              <c:idx val="16"/>
              <c:layout>
                <c:manualLayout>
                  <c:x val="-0.033270558077590405"/>
                  <c:y val="-0.066487422359667786"/>
                </c:manualLayout>
              </c:layout>
              <c:tx>
                <c:rich>
                  <a:bodyPr vertOverflow="clip"/>
                  <a:lstStyle/>
                  <a:p>
                    <a:r>
                      <a:rPr lang="en-US"/>
                      <a:t>LU</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0-ED21-4DD7-B4A7-8A5C6A9555A0}"/>
                </c:ext>
                <c:ext xmlns:c15="http://schemas.microsoft.com/office/drawing/2012/chart" uri="{CE6537A1-D6FC-4f65-9D91-7224C49458BB}"/>
              </c:extLst>
            </c:dLbl>
            <c:dLbl>
              <c:idx val="17"/>
              <c:layout>
                <c:manualLayout>
                  <c:x val="-0.078919990529679726"/>
                  <c:y val="-0.056809725561758888"/>
                </c:manualLayout>
              </c:layout>
              <c:tx>
                <c:rich>
                  <a:bodyPr vertOverflow="clip"/>
                  <a:lstStyle/>
                  <a:p>
                    <a:r>
                      <a:rPr lang="en-US"/>
                      <a:t>HU</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1-ED21-4DD7-B4A7-8A5C6A9555A0}"/>
                </c:ext>
                <c:ext xmlns:c15="http://schemas.microsoft.com/office/drawing/2012/chart" uri="{CE6537A1-D6FC-4f65-9D91-7224C49458BB}"/>
              </c:extLst>
            </c:dLbl>
            <c:dLbl>
              <c:idx val="18"/>
              <c:layout>
                <c:manualLayout>
                  <c:x val="-0.049844236760124609"/>
                  <c:y val="-0.066666666666666666"/>
                </c:manualLayout>
              </c:layout>
              <c:tx>
                <c:rich>
                  <a:bodyPr/>
                  <a:lstStyle/>
                  <a:p>
                    <a:r>
                      <a:rPr lang="en-US"/>
                      <a:t>NL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2-ED21-4DD7-B4A7-8A5C6A9555A0}"/>
                </c:ext>
                <c:ext xmlns:c15="http://schemas.microsoft.com/office/drawing/2012/chart" uri="{CE6537A1-D6FC-4f65-9D91-7224C49458BB}"/>
              </c:extLst>
            </c:dLbl>
            <c:dLbl>
              <c:idx val="19"/>
              <c:layout>
                <c:manualLayout>
                  <c:x val="-0.037321641482884492"/>
                  <c:y val="-0.085355939555528962"/>
                </c:manualLayout>
              </c:layout>
              <c:tx>
                <c:rich>
                  <a:bodyPr vertOverflow="clip"/>
                  <a:lstStyle/>
                  <a:p>
                    <a:r>
                      <a:rPr lang="en-US"/>
                      <a:t>AT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3-ED21-4DD7-B4A7-8A5C6A9555A0}"/>
                </c:ext>
                <c:ext xmlns:c15="http://schemas.microsoft.com/office/drawing/2012/chart" uri="{CE6537A1-D6FC-4f65-9D91-7224C49458BB}"/>
              </c:extLst>
            </c:dLbl>
            <c:dLbl>
              <c:idx val="20"/>
              <c:layout>
                <c:manualLayout>
                  <c:x val="-0.029055741610891"/>
                  <c:y val="-0.066692344223858446"/>
                </c:manualLayout>
              </c:layout>
              <c:tx>
                <c:rich>
                  <a:bodyPr vertOverflow="clip"/>
                  <a:lstStyle/>
                  <a:p>
                    <a:r>
                      <a:rPr lang="en-US"/>
                      <a:t>PL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4-ED21-4DD7-B4A7-8A5C6A9555A0}"/>
                </c:ext>
                <c:ext xmlns:c15="http://schemas.microsoft.com/office/drawing/2012/chart" uri="{CE6537A1-D6FC-4f65-9D91-7224C49458BB}"/>
              </c:extLst>
            </c:dLbl>
            <c:dLbl>
              <c:idx val="21"/>
              <c:layout>
                <c:manualLayout>
                  <c:x val="-0.024891354927104405"/>
                  <c:y val="0.05683590171229419"/>
                </c:manualLayout>
              </c:layout>
              <c:tx>
                <c:rich>
                  <a:bodyPr vertOverflow="clip"/>
                  <a:lstStyle/>
                  <a:p>
                    <a:r>
                      <a:rPr lang="en-US"/>
                      <a:t>PT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5-ED21-4DD7-B4A7-8A5C6A9555A0}"/>
                </c:ext>
                <c:ext xmlns:c15="http://schemas.microsoft.com/office/drawing/2012/chart" uri="{CE6537A1-D6FC-4f65-9D91-7224C49458BB}"/>
              </c:extLst>
            </c:dLbl>
            <c:dLbl>
              <c:idx val="22"/>
              <c:layout>
                <c:manualLayout>
                  <c:x val="-0.045731626448914792"/>
                  <c:y val="-0.085509257008664311"/>
                </c:manualLayout>
              </c:layout>
              <c:tx>
                <c:rich>
                  <a:bodyPr vertOverflow="clip"/>
                  <a:lstStyle/>
                  <a:p>
                    <a:r>
                      <a:rPr lang="en-US"/>
                      <a:t>RO</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6-ED21-4DD7-B4A7-8A5C6A9555A0}"/>
                </c:ext>
                <c:ext xmlns:c15="http://schemas.microsoft.com/office/drawing/2012/chart" uri="{CE6537A1-D6FC-4f65-9D91-7224C49458BB}"/>
              </c:extLst>
            </c:dLbl>
            <c:dLbl>
              <c:idx val="23"/>
              <c:layout>
                <c:manualLayout>
                  <c:x val="-0.049844236760124609"/>
                  <c:y val="-0.0666666666666667"/>
                </c:manualLayout>
              </c:layout>
              <c:tx>
                <c:rich>
                  <a:bodyPr vertOverflow="clip"/>
                  <a:lstStyle/>
                  <a:p>
                    <a:r>
                      <a:rPr lang="en-US"/>
                      <a:t>SI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7-ED21-4DD7-B4A7-8A5C6A9555A0}"/>
                </c:ext>
                <c:ext xmlns:c15="http://schemas.microsoft.com/office/drawing/2012/chart" uri="{CE6537A1-D6FC-4f65-9D91-7224C49458BB}"/>
              </c:extLst>
            </c:dLbl>
            <c:dLbl>
              <c:idx val="24"/>
              <c:layout>
                <c:manualLayout>
                  <c:x val="-0.058208085728011186"/>
                  <c:y val="0.066615311552283119"/>
                </c:manualLayout>
              </c:layout>
              <c:tx>
                <c:rich>
                  <a:bodyPr vertOverflow="clip"/>
                  <a:lstStyle/>
                  <a:p>
                    <a:r>
                      <a:rPr lang="en-US"/>
                      <a:t>SK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8-ED21-4DD7-B4A7-8A5C6A9555A0}"/>
                </c:ext>
                <c:ext xmlns:c15="http://schemas.microsoft.com/office/drawing/2012/chart" uri="{CE6537A1-D6FC-4f65-9D91-7224C49458BB}"/>
              </c:extLst>
            </c:dLbl>
            <c:dLbl>
              <c:idx val="25"/>
              <c:layout>
                <c:manualLayout>
                  <c:x val="-0.033260406627783339"/>
                  <c:y val="-0.075883164621810717"/>
                </c:manualLayout>
              </c:layout>
              <c:tx>
                <c:rich>
                  <a:bodyPr vertOverflow="clip"/>
                  <a:lstStyle/>
                  <a:p>
                    <a:r>
                      <a:rPr lang="en-US"/>
                      <a:t>FI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9-ED21-4DD7-B4A7-8A5C6A9555A0}"/>
                </c:ext>
                <c:ext xmlns:c15="http://schemas.microsoft.com/office/drawing/2012/chart" uri="{CE6537A1-D6FC-4f65-9D91-7224C49458BB}"/>
              </c:extLst>
            </c:dLbl>
            <c:dLbl>
              <c:idx val="26"/>
              <c:layout>
                <c:manualLayout>
                  <c:x val="-0.049844236760124609"/>
                  <c:y val="0.0761904761904762"/>
                </c:manualLayout>
              </c:layout>
              <c:tx>
                <c:rich>
                  <a:bodyPr/>
                  <a:lstStyle/>
                  <a:p>
                    <a:r>
                      <a:rPr lang="en-US"/>
                      <a:t>SE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A-ED21-4DD7-B4A7-8A5C6A9555A0}"/>
                </c:ext>
                <c:ext xmlns:c15="http://schemas.microsoft.com/office/drawing/2012/chart" uri="{CE6537A1-D6FC-4f65-9D91-7224C49458BB}"/>
              </c:extLst>
            </c:dLbl>
            <c:dLbl>
              <c:idx val="27"/>
              <c:layout>
                <c:manualLayout>
                  <c:x val="-0.033229491173416406"/>
                  <c:y val="-0.076190476190476183"/>
                </c:manualLayout>
              </c:layout>
              <c:tx>
                <c:rich>
                  <a:bodyPr/>
                  <a:lstStyle/>
                  <a:p>
                    <a:r>
                      <a:rPr lang="en-US"/>
                      <a:t>UK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B-ED21-4DD7-B4A7-8A5C6A9555A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Sheet1!$B$3:$B$30</c:f>
              <c:numCache>
                <c:formatCode>0</c:formatCode>
                <c:ptCount val="28"/>
                <c:pt idx="0">
                  <c:v>133.00180856983863</c:v>
                </c:pt>
                <c:pt idx="1">
                  <c:v>92.1111111111111</c:v>
                </c:pt>
                <c:pt idx="2">
                  <c:v>27.147589252852409</c:v>
                </c:pt>
                <c:pt idx="3">
                  <c:v>48.952721275426057</c:v>
                </c:pt>
                <c:pt idx="4">
                  <c:v>1299.3799999999999</c:v>
                </c:pt>
                <c:pt idx="5">
                  <c:v>74.661971830985919</c:v>
                </c:pt>
                <c:pt idx="6">
                  <c:v>26.477611940298509</c:v>
                </c:pt>
                <c:pt idx="7">
                  <c:v>96.582278481012665</c:v>
                </c:pt>
                <c:pt idx="8">
                  <c:v>70.829228243021348</c:v>
                </c:pt>
                <c:pt idx="9">
                  <c:v>79.045454545454547</c:v>
                </c:pt>
                <c:pt idx="10">
                  <c:v>114.85</c:v>
                </c:pt>
                <c:pt idx="11">
                  <c:v>90.464716006884686</c:v>
                </c:pt>
                <c:pt idx="12">
                  <c:v>178.19379844961239</c:v>
                </c:pt>
                <c:pt idx="13">
                  <c:v>80.677966101694921</c:v>
                </c:pt>
                <c:pt idx="14">
                  <c:v>31.046511627906973</c:v>
                </c:pt>
                <c:pt idx="15">
                  <c:v>29.839228295819936</c:v>
                </c:pt>
                <c:pt idx="16">
                  <c:v>97.741935483870975</c:v>
                </c:pt>
                <c:pt idx="17">
                  <c:v>20.337837837837835</c:v>
                </c:pt>
                <c:pt idx="18">
                  <c:v>2160.375</c:v>
                </c:pt>
                <c:pt idx="19">
                  <c:v>187.48807631160571</c:v>
                </c:pt>
                <c:pt idx="20">
                  <c:v>35.213930348258707</c:v>
                </c:pt>
                <c:pt idx="21">
                  <c:v>48.505434782608695</c:v>
                </c:pt>
                <c:pt idx="22">
                  <c:v>21.777894736842107</c:v>
                </c:pt>
                <c:pt idx="23">
                  <c:v>46.555183946488285</c:v>
                </c:pt>
                <c:pt idx="24">
                  <c:v>43.0738255033557</c:v>
                </c:pt>
                <c:pt idx="25">
                  <c:v>132.95081967213116</c:v>
                </c:pt>
                <c:pt idx="26">
                  <c:v>369.425</c:v>
                </c:pt>
                <c:pt idx="27">
                  <c:v>566.70932650775876</c:v>
                </c:pt>
              </c:numCache>
            </c:numRef>
          </c:xVal>
          <c:yVal>
            <c:numRef>
              <c:f>Sheet1!$C$3:$C$30</c:f>
              <c:numCache>
                <c:formatCode>0.0</c:formatCode>
                <c:ptCount val="28"/>
                <c:pt idx="0">
                  <c:v>0.26005180416938695</c:v>
                </c:pt>
                <c:pt idx="1">
                  <c:v>0.54282267792521122</c:v>
                </c:pt>
                <c:pt idx="2">
                  <c:v>0.44709583055231106</c:v>
                </c:pt>
                <c:pt idx="3">
                  <c:v>0.4211068257653488</c:v>
                </c:pt>
                <c:pt idx="4">
                  <c:v>0.065523557388908568</c:v>
                </c:pt>
                <c:pt idx="5">
                  <c:v>0.7686818729854088</c:v>
                </c:pt>
                <c:pt idx="6">
                  <c:v>0.46786922209695597</c:v>
                </c:pt>
                <c:pt idx="7">
                  <c:v>0.46630974680305404</c:v>
                </c:pt>
                <c:pt idx="8">
                  <c:v>0.62921375175555194</c:v>
                </c:pt>
                <c:pt idx="9">
                  <c:v>0.4829311970087255</c:v>
                </c:pt>
                <c:pt idx="10">
                  <c:v>0.40487592511972137</c:v>
                </c:pt>
                <c:pt idx="11">
                  <c:v>0.43769025875190259</c:v>
                </c:pt>
                <c:pt idx="12">
                  <c:v>0.25899121078623122</c:v>
                </c:pt>
                <c:pt idx="13">
                  <c:v>0.40881615804216431</c:v>
                </c:pt>
                <c:pt idx="14">
                  <c:v>0.44015116850543157</c:v>
                </c:pt>
                <c:pt idx="15">
                  <c:v>0.36961206896551724</c:v>
                </c:pt>
                <c:pt idx="16">
                  <c:v>0.57975797579757982</c:v>
                </c:pt>
                <c:pt idx="17">
                  <c:v>0.43404360511935047</c:v>
                </c:pt>
                <c:pt idx="18">
                  <c:v>0.046809003066597236</c:v>
                </c:pt>
                <c:pt idx="19">
                  <c:v>0.27913745059878176</c:v>
                </c:pt>
                <c:pt idx="20">
                  <c:v>0.52476703728712293</c:v>
                </c:pt>
                <c:pt idx="21">
                  <c:v>0.37474323062558362</c:v>
                </c:pt>
                <c:pt idx="22">
                  <c:v>0.57639835106733373</c:v>
                </c:pt>
                <c:pt idx="23">
                  <c:v>0.722571643599969</c:v>
                </c:pt>
                <c:pt idx="24">
                  <c:v>0.34855221038538015</c:v>
                </c:pt>
                <c:pt idx="25">
                  <c:v>0.33492310913617013</c:v>
                </c:pt>
                <c:pt idx="26">
                  <c:v>0.14133450632740069</c:v>
                </c:pt>
                <c:pt idx="27">
                  <c:v>0.18976735547706242</c:v>
                </c:pt>
              </c:numCache>
            </c:numRef>
          </c:yVal>
          <c:smooth val="0"/>
          <c:extLst>
            <c:ext xmlns:c="http://schemas.openxmlformats.org/drawingml/2006/chart" xmlns:c16="http://schemas.microsoft.com/office/drawing/2014/chart" uri="{C3380CC4-5D6E-409C-BE32-E72D297353CC}">
              <c16:uniqueId val="{0000001C-ED21-4DD7-B4A7-8A5C6A9555A0}"/>
            </c:ext>
          </c:extLst>
        </c:ser>
        <c:dLbls>
          <c:showLegendKey val="0"/>
          <c:showVal val="0"/>
          <c:showCatName val="0"/>
          <c:showSerName val="0"/>
          <c:showPercent val="0"/>
          <c:showBubbleSize val="0"/>
        </c:dLbls>
        <c:axId val="629847512"/>
        <c:axId val="629848296"/>
      </c:scatterChart>
      <c:valAx>
        <c:axId val="629847512"/>
        <c:scaling>
          <c:orientation val="minMax"/>
          <c:max val="200"/>
          <c:min val="10"/>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29848296"/>
        <c:crosses val="autoZero"/>
        <c:crossBetween val="midCat"/>
        <c:majorUnit val="20"/>
      </c:valAx>
      <c:valAx>
        <c:axId val="629848296"/>
        <c:scaling>
          <c:orientation val="minMax"/>
          <c:max val="0.8"/>
          <c:min val="0.2"/>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29847512"/>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1173310367454068"/>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C042-414C-A1C7-19E3D8936305}"/>
              </c:ext>
            </c:extLst>
          </c:dPt>
          <c:dPt>
            <c:idx val="5"/>
            <c:bubble3D val="0"/>
            <c:extLst>
              <c:ext xmlns:c="http://schemas.openxmlformats.org/drawingml/2006/chart" xmlns:c16="http://schemas.microsoft.com/office/drawing/2014/chart" uri="{C3380CC4-5D6E-409C-BE32-E72D297353CC}">
                <c16:uniqueId val="{00000001-C042-414C-A1C7-19E3D8936305}"/>
              </c:ext>
            </c:extLst>
          </c:dPt>
          <c:dPt>
            <c:idx val="11"/>
            <c:bubble3D val="0"/>
            <c:extLst>
              <c:ext xmlns:c="http://schemas.openxmlformats.org/drawingml/2006/chart" xmlns:c16="http://schemas.microsoft.com/office/drawing/2014/chart" uri="{C3380CC4-5D6E-409C-BE32-E72D297353CC}">
                <c16:uniqueId val="{00000002-C042-414C-A1C7-19E3D8936305}"/>
              </c:ext>
            </c:extLst>
          </c:dPt>
          <c:dPt>
            <c:idx val="12"/>
            <c:bubble3D val="0"/>
            <c:extLst>
              <c:ext xmlns:c="http://schemas.openxmlformats.org/drawingml/2006/chart" xmlns:c16="http://schemas.microsoft.com/office/drawing/2014/chart" uri="{C3380CC4-5D6E-409C-BE32-E72D297353CC}">
                <c16:uniqueId val="{00000003-C042-414C-A1C7-19E3D8936305}"/>
              </c:ext>
            </c:extLst>
          </c:dPt>
          <c:dPt>
            <c:idx val="13"/>
            <c:bubble3D val="0"/>
            <c:extLst>
              <c:ext xmlns:c="http://schemas.openxmlformats.org/drawingml/2006/chart" xmlns:c16="http://schemas.microsoft.com/office/drawing/2014/chart" uri="{C3380CC4-5D6E-409C-BE32-E72D297353CC}">
                <c16:uniqueId val="{00000004-C042-414C-A1C7-19E3D8936305}"/>
              </c:ext>
            </c:extLst>
          </c:dPt>
          <c:dPt>
            <c:idx val="14"/>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5-C042-414C-A1C7-19E3D8936305}"/>
              </c:ext>
            </c:extLst>
          </c:dPt>
          <c:dLbls>
            <c:dLbl>
              <c:idx val="0"/>
              <c:layout>
                <c:manualLayout>
                  <c:x val="-0.11629304419384554"/>
                  <c:y val="-0.056784297301238879"/>
                </c:manualLayout>
              </c:layout>
              <c:tx>
                <c:rich>
                  <a:bodyPr vertOverflow="clip"/>
                  <a:lstStyle/>
                  <a:p>
                    <a:r>
                      <a:rPr lang="en-US"/>
                      <a:t>ES-28</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C042-414C-A1C7-19E3D8936305}"/>
                </c:ext>
                <c:ext xmlns:c15="http://schemas.microsoft.com/office/drawing/2012/chart" uri="{CE6537A1-D6FC-4f65-9D91-7224C49458BB}"/>
              </c:extLst>
            </c:dLbl>
            <c:dLbl>
              <c:idx val="1"/>
              <c:layout>
                <c:manualLayout>
                  <c:x val="-0.049839034027332287"/>
                  <c:y val="-0.085739607133374959"/>
                </c:manualLayout>
              </c:layout>
              <c:tx>
                <c:rich>
                  <a:bodyPr vertOverflow="clip"/>
                  <a:lstStyle/>
                  <a:p>
                    <a:r>
                      <a:rPr lang="en-US"/>
                      <a:t>BE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C042-414C-A1C7-19E3D8936305}"/>
                </c:ext>
                <c:ext xmlns:c15="http://schemas.microsoft.com/office/drawing/2012/chart" uri="{CE6537A1-D6FC-4f65-9D91-7224C49458BB}"/>
              </c:extLst>
            </c:dLbl>
            <c:dLbl>
              <c:idx val="2"/>
              <c:layout>
                <c:manualLayout>
                  <c:x val="-0.087335214953675008"/>
                  <c:y val="-0.028494609582714679"/>
                </c:manualLayout>
              </c:layout>
              <c:tx>
                <c:rich>
                  <a:bodyPr vertOverflow="clip"/>
                  <a:lstStyle/>
                  <a:p>
                    <a:r>
                      <a:rPr lang="en-US"/>
                      <a:t>BG</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C042-414C-A1C7-19E3D8936305}"/>
                </c:ext>
                <c:ext xmlns:c15="http://schemas.microsoft.com/office/drawing/2012/chart" uri="{CE6537A1-D6FC-4f65-9D91-7224C49458BB}"/>
              </c:extLst>
            </c:dLbl>
            <c:dLbl>
              <c:idx val="3"/>
              <c:layout>
                <c:manualLayout>
                  <c:x val="-0.033249927711853387"/>
                  <c:y val="-0.066436565838627767"/>
                </c:manualLayout>
              </c:layout>
              <c:tx>
                <c:rich>
                  <a:bodyPr vertOverflow="clip"/>
                  <a:lstStyle/>
                  <a:p>
                    <a:r>
                      <a:rPr lang="en-US"/>
                      <a:t>CZ</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C042-414C-A1C7-19E3D8936305}"/>
                </c:ext>
                <c:ext xmlns:c15="http://schemas.microsoft.com/office/drawing/2012/chart" uri="{CE6537A1-D6FC-4f65-9D91-7224C49458BB}"/>
              </c:extLst>
            </c:dLbl>
            <c:dLbl>
              <c:idx val="4"/>
              <c:layout>
                <c:manualLayout>
                  <c:x val="-0.0083073727933541015"/>
                  <c:y val="0.0095238095238095247"/>
                </c:manualLayout>
              </c:layout>
              <c:tx>
                <c:rich>
                  <a:bodyPr/>
                  <a:lstStyle/>
                  <a:p>
                    <a:r>
                      <a:rPr lang="en-US"/>
                      <a:t>DK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C042-414C-A1C7-19E3D8936305}"/>
                </c:ext>
                <c:ext xmlns:c15="http://schemas.microsoft.com/office/drawing/2012/chart" uri="{CE6537A1-D6FC-4f65-9D91-7224C49458BB}"/>
              </c:extLst>
            </c:dLbl>
            <c:dLbl>
              <c:idx val="5"/>
              <c:layout>
                <c:manualLayout>
                  <c:x val="-0.020742686617212732"/>
                  <c:y val="-0.03778789091276237"/>
                </c:manualLayout>
              </c:layout>
              <c:tx>
                <c:rich>
                  <a:bodyPr/>
                  <a:lstStyle/>
                  <a:p>
                    <a:r>
                      <a:rPr lang="en-US"/>
                      <a:t>DE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C042-414C-A1C7-19E3D8936305}"/>
                </c:ext>
                <c:ext xmlns:c15="http://schemas.microsoft.com/office/drawing/2012/chart" uri="{CE6537A1-D6FC-4f65-9D91-7224C49458BB}"/>
              </c:extLst>
            </c:dLbl>
            <c:dLbl>
              <c:idx val="6"/>
              <c:layout>
                <c:manualLayout>
                  <c:x val="-0.074817822409227214"/>
                  <c:y val="-0.047645081314341912"/>
                </c:manualLayout>
              </c:layout>
              <c:tx>
                <c:rich>
                  <a:bodyPr vertOverflow="clip"/>
                  <a:lstStyle/>
                  <a:p>
                    <a:r>
                      <a:rPr lang="en-US"/>
                      <a:t>EE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C042-414C-A1C7-19E3D8936305}"/>
                </c:ext>
                <c:ext xmlns:c15="http://schemas.microsoft.com/office/drawing/2012/chart" uri="{CE6537A1-D6FC-4f65-9D91-7224C49458BB}"/>
              </c:extLst>
            </c:dLbl>
            <c:dLbl>
              <c:idx val="7"/>
              <c:layout>
                <c:manualLayout>
                  <c:x val="-0.033270558077590405"/>
                  <c:y val="-0.066487422359667786"/>
                </c:manualLayout>
              </c:layout>
              <c:tx>
                <c:rich>
                  <a:bodyPr vertOverflow="clip"/>
                  <a:lstStyle/>
                  <a:p>
                    <a:r>
                      <a:rPr lang="en-US"/>
                      <a:t>IE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C042-414C-A1C7-19E3D8936305}"/>
                </c:ext>
                <c:ext xmlns:c15="http://schemas.microsoft.com/office/drawing/2012/chart" uri="{CE6537A1-D6FC-4f65-9D91-7224C49458BB}"/>
              </c:extLst>
            </c:dLbl>
            <c:dLbl>
              <c:idx val="8"/>
              <c:layout>
                <c:manualLayout>
                  <c:x val="-0.01657895486567176"/>
                  <c:y val="0.047286094107000624"/>
                </c:manualLayout>
              </c:layout>
              <c:tx>
                <c:rich>
                  <a:bodyPr vertOverflow="clip"/>
                  <a:lstStyle/>
                  <a:p>
                    <a:r>
                      <a:rPr lang="en-US"/>
                      <a:t>EL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C042-414C-A1C7-19E3D8936305}"/>
                </c:ext>
                <c:ext xmlns:c15="http://schemas.microsoft.com/office/drawing/2012/chart" uri="{CE6537A1-D6FC-4f65-9D91-7224C49458BB}"/>
              </c:extLst>
            </c:dLbl>
            <c:dLbl>
              <c:idx val="9"/>
              <c:layout>
                <c:manualLayout>
                  <c:x val="-0.05404402651034744"/>
                  <c:y val="-0.085484576638159587"/>
                </c:manualLayout>
              </c:layout>
              <c:tx>
                <c:rich>
                  <a:bodyPr vertOverflow="clip"/>
                  <a:lstStyle/>
                  <a:p>
                    <a:r>
                      <a:rPr lang="en-US"/>
                      <a:t>SP</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C042-414C-A1C7-19E3D8936305}"/>
                </c:ext>
                <c:ext xmlns:c15="http://schemas.microsoft.com/office/drawing/2012/chart" uri="{CE6537A1-D6FC-4f65-9D91-7224C49458BB}"/>
              </c:extLst>
            </c:dLbl>
            <c:dLbl>
              <c:idx val="10"/>
              <c:layout>
                <c:manualLayout>
                  <c:x val="-0.037383177570093455"/>
                  <c:y val="-0.085714285714285715"/>
                </c:manualLayout>
              </c:layout>
              <c:tx>
                <c:rich>
                  <a:bodyPr/>
                  <a:lstStyle/>
                  <a:p>
                    <a:r>
                      <a:rPr lang="en-US"/>
                      <a:t>FR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E-C042-414C-A1C7-19E3D8936305}"/>
                </c:ext>
                <c:ext xmlns:c15="http://schemas.microsoft.com/office/drawing/2012/chart" uri="{CE6537A1-D6FC-4f65-9D91-7224C49458BB}"/>
              </c:extLst>
            </c:dLbl>
            <c:dLbl>
              <c:idx val="11"/>
              <c:layout>
                <c:manualLayout>
                  <c:x val="-0.020737774625370568"/>
                  <c:y val="0.047311522367520634"/>
                </c:manualLayout>
              </c:layout>
              <c:tx>
                <c:rich>
                  <a:bodyPr/>
                  <a:lstStyle/>
                  <a:p>
                    <a:r>
                      <a:rPr lang="en-US"/>
                      <a:t>HR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C042-414C-A1C7-19E3D8936305}"/>
                </c:ext>
                <c:ext xmlns:c15="http://schemas.microsoft.com/office/drawing/2012/chart" uri="{CE6537A1-D6FC-4f65-9D91-7224C49458BB}"/>
              </c:extLst>
            </c:dLbl>
            <c:dLbl>
              <c:idx val="12"/>
              <c:layout>
                <c:manualLayout>
                  <c:x val="-0.04569055036344756"/>
                  <c:y val="-0.0761904761904762"/>
                </c:manualLayout>
              </c:layout>
              <c:tx>
                <c:rich>
                  <a:bodyPr/>
                  <a:lstStyle/>
                  <a:p>
                    <a:r>
                      <a:rPr lang="en-US"/>
                      <a:t>IT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C042-414C-A1C7-19E3D8936305}"/>
                </c:ext>
                <c:ext xmlns:c15="http://schemas.microsoft.com/office/drawing/2012/chart" uri="{CE6537A1-D6FC-4f65-9D91-7224C49458BB}"/>
              </c:extLst>
            </c:dLbl>
            <c:dLbl>
              <c:idx val="13"/>
              <c:layout>
                <c:manualLayout>
                  <c:x val="-0.037429377837289286"/>
                  <c:y val="0.056989219165429532"/>
                </c:manualLayout>
              </c:layout>
              <c:tx>
                <c:rich>
                  <a:bodyPr/>
                  <a:lstStyle/>
                  <a:p>
                    <a:r>
                      <a:rPr lang="en-US"/>
                      <a:t>CY</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C042-414C-A1C7-19E3D8936305}"/>
                </c:ext>
                <c:ext xmlns:c15="http://schemas.microsoft.com/office/drawing/2012/chart" uri="{CE6537A1-D6FC-4f65-9D91-7224C49458BB}"/>
              </c:extLst>
            </c:dLbl>
            <c:dLbl>
              <c:idx val="14"/>
              <c:layout>
                <c:manualLayout>
                  <c:x val="-0.058115740281378538"/>
                  <c:y val="-0.094956603681862539"/>
                </c:manualLayout>
              </c:layout>
              <c:tx>
                <c:rich>
                  <a:bodyPr vertOverflow="clip"/>
                  <a:lstStyle/>
                  <a:p>
                    <a:r>
                      <a:rPr lang="en-US"/>
                      <a:t>LV</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C042-414C-A1C7-19E3D8936305}"/>
                </c:ext>
                <c:ext xmlns:c15="http://schemas.microsoft.com/office/drawing/2012/chart" uri="{CE6537A1-D6FC-4f65-9D91-7224C49458BB}"/>
              </c:extLst>
            </c:dLbl>
            <c:dLbl>
              <c:idx val="15"/>
              <c:layout>
                <c:manualLayout>
                  <c:x val="-0.041562655239408809"/>
                  <c:y val="-0.0758323081007707"/>
                </c:manualLayout>
              </c:layout>
              <c:tx>
                <c:rich>
                  <a:bodyPr vertOverflow="clip"/>
                  <a:lstStyle/>
                  <a:p>
                    <a:r>
                      <a:rPr lang="en-US"/>
                      <a:t>LT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F-C042-414C-A1C7-19E3D8936305}"/>
                </c:ext>
                <c:ext xmlns:c15="http://schemas.microsoft.com/office/drawing/2012/chart" uri="{CE6537A1-D6FC-4f65-9D91-7224C49458BB}"/>
              </c:extLst>
            </c:dLbl>
            <c:dLbl>
              <c:idx val="16"/>
              <c:layout>
                <c:manualLayout>
                  <c:x val="-0.045747344822809795"/>
                  <c:y val="-0.075985625553906047"/>
                </c:manualLayout>
              </c:layout>
              <c:tx>
                <c:rich>
                  <a:bodyPr vertOverflow="clip"/>
                  <a:lstStyle/>
                  <a:p>
                    <a:r>
                      <a:rPr lang="en-US"/>
                      <a:t>LU</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0-C042-414C-A1C7-19E3D8936305}"/>
                </c:ext>
                <c:ext xmlns:c15="http://schemas.microsoft.com/office/drawing/2012/chart" uri="{CE6537A1-D6FC-4f65-9D91-7224C49458BB}"/>
              </c:extLst>
            </c:dLbl>
            <c:dLbl>
              <c:idx val="17"/>
              <c:layout>
                <c:manualLayout>
                  <c:x val="-0.078919990529679726"/>
                  <c:y val="0.076165119157576691"/>
                </c:manualLayout>
              </c:layout>
              <c:tx>
                <c:rich>
                  <a:bodyPr vertOverflow="clip"/>
                  <a:lstStyle/>
                  <a:p>
                    <a:r>
                      <a:rPr lang="en-US"/>
                      <a:t>HU</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1-C042-414C-A1C7-19E3D8936305}"/>
                </c:ext>
                <c:ext xmlns:c15="http://schemas.microsoft.com/office/drawing/2012/chart" uri="{CE6537A1-D6FC-4f65-9D91-7224C49458BB}"/>
              </c:extLst>
            </c:dLbl>
            <c:dLbl>
              <c:idx val="18"/>
              <c:layout>
                <c:manualLayout>
                  <c:x val="-0.049844236760124609"/>
                  <c:y val="-0.066666666666666666"/>
                </c:manualLayout>
              </c:layout>
              <c:tx>
                <c:rich>
                  <a:bodyPr/>
                  <a:lstStyle/>
                  <a:p>
                    <a:r>
                      <a:rPr lang="en-US"/>
                      <a:t>NL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2-C042-414C-A1C7-19E3D8936305}"/>
                </c:ext>
                <c:ext xmlns:c15="http://schemas.microsoft.com/office/drawing/2012/chart" uri="{CE6537A1-D6FC-4f65-9D91-7224C49458BB}"/>
              </c:extLst>
            </c:dLbl>
            <c:dLbl>
              <c:idx val="19"/>
              <c:layout>
                <c:manualLayout>
                  <c:x val="-0.037321641482884492"/>
                  <c:y val="-0.085355939555528962"/>
                </c:manualLayout>
              </c:layout>
              <c:tx>
                <c:rich>
                  <a:bodyPr vertOverflow="clip"/>
                  <a:lstStyle/>
                  <a:p>
                    <a:r>
                      <a:rPr lang="en-US"/>
                      <a:t>AT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3-C042-414C-A1C7-19E3D8936305}"/>
                </c:ext>
                <c:ext xmlns:c15="http://schemas.microsoft.com/office/drawing/2012/chart" uri="{CE6537A1-D6FC-4f65-9D91-7224C49458BB}"/>
              </c:extLst>
            </c:dLbl>
            <c:dLbl>
              <c:idx val="20"/>
              <c:layout>
                <c:manualLayout>
                  <c:x val="-0.054008987635206666"/>
                  <c:y val="0.06628250049547714"/>
                </c:manualLayout>
              </c:layout>
              <c:tx>
                <c:rich>
                  <a:bodyPr vertOverflow="clip"/>
                  <a:lstStyle/>
                  <a:p>
                    <a:r>
                      <a:rPr lang="en-US"/>
                      <a:t>PL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4-C042-414C-A1C7-19E3D8936305}"/>
                </c:ext>
                <c:ext xmlns:c15="http://schemas.microsoft.com/office/drawing/2012/chart" uri="{CE6537A1-D6FC-4f65-9D91-7224C49458BB}"/>
              </c:extLst>
            </c:dLbl>
            <c:dLbl>
              <c:idx val="21"/>
              <c:layout>
                <c:manualLayout>
                  <c:x val="-0.020732535167405593"/>
                  <c:y val="0.0093448857411029141"/>
                </c:manualLayout>
              </c:layout>
              <c:tx>
                <c:rich>
                  <a:bodyPr vertOverflow="clip"/>
                  <a:lstStyle/>
                  <a:p>
                    <a:r>
                      <a:rPr lang="en-US"/>
                      <a:t>PT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5-C042-414C-A1C7-19E3D8936305}"/>
                </c:ext>
                <c:ext xmlns:c15="http://schemas.microsoft.com/office/drawing/2012/chart" uri="{CE6537A1-D6FC-4f65-9D91-7224C49458BB}"/>
              </c:extLst>
            </c:dLbl>
            <c:dLbl>
              <c:idx val="22"/>
              <c:layout>
                <c:manualLayout>
                  <c:x val="-0.045731626448914792"/>
                  <c:y val="-0.085509257008664311"/>
                </c:manualLayout>
              </c:layout>
              <c:tx>
                <c:rich>
                  <a:bodyPr/>
                  <a:lstStyle/>
                  <a:p>
                    <a:r>
                      <a:rPr lang="en-US"/>
                      <a:t>RO</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6-C042-414C-A1C7-19E3D8936305}"/>
                </c:ext>
                <c:ext xmlns:c15="http://schemas.microsoft.com/office/drawing/2012/chart" uri="{CE6537A1-D6FC-4f65-9D91-7224C49458BB}"/>
              </c:extLst>
            </c:dLbl>
            <c:dLbl>
              <c:idx val="23"/>
              <c:layout>
                <c:manualLayout>
                  <c:x val="-0.049844236760124609"/>
                  <c:y val="-0.0666666666666667"/>
                </c:manualLayout>
              </c:layout>
              <c:tx>
                <c:rich>
                  <a:bodyPr vertOverflow="clip"/>
                  <a:lstStyle/>
                  <a:p>
                    <a:r>
                      <a:rPr lang="en-US"/>
                      <a:t>SI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7-C042-414C-A1C7-19E3D8936305}"/>
                </c:ext>
                <c:ext xmlns:c15="http://schemas.microsoft.com/office/drawing/2012/chart" uri="{CE6537A1-D6FC-4f65-9D91-7224C49458BB}"/>
              </c:extLst>
            </c:dLbl>
            <c:dLbl>
              <c:idx val="24"/>
              <c:layout>
                <c:manualLayout>
                  <c:x val="-0.029096347410119554"/>
                  <c:y val="0.04761890516380661"/>
                </c:manualLayout>
              </c:layout>
              <c:tx>
                <c:rich>
                  <a:bodyPr vertOverflow="clip"/>
                  <a:lstStyle/>
                  <a:p>
                    <a:r>
                      <a:rPr lang="en-US"/>
                      <a:t>SK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8-C042-414C-A1C7-19E3D8936305}"/>
                </c:ext>
                <c:ext xmlns:c15="http://schemas.microsoft.com/office/drawing/2012/chart" uri="{CE6537A1-D6FC-4f65-9D91-7224C49458BB}"/>
              </c:extLst>
            </c:dLbl>
            <c:dLbl>
              <c:idx val="25"/>
              <c:layout>
                <c:manualLayout>
                  <c:x val="-0.024942767108385718"/>
                  <c:y val="0.0475934769032866"/>
                </c:manualLayout>
              </c:layout>
              <c:tx>
                <c:rich>
                  <a:bodyPr vertOverflow="clip"/>
                  <a:lstStyle/>
                  <a:p>
                    <a:r>
                      <a:rPr lang="en-US"/>
                      <a:t>FI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9-C042-414C-A1C7-19E3D8936305}"/>
                </c:ext>
                <c:ext xmlns:c15="http://schemas.microsoft.com/office/drawing/2012/chart" uri="{CE6537A1-D6FC-4f65-9D91-7224C49458BB}"/>
              </c:extLst>
            </c:dLbl>
            <c:dLbl>
              <c:idx val="26"/>
              <c:layout>
                <c:manualLayout>
                  <c:x val="-0.049844236760124609"/>
                  <c:y val="0.0761904761904762"/>
                </c:manualLayout>
              </c:layout>
              <c:tx>
                <c:rich>
                  <a:bodyPr/>
                  <a:lstStyle/>
                  <a:p>
                    <a:r>
                      <a:rPr lang="en-US"/>
                      <a:t>SE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A-C042-414C-A1C7-19E3D8936305}"/>
                </c:ext>
                <c:ext xmlns:c15="http://schemas.microsoft.com/office/drawing/2012/chart" uri="{CE6537A1-D6FC-4f65-9D91-7224C49458BB}"/>
              </c:extLst>
            </c:dLbl>
            <c:dLbl>
              <c:idx val="27"/>
              <c:layout>
                <c:manualLayout>
                  <c:x val="-0.033229491173416406"/>
                  <c:y val="-0.076190476190476183"/>
                </c:manualLayout>
              </c:layout>
              <c:tx>
                <c:rich>
                  <a:bodyPr/>
                  <a:lstStyle/>
                  <a:p>
                    <a:r>
                      <a:rPr lang="en-US"/>
                      <a:t>UK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B-C042-414C-A1C7-19E3D8936305}"/>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Sheet1!$B$3:$B$30</c:f>
              <c:numCache>
                <c:formatCode>0</c:formatCode>
                <c:ptCount val="28"/>
                <c:pt idx="0">
                  <c:v>118.18521103255759</c:v>
                </c:pt>
                <c:pt idx="1">
                  <c:v>87.88</c:v>
                </c:pt>
                <c:pt idx="2">
                  <c:v>41.386655948553056</c:v>
                </c:pt>
                <c:pt idx="3">
                  <c:v>46.715328467153284</c:v>
                </c:pt>
                <c:pt idx="4">
                  <c:v>928.925</c:v>
                </c:pt>
                <c:pt idx="5">
                  <c:v>68.858620689655169</c:v>
                </c:pt>
                <c:pt idx="6">
                  <c:v>63.064516129032256</c:v>
                </c:pt>
                <c:pt idx="7">
                  <c:v>135.32894736842107</c:v>
                </c:pt>
                <c:pt idx="8">
                  <c:v>66.490335707019327</c:v>
                </c:pt>
                <c:pt idx="9">
                  <c:v>72.464250083139348</c:v>
                </c:pt>
                <c:pt idx="10">
                  <c:v>0</c:v>
                </c:pt>
                <c:pt idx="11">
                  <c:v>92.348284960422163</c:v>
                </c:pt>
                <c:pt idx="12">
                  <c:v>326.87553648068666</c:v>
                </c:pt>
                <c:pt idx="13">
                  <c:v>24.545454545454547</c:v>
                </c:pt>
                <c:pt idx="14">
                  <c:v>27.550335570469798</c:v>
                </c:pt>
                <c:pt idx="15">
                  <c:v>39.735682819383264</c:v>
                </c:pt>
                <c:pt idx="16">
                  <c:v>96.4</c:v>
                </c:pt>
                <c:pt idx="17">
                  <c:v>24.767441860465116</c:v>
                </c:pt>
                <c:pt idx="18">
                  <c:v>1243.6</c:v>
                </c:pt>
                <c:pt idx="19">
                  <c:v>190.24844720496893</c:v>
                </c:pt>
                <c:pt idx="20">
                  <c:v>35.388548951048946</c:v>
                </c:pt>
                <c:pt idx="21">
                  <c:v>54.555749128919857</c:v>
                </c:pt>
                <c:pt idx="22">
                  <c:v>0</c:v>
                </c:pt>
                <c:pt idx="23">
                  <c:v>50.198412698412696</c:v>
                </c:pt>
                <c:pt idx="24">
                  <c:v>53.574593796159526</c:v>
                </c:pt>
                <c:pt idx="25">
                  <c:v>97.903225806451616</c:v>
                </c:pt>
                <c:pt idx="26">
                  <c:v>234.06666666666666</c:v>
                </c:pt>
                <c:pt idx="27">
                  <c:v>367.6864906434248</c:v>
                </c:pt>
              </c:numCache>
            </c:numRef>
          </c:xVal>
          <c:yVal>
            <c:numRef>
              <c:f>Sheet1!$C$3:$C$30</c:f>
              <c:numCache>
                <c:formatCode>0.0</c:formatCode>
                <c:ptCount val="28"/>
                <c:pt idx="0">
                  <c:v>0.34978764845689858</c:v>
                </c:pt>
                <c:pt idx="1">
                  <c:v>0.73395539371870755</c:v>
                </c:pt>
                <c:pt idx="2">
                  <c:v>0.2837719724191512</c:v>
                </c:pt>
                <c:pt idx="3">
                  <c:v>0.43088224531615926</c:v>
                </c:pt>
                <c:pt idx="4">
                  <c:v>0.12775520090427106</c:v>
                </c:pt>
                <c:pt idx="5">
                  <c:v>0.99160716654674386</c:v>
                </c:pt>
                <c:pt idx="6">
                  <c:v>0.50997442455242969</c:v>
                </c:pt>
                <c:pt idx="7">
                  <c:v>0.58279002246595579</c:v>
                </c:pt>
                <c:pt idx="8">
                  <c:v>0.51786132139514318</c:v>
                </c:pt>
                <c:pt idx="9">
                  <c:v>0.55827111133001261</c:v>
                </c:pt>
                <c:pt idx="10">
                  <c:v>0</c:v>
                </c:pt>
                <c:pt idx="11">
                  <c:v>0</c:v>
                </c:pt>
                <c:pt idx="12">
                  <c:v>0.16998148988416981</c:v>
                </c:pt>
                <c:pt idx="13">
                  <c:v>1.1748492678725238</c:v>
                </c:pt>
                <c:pt idx="14">
                  <c:v>0.511629453800202</c:v>
                </c:pt>
                <c:pt idx="15">
                  <c:v>0.52040713948891848</c:v>
                </c:pt>
                <c:pt idx="16">
                  <c:v>0.58921161825726132</c:v>
                </c:pt>
                <c:pt idx="17">
                  <c:v>0.49027498323272972</c:v>
                </c:pt>
                <c:pt idx="18">
                  <c:v>0.09922804760373112</c:v>
                </c:pt>
                <c:pt idx="19">
                  <c:v>0.3074256952199147</c:v>
                </c:pt>
                <c:pt idx="20">
                  <c:v>0.46961299524944322</c:v>
                </c:pt>
                <c:pt idx="21">
                  <c:v>0.3946878756009034</c:v>
                </c:pt>
                <c:pt idx="22">
                  <c:v>0</c:v>
                </c:pt>
                <c:pt idx="23">
                  <c:v>0.67715160015300269</c:v>
                </c:pt>
                <c:pt idx="24">
                  <c:v>0.33359140113172375</c:v>
                </c:pt>
                <c:pt idx="25">
                  <c:v>0.567453779974373</c:v>
                </c:pt>
                <c:pt idx="26">
                  <c:v>0.25524541915883414</c:v>
                </c:pt>
                <c:pt idx="27">
                  <c:v>0</c:v>
                </c:pt>
              </c:numCache>
            </c:numRef>
          </c:yVal>
          <c:smooth val="0"/>
          <c:extLst>
            <c:ext xmlns:c="http://schemas.openxmlformats.org/drawingml/2006/chart" xmlns:c16="http://schemas.microsoft.com/office/drawing/2014/chart" uri="{C3380CC4-5D6E-409C-BE32-E72D297353CC}">
              <c16:uniqueId val="{0000001C-C042-414C-A1C7-19E3D8936305}"/>
            </c:ext>
          </c:extLst>
        </c:ser>
        <c:dLbls>
          <c:showLegendKey val="0"/>
          <c:showVal val="0"/>
          <c:showCatName val="0"/>
          <c:showSerName val="0"/>
          <c:showPercent val="0"/>
          <c:showBubbleSize val="0"/>
        </c:dLbls>
        <c:axId val="629854176"/>
        <c:axId val="629852608"/>
      </c:scatterChart>
      <c:valAx>
        <c:axId val="629854176"/>
        <c:scaling>
          <c:orientation val="minMax"/>
          <c:max val="200"/>
          <c:min val="10"/>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29852608"/>
        <c:crosses val="autoZero"/>
        <c:crossBetween val="midCat"/>
        <c:majorUnit val="20"/>
      </c:valAx>
      <c:valAx>
        <c:axId val="629852608"/>
        <c:scaling>
          <c:orientation val="minMax"/>
          <c:max val="0.8"/>
          <c:min val="0.2"/>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29854176"/>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59412201441466"/>
          <c:y val="0.098301682877875565"/>
          <c:w val="0.77357359176256812"/>
          <c:h val="0.691149414250048"/>
        </c:manualLayout>
      </c:layout>
      <c:barChart>
        <c:barDir val="col"/>
        <c:grouping val="clustered"/>
        <c:varyColors val="0"/>
        <c:ser>
          <c:idx val="4"/>
          <c:order val="0"/>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2DBF-4E19-9FE9-23A4FE117D0D}"/>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2DBF-4E19-9FE9-23A4FE117D0D}"/>
              </c:ext>
            </c:extLst>
          </c:dPt>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Sheet1!$A$3:$A$5</c:f>
              <c:strCache>
                <c:ptCount val="3"/>
                <c:pt idx="0">
                  <c:v>2005</c:v>
                </c:pt>
                <c:pt idx="1">
                  <c:v>2010</c:v>
                </c:pt>
                <c:pt idx="2">
                  <c:v>2016</c:v>
                </c:pt>
              </c:strCache>
            </c:strRef>
          </c:cat>
          <c:val>
            <c:numRef>
              <c:f>Sheet1!$B$3:$B$5</c:f>
              <c:numCache>
                <c:formatCode>General</c:formatCode>
                <c:ptCount val="3"/>
                <c:pt idx="0" formatCode="0.0">
                  <c:v>12.969596616199292</c:v>
                </c:pt>
                <c:pt idx="1">
                  <c:v>13.522827874035665</c:v>
                </c:pt>
                <c:pt idx="2">
                  <c:v>12.269658568977919</c:v>
                </c:pt>
              </c:numCache>
            </c:numRef>
          </c:val>
          <c:extLst>
            <c:ext xmlns:c="http://schemas.openxmlformats.org/drawingml/2006/chart" xmlns:c16="http://schemas.microsoft.com/office/drawing/2014/chart" uri="{C3380CC4-5D6E-409C-BE32-E72D297353CC}">
              <c16:uniqueId val="{00000004-2DBF-4E19-9FE9-23A4FE117D0D}"/>
            </c:ext>
          </c:extLst>
        </c:ser>
        <c:dLbls>
          <c:showLegendKey val="0"/>
          <c:showVal val="0"/>
          <c:showCatName val="0"/>
          <c:showSerName val="0"/>
          <c:showPercent val="0"/>
          <c:showBubbleSize val="0"/>
        </c:dLbls>
        <c:gapWidth val="20"/>
        <c:axId val="629865936"/>
        <c:axId val="629857312"/>
      </c:barChart>
      <c:catAx>
        <c:axId val="629865936"/>
        <c:scaling>
          <c:orientation val="minMax"/>
        </c:scaling>
        <c:delete val="0"/>
        <c:axPos val="b"/>
        <c:numFmt formatCode="General" sourceLinked="0"/>
        <c:majorTickMark val="out"/>
        <c:minorTickMark val="none"/>
        <c:tickLblPos val="nextTo"/>
        <c:crossAx val="629857312"/>
        <c:crosses val="autoZero"/>
        <c:auto val="1"/>
        <c:lblAlgn val="ctr"/>
        <c:lblOffset val="100"/>
        <c:noMultiLvlLbl val="0"/>
      </c:catAx>
      <c:valAx>
        <c:axId val="629857312"/>
        <c:scaling>
          <c:orientation val="minMax"/>
          <c:max val="20"/>
          <c:min val="0"/>
        </c:scaling>
        <c:delete val="0"/>
        <c:axPos val="l"/>
        <c:numFmt formatCode="0" sourceLinked="0"/>
        <c:majorTickMark val="out"/>
        <c:minorTickMark val="none"/>
        <c:tickLblPos val="nextTo"/>
        <c:crossAx val="629865936"/>
        <c:crosses val="autoZero"/>
        <c:crossBetween val="between"/>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mbria Math" panose="02040503050406030204" pitchFamily="18" charset="0"/>
          <a:ea typeface="Cambria Math" panose="02040503050406030204" pitchFamily="18" charset="0"/>
          <a:cs typeface="Arial"/>
        </a:defRPr>
      </a:pPr>
      <a:endParaRPr lang="lv-LV"/>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73546128124922"/>
          <c:y val="0.048706240487062395"/>
          <c:w val="0.84631315184653555"/>
          <c:h val="0.73779794474843186"/>
        </c:manualLayout>
      </c:layout>
      <c:lineChart>
        <c:grouping val="standard"/>
        <c:varyColors val="0"/>
        <c:ser>
          <c:idx val="0"/>
          <c:order val="0"/>
          <c:tx>
            <c:strRef>
              <c:f>Sheet1!$A$2</c:f>
              <c:strCache>
                <c:ptCount val="1"/>
                <c:pt idx="0">
                  <c:v>Nodarbinātie</c:v>
                </c:pt>
              </c:strCache>
            </c:strRef>
          </c:tx>
          <c:spPr>
            <a:ln w="19050">
              <a:solidFill>
                <a:srgbClr val="0070C0"/>
              </a:solidFill>
              <a:prstDash val="dash"/>
            </a:ln>
          </c:spPr>
          <c:marker>
            <c:symbol val="none"/>
          </c:marker>
          <c:cat>
            <c:numRef>
              <c:f>Sheet1!$B$1:$L$1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Sheet1!$B$2:$L$2</c:f>
              <c:numCache>
                <c:formatCode>0.0</c:formatCode>
                <c:ptCount val="11"/>
                <c:pt idx="0">
                  <c:v>101.65116868432851</c:v>
                </c:pt>
                <c:pt idx="1">
                  <c:v>98.803048911242357</c:v>
                </c:pt>
                <c:pt idx="2">
                  <c:v>90.246993001540034</c:v>
                </c:pt>
                <c:pt idx="3">
                  <c:v>67.616689734942256</c:v>
                </c:pt>
                <c:pt idx="4">
                  <c:v>66.155265740036768</c:v>
                </c:pt>
                <c:pt idx="5">
                  <c:v>70.876789415885256</c:v>
                </c:pt>
                <c:pt idx="6">
                  <c:v>74.427354426184763</c:v>
                </c:pt>
                <c:pt idx="7">
                  <c:v>76.211084468877317</c:v>
                </c:pt>
                <c:pt idx="8">
                  <c:v>74.339629997855624</c:v>
                </c:pt>
                <c:pt idx="9">
                  <c:v>72.273882163349384</c:v>
                </c:pt>
                <c:pt idx="10">
                  <c:v>72.5533007128422</c:v>
                </c:pt>
              </c:numCache>
            </c:numRef>
          </c:val>
          <c:smooth val="0"/>
          <c:extLst>
            <c:ext xmlns:c="http://schemas.openxmlformats.org/drawingml/2006/chart" xmlns:c16="http://schemas.microsoft.com/office/drawing/2014/chart" uri="{C3380CC4-5D6E-409C-BE32-E72D297353CC}">
              <c16:uniqueId val="{00000000-7C33-4A75-8581-84D963165507}"/>
            </c:ext>
          </c:extLst>
        </c:ser>
        <c:ser>
          <c:idx val="1"/>
          <c:order val="1"/>
          <c:tx>
            <c:strRef>
              <c:f>Sheet1!$A$3</c:f>
              <c:strCache>
                <c:ptCount val="1"/>
                <c:pt idx="0">
                  <c:v>Ražošanas apjomi</c:v>
                </c:pt>
              </c:strCache>
            </c:strRef>
          </c:tx>
          <c:marker>
            <c:symbol val="none"/>
          </c:marker>
          <c:cat>
            <c:numRef>
              <c:f>Sheet1!$B$1:$L$1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Sheet1!$B$3:$L$3</c:f>
              <c:numCache>
                <c:formatCode>0.0</c:formatCode>
                <c:ptCount val="11"/>
                <c:pt idx="0">
                  <c:v>107.39371534195934</c:v>
                </c:pt>
                <c:pt idx="1">
                  <c:v>106.77346477716164</c:v>
                </c:pt>
                <c:pt idx="2">
                  <c:v>98.7594988704046</c:v>
                </c:pt>
                <c:pt idx="3">
                  <c:v>76.9398233723557</c:v>
                </c:pt>
                <c:pt idx="4">
                  <c:v>87.8414458821113</c:v>
                </c:pt>
                <c:pt idx="5">
                  <c:v>92.335181762168816</c:v>
                </c:pt>
                <c:pt idx="6">
                  <c:v>96.331895666461264</c:v>
                </c:pt>
                <c:pt idx="7">
                  <c:v>94.450605873896066</c:v>
                </c:pt>
                <c:pt idx="8">
                  <c:v>94.832614499897289</c:v>
                </c:pt>
                <c:pt idx="9">
                  <c:v>95.2064078866297</c:v>
                </c:pt>
                <c:pt idx="10">
                  <c:v>100.5052372150339</c:v>
                </c:pt>
              </c:numCache>
            </c:numRef>
          </c:val>
          <c:smooth val="0"/>
          <c:extLst>
            <c:ext xmlns:c="http://schemas.openxmlformats.org/drawingml/2006/chart" xmlns:c16="http://schemas.microsoft.com/office/drawing/2014/chart" uri="{C3380CC4-5D6E-409C-BE32-E72D297353CC}">
              <c16:uniqueId val="{00000001-7C33-4A75-8581-84D963165507}"/>
            </c:ext>
          </c:extLst>
        </c:ser>
        <c:dLbls>
          <c:showLegendKey val="0"/>
          <c:showVal val="0"/>
          <c:showCatName val="0"/>
          <c:showSerName val="0"/>
          <c:showPercent val="0"/>
          <c:showBubbleSize val="0"/>
        </c:dLbls>
        <c:smooth val="0"/>
        <c:axId val="629859272"/>
        <c:axId val="629863584"/>
      </c:lineChart>
      <c:catAx>
        <c:axId val="629859272"/>
        <c:scaling>
          <c:orientation val="minMax"/>
        </c:scaling>
        <c:delete val="0"/>
        <c:axPos val="b"/>
        <c:numFmt formatCode="General" sourceLinked="1"/>
        <c:majorTickMark val="cross"/>
        <c:minorTickMark val="none"/>
        <c:tickLblPos val="nextTo"/>
        <c:spPr>
          <a:ln w="6350">
            <a:solidFill>
              <a:srgbClr val="000000"/>
            </a:solidFill>
          </a:ln>
        </c:spPr>
        <c:txPr>
          <a:bodyPr rot="-5400000" vert="horz"/>
          <a:lstStyle/>
          <a:p>
            <a:pPr>
              <a:defRPr sz="700" b="0" i="0" u="none" strike="noStrike" baseline="0">
                <a:solidFill>
                  <a:srgbClr val="000000"/>
                </a:solidFill>
                <a:latin typeface="Arial Narrow" pitchFamily="34" charset="0"/>
                <a:ea typeface="Times New Roman"/>
                <a:cs typeface="Times New Roman" pitchFamily="18" charset="0"/>
              </a:defRPr>
            </a:pPr>
            <a:endParaRPr lang="lv-LV"/>
          </a:p>
        </c:txPr>
        <c:crossAx val="629863584"/>
        <c:crosses val="autoZero"/>
        <c:auto val="1"/>
        <c:lblAlgn val="ctr"/>
        <c:lblOffset val="0"/>
        <c:noMultiLvlLbl val="0"/>
      </c:catAx>
      <c:valAx>
        <c:axId val="629863584"/>
        <c:scaling>
          <c:orientation val="minMax"/>
          <c:min val="50"/>
        </c:scaling>
        <c:delete val="0"/>
        <c:axPos val="l"/>
        <c:numFmt formatCode="0" sourceLinked="0"/>
        <c:majorTickMark val="cross"/>
        <c:minorTickMark val="none"/>
        <c:tickLblPos val="nextTo"/>
        <c:spPr>
          <a:ln w="6350">
            <a:solidFill>
              <a:sysClr val="windowText" lastClr="000000"/>
            </a:solidFill>
          </a:ln>
        </c:spPr>
        <c:txPr>
          <a:bodyPr rot="0" vert="horz"/>
          <a:lstStyle/>
          <a:p>
            <a:pPr>
              <a:defRPr sz="700" b="0" i="0" u="none" strike="noStrike" baseline="0">
                <a:solidFill>
                  <a:srgbClr val="000000"/>
                </a:solidFill>
                <a:latin typeface="Arial Narrow" pitchFamily="34" charset="0"/>
                <a:ea typeface="Times New Roman"/>
                <a:cs typeface="Times New Roman"/>
              </a:defRPr>
            </a:pPr>
            <a:endParaRPr lang="lv-LV"/>
          </a:p>
        </c:txPr>
        <c:crossAx val="629859272"/>
        <c:crosses val="autoZero"/>
        <c:crossBetween val="between"/>
        <c:majorUnit val="25"/>
      </c:valAx>
      <c:spPr>
        <a:solidFill>
          <a:sysClr val="window" lastClr="FFFFFF"/>
        </a:solidFill>
        <a:ln w="6350">
          <a:noFill/>
        </a:ln>
      </c:spPr>
    </c:plotArea>
    <c:legend>
      <c:legendPos val="t"/>
      <c:layout>
        <c:manualLayout>
          <c:xMode val="edge"/>
          <c:yMode val="edge"/>
          <c:x val="0.14280650412978177"/>
          <c:y val="0.031201248049921998"/>
          <c:w val="0.65805884790716951"/>
          <c:h val="0.19964223582144541"/>
        </c:manualLayout>
      </c:layout>
      <c:overlay val="0"/>
      <c:txPr>
        <a:bodyPr/>
        <a:lstStyle/>
        <a:p>
          <a:pPr>
            <a:defRPr sz="700" b="0">
              <a:latin typeface="Arial Narrow" pitchFamily="34" charset="0"/>
            </a:defRPr>
          </a:pPr>
          <a:endParaRPr lang="lv-LV"/>
        </a:p>
      </c:txPr>
    </c:legend>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7354822834645707"/>
          <c:y val="0.054187037037040774"/>
          <c:w val="0.8789631193571017"/>
          <c:h val="0.67800879184580454"/>
        </c:manualLayout>
      </c:layout>
      <c:lineChart>
        <c:grouping val="standard"/>
        <c:varyColors val="0"/>
        <c:ser>
          <c:idx val="9"/>
          <c:order val="0"/>
          <c:tx>
            <c:strRef>
              <c:f>Sheet1!$A$3</c:f>
              <c:strCache>
                <c:ptCount val="1"/>
                <c:pt idx="0">
                  <c:v>Eksports, kopā</c:v>
                </c:pt>
              </c:strCache>
            </c:strRef>
          </c:tx>
          <c:spPr>
            <a:ln w="25400">
              <a:solidFill>
                <a:schemeClr val="accent5">
                  <a:lumMod val="75000"/>
                </a:schemeClr>
              </a:solidFill>
            </a:ln>
            <a:effectLst/>
          </c:spPr>
          <c:marker>
            <c:symbol val="none"/>
          </c:marker>
          <c:cat>
            <c:numRef>
              <c:f>Sheet1!$B$2:$M$2</c:f>
              <c:numCache>
                <c:formatCode>0</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Sheet1!$B$3:$M$3</c:f>
              <c:numCache>
                <c:formatCode>0.0</c:formatCode>
                <c:ptCount val="12"/>
                <c:pt idx="0">
                  <c:v>3625.076604</c:v>
                </c:pt>
                <c:pt idx="1">
                  <c:v>4329.0139430000008</c:v>
                </c:pt>
                <c:pt idx="2">
                  <c:v>5303.998125</c:v>
                </c:pt>
                <c:pt idx="3">
                  <c:v>5702.5778200000013</c:v>
                </c:pt>
                <c:pt idx="4">
                  <c:v>4494.3016270000007</c:v>
                </c:pt>
                <c:pt idx="5">
                  <c:v>5881.5153659999987</c:v>
                </c:pt>
                <c:pt idx="6">
                  <c:v>7367.0407559999994</c:v>
                </c:pt>
                <c:pt idx="7">
                  <c:v>8277.829127</c:v>
                </c:pt>
                <c:pt idx="8">
                  <c:v>8574.639865000001</c:v>
                </c:pt>
                <c:pt idx="9">
                  <c:v>8851.0213119999989</c:v>
                </c:pt>
                <c:pt idx="10">
                  <c:v>8931.00425</c:v>
                </c:pt>
                <c:pt idx="11" formatCode="0">
                  <c:v>9101.913171</c:v>
                </c:pt>
              </c:numCache>
            </c:numRef>
          </c:val>
          <c:smooth val="0"/>
          <c:extLst>
            <c:ext xmlns:c="http://schemas.openxmlformats.org/drawingml/2006/chart" xmlns:c16="http://schemas.microsoft.com/office/drawing/2014/chart" uri="{C3380CC4-5D6E-409C-BE32-E72D297353CC}">
              <c16:uniqueId val="{00000000-7FE1-4DF2-8D88-6420A9385FEE}"/>
            </c:ext>
          </c:extLst>
        </c:ser>
        <c:dLbls>
          <c:showLegendKey val="0"/>
          <c:showVal val="0"/>
          <c:showCatName val="0"/>
          <c:showSerName val="0"/>
          <c:showPercent val="0"/>
          <c:showBubbleSize val="0"/>
        </c:dLbls>
        <c:smooth val="0"/>
        <c:axId val="629861232"/>
        <c:axId val="629867112"/>
      </c:lineChart>
      <c:catAx>
        <c:axId val="629861232"/>
        <c:scaling>
          <c:orientation val="minMax"/>
        </c:scaling>
        <c:delete val="0"/>
        <c:axPos val="b"/>
        <c:numFmt formatCode="0" sourceLinked="1"/>
        <c:majorTickMark val="out"/>
        <c:minorTickMark val="none"/>
        <c:tickLblPos val="low"/>
        <c:spPr>
          <a:noFill/>
          <a:ln w="3175">
            <a:solidFill>
              <a:sysClr val="window" lastClr="FFFFFF">
                <a:lumMod val="50000"/>
              </a:sysClr>
            </a:solidFill>
            <a:round/>
          </a:ln>
          <a:effectLst/>
        </c:spPr>
        <c:txPr>
          <a:bodyPr rot="-5400000" vert="horz"/>
          <a:lstStyle/>
          <a:p>
            <a:pPr>
              <a:defRPr sz="700"/>
            </a:pPr>
            <a:endParaRPr lang="lv-LV"/>
          </a:p>
        </c:txPr>
        <c:crossAx val="629867112"/>
        <c:crosses val="autoZero"/>
        <c:lblAlgn val="ctr"/>
        <c:lblOffset val="100"/>
        <c:noMultiLvlLbl val="0"/>
      </c:catAx>
      <c:valAx>
        <c:axId val="629867112"/>
        <c:scaling>
          <c:orientation val="minMax"/>
          <c:min val="2000"/>
        </c:scaling>
        <c:delete val="0"/>
        <c:axPos val="l"/>
        <c:numFmt formatCode="0" sourceLinked="0"/>
        <c:majorTickMark val="out"/>
        <c:minorTickMark val="none"/>
        <c:tickLblPos val="nextTo"/>
        <c:spPr>
          <a:noFill/>
          <a:ln w="3175">
            <a:solidFill>
              <a:sysClr val="window" lastClr="FFFFFF">
                <a:lumMod val="50000"/>
              </a:sysClr>
            </a:solidFill>
            <a:round/>
          </a:ln>
          <a:effectLst/>
        </c:spPr>
        <c:txPr>
          <a:bodyPr rot="0"/>
          <a:lstStyle/>
          <a:p>
            <a:pPr>
              <a:defRPr/>
            </a:pPr>
            <a:endParaRPr lang="lv-LV"/>
          </a:p>
        </c:txPr>
        <c:crossAx val="629861232"/>
        <c:crosses val="autoZero"/>
        <c:crossBetween val="between"/>
      </c:valAx>
      <c:spPr>
        <a:noFill/>
        <a:ln w="24631">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Arial Narrow" panose="020B0606020202030204" pitchFamily="34" charset="0"/>
          <a:ea typeface="Arial"/>
          <a:cs typeface="Arial"/>
        </a:defRPr>
      </a:pPr>
      <a:endParaRPr lang="lv-LV"/>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5939056398438"/>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AA86-483D-8BAA-EA784BA6D139}"/>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AA86-483D-8BAA-EA784BA6D139}"/>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Sheet1!$B$2:$M$2</c:f>
              <c:numCache>
                <c:formatCode>0</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formatCode="General">
                  <c:v>2016</c:v>
                </c:pt>
              </c:numCache>
            </c:numRef>
          </c:cat>
          <c:val>
            <c:numRef>
              <c:f>Sheet1!$B$3:$M$3</c:f>
              <c:numCache>
                <c:formatCode>0</c:formatCode>
                <c:ptCount val="12"/>
                <c:pt idx="0">
                  <c:v>22.892810887275022</c:v>
                </c:pt>
                <c:pt idx="1">
                  <c:v>27.151366927997998</c:v>
                </c:pt>
                <c:pt idx="2">
                  <c:v>34.184055974477957</c:v>
                </c:pt>
                <c:pt idx="3">
                  <c:v>37.573814456084868</c:v>
                </c:pt>
                <c:pt idx="4">
                  <c:v>38.158444786890819</c:v>
                </c:pt>
                <c:pt idx="5">
                  <c:v>50.389953444139813</c:v>
                </c:pt>
                <c:pt idx="6">
                  <c:v>61.106841041804906</c:v>
                </c:pt>
                <c:pt idx="7">
                  <c:v>65.56696338217823</c:v>
                </c:pt>
                <c:pt idx="8">
                  <c:v>67.874929668328988</c:v>
                </c:pt>
                <c:pt idx="9">
                  <c:v>73.746219896683883</c:v>
                </c:pt>
                <c:pt idx="10">
                  <c:v>75.398938370620513</c:v>
                </c:pt>
                <c:pt idx="11">
                  <c:v>76.538119500504536</c:v>
                </c:pt>
              </c:numCache>
            </c:numRef>
          </c:val>
          <c:extLst>
            <c:ext xmlns:c="http://schemas.openxmlformats.org/drawingml/2006/chart" xmlns:c16="http://schemas.microsoft.com/office/drawing/2014/chart" uri="{C3380CC4-5D6E-409C-BE32-E72D297353CC}">
              <c16:uniqueId val="{00000004-AA86-483D-8BAA-EA784BA6D139}"/>
            </c:ext>
          </c:extLst>
        </c:ser>
        <c:dLbls>
          <c:showLegendKey val="0"/>
          <c:showVal val="0"/>
          <c:showCatName val="0"/>
          <c:showSerName val="0"/>
          <c:showPercent val="0"/>
          <c:showBubbleSize val="0"/>
        </c:dLbls>
        <c:gapWidth val="20"/>
        <c:axId val="629867504"/>
        <c:axId val="629864760"/>
      </c:barChart>
      <c:catAx>
        <c:axId val="629867504"/>
        <c:scaling>
          <c:orientation val="minMax"/>
        </c:scaling>
        <c:delete val="0"/>
        <c:axPos val="b"/>
        <c:numFmt formatCode="0" sourceLinked="1"/>
        <c:majorTickMark val="out"/>
        <c:minorTickMark val="none"/>
        <c:tickLblPos val="low"/>
        <c:txPr>
          <a:bodyPr rot="-5400000" vert="horz"/>
          <a:lstStyle/>
          <a:p>
            <a:pPr>
              <a:defRPr/>
            </a:pPr>
            <a:endParaRPr lang="lv-LV"/>
          </a:p>
        </c:txPr>
        <c:crossAx val="629864760"/>
        <c:crosses val="autoZero"/>
        <c:auto val="1"/>
        <c:lblAlgn val="ctr"/>
        <c:lblOffset val="100"/>
        <c:noMultiLvlLbl val="0"/>
      </c:catAx>
      <c:valAx>
        <c:axId val="629864760"/>
        <c:scaling>
          <c:orientation val="minMax"/>
          <c:min val="0"/>
        </c:scaling>
        <c:delete val="0"/>
        <c:axPos val="l"/>
        <c:numFmt formatCode="0" sourceLinked="0"/>
        <c:majorTickMark val="out"/>
        <c:minorTickMark val="none"/>
        <c:tickLblPos val="nextTo"/>
        <c:crossAx val="629867504"/>
        <c:crosses val="autoZero"/>
        <c:crossBetween val="between"/>
        <c:majorUnit val="20"/>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572372897835"/>
          <c:y val="0.044057785459744363"/>
          <c:w val="0.9310540474739486"/>
          <c:h val="0.71166165204959131"/>
        </c:manualLayout>
      </c:layout>
      <c:barChart>
        <c:barDir val="col"/>
        <c:grouping val="clustered"/>
        <c:varyColors val="0"/>
        <c:ser>
          <c:idx val="1"/>
          <c:order val="0"/>
          <c:tx>
            <c:strRef>
              <c:f>Sheet1!$B$3</c:f>
              <c:strCache>
                <c:ptCount val="1"/>
              </c:strCache>
            </c:strRef>
          </c:tx>
          <c:spPr>
            <a:solidFill>
              <a:schemeClr val="accent3">
                <a:lumMod val="50000"/>
              </a:schemeClr>
            </a:solidFill>
            <a:ln w="19050"/>
          </c:spPr>
          <c:invertIfNegative val="0"/>
          <c:dPt>
            <c:idx val="8"/>
            <c:invertIfNegative val="0"/>
            <c:bubble3D val="0"/>
            <c:extLst>
              <c:ext xmlns:c="http://schemas.openxmlformats.org/drawingml/2006/chart" xmlns:c16="http://schemas.microsoft.com/office/drawing/2014/chart" uri="{C3380CC4-5D6E-409C-BE32-E72D297353CC}">
                <c16:uniqueId val="{00000000-5484-4136-8D24-CB9C33ECB582}"/>
              </c:ext>
            </c:extLst>
          </c:dPt>
          <c:dPt>
            <c:idx val="9"/>
            <c:invertIfNegative val="0"/>
            <c:bubble3D val="0"/>
            <c:extLst>
              <c:ext xmlns:c="http://schemas.openxmlformats.org/drawingml/2006/chart" xmlns:c16="http://schemas.microsoft.com/office/drawing/2014/chart" uri="{C3380CC4-5D6E-409C-BE32-E72D297353CC}">
                <c16:uniqueId val="{00000001-5484-4136-8D24-CB9C33ECB582}"/>
              </c:ext>
            </c:extLst>
          </c:dPt>
          <c:dPt>
            <c:idx val="11"/>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3-5484-4136-8D24-CB9C33ECB582}"/>
              </c:ext>
            </c:extLst>
          </c:dPt>
          <c:dPt>
            <c:idx val="12"/>
            <c:invertIfNegative val="0"/>
            <c:bubble3D val="0"/>
            <c:extLst>
              <c:ext xmlns:c="http://schemas.openxmlformats.org/drawingml/2006/chart" xmlns:c16="http://schemas.microsoft.com/office/drawing/2014/chart" uri="{C3380CC4-5D6E-409C-BE32-E72D297353CC}">
                <c16:uniqueId val="{00000004-5484-4136-8D24-CB9C33ECB582}"/>
              </c:ext>
            </c:extLst>
          </c:dPt>
          <c:dPt>
            <c:idx val="21"/>
            <c:invertIfNegative val="0"/>
            <c:bubble3D val="0"/>
            <c:spPr>
              <a:ln w="19050"/>
            </c:spPr>
            <c:extLst>
              <c:ext xmlns:c="http://schemas.openxmlformats.org/drawingml/2006/chart" xmlns:c16="http://schemas.microsoft.com/office/drawing/2014/chart" uri="{C3380CC4-5D6E-409C-BE32-E72D297353CC}">
                <c16:uniqueId val="{00000006-5484-4136-8D24-CB9C33ECB582}"/>
              </c:ext>
            </c:extLst>
          </c:dPt>
          <c:dPt>
            <c:idx val="25"/>
            <c:invertIfNegative val="0"/>
            <c:bubble3D val="0"/>
            <c:extLst>
              <c:ext xmlns:c="http://schemas.openxmlformats.org/drawingml/2006/chart" xmlns:c16="http://schemas.microsoft.com/office/drawing/2014/chart" uri="{C3380CC4-5D6E-409C-BE32-E72D297353CC}">
                <c16:uniqueId val="{00000007-5484-4136-8D24-CB9C33ECB582}"/>
              </c:ext>
            </c:extLst>
          </c:dPt>
          <c:dLbls>
            <c:dLbl>
              <c:idx val="0"/>
              <c:spPr>
                <a:noFill/>
                <a:ln>
                  <a:noFill/>
                </a:ln>
                <a:effectLst/>
              </c:spPr>
              <c:txPr>
                <a:bodyPr wrap="square" lIns="38100" tIns="19050" rIns="38100" bIns="19050" anchor="ctr">
                  <a:spAutoFit/>
                </a:bodyPr>
                <a:lstStyle/>
                <a:p>
                  <a:pPr>
                    <a:defRPr sz="600">
                      <a:solidFill>
                        <a:schemeClr val="bg1"/>
                      </a:solidFill>
                    </a:defRPr>
                  </a:pPr>
                  <a:endParaRPr lang="lv-LV"/>
                </a:p>
              </c:txPr>
              <c:dLblPos val="in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5484-4136-8D24-CB9C33ECB582}"/>
                </c:ext>
                <c:ext xmlns:c15="http://schemas.microsoft.com/office/drawing/2012/chart" uri="{CE6537A1-D6FC-4f65-9D91-7224C49458BB}"/>
              </c:extLst>
            </c:dLbl>
            <c:dLbl>
              <c:idx val="1"/>
              <c:spPr>
                <a:noFill/>
                <a:ln>
                  <a:noFill/>
                </a:ln>
                <a:effectLst/>
              </c:spPr>
              <c:txPr>
                <a:bodyPr wrap="square" lIns="38100" tIns="19050" rIns="38100" bIns="19050" anchor="ctr">
                  <a:spAutoFit/>
                </a:bodyPr>
                <a:lstStyle/>
                <a:p>
                  <a:pPr>
                    <a:defRPr sz="600">
                      <a:solidFill>
                        <a:schemeClr val="bg1"/>
                      </a:solidFill>
                    </a:defRPr>
                  </a:pPr>
                  <a:endParaRPr lang="lv-LV"/>
                </a:p>
              </c:txPr>
              <c:dLblPos val="in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5484-4136-8D24-CB9C33ECB582}"/>
                </c:ext>
                <c:ext xmlns:c15="http://schemas.microsoft.com/office/drawing/2012/chart" uri="{CE6537A1-D6FC-4f65-9D91-7224C49458BB}"/>
              </c:extLst>
            </c:dLbl>
            <c:dLbl>
              <c:idx val="2"/>
              <c:spPr>
                <a:noFill/>
                <a:ln>
                  <a:noFill/>
                </a:ln>
                <a:effectLst/>
              </c:spPr>
              <c:txPr>
                <a:bodyPr wrap="square" lIns="38100" tIns="19050" rIns="38100" bIns="19050" anchor="ctr">
                  <a:spAutoFit/>
                </a:bodyPr>
                <a:lstStyle/>
                <a:p>
                  <a:pPr>
                    <a:defRPr sz="600">
                      <a:solidFill>
                        <a:sysClr val="windowText" lastClr="000000"/>
                      </a:solidFill>
                    </a:defRPr>
                  </a:pPr>
                  <a:endParaRPr lang="lv-LV"/>
                </a:p>
              </c:txPr>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5484-4136-8D24-CB9C33ECB582}"/>
                </c:ext>
                <c:ext xmlns:c15="http://schemas.microsoft.com/office/drawing/2012/chart" uri="{CE6537A1-D6FC-4f65-9D91-7224C49458BB}"/>
              </c:extLst>
            </c:dLbl>
            <c:dLbl>
              <c:idx val="11"/>
              <c:spPr>
                <a:noFill/>
                <a:ln>
                  <a:noFill/>
                </a:ln>
                <a:effectLst/>
              </c:spPr>
              <c:txPr>
                <a:bodyPr wrap="square" lIns="38100" tIns="19050" rIns="38100" bIns="19050" anchor="ctr">
                  <a:spAutoFit/>
                </a:bodyPr>
                <a:lstStyle/>
                <a:p>
                  <a:pPr>
                    <a:defRPr sz="600" b="0"/>
                  </a:pPr>
                  <a:endParaRPr lang="lv-LV"/>
                </a:p>
              </c:txPr>
              <c:showLegendKey val="0"/>
              <c:showVal val="1"/>
              <c:showCatName val="0"/>
              <c:showSerName val="0"/>
              <c:showPercent val="0"/>
              <c:showBubbleSize val="0"/>
            </c:dLbl>
            <c:dLbl>
              <c:idx val="21"/>
              <c:spPr>
                <a:noFill/>
                <a:ln>
                  <a:noFill/>
                </a:ln>
                <a:effectLst/>
              </c:spPr>
              <c:txPr>
                <a:bodyPr wrap="square" lIns="38100" tIns="19050" rIns="38100" bIns="19050" anchor="ctr">
                  <a:spAutoFit/>
                </a:bodyPr>
                <a:lstStyle/>
                <a:p>
                  <a:pPr>
                    <a:defRPr sz="600" b="1"/>
                  </a:pPr>
                  <a:endParaRPr lang="lv-LV"/>
                </a:p>
              </c:txPr>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Sheet1!$A$4:$A$31</c:f>
              <c:strCache>
                <c:ptCount val="28"/>
                <c:pt idx="0">
                  <c:v>BE</c:v>
                </c:pt>
                <c:pt idx="1">
                  <c:v>NL</c:v>
                </c:pt>
                <c:pt idx="2">
                  <c:v>IE</c:v>
                </c:pt>
                <c:pt idx="3">
                  <c:v>LU</c:v>
                </c:pt>
                <c:pt idx="4">
                  <c:v>DK</c:v>
                </c:pt>
                <c:pt idx="5">
                  <c:v>AT</c:v>
                </c:pt>
                <c:pt idx="6">
                  <c:v>SE</c:v>
                </c:pt>
                <c:pt idx="7">
                  <c:v>FR</c:v>
                </c:pt>
                <c:pt idx="8">
                  <c:v>DE</c:v>
                </c:pt>
                <c:pt idx="9">
                  <c:v>SI</c:v>
                </c:pt>
                <c:pt idx="10">
                  <c:v>FI</c:v>
                </c:pt>
                <c:pt idx="11">
                  <c:v>EU-28</c:v>
                </c:pt>
                <c:pt idx="12">
                  <c:v>UK</c:v>
                </c:pt>
                <c:pt idx="13">
                  <c:v>SK</c:v>
                </c:pt>
                <c:pt idx="14">
                  <c:v>MT</c:v>
                </c:pt>
                <c:pt idx="15">
                  <c:v>HU</c:v>
                </c:pt>
                <c:pt idx="16">
                  <c:v>ES</c:v>
                </c:pt>
                <c:pt idx="17">
                  <c:v>IT</c:v>
                </c:pt>
                <c:pt idx="18">
                  <c:v>CZ</c:v>
                </c:pt>
                <c:pt idx="19">
                  <c:v>EE</c:v>
                </c:pt>
                <c:pt idx="20">
                  <c:v>LT</c:v>
                </c:pt>
                <c:pt idx="21">
                  <c:v>LV</c:v>
                </c:pt>
                <c:pt idx="22">
                  <c:v>CY</c:v>
                </c:pt>
                <c:pt idx="23">
                  <c:v>PT</c:v>
                </c:pt>
                <c:pt idx="24">
                  <c:v>PL</c:v>
                </c:pt>
                <c:pt idx="25">
                  <c:v>EL</c:v>
                </c:pt>
                <c:pt idx="26">
                  <c:v>HR</c:v>
                </c:pt>
                <c:pt idx="27">
                  <c:v>RO</c:v>
                </c:pt>
              </c:strCache>
            </c:strRef>
          </c:cat>
          <c:val>
            <c:numRef>
              <c:f>Sheet1!$B$4:$B$31</c:f>
              <c:numCache>
                <c:formatCode>0</c:formatCode>
                <c:ptCount val="28"/>
                <c:pt idx="0">
                  <c:v>631.08782770186326</c:v>
                </c:pt>
                <c:pt idx="1">
                  <c:v>550.24403769921878</c:v>
                </c:pt>
                <c:pt idx="2">
                  <c:v>546.015942780269</c:v>
                </c:pt>
                <c:pt idx="3">
                  <c:v>426.96876050758277</c:v>
                </c:pt>
                <c:pt idx="4">
                  <c:v>271.87168485467129</c:v>
                </c:pt>
                <c:pt idx="5">
                  <c:v>210.78441703104468</c:v>
                </c:pt>
                <c:pt idx="6">
                  <c:v>207.2078317724486</c:v>
                </c:pt>
                <c:pt idx="7">
                  <c:v>159.01480416984006</c:v>
                </c:pt>
                <c:pt idx="8">
                  <c:v>152.54264535614803</c:v>
                </c:pt>
                <c:pt idx="9">
                  <c:v>142.15124251195439</c:v>
                </c:pt>
                <c:pt idx="10">
                  <c:v>142.01731146414642</c:v>
                </c:pt>
                <c:pt idx="11">
                  <c:v>138.54360318078355</c:v>
                </c:pt>
                <c:pt idx="12">
                  <c:v>133.36245487990283</c:v>
                </c:pt>
                <c:pt idx="13">
                  <c:v>130.69307697961912</c:v>
                </c:pt>
                <c:pt idx="14">
                  <c:v>116.60070761604325</c:v>
                </c:pt>
                <c:pt idx="15">
                  <c:v>110.60363164087316</c:v>
                </c:pt>
                <c:pt idx="16">
                  <c:v>109.94442443802497</c:v>
                </c:pt>
                <c:pt idx="17">
                  <c:v>101.89963100797679</c:v>
                </c:pt>
                <c:pt idx="18">
                  <c:v>100.79520280707784</c:v>
                </c:pt>
                <c:pt idx="19">
                  <c:v>90.284445366470081</c:v>
                </c:pt>
                <c:pt idx="20">
                  <c:v>83.8589325954489</c:v>
                </c:pt>
                <c:pt idx="21">
                  <c:v>81.48357123276152</c:v>
                </c:pt>
                <c:pt idx="22">
                  <c:v>70.949700338753388</c:v>
                </c:pt>
                <c:pt idx="23">
                  <c:v>61.424973602668537</c:v>
                </c:pt>
                <c:pt idx="24">
                  <c:v>52.78986089216351</c:v>
                </c:pt>
                <c:pt idx="25">
                  <c:v>49.153433440266511</c:v>
                </c:pt>
                <c:pt idx="26">
                  <c:v>39.3482930359046</c:v>
                </c:pt>
                <c:pt idx="27">
                  <c:v>32.148148623409668</c:v>
                </c:pt>
              </c:numCache>
            </c:numRef>
          </c:val>
          <c:extLst>
            <c:ext xmlns:c="http://schemas.openxmlformats.org/drawingml/2006/chart" xmlns:c16="http://schemas.microsoft.com/office/drawing/2014/chart" uri="{C3380CC4-5D6E-409C-BE32-E72D297353CC}">
              <c16:uniqueId val="{0000000B-5484-4136-8D24-CB9C33ECB582}"/>
            </c:ext>
          </c:extLst>
        </c:ser>
        <c:dLbls>
          <c:showLegendKey val="0"/>
          <c:showVal val="0"/>
          <c:showCatName val="0"/>
          <c:showSerName val="0"/>
          <c:showPercent val="0"/>
          <c:showBubbleSize val="0"/>
        </c:dLbls>
        <c:gapWidth val="20"/>
        <c:axId val="629868288"/>
        <c:axId val="629866720"/>
      </c:barChart>
      <c:catAx>
        <c:axId val="629868288"/>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29866720"/>
        <c:crosses val="autoZero"/>
        <c:auto val="1"/>
        <c:lblAlgn val="ctr"/>
        <c:lblOffset val="100"/>
        <c:tickLblSkip val="1"/>
        <c:noMultiLvlLbl val="0"/>
      </c:catAx>
      <c:valAx>
        <c:axId val="629866720"/>
        <c:scaling>
          <c:orientation val="minMax"/>
          <c:max val="640"/>
          <c:min val="0"/>
        </c:scaling>
        <c:delete val="0"/>
        <c:axPos val="l"/>
        <c:numFmt formatCode="0" sourceLinked="0"/>
        <c:majorTickMark val="out"/>
        <c:minorTickMark val="none"/>
        <c:tickLblPos val="nextTo"/>
        <c:txPr>
          <a:bodyPr/>
          <a:lstStyle/>
          <a:p>
            <a:pPr>
              <a:defRPr sz="600"/>
            </a:pPr>
            <a:endParaRPr lang="lv-LV"/>
          </a:p>
        </c:txPr>
        <c:crossAx val="629868288"/>
        <c:crosses val="autoZero"/>
        <c:crossBetween val="between"/>
        <c:majorUnit val="160"/>
      </c:valAx>
    </c:plotArea>
    <c:plotVisOnly val="1"/>
    <c:dispBlanksAs val="gap"/>
    <c:showDLblsOverMax val="0"/>
  </c:chart>
  <c:spPr>
    <a:ln w="9525">
      <a:noFill/>
    </a:ln>
  </c:sp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449061330451076"/>
          <c:y val="0.15218914041994749"/>
          <c:w val="0.52181675566416263"/>
          <c:h val="0.709344652230971"/>
        </c:manualLayout>
      </c:layout>
      <c:pieChart>
        <c:varyColors val="1"/>
        <c:ser>
          <c:idx val="0"/>
          <c:order val="0"/>
          <c:tx>
            <c:strRef>
              <c:f>Sheet1!$B$1</c:f>
              <c:strCache>
                <c:ptCount val="1"/>
                <c:pt idx="0">
                  <c:v>Column1</c:v>
                </c:pt>
              </c:strCache>
            </c:strRef>
          </c:tx>
          <c:dPt>
            <c:idx val="0"/>
            <c:bubble3D val="0"/>
            <c:spPr>
              <a:solidFill>
                <a:schemeClr val="accent1"/>
              </a:solidFill>
              <a:ln>
                <a:noFill/>
              </a:ln>
              <a:effectLst/>
            </c:spPr>
            <c:extLst>
              <c:ext xmlns:c="http://schemas.openxmlformats.org/drawingml/2006/chart" xmlns:c16="http://schemas.microsoft.com/office/drawing/2014/chart" uri="{C3380CC4-5D6E-409C-BE32-E72D297353CC}">
                <c16:uniqueId val="{00000001-1070-47CA-ABC5-C0337B8B0D6D}"/>
              </c:ext>
            </c:extLst>
          </c:dPt>
          <c:dPt>
            <c:idx val="1"/>
            <c:bubble3D val="0"/>
            <c:spPr>
              <a:solidFill>
                <a:schemeClr val="accent2"/>
              </a:solidFill>
              <a:ln>
                <a:noFill/>
              </a:ln>
              <a:effectLst/>
            </c:spPr>
            <c:extLst>
              <c:ext xmlns:c="http://schemas.openxmlformats.org/drawingml/2006/chart" xmlns:c16="http://schemas.microsoft.com/office/drawing/2014/chart" uri="{C3380CC4-5D6E-409C-BE32-E72D297353CC}">
                <c16:uniqueId val="{00000003-1070-47CA-ABC5-C0337B8B0D6D}"/>
              </c:ext>
            </c:extLst>
          </c:dPt>
          <c:dPt>
            <c:idx val="2"/>
            <c:bubble3D val="0"/>
            <c:spPr>
              <a:solidFill>
                <a:schemeClr val="accent3"/>
              </a:solidFill>
              <a:ln>
                <a:noFill/>
              </a:ln>
              <a:effectLst/>
            </c:spPr>
            <c:extLst>
              <c:ext xmlns:c="http://schemas.openxmlformats.org/drawingml/2006/chart" xmlns:c16="http://schemas.microsoft.com/office/drawing/2014/chart" uri="{C3380CC4-5D6E-409C-BE32-E72D297353CC}">
                <c16:uniqueId val="{00000005-1070-47CA-ABC5-C0337B8B0D6D}"/>
              </c:ext>
            </c:extLst>
          </c:dPt>
          <c:dPt>
            <c:idx val="3"/>
            <c:bubble3D val="0"/>
            <c:spPr>
              <a:solidFill>
                <a:schemeClr val="accent4"/>
              </a:solidFill>
              <a:ln>
                <a:noFill/>
              </a:ln>
              <a:effectLst/>
            </c:spPr>
            <c:extLst>
              <c:ext xmlns:c="http://schemas.openxmlformats.org/drawingml/2006/chart" xmlns:c16="http://schemas.microsoft.com/office/drawing/2014/chart" uri="{C3380CC4-5D6E-409C-BE32-E72D297353CC}">
                <c16:uniqueId val="{00000007-1070-47CA-ABC5-C0337B8B0D6D}"/>
              </c:ext>
            </c:extLst>
          </c:dPt>
          <c:dPt>
            <c:idx val="4"/>
            <c:bubble3D val="0"/>
            <c:spPr>
              <a:solidFill>
                <a:schemeClr val="accent5"/>
              </a:solidFill>
              <a:ln>
                <a:noFill/>
              </a:ln>
              <a:effectLst/>
            </c:spPr>
            <c:extLst>
              <c:ext xmlns:c="http://schemas.openxmlformats.org/drawingml/2006/chart" xmlns:c16="http://schemas.microsoft.com/office/drawing/2014/chart" uri="{C3380CC4-5D6E-409C-BE32-E72D297353CC}">
                <c16:uniqueId val="{00000009-1070-47CA-ABC5-C0337B8B0D6D}"/>
              </c:ext>
            </c:extLst>
          </c:dPt>
          <c:dPt>
            <c:idx val="5"/>
            <c:bubble3D val="0"/>
            <c:spPr>
              <a:solidFill>
                <a:schemeClr val="accent6"/>
              </a:solidFill>
              <a:ln>
                <a:noFill/>
              </a:ln>
              <a:effectLst/>
            </c:spPr>
            <c:extLst>
              <c:ext xmlns:c="http://schemas.openxmlformats.org/drawingml/2006/chart" xmlns:c16="http://schemas.microsoft.com/office/drawing/2014/chart" uri="{C3380CC4-5D6E-409C-BE32-E72D297353CC}">
                <c16:uniqueId val="{0000000B-1070-47CA-ABC5-C0337B8B0D6D}"/>
              </c:ext>
            </c:extLst>
          </c:dPt>
          <c:dPt>
            <c:idx val="6"/>
            <c:bubble3D val="0"/>
            <c:spPr>
              <a:solidFill>
                <a:schemeClr val="accent1">
                  <a:lumMod val="60000"/>
                </a:schemeClr>
              </a:solidFill>
              <a:ln>
                <a:noFill/>
              </a:ln>
              <a:effectLst/>
            </c:spPr>
            <c:extLst>
              <c:ext xmlns:c="http://schemas.openxmlformats.org/drawingml/2006/chart" xmlns:c16="http://schemas.microsoft.com/office/drawing/2014/chart" uri="{C3380CC4-5D6E-409C-BE32-E72D297353CC}">
                <c16:uniqueId val="{0000000D-1070-47CA-ABC5-C0337B8B0D6D}"/>
              </c:ext>
            </c:extLst>
          </c:dPt>
          <c:dLbls>
            <c:dLbl>
              <c:idx val="0"/>
              <c:spPr>
                <a:noFill/>
                <a:ln>
                  <a:noFill/>
                </a:ln>
                <a:effectLst/>
              </c:spPr>
              <c:txPr>
                <a:bodyPr wrap="square" lIns="38100" tIns="19050" rIns="38100" bIns="19050" anchor="ctr"/>
                <a:lstStyle/>
                <a:p>
                  <a:pPr>
                    <a:defRPr sz="700"/>
                  </a:pPr>
                  <a:endParaRPr lang="lv-LV"/>
                </a:p>
              </c:txPr>
              <c:dLblPos val="outEnd"/>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1-1070-47CA-ABC5-C0337B8B0D6D}"/>
                </c:ext>
                <c:ext xmlns:c15="http://schemas.microsoft.com/office/drawing/2012/chart" uri="{CE6537A1-D6FC-4f65-9D91-7224C49458BB}"/>
              </c:extLst>
            </c:dLbl>
            <c:dLbl>
              <c:idx val="2"/>
              <c:layout>
                <c:manualLayout>
                  <c:x val="0.038314176245210725"/>
                  <c:y val="-0.046425255338904362"/>
                </c:manualLayout>
              </c:layout>
              <c:dLblPos val="bestFit"/>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5-1070-47CA-ABC5-C0337B8B0D6D}"/>
                </c:ext>
                <c:ext xmlns:c15="http://schemas.microsoft.com/office/drawing/2012/chart" uri="{CE6537A1-D6FC-4f65-9D91-7224C49458BB}">
                  <c15:layout>
                    <c:manualLayout>
                      <c:w val="0.23107309862129302"/>
                      <c:h val="0.26587780287909696"/>
                    </c:manualLayout>
                  </c15:layout>
                </c:ext>
              </c:extLst>
            </c:dLbl>
            <c:dLbl>
              <c:idx val="3"/>
              <c:layout>
                <c:manualLayout>
                  <c:x val="0.099616858237547887"/>
                  <c:y val="0.009285051067780872"/>
                </c:manualLayout>
              </c:layout>
              <c:dLblPos val="bestFit"/>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7-1070-47CA-ABC5-C0337B8B0D6D}"/>
                </c:ext>
                <c:ext xmlns:c15="http://schemas.microsoft.com/office/drawing/2012/chart" uri="{CE6537A1-D6FC-4f65-9D91-7224C49458BB}"/>
              </c:extLst>
            </c:dLbl>
            <c:dLbl>
              <c:idx val="4"/>
              <c:layout>
                <c:manualLayout>
                  <c:x val="0.053640148429722145"/>
                  <c:y val="0"/>
                </c:manualLayout>
              </c:layout>
              <c:spPr>
                <a:noFill/>
                <a:ln>
                  <a:noFill/>
                </a:ln>
                <a:effectLst/>
              </c:spPr>
              <c:txPr>
                <a:bodyPr wrap="square" lIns="38100" tIns="19050" rIns="38100" bIns="19050" anchor="ctr"/>
                <a:lstStyle/>
                <a:p>
                  <a:pPr>
                    <a:defRPr sz="700"/>
                  </a:pPr>
                  <a:endParaRPr lang="lv-LV"/>
                </a:p>
              </c:txPr>
              <c:dLblPos val="bestFit"/>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9-1070-47CA-ABC5-C0337B8B0D6D}"/>
                </c:ext>
                <c:ext xmlns:c15="http://schemas.microsoft.com/office/drawing/2012/chart" uri="{CE6537A1-D6FC-4f65-9D91-7224C49458BB}">
                  <c15:layout>
                    <c:manualLayout>
                      <c:w val="0.28325640329441576"/>
                      <c:h val="0.20088244540463082"/>
                    </c:manualLayout>
                  </c15:layout>
                </c:ext>
              </c:extLst>
            </c:dLbl>
            <c:dLbl>
              <c:idx val="5"/>
              <c:spPr>
                <a:noFill/>
                <a:ln>
                  <a:noFill/>
                </a:ln>
                <a:effectLst/>
              </c:spPr>
              <c:txPr>
                <a:bodyPr wrap="square" lIns="38100" tIns="19050" rIns="38100" bIns="19050" anchor="ctr"/>
                <a:lstStyle/>
                <a:p>
                  <a:pPr>
                    <a:defRPr sz="700"/>
                  </a:pPr>
                  <a:endParaRPr lang="lv-LV"/>
                </a:p>
              </c:txPr>
              <c:dLblPos val="outEnd"/>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B-1070-47CA-ABC5-C0337B8B0D6D}"/>
                </c:ext>
                <c:ext xmlns:c15="http://schemas.microsoft.com/office/drawing/2012/chart" uri="{CE6537A1-D6FC-4f65-9D91-7224C49458BB}"/>
              </c:extLst>
            </c:dLbl>
            <c:dLbl>
              <c:idx val="6"/>
              <c:layout>
                <c:manualLayout>
                  <c:x val="-0.099616858237547887"/>
                  <c:y val="-0.13927576601671318"/>
                </c:manualLayout>
              </c:layout>
              <c:dLblPos val="bestFit"/>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D-1070-47CA-ABC5-C0337B8B0D6D}"/>
                </c:ext>
                <c:ext xmlns:c15="http://schemas.microsoft.com/office/drawing/2012/chart" uri="{CE6537A1-D6FC-4f65-9D91-7224C49458BB}"/>
              </c:extLst>
            </c:dLbl>
            <c:dLbl>
              <c:idx val="7"/>
              <c:layout>
                <c:manualLayout>
                  <c:x val="-0.053639846743295021"/>
                  <c:y val="-0.22284122562674094"/>
                </c:manualLayout>
              </c:layout>
              <c:dLblPos val="bestFit"/>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E-1070-47CA-ABC5-C0337B8B0D6D}"/>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700"/>
                </a:pPr>
                <a:endParaRPr lang="lv-LV"/>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Sheet1!$A$2:$A$10</c:f>
              <c:strCache>
                <c:ptCount val="9"/>
                <c:pt idx="0">
                  <c:v>Lie-tuva</c:v>
                </c:pt>
                <c:pt idx="1">
                  <c:v>Igau-nija</c:v>
                </c:pt>
                <c:pt idx="2">
                  <c:v>Krievija</c:v>
                </c:pt>
                <c:pt idx="3">
                  <c:v>Vācija</c:v>
                </c:pt>
                <c:pt idx="4">
                  <c:v>Zviedrija</c:v>
                </c:pt>
                <c:pt idx="5">
                  <c:v>Apvie-notā Kara-liste</c:v>
                </c:pt>
                <c:pt idx="6">
                  <c:v>Polija</c:v>
                </c:pt>
                <c:pt idx="7">
                  <c:v>Dānija</c:v>
                </c:pt>
                <c:pt idx="8">
                  <c:v>Citas valstis</c:v>
                </c:pt>
              </c:strCache>
            </c:strRef>
          </c:cat>
          <c:val>
            <c:numRef>
              <c:f>Sheet1!$B$2:$B$10</c:f>
              <c:numCache>
                <c:formatCode>0.00</c:formatCode>
                <c:ptCount val="9"/>
                <c:pt idx="0">
                  <c:v>0.17441435598349858</c:v>
                </c:pt>
                <c:pt idx="1">
                  <c:v>0.12506026818998242</c:v>
                </c:pt>
                <c:pt idx="2">
                  <c:v>0.089166577405901185</c:v>
                </c:pt>
                <c:pt idx="3">
                  <c:v>0.065632570795555956</c:v>
                </c:pt>
                <c:pt idx="4">
                  <c:v>0.059313598377416246</c:v>
                </c:pt>
                <c:pt idx="5">
                  <c:v>0.058830452243628539</c:v>
                </c:pt>
                <c:pt idx="6">
                  <c:v>0.05511671897921204</c:v>
                </c:pt>
                <c:pt idx="7">
                  <c:v>0.044705733221967782</c:v>
                </c:pt>
                <c:pt idx="8">
                  <c:v>0.32775972480283733</c:v>
                </c:pt>
              </c:numCache>
            </c:numRef>
          </c:val>
          <c:extLst>
            <c:ext xmlns:c="http://schemas.openxmlformats.org/drawingml/2006/chart" xmlns:c16="http://schemas.microsoft.com/office/drawing/2014/chart" uri="{C3380CC4-5D6E-409C-BE32-E72D297353CC}">
              <c16:uniqueId val="{0000000F-1070-47CA-ABC5-C0337B8B0D6D}"/>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noFill/>
    <a:ln w="9525">
      <a:noFill/>
      <a:round/>
    </a:ln>
    <a:effectLst/>
  </c:spPr>
  <c:txPr>
    <a:bodyPr/>
    <a:lstStyle/>
    <a:p>
      <a:pPr>
        <a:defRPr sz="800">
          <a:latin typeface="Candara" panose="020E0502030303020204" pitchFamily="34" charset="0"/>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30307899251493849"/>
          <c:y val="0.038493219843582546"/>
          <c:w val="0.938617878647522"/>
          <c:h val="0.91449828613942941"/>
        </c:manualLayout>
      </c:layout>
      <c:barChart>
        <c:barDir val="bar"/>
        <c:grouping val="clustered"/>
        <c:varyColors val="0"/>
        <c:ser>
          <c:idx val="0"/>
          <c:order val="0"/>
          <c:tx>
            <c:strRef>
              <c:f>Sheet1!$B$1</c:f>
              <c:strCache>
                <c:ptCount val="1"/>
                <c:pt idx="0">
                  <c:v>Series 1</c:v>
                </c:pt>
              </c:strCache>
            </c:strRef>
          </c:tx>
          <c:spPr>
            <a:solidFill>
              <a:schemeClr val="accent2">
                <a:lumMod val="75000"/>
              </a:schemeClr>
            </a:solidFill>
            <a:ln>
              <a:noFill/>
            </a:ln>
            <a:effectLst/>
          </c:spPr>
          <c:invertIfNegative val="0"/>
          <c:dPt>
            <c:idx val="0"/>
            <c:invertIfNegative val="0"/>
            <c:bubble3D val="0"/>
            <c:extLst>
              <c:ext xmlns:c="http://schemas.openxmlformats.org/drawingml/2006/chart" xmlns:c16="http://schemas.microsoft.com/office/drawing/2014/chart" uri="{C3380CC4-5D6E-409C-BE32-E72D297353CC}">
                <c16:uniqueId val="{00000000-322C-4548-871E-0802684718B9}"/>
              </c:ext>
            </c:extLst>
          </c:dPt>
          <c:dPt>
            <c:idx val="1"/>
            <c:invertIfNegative val="0"/>
            <c:bubble3D val="0"/>
            <c:extLst>
              <c:ext xmlns:c="http://schemas.openxmlformats.org/drawingml/2006/chart" xmlns:c16="http://schemas.microsoft.com/office/drawing/2014/chart" uri="{C3380CC4-5D6E-409C-BE32-E72D297353CC}">
                <c16:uniqueId val="{00000001-322C-4548-871E-0802684718B9}"/>
              </c:ext>
            </c:extLst>
          </c:dPt>
          <c:dPt>
            <c:idx val="2"/>
            <c:invertIfNegative val="0"/>
            <c:bubble3D val="0"/>
            <c:extLst>
              <c:ext xmlns:c="http://schemas.openxmlformats.org/drawingml/2006/chart" xmlns:c16="http://schemas.microsoft.com/office/drawing/2014/chart" uri="{C3380CC4-5D6E-409C-BE32-E72D297353CC}">
                <c16:uniqueId val="{00000002-322C-4548-871E-0802684718B9}"/>
              </c:ext>
            </c:extLst>
          </c:dPt>
          <c:dPt>
            <c:idx val="3"/>
            <c:invertIfNegative val="0"/>
            <c:bubble3D val="0"/>
            <c:extLst>
              <c:ext xmlns:c="http://schemas.openxmlformats.org/drawingml/2006/chart" xmlns:c16="http://schemas.microsoft.com/office/drawing/2014/chart" uri="{C3380CC4-5D6E-409C-BE32-E72D297353CC}">
                <c16:uniqueId val="{00000003-322C-4548-871E-0802684718B9}"/>
              </c:ext>
            </c:extLst>
          </c:dPt>
          <c:dLbls>
            <c:dLbl>
              <c:idx val="5"/>
              <c:layout>
                <c:manualLayout>
                  <c:x val="-0.058870310328856063"/>
                  <c:y val="0"/>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lv-LV"/>
                </a:p>
              </c:txPr>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322C-4548-871E-0802684718B9}"/>
                </c:ext>
                <c:ext xmlns:c15="http://schemas.microsoft.com/office/drawing/2012/chart" uri="{CE6537A1-D6FC-4f65-9D91-7224C49458BB}">
                  <c15:layout>
                    <c:manualLayout>
                      <c:w val="0.11235294117647056"/>
                      <c:h val="0.10185301605715695"/>
                    </c:manualLayout>
                  </c15:layout>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Vieglā rūpniecība</c:v>
                </c:pt>
                <c:pt idx="1">
                  <c:v>Metālapstrāde</c:v>
                </c:pt>
                <c:pt idx="2">
                  <c:v>Pārtikas rūpniecība</c:v>
                </c:pt>
                <c:pt idx="3">
                  <c:v>Ieguves rūpniecība</c:v>
                </c:pt>
                <c:pt idx="4">
                  <c:v>Finanšu un apdroš. darbības</c:v>
                </c:pt>
                <c:pt idx="5">
                  <c:v>Elektroenerģija, gāzes apgāde</c:v>
                </c:pt>
              </c:strCache>
            </c:strRef>
          </c:cat>
          <c:val>
            <c:numRef>
              <c:f>Sheet1!$B$2:$B$7</c:f>
              <c:numCache>
                <c:formatCode>0</c:formatCode>
                <c:ptCount val="6"/>
                <c:pt idx="0">
                  <c:v>-13</c:v>
                </c:pt>
                <c:pt idx="1">
                  <c:v>-12</c:v>
                </c:pt>
                <c:pt idx="2">
                  <c:v>-12</c:v>
                </c:pt>
                <c:pt idx="3">
                  <c:v>-7</c:v>
                </c:pt>
                <c:pt idx="4">
                  <c:v>-3</c:v>
                </c:pt>
                <c:pt idx="5">
                  <c:v>0.001</c:v>
                </c:pt>
              </c:numCache>
            </c:numRef>
          </c:val>
          <c:extLst>
            <c:ext xmlns:c="http://schemas.openxmlformats.org/drawingml/2006/chart" xmlns:c16="http://schemas.microsoft.com/office/drawing/2014/chart" uri="{C3380CC4-5D6E-409C-BE32-E72D297353CC}">
              <c16:uniqueId val="{00000005-322C-4548-871E-0802684718B9}"/>
            </c:ext>
          </c:extLst>
        </c:ser>
        <c:dLbls>
          <c:showLegendKey val="0"/>
          <c:showVal val="0"/>
          <c:showCatName val="0"/>
          <c:showSerName val="0"/>
          <c:showPercent val="0"/>
          <c:showBubbleSize val="0"/>
        </c:dLbls>
        <c:gapWidth val="40"/>
        <c:axId val="629807920"/>
        <c:axId val="629809096"/>
      </c:barChart>
      <c:catAx>
        <c:axId val="629807920"/>
        <c:scaling>
          <c:orientation val="minMax"/>
        </c:scaling>
        <c:delete val="1"/>
        <c:axPos val="l"/>
        <c:numFmt formatCode="General" sourceLinked="1"/>
        <c:majorTickMark val="none"/>
        <c:minorTickMark val="none"/>
        <c:tickLblPos val="low"/>
        <c:crossAx val="629809096"/>
        <c:crosses val="autoZero"/>
        <c:auto val="1"/>
        <c:lblAlgn val="ctr"/>
        <c:lblOffset val="100"/>
        <c:noMultiLvlLbl val="0"/>
      </c:catAx>
      <c:valAx>
        <c:axId val="629809096"/>
        <c:scaling>
          <c:orientation val="minMax"/>
          <c:max val="0"/>
        </c:scaling>
        <c:delete val="1"/>
        <c:axPos val="b"/>
        <c:numFmt formatCode="0" sourceLinked="1"/>
        <c:majorTickMark val="out"/>
        <c:minorTickMark val="none"/>
        <c:tickLblPos val="nextTo"/>
        <c:crossAx val="629807920"/>
        <c:crosses val="autoZero"/>
        <c:crossBetween val="between"/>
        <c:majorUnit val="5"/>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lv-LV"/>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98553601027233415"/>
          <c:y val="0.01722532963499513"/>
          <c:w val="0.34507319571774181"/>
          <c:h val="0.920462379795931"/>
        </c:manualLayout>
      </c:layout>
      <c:barChart>
        <c:barDir val="col"/>
        <c:grouping val="percentStacked"/>
        <c:varyColors val="0"/>
        <c:ser>
          <c:idx val="0"/>
          <c:order val="0"/>
          <c:tx>
            <c:strRef>
              <c:f>Sheet1!$A$2</c:f>
              <c:strCache>
                <c:ptCount val="1"/>
                <c:pt idx="0">
                  <c:v>kokapstrāde</c:v>
                </c:pt>
              </c:strCache>
            </c:strRef>
          </c:tx>
          <c:invertIfNegative val="0"/>
          <c:cat>
            <c:strRef>
              <c:f>Sheet1!$B$1:$F$1</c:f>
              <c:strCache>
                <c:ptCount val="5"/>
                <c:pt idx="0">
                  <c:v>2005</c:v>
                </c:pt>
                <c:pt idx="1">
                  <c:v>2010</c:v>
                </c:pt>
                <c:pt idx="2">
                  <c:v>2014</c:v>
                </c:pt>
                <c:pt idx="3">
                  <c:v>2015</c:v>
                </c:pt>
                <c:pt idx="4">
                  <c:v>2016</c:v>
                </c:pt>
              </c:strCache>
            </c:strRef>
          </c:cat>
          <c:val>
            <c:numRef>
              <c:f>Sheet1!$B$2:$F$2</c:f>
              <c:numCache>
                <c:formatCode>0</c:formatCode>
                <c:ptCount val="5"/>
                <c:pt idx="0">
                  <c:v>28.123207812480587</c:v>
                </c:pt>
                <c:pt idx="1">
                  <c:v>21.500171020603773</c:v>
                </c:pt>
                <c:pt idx="2">
                  <c:v>19.151843920141864</c:v>
                </c:pt>
                <c:pt idx="3">
                  <c:v>19.09328813766178</c:v>
                </c:pt>
                <c:pt idx="4">
                  <c:v>20.010826436474822</c:v>
                </c:pt>
              </c:numCache>
            </c:numRef>
          </c:val>
          <c:extLst>
            <c:ext xmlns:c="http://schemas.openxmlformats.org/drawingml/2006/chart" xmlns:c16="http://schemas.microsoft.com/office/drawing/2014/chart" uri="{C3380CC4-5D6E-409C-BE32-E72D297353CC}">
              <c16:uniqueId val="{00000000-AEB2-4BD6-891D-11CB98F879A7}"/>
            </c:ext>
          </c:extLst>
        </c:ser>
        <c:ser>
          <c:idx val="1"/>
          <c:order val="1"/>
          <c:tx>
            <c:strRef>
              <c:f>Sheet1!$A$3</c:f>
              <c:strCache>
                <c:ptCount val="1"/>
                <c:pt idx="0">
                  <c:v>elektroniskās un optiskās iekārtas</c:v>
                </c:pt>
              </c:strCache>
            </c:strRef>
          </c:tx>
          <c:invertIfNegative val="0"/>
          <c:cat>
            <c:strRef>
              <c:f>Sheet1!$B$1:$F$1</c:f>
              <c:strCache>
                <c:ptCount val="5"/>
                <c:pt idx="0">
                  <c:v>2005</c:v>
                </c:pt>
                <c:pt idx="1">
                  <c:v>2010</c:v>
                </c:pt>
                <c:pt idx="2">
                  <c:v>2014</c:v>
                </c:pt>
                <c:pt idx="3">
                  <c:v>2015</c:v>
                </c:pt>
                <c:pt idx="4">
                  <c:v>2016</c:v>
                </c:pt>
              </c:strCache>
            </c:strRef>
          </c:cat>
          <c:val>
            <c:numRef>
              <c:f>Sheet1!$B$3:$F$3</c:f>
              <c:numCache>
                <c:formatCode>0</c:formatCode>
                <c:ptCount val="5"/>
                <c:pt idx="0">
                  <c:v>6.4608663242431641</c:v>
                </c:pt>
                <c:pt idx="1">
                  <c:v>9.290877748308187</c:v>
                </c:pt>
                <c:pt idx="2">
                  <c:v>15.064927791600816</c:v>
                </c:pt>
                <c:pt idx="3">
                  <c:v>17.380443668734504</c:v>
                </c:pt>
                <c:pt idx="4">
                  <c:v>14.476890848688967</c:v>
                </c:pt>
              </c:numCache>
            </c:numRef>
          </c:val>
          <c:extLst>
            <c:ext xmlns:c="http://schemas.openxmlformats.org/drawingml/2006/chart" xmlns:c16="http://schemas.microsoft.com/office/drawing/2014/chart" uri="{C3380CC4-5D6E-409C-BE32-E72D297353CC}">
              <c16:uniqueId val="{00000001-AEB2-4BD6-891D-11CB98F879A7}"/>
            </c:ext>
          </c:extLst>
        </c:ser>
        <c:ser>
          <c:idx val="2"/>
          <c:order val="2"/>
          <c:tx>
            <c:strRef>
              <c:f>Sheet1!$A$4</c:f>
              <c:strCache>
                <c:ptCount val="1"/>
                <c:pt idx="0">
                  <c:v>pārtikas rūpniecības preces</c:v>
                </c:pt>
              </c:strCache>
            </c:strRef>
          </c:tx>
          <c:invertIfNegative val="0"/>
          <c:cat>
            <c:strRef>
              <c:f>Sheet1!$B$1:$F$1</c:f>
              <c:strCache>
                <c:ptCount val="5"/>
                <c:pt idx="0">
                  <c:v>2005</c:v>
                </c:pt>
                <c:pt idx="1">
                  <c:v>2010</c:v>
                </c:pt>
                <c:pt idx="2">
                  <c:v>2014</c:v>
                </c:pt>
                <c:pt idx="3">
                  <c:v>2015</c:v>
                </c:pt>
                <c:pt idx="4">
                  <c:v>2016</c:v>
                </c:pt>
              </c:strCache>
            </c:strRef>
          </c:cat>
          <c:val>
            <c:numRef>
              <c:f>Sheet1!$B$4:$F$4</c:f>
              <c:numCache>
                <c:formatCode>0</c:formatCode>
                <c:ptCount val="5"/>
                <c:pt idx="0">
                  <c:v>10.869291340578066</c:v>
                </c:pt>
                <c:pt idx="1">
                  <c:v>13.586138862484562</c:v>
                </c:pt>
                <c:pt idx="2">
                  <c:v>16.143734647181446</c:v>
                </c:pt>
                <c:pt idx="3">
                  <c:v>13.40996585531582</c:v>
                </c:pt>
                <c:pt idx="4">
                  <c:v>13.316793181939785</c:v>
                </c:pt>
              </c:numCache>
            </c:numRef>
          </c:val>
          <c:extLst>
            <c:ext xmlns:c="http://schemas.openxmlformats.org/drawingml/2006/chart" xmlns:c16="http://schemas.microsoft.com/office/drawing/2014/chart" uri="{C3380CC4-5D6E-409C-BE32-E72D297353CC}">
              <c16:uniqueId val="{00000002-AEB2-4BD6-891D-11CB98F879A7}"/>
            </c:ext>
          </c:extLst>
        </c:ser>
        <c:ser>
          <c:idx val="3"/>
          <c:order val="3"/>
          <c:tx>
            <c:strRef>
              <c:f>Sheet1!$A$5</c:f>
              <c:strCache>
                <c:ptCount val="1"/>
                <c:pt idx="0">
                  <c:v>ķīmiskā rūpniecības preces</c:v>
                </c:pt>
              </c:strCache>
            </c:strRef>
          </c:tx>
          <c:invertIfNegative val="0"/>
          <c:cat>
            <c:strRef>
              <c:f>Sheet1!$B$1:$F$1</c:f>
              <c:strCache>
                <c:ptCount val="5"/>
                <c:pt idx="0">
                  <c:v>2005</c:v>
                </c:pt>
                <c:pt idx="1">
                  <c:v>2010</c:v>
                </c:pt>
                <c:pt idx="2">
                  <c:v>2014</c:v>
                </c:pt>
                <c:pt idx="3">
                  <c:v>2015</c:v>
                </c:pt>
                <c:pt idx="4">
                  <c:v>2016</c:v>
                </c:pt>
              </c:strCache>
            </c:strRef>
          </c:cat>
          <c:val>
            <c:numRef>
              <c:f>Sheet1!$B$5:$F$5</c:f>
              <c:numCache>
                <c:formatCode>0</c:formatCode>
                <c:ptCount val="5"/>
                <c:pt idx="0">
                  <c:v>9.1542830055844551</c:v>
                </c:pt>
                <c:pt idx="1">
                  <c:v>12.142073580810193</c:v>
                </c:pt>
                <c:pt idx="2">
                  <c:v>11.492650115458114</c:v>
                </c:pt>
                <c:pt idx="3">
                  <c:v>11.741490016998492</c:v>
                </c:pt>
                <c:pt idx="4">
                  <c:v>12.704007934945224</c:v>
                </c:pt>
              </c:numCache>
            </c:numRef>
          </c:val>
          <c:extLst>
            <c:ext xmlns:c="http://schemas.openxmlformats.org/drawingml/2006/chart" xmlns:c16="http://schemas.microsoft.com/office/drawing/2014/chart" uri="{C3380CC4-5D6E-409C-BE32-E72D297353CC}">
              <c16:uniqueId val="{00000003-AEB2-4BD6-891D-11CB98F879A7}"/>
            </c:ext>
          </c:extLst>
        </c:ser>
        <c:ser>
          <c:idx val="4"/>
          <c:order val="4"/>
          <c:tx>
            <c:strRef>
              <c:f>Sheet1!$A$6</c:f>
              <c:strCache>
                <c:ptCount val="1"/>
                <c:pt idx="0">
                  <c:v>metāli un to izstrādājumi</c:v>
                </c:pt>
              </c:strCache>
            </c:strRef>
          </c:tx>
          <c:invertIfNegative val="0"/>
          <c:cat>
            <c:strRef>
              <c:f>Sheet1!$B$1:$F$1</c:f>
              <c:strCache>
                <c:ptCount val="5"/>
                <c:pt idx="0">
                  <c:v>2005</c:v>
                </c:pt>
                <c:pt idx="1">
                  <c:v>2010</c:v>
                </c:pt>
                <c:pt idx="2">
                  <c:v>2014</c:v>
                </c:pt>
                <c:pt idx="3">
                  <c:v>2015</c:v>
                </c:pt>
                <c:pt idx="4">
                  <c:v>2016</c:v>
                </c:pt>
              </c:strCache>
            </c:strRef>
          </c:cat>
          <c:val>
            <c:numRef>
              <c:f>Sheet1!$B$6:$F$6</c:f>
              <c:numCache>
                <c:formatCode>0</c:formatCode>
                <c:ptCount val="5"/>
                <c:pt idx="0">
                  <c:v>14.648952308973238</c:v>
                </c:pt>
                <c:pt idx="1">
                  <c:v>15.504702064194269</c:v>
                </c:pt>
                <c:pt idx="2">
                  <c:v>10.250165514325509</c:v>
                </c:pt>
                <c:pt idx="3">
                  <c:v>9.746105591806101</c:v>
                </c:pt>
                <c:pt idx="4">
                  <c:v>9.209901107371417</c:v>
                </c:pt>
              </c:numCache>
            </c:numRef>
          </c:val>
          <c:extLst>
            <c:ext xmlns:c="http://schemas.openxmlformats.org/drawingml/2006/chart" xmlns:c16="http://schemas.microsoft.com/office/drawing/2014/chart" uri="{C3380CC4-5D6E-409C-BE32-E72D297353CC}">
              <c16:uniqueId val="{00000004-AEB2-4BD6-891D-11CB98F879A7}"/>
            </c:ext>
          </c:extLst>
        </c:ser>
        <c:ser>
          <c:idx val="5"/>
          <c:order val="5"/>
          <c:tx>
            <c:strRef>
              <c:f>Sheet1!$A$7</c:f>
              <c:strCache>
                <c:ptCount val="1"/>
                <c:pt idx="0">
                  <c:v>mašīnas un iekārtas</c:v>
                </c:pt>
              </c:strCache>
            </c:strRef>
          </c:tx>
          <c:invertIfNegative val="0"/>
          <c:cat>
            <c:strRef>
              <c:f>Sheet1!$B$1:$F$1</c:f>
              <c:strCache>
                <c:ptCount val="5"/>
                <c:pt idx="0">
                  <c:v>2005</c:v>
                </c:pt>
                <c:pt idx="1">
                  <c:v>2010</c:v>
                </c:pt>
                <c:pt idx="2">
                  <c:v>2014</c:v>
                </c:pt>
                <c:pt idx="3">
                  <c:v>2015</c:v>
                </c:pt>
                <c:pt idx="4">
                  <c:v>2016</c:v>
                </c:pt>
              </c:strCache>
            </c:strRef>
          </c:cat>
          <c:val>
            <c:numRef>
              <c:f>Sheet1!$B$7:$F$7</c:f>
              <c:numCache>
                <c:formatCode>0</c:formatCode>
                <c:ptCount val="5"/>
                <c:pt idx="0">
                  <c:v>5.5899612570645125</c:v>
                </c:pt>
                <c:pt idx="1">
                  <c:v>6.8857669560512162</c:v>
                </c:pt>
                <c:pt idx="2">
                  <c:v>6.2350689894231728</c:v>
                </c:pt>
                <c:pt idx="3">
                  <c:v>7.1554832169867879</c:v>
                </c:pt>
                <c:pt idx="4">
                  <c:v>7.2697789531760355</c:v>
                </c:pt>
              </c:numCache>
            </c:numRef>
          </c:val>
          <c:extLst>
            <c:ext xmlns:c="http://schemas.openxmlformats.org/drawingml/2006/chart" xmlns:c16="http://schemas.microsoft.com/office/drawing/2014/chart" uri="{C3380CC4-5D6E-409C-BE32-E72D297353CC}">
              <c16:uniqueId val="{00000005-AEB2-4BD6-891D-11CB98F879A7}"/>
            </c:ext>
          </c:extLst>
        </c:ser>
        <c:ser>
          <c:idx val="6"/>
          <c:order val="6"/>
          <c:tx>
            <c:strRef>
              <c:f>Sheet1!$A$8</c:f>
              <c:strCache>
                <c:ptCount val="1"/>
                <c:pt idx="0">
                  <c:v>citas rūpniecības preces</c:v>
                </c:pt>
              </c:strCache>
            </c:strRef>
          </c:tx>
          <c:invertIfNegative val="0"/>
          <c:cat>
            <c:strRef>
              <c:f>Sheet1!$B$1:$F$1</c:f>
              <c:strCache>
                <c:ptCount val="5"/>
                <c:pt idx="0">
                  <c:v>2005</c:v>
                </c:pt>
                <c:pt idx="1">
                  <c:v>2010</c:v>
                </c:pt>
                <c:pt idx="2">
                  <c:v>2014</c:v>
                </c:pt>
                <c:pt idx="3">
                  <c:v>2015</c:v>
                </c:pt>
                <c:pt idx="4">
                  <c:v>2016</c:v>
                </c:pt>
              </c:strCache>
            </c:strRef>
          </c:cat>
          <c:val>
            <c:numRef>
              <c:f>Sheet1!$B$8:$F$8</c:f>
              <c:numCache>
                <c:formatCode>0</c:formatCode>
                <c:ptCount val="5"/>
                <c:pt idx="0">
                  <c:v>25.153437951075976</c:v>
                </c:pt>
                <c:pt idx="1">
                  <c:v>21.0902697675478</c:v>
                </c:pt>
                <c:pt idx="2">
                  <c:v>21.661609021869079</c:v>
                </c:pt>
                <c:pt idx="3">
                  <c:v>21.473223512496514</c:v>
                </c:pt>
                <c:pt idx="4">
                  <c:v>23.011801537403748</c:v>
                </c:pt>
              </c:numCache>
            </c:numRef>
          </c:val>
          <c:extLst>
            <c:ext xmlns:c="http://schemas.openxmlformats.org/drawingml/2006/chart" xmlns:c16="http://schemas.microsoft.com/office/drawing/2014/chart" uri="{C3380CC4-5D6E-409C-BE32-E72D297353CC}">
              <c16:uniqueId val="{00000006-AEB2-4BD6-891D-11CB98F879A7}"/>
            </c:ext>
          </c:extLst>
        </c:ser>
        <c:dLbls>
          <c:showLegendKey val="0"/>
          <c:showVal val="0"/>
          <c:showCatName val="0"/>
          <c:showSerName val="0"/>
          <c:showPercent val="0"/>
          <c:showBubbleSize val="0"/>
        </c:dLbls>
        <c:gapWidth val="20"/>
        <c:overlap val="100"/>
        <c:axId val="629864368"/>
        <c:axId val="629865152"/>
      </c:barChart>
      <c:catAx>
        <c:axId val="629864368"/>
        <c:scaling>
          <c:orientation val="minMax"/>
        </c:scaling>
        <c:delete val="0"/>
        <c:axPos val="b"/>
        <c:numFmt formatCode="General" sourceLinked="0"/>
        <c:majorTickMark val="out"/>
        <c:minorTickMark val="none"/>
        <c:tickLblPos val="nextTo"/>
        <c:txPr>
          <a:bodyPr/>
          <a:lstStyle/>
          <a:p>
            <a:pPr>
              <a:defRPr sz="700"/>
            </a:pPr>
            <a:endParaRPr lang="lv-LV"/>
          </a:p>
        </c:txPr>
        <c:crossAx val="629865152"/>
        <c:crosses val="autoZero"/>
        <c:auto val="1"/>
        <c:lblAlgn val="ctr"/>
        <c:lblOffset val="100"/>
        <c:noMultiLvlLbl val="0"/>
      </c:catAx>
      <c:valAx>
        <c:axId val="629865152"/>
        <c:scaling>
          <c:orientation val="minMax"/>
        </c:scaling>
        <c:delete val="0"/>
        <c:axPos val="l"/>
        <c:numFmt formatCode="0%" sourceLinked="1"/>
        <c:majorTickMark val="out"/>
        <c:minorTickMark val="none"/>
        <c:tickLblPos val="nextTo"/>
        <c:txPr>
          <a:bodyPr/>
          <a:lstStyle/>
          <a:p>
            <a:pPr>
              <a:defRPr sz="700"/>
            </a:pPr>
            <a:endParaRPr lang="lv-LV"/>
          </a:p>
        </c:txPr>
        <c:crossAx val="629864368"/>
        <c:crosses val="autoZero"/>
        <c:crossBetween val="between"/>
      </c:valAx>
    </c:plotArea>
    <c:legend>
      <c:legendPos val="r"/>
      <c:layout>
        <c:manualLayout>
          <c:xMode val="edge"/>
          <c:yMode val="edge"/>
          <c:x val="0.48187518226888304"/>
          <c:y val="0.018061189542134811"/>
          <c:w val="0.4376412727588862"/>
          <c:h val="0.77202933945980312"/>
        </c:manualLayout>
      </c:layout>
      <c:overlay val="0"/>
      <c:txPr>
        <a:bodyPr/>
        <a:lstStyle/>
        <a:p>
          <a:pPr>
            <a:defRPr sz="600">
              <a:latin typeface="Arial Narrow" panose="020B0606020202030204" pitchFamily="34" charset="0"/>
            </a:defRPr>
          </a:pPr>
          <a:endParaRPr lang="lv-LV"/>
        </a:p>
      </c:txPr>
    </c:legend>
    <c:plotVisOnly val="1"/>
    <c:dispBlanksAs val="gap"/>
    <c:showDLblsOverMax val="0"/>
  </c:chart>
  <c:spPr>
    <a:ln w="9525">
      <a:noFill/>
    </a:ln>
  </c:spPr>
  <c:txPr>
    <a:bodyPr/>
    <a:lstStyle/>
    <a:p>
      <a:pPr>
        <a:defRPr sz="800"/>
      </a:pPr>
      <a:endParaRPr lang="lv-LV"/>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98553601027233415"/>
          <c:y val="0.01722532963499513"/>
          <c:w val="0.88592589806420907"/>
          <c:h val="0.920462379795931"/>
        </c:manualLayout>
      </c:layout>
      <c:barChart>
        <c:barDir val="col"/>
        <c:grouping val="percentStacked"/>
        <c:varyColors val="0"/>
        <c:ser>
          <c:idx val="0"/>
          <c:order val="0"/>
          <c:tx>
            <c:strRef>
              <c:f>Sheet1!$A$2</c:f>
              <c:strCache>
                <c:ptCount val="1"/>
                <c:pt idx="0">
                  <c:v>kokapstrāde</c:v>
                </c:pt>
              </c:strCache>
            </c:strRef>
          </c:tx>
          <c:invertIfNegative val="0"/>
          <c:cat>
            <c:strRef>
              <c:f>Sheet1!$B$1:$F$1</c:f>
              <c:strCache>
                <c:ptCount val="5"/>
                <c:pt idx="0">
                  <c:v>2005</c:v>
                </c:pt>
                <c:pt idx="1">
                  <c:v>2010</c:v>
                </c:pt>
                <c:pt idx="2">
                  <c:v>2014</c:v>
                </c:pt>
                <c:pt idx="3">
                  <c:v>2015</c:v>
                </c:pt>
                <c:pt idx="4">
                  <c:v>2016</c:v>
                </c:pt>
              </c:strCache>
            </c:strRef>
          </c:cat>
          <c:val>
            <c:numRef>
              <c:f>Sheet1!$B$2:$F$2</c:f>
              <c:numCache>
                <c:formatCode>0</c:formatCode>
                <c:ptCount val="5"/>
                <c:pt idx="0">
                  <c:v>1.1534139168874102</c:v>
                </c:pt>
                <c:pt idx="1">
                  <c:v>1.0291956947331971</c:v>
                </c:pt>
                <c:pt idx="2">
                  <c:v>1.0379187172238298</c:v>
                </c:pt>
                <c:pt idx="3">
                  <c:v>1.0023223424983245</c:v>
                </c:pt>
                <c:pt idx="4">
                  <c:v>1.0384519194387221</c:v>
                </c:pt>
              </c:numCache>
            </c:numRef>
          </c:val>
          <c:extLst>
            <c:ext xmlns:c="http://schemas.openxmlformats.org/drawingml/2006/chart" xmlns:c16="http://schemas.microsoft.com/office/drawing/2014/chart" uri="{C3380CC4-5D6E-409C-BE32-E72D297353CC}">
              <c16:uniqueId val="{00000000-D888-41F1-8B70-96B417A56331}"/>
            </c:ext>
          </c:extLst>
        </c:ser>
        <c:ser>
          <c:idx val="1"/>
          <c:order val="1"/>
          <c:tx>
            <c:strRef>
              <c:f>Sheet1!$A$3</c:f>
              <c:strCache>
                <c:ptCount val="1"/>
                <c:pt idx="0">
                  <c:v>elektroniskās un optiskās iekārtas</c:v>
                </c:pt>
              </c:strCache>
            </c:strRef>
          </c:tx>
          <c:invertIfNegative val="0"/>
          <c:cat>
            <c:strRef>
              <c:f>Sheet1!$B$1:$F$1</c:f>
              <c:strCache>
                <c:ptCount val="5"/>
                <c:pt idx="0">
                  <c:v>2005</c:v>
                </c:pt>
                <c:pt idx="1">
                  <c:v>2010</c:v>
                </c:pt>
                <c:pt idx="2">
                  <c:v>2014</c:v>
                </c:pt>
                <c:pt idx="3">
                  <c:v>2015</c:v>
                </c:pt>
                <c:pt idx="4">
                  <c:v>2016</c:v>
                </c:pt>
              </c:strCache>
            </c:strRef>
          </c:cat>
          <c:val>
            <c:numRef>
              <c:f>Sheet1!$B$3:$F$3</c:f>
              <c:numCache>
                <c:formatCode>0</c:formatCode>
                <c:ptCount val="5"/>
                <c:pt idx="0">
                  <c:v>15.540468490229573</c:v>
                </c:pt>
                <c:pt idx="1">
                  <c:v>15.028581461247756</c:v>
                </c:pt>
                <c:pt idx="2">
                  <c:v>14.15931772986769</c:v>
                </c:pt>
                <c:pt idx="3">
                  <c:v>14.464986266914156</c:v>
                </c:pt>
                <c:pt idx="4">
                  <c:v>14.452103313969413</c:v>
                </c:pt>
              </c:numCache>
            </c:numRef>
          </c:val>
          <c:extLst>
            <c:ext xmlns:c="http://schemas.openxmlformats.org/drawingml/2006/chart" xmlns:c16="http://schemas.microsoft.com/office/drawing/2014/chart" uri="{C3380CC4-5D6E-409C-BE32-E72D297353CC}">
              <c16:uniqueId val="{00000001-D888-41F1-8B70-96B417A56331}"/>
            </c:ext>
          </c:extLst>
        </c:ser>
        <c:ser>
          <c:idx val="2"/>
          <c:order val="2"/>
          <c:tx>
            <c:strRef>
              <c:f>Sheet1!$A$4</c:f>
              <c:strCache>
                <c:ptCount val="1"/>
                <c:pt idx="0">
                  <c:v>pārtikas rūpniecības preces</c:v>
                </c:pt>
              </c:strCache>
            </c:strRef>
          </c:tx>
          <c:invertIfNegative val="0"/>
          <c:cat>
            <c:strRef>
              <c:f>Sheet1!$B$1:$F$1</c:f>
              <c:strCache>
                <c:ptCount val="5"/>
                <c:pt idx="0">
                  <c:v>2005</c:v>
                </c:pt>
                <c:pt idx="1">
                  <c:v>2010</c:v>
                </c:pt>
                <c:pt idx="2">
                  <c:v>2014</c:v>
                </c:pt>
                <c:pt idx="3">
                  <c:v>2015</c:v>
                </c:pt>
                <c:pt idx="4">
                  <c:v>2016</c:v>
                </c:pt>
              </c:strCache>
            </c:strRef>
          </c:cat>
          <c:val>
            <c:numRef>
              <c:f>Sheet1!$B$4:$F$4</c:f>
              <c:numCache>
                <c:formatCode>0</c:formatCode>
                <c:ptCount val="5"/>
                <c:pt idx="0">
                  <c:v>6.636291112784515</c:v>
                </c:pt>
                <c:pt idx="1">
                  <c:v>7.6425045619472591</c:v>
                </c:pt>
                <c:pt idx="2">
                  <c:v>8.36083077792633</c:v>
                </c:pt>
                <c:pt idx="3">
                  <c:v>8.1406800949245763</c:v>
                </c:pt>
                <c:pt idx="4">
                  <c:v>8.255844624337028</c:v>
                </c:pt>
              </c:numCache>
            </c:numRef>
          </c:val>
          <c:extLst>
            <c:ext xmlns:c="http://schemas.openxmlformats.org/drawingml/2006/chart" xmlns:c16="http://schemas.microsoft.com/office/drawing/2014/chart" uri="{C3380CC4-5D6E-409C-BE32-E72D297353CC}">
              <c16:uniqueId val="{00000002-D888-41F1-8B70-96B417A56331}"/>
            </c:ext>
          </c:extLst>
        </c:ser>
        <c:ser>
          <c:idx val="3"/>
          <c:order val="3"/>
          <c:tx>
            <c:strRef>
              <c:f>Sheet1!$A$5</c:f>
              <c:strCache>
                <c:ptCount val="1"/>
                <c:pt idx="0">
                  <c:v>ķīmiskā rūpniecības preces</c:v>
                </c:pt>
              </c:strCache>
            </c:strRef>
          </c:tx>
          <c:invertIfNegative val="0"/>
          <c:cat>
            <c:strRef>
              <c:f>Sheet1!$B$1:$F$1</c:f>
              <c:strCache>
                <c:ptCount val="5"/>
                <c:pt idx="0">
                  <c:v>2005</c:v>
                </c:pt>
                <c:pt idx="1">
                  <c:v>2010</c:v>
                </c:pt>
                <c:pt idx="2">
                  <c:v>2014</c:v>
                </c:pt>
                <c:pt idx="3">
                  <c:v>2015</c:v>
                </c:pt>
                <c:pt idx="4">
                  <c:v>2016</c:v>
                </c:pt>
              </c:strCache>
            </c:strRef>
          </c:cat>
          <c:val>
            <c:numRef>
              <c:f>Sheet1!$B$5:$F$5</c:f>
              <c:numCache>
                <c:formatCode>0</c:formatCode>
                <c:ptCount val="5"/>
                <c:pt idx="0">
                  <c:v>19.372317626605245</c:v>
                </c:pt>
                <c:pt idx="1">
                  <c:v>21.701051752368656</c:v>
                </c:pt>
                <c:pt idx="2">
                  <c:v>21.168373865129844</c:v>
                </c:pt>
                <c:pt idx="3">
                  <c:v>21.142775952927838</c:v>
                </c:pt>
                <c:pt idx="4">
                  <c:v>21.178917768462885</c:v>
                </c:pt>
              </c:numCache>
            </c:numRef>
          </c:val>
          <c:extLst>
            <c:ext xmlns:c="http://schemas.openxmlformats.org/drawingml/2006/chart" xmlns:c16="http://schemas.microsoft.com/office/drawing/2014/chart" uri="{C3380CC4-5D6E-409C-BE32-E72D297353CC}">
              <c16:uniqueId val="{00000003-D888-41F1-8B70-96B417A56331}"/>
            </c:ext>
          </c:extLst>
        </c:ser>
        <c:ser>
          <c:idx val="4"/>
          <c:order val="4"/>
          <c:tx>
            <c:strRef>
              <c:f>Sheet1!$A$6</c:f>
              <c:strCache>
                <c:ptCount val="1"/>
                <c:pt idx="0">
                  <c:v>metāli un to izstrādājumi</c:v>
                </c:pt>
              </c:strCache>
            </c:strRef>
          </c:tx>
          <c:invertIfNegative val="0"/>
          <c:cat>
            <c:strRef>
              <c:f>Sheet1!$B$1:$F$1</c:f>
              <c:strCache>
                <c:ptCount val="5"/>
                <c:pt idx="0">
                  <c:v>2005</c:v>
                </c:pt>
                <c:pt idx="1">
                  <c:v>2010</c:v>
                </c:pt>
                <c:pt idx="2">
                  <c:v>2014</c:v>
                </c:pt>
                <c:pt idx="3">
                  <c:v>2015</c:v>
                </c:pt>
                <c:pt idx="4">
                  <c:v>2016</c:v>
                </c:pt>
              </c:strCache>
            </c:strRef>
          </c:cat>
          <c:val>
            <c:numRef>
              <c:f>Sheet1!$B$6:$F$6</c:f>
              <c:numCache>
                <c:formatCode>0</c:formatCode>
                <c:ptCount val="5"/>
                <c:pt idx="0">
                  <c:v>8.7135177044361338</c:v>
                </c:pt>
                <c:pt idx="1">
                  <c:v>9.16877356040031</c:v>
                </c:pt>
                <c:pt idx="2">
                  <c:v>8.44421849200454</c:v>
                </c:pt>
                <c:pt idx="3">
                  <c:v>7.8951186696905484</c:v>
                </c:pt>
                <c:pt idx="4">
                  <c:v>7.5933090869548625</c:v>
                </c:pt>
              </c:numCache>
            </c:numRef>
          </c:val>
          <c:extLst>
            <c:ext xmlns:c="http://schemas.openxmlformats.org/drawingml/2006/chart" xmlns:c16="http://schemas.microsoft.com/office/drawing/2014/chart" uri="{C3380CC4-5D6E-409C-BE32-E72D297353CC}">
              <c16:uniqueId val="{00000004-D888-41F1-8B70-96B417A56331}"/>
            </c:ext>
          </c:extLst>
        </c:ser>
        <c:ser>
          <c:idx val="5"/>
          <c:order val="5"/>
          <c:tx>
            <c:strRef>
              <c:f>Sheet1!$A$7</c:f>
              <c:strCache>
                <c:ptCount val="1"/>
                <c:pt idx="0">
                  <c:v>mašīnas un iekārtas</c:v>
                </c:pt>
              </c:strCache>
            </c:strRef>
          </c:tx>
          <c:invertIfNegative val="0"/>
          <c:cat>
            <c:strRef>
              <c:f>Sheet1!$B$1:$F$1</c:f>
              <c:strCache>
                <c:ptCount val="5"/>
                <c:pt idx="0">
                  <c:v>2005</c:v>
                </c:pt>
                <c:pt idx="1">
                  <c:v>2010</c:v>
                </c:pt>
                <c:pt idx="2">
                  <c:v>2014</c:v>
                </c:pt>
                <c:pt idx="3">
                  <c:v>2015</c:v>
                </c:pt>
                <c:pt idx="4">
                  <c:v>2016</c:v>
                </c:pt>
              </c:strCache>
            </c:strRef>
          </c:cat>
          <c:val>
            <c:numRef>
              <c:f>Sheet1!$B$7:$F$7</c:f>
              <c:numCache>
                <c:formatCode>0</c:formatCode>
                <c:ptCount val="5"/>
                <c:pt idx="0">
                  <c:v>17.511703920591827</c:v>
                </c:pt>
                <c:pt idx="1">
                  <c:v>16.2378164265705</c:v>
                </c:pt>
                <c:pt idx="2">
                  <c:v>16.403430620538746</c:v>
                </c:pt>
                <c:pt idx="3">
                  <c:v>15.98546487426816</c:v>
                </c:pt>
                <c:pt idx="4">
                  <c:v>15.835859295972751</c:v>
                </c:pt>
              </c:numCache>
            </c:numRef>
          </c:val>
          <c:extLst>
            <c:ext xmlns:c="http://schemas.openxmlformats.org/drawingml/2006/chart" xmlns:c16="http://schemas.microsoft.com/office/drawing/2014/chart" uri="{C3380CC4-5D6E-409C-BE32-E72D297353CC}">
              <c16:uniqueId val="{00000005-D888-41F1-8B70-96B417A56331}"/>
            </c:ext>
          </c:extLst>
        </c:ser>
        <c:ser>
          <c:idx val="6"/>
          <c:order val="6"/>
          <c:tx>
            <c:strRef>
              <c:f>Sheet1!$A$8</c:f>
              <c:strCache>
                <c:ptCount val="1"/>
                <c:pt idx="0">
                  <c:v>citas rūpniecības preces</c:v>
                </c:pt>
              </c:strCache>
            </c:strRef>
          </c:tx>
          <c:invertIfNegative val="0"/>
          <c:cat>
            <c:strRef>
              <c:f>Sheet1!$B$1:$F$1</c:f>
              <c:strCache>
                <c:ptCount val="5"/>
                <c:pt idx="0">
                  <c:v>2005</c:v>
                </c:pt>
                <c:pt idx="1">
                  <c:v>2010</c:v>
                </c:pt>
                <c:pt idx="2">
                  <c:v>2014</c:v>
                </c:pt>
                <c:pt idx="3">
                  <c:v>2015</c:v>
                </c:pt>
                <c:pt idx="4">
                  <c:v>2016</c:v>
                </c:pt>
              </c:strCache>
            </c:strRef>
          </c:cat>
          <c:val>
            <c:numRef>
              <c:f>Sheet1!$B$8:$F$8</c:f>
              <c:numCache>
                <c:formatCode>0</c:formatCode>
                <c:ptCount val="5"/>
                <c:pt idx="0">
                  <c:v>31.072287228465289</c:v>
                </c:pt>
                <c:pt idx="1">
                  <c:v>29.192076542732309</c:v>
                </c:pt>
                <c:pt idx="2">
                  <c:v>30.425909797309032</c:v>
                </c:pt>
                <c:pt idx="3">
                  <c:v>31.368651798776391</c:v>
                </c:pt>
                <c:pt idx="4">
                  <c:v>31.645513990864327</c:v>
                </c:pt>
              </c:numCache>
            </c:numRef>
          </c:val>
          <c:extLst>
            <c:ext xmlns:c="http://schemas.openxmlformats.org/drawingml/2006/chart" xmlns:c16="http://schemas.microsoft.com/office/drawing/2014/chart" uri="{C3380CC4-5D6E-409C-BE32-E72D297353CC}">
              <c16:uniqueId val="{00000006-D888-41F1-8B70-96B417A56331}"/>
            </c:ext>
          </c:extLst>
        </c:ser>
        <c:dLbls>
          <c:showLegendKey val="0"/>
          <c:showVal val="0"/>
          <c:showCatName val="0"/>
          <c:showSerName val="0"/>
          <c:showPercent val="0"/>
          <c:showBubbleSize val="0"/>
        </c:dLbls>
        <c:gapWidth val="20"/>
        <c:overlap val="100"/>
        <c:axId val="629856136"/>
        <c:axId val="629862800"/>
      </c:barChart>
      <c:catAx>
        <c:axId val="629856136"/>
        <c:scaling>
          <c:orientation val="minMax"/>
        </c:scaling>
        <c:delete val="0"/>
        <c:axPos val="b"/>
        <c:numFmt formatCode="General" sourceLinked="0"/>
        <c:majorTickMark val="out"/>
        <c:minorTickMark val="none"/>
        <c:tickLblPos val="nextTo"/>
        <c:txPr>
          <a:bodyPr/>
          <a:lstStyle/>
          <a:p>
            <a:pPr>
              <a:defRPr sz="700"/>
            </a:pPr>
            <a:endParaRPr lang="lv-LV"/>
          </a:p>
        </c:txPr>
        <c:crossAx val="629862800"/>
        <c:crosses val="autoZero"/>
        <c:auto val="1"/>
        <c:lblAlgn val="ctr"/>
        <c:lblOffset val="100"/>
        <c:noMultiLvlLbl val="0"/>
      </c:catAx>
      <c:valAx>
        <c:axId val="629862800"/>
        <c:scaling>
          <c:orientation val="minMax"/>
        </c:scaling>
        <c:delete val="0"/>
        <c:axPos val="l"/>
        <c:numFmt formatCode="0%" sourceLinked="1"/>
        <c:majorTickMark val="out"/>
        <c:minorTickMark val="none"/>
        <c:tickLblPos val="nextTo"/>
        <c:txPr>
          <a:bodyPr/>
          <a:lstStyle/>
          <a:p>
            <a:pPr>
              <a:defRPr sz="700"/>
            </a:pPr>
            <a:endParaRPr lang="lv-LV"/>
          </a:p>
        </c:txPr>
        <c:crossAx val="629856136"/>
        <c:crosses val="autoZero"/>
        <c:crossBetween val="between"/>
      </c:valAx>
    </c:plotArea>
    <c:plotVisOnly val="1"/>
    <c:dispBlanksAs val="gap"/>
    <c:showDLblsOverMax val="0"/>
  </c:chart>
  <c:spPr>
    <a:ln w="9525">
      <a:noFill/>
    </a:ln>
  </c:spPr>
  <c:txPr>
    <a:bodyPr/>
    <a:lstStyle/>
    <a:p>
      <a:pPr>
        <a:defRPr sz="800"/>
      </a:pPr>
      <a:endParaRPr lang="lv-LV"/>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8482-4535-8A3B-2FAF0F2967CE}"/>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8482-4535-8A3B-2FAF0F2967CE}"/>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Sheet1!$B$2:$M$2</c:f>
              <c:numCache>
                <c:formatCode>0</c:formatCode>
                <c:ptCount val="12"/>
                <c:pt idx="0">
                  <c:v>2005</c:v>
                </c:pt>
                <c:pt idx="1">
                  <c:v>2006</c:v>
                </c:pt>
                <c:pt idx="2">
                  <c:v>2007</c:v>
                </c:pt>
                <c:pt idx="3">
                  <c:v>2008</c:v>
                </c:pt>
                <c:pt idx="4">
                  <c:v>2009</c:v>
                </c:pt>
                <c:pt idx="5">
                  <c:v>2010</c:v>
                </c:pt>
                <c:pt idx="6">
                  <c:v>2011</c:v>
                </c:pt>
                <c:pt idx="7">
                  <c:v>2012</c:v>
                </c:pt>
                <c:pt idx="8">
                  <c:v>2013</c:v>
                </c:pt>
                <c:pt idx="9" formatCode="General">
                  <c:v>2014</c:v>
                </c:pt>
                <c:pt idx="10" formatCode="General">
                  <c:v>2015</c:v>
                </c:pt>
                <c:pt idx="11" formatCode="General">
                  <c:v>2016</c:v>
                </c:pt>
              </c:numCache>
            </c:numRef>
          </c:cat>
          <c:val>
            <c:numRef>
              <c:f>Sheet1!$B$3:$M$3</c:f>
              <c:numCache>
                <c:formatCode>0.0</c:formatCode>
                <c:ptCount val="12"/>
                <c:pt idx="0">
                  <c:v>5.382022471910112</c:v>
                </c:pt>
                <c:pt idx="1">
                  <c:v>6.28659577261389</c:v>
                </c:pt>
                <c:pt idx="2">
                  <c:v>8.3945605845341991</c:v>
                </c:pt>
                <c:pt idx="3">
                  <c:v>10.034239396268603</c:v>
                </c:pt>
                <c:pt idx="4">
                  <c:v>8.97175242893127</c:v>
                </c:pt>
                <c:pt idx="5">
                  <c:v>8.8057527762606949</c:v>
                </c:pt>
                <c:pt idx="6">
                  <c:v>8.9735655556537886</c:v>
                </c:pt>
                <c:pt idx="7">
                  <c:v>9.83567677452143</c:v>
                </c:pt>
                <c:pt idx="8">
                  <c:v>10.286528150134048</c:v>
                </c:pt>
                <c:pt idx="9">
                  <c:v>11.236214870152972</c:v>
                </c:pt>
                <c:pt idx="10">
                  <c:v>12.253855278766311</c:v>
                </c:pt>
                <c:pt idx="11">
                  <c:v>13.029890069955485</c:v>
                </c:pt>
              </c:numCache>
            </c:numRef>
          </c:val>
          <c:extLst>
            <c:ext xmlns:c="http://schemas.openxmlformats.org/drawingml/2006/chart" xmlns:c16="http://schemas.microsoft.com/office/drawing/2014/chart" uri="{C3380CC4-5D6E-409C-BE32-E72D297353CC}">
              <c16:uniqueId val="{00000004-8482-4535-8A3B-2FAF0F2967CE}"/>
            </c:ext>
          </c:extLst>
        </c:ser>
        <c:dLbls>
          <c:showLegendKey val="0"/>
          <c:showVal val="0"/>
          <c:showCatName val="0"/>
          <c:showSerName val="0"/>
          <c:showPercent val="0"/>
          <c:showBubbleSize val="0"/>
        </c:dLbls>
        <c:gapWidth val="20"/>
        <c:axId val="629856920"/>
        <c:axId val="629858488"/>
      </c:barChart>
      <c:catAx>
        <c:axId val="629856920"/>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29858488"/>
        <c:crosses val="autoZero"/>
        <c:auto val="1"/>
        <c:lblAlgn val="ctr"/>
        <c:lblOffset val="100"/>
        <c:noMultiLvlLbl val="0"/>
      </c:catAx>
      <c:valAx>
        <c:axId val="629858488"/>
        <c:scaling>
          <c:orientation val="minMax"/>
          <c:max val="25"/>
          <c:min val="0"/>
        </c:scaling>
        <c:delete val="0"/>
        <c:axPos val="l"/>
        <c:numFmt formatCode="0" sourceLinked="0"/>
        <c:majorTickMark val="out"/>
        <c:minorTickMark val="none"/>
        <c:tickLblPos val="nextTo"/>
        <c:crossAx val="629856920"/>
        <c:crosses val="autoZero"/>
        <c:crossBetween val="between"/>
        <c:majorUnit val="5"/>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DBA5-4109-B944-B3D1CA8314FE}"/>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DBA5-4109-B944-B3D1CA8314FE}"/>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Sheet1!$B$2:$M$2</c:f>
              <c:numCache>
                <c:formatCode>0</c:formatCode>
                <c:ptCount val="12"/>
                <c:pt idx="0">
                  <c:v>2005</c:v>
                </c:pt>
                <c:pt idx="1">
                  <c:v>2006</c:v>
                </c:pt>
                <c:pt idx="2">
                  <c:v>2007</c:v>
                </c:pt>
                <c:pt idx="3">
                  <c:v>2008</c:v>
                </c:pt>
                <c:pt idx="4">
                  <c:v>2009</c:v>
                </c:pt>
                <c:pt idx="5">
                  <c:v>2010</c:v>
                </c:pt>
                <c:pt idx="6">
                  <c:v>2011</c:v>
                </c:pt>
                <c:pt idx="7">
                  <c:v>2012</c:v>
                </c:pt>
                <c:pt idx="8">
                  <c:v>2013</c:v>
                </c:pt>
                <c:pt idx="9" formatCode="General">
                  <c:v>2014</c:v>
                </c:pt>
                <c:pt idx="10" formatCode="General">
                  <c:v>2015</c:v>
                </c:pt>
                <c:pt idx="11" formatCode="General">
                  <c:v>2016</c:v>
                </c:pt>
              </c:numCache>
            </c:numRef>
          </c:cat>
          <c:val>
            <c:numRef>
              <c:f>Sheet1!$B$3:$M$3</c:f>
              <c:numCache>
                <c:formatCode>General</c:formatCode>
                <c:ptCount val="12"/>
                <c:pt idx="0">
                  <c:v>15.374171139880014</c:v>
                </c:pt>
                <c:pt idx="1">
                  <c:v>16.398018063221276</c:v>
                </c:pt>
                <c:pt idx="2">
                  <c:v>16.753029131219389</c:v>
                </c:pt>
                <c:pt idx="3">
                  <c:v>15.841734203070436</c:v>
                </c:pt>
                <c:pt idx="4">
                  <c:v>15.903379181524876</c:v>
                </c:pt>
                <c:pt idx="5">
                  <c:v>18.32162440027416</c:v>
                </c:pt>
                <c:pt idx="6">
                  <c:v>18.645487723954879</c:v>
                </c:pt>
                <c:pt idx="7">
                  <c:v>18.575841584158415</c:v>
                </c:pt>
                <c:pt idx="8">
                  <c:v>18.201535660571519</c:v>
                </c:pt>
                <c:pt idx="9">
                  <c:v>19.235960673221129</c:v>
                </c:pt>
                <c:pt idx="10">
                  <c:v>19.567750105529761</c:v>
                </c:pt>
                <c:pt idx="11">
                  <c:v>20.575176589303734</c:v>
                </c:pt>
              </c:numCache>
            </c:numRef>
          </c:val>
          <c:extLst>
            <c:ext xmlns:c="http://schemas.openxmlformats.org/drawingml/2006/chart" xmlns:c16="http://schemas.microsoft.com/office/drawing/2014/chart" uri="{C3380CC4-5D6E-409C-BE32-E72D297353CC}">
              <c16:uniqueId val="{00000004-DBA5-4109-B944-B3D1CA8314FE}"/>
            </c:ext>
          </c:extLst>
        </c:ser>
        <c:dLbls>
          <c:showLegendKey val="0"/>
          <c:showVal val="0"/>
          <c:showCatName val="0"/>
          <c:showSerName val="0"/>
          <c:showPercent val="0"/>
          <c:showBubbleSize val="0"/>
        </c:dLbls>
        <c:gapWidth val="20"/>
        <c:axId val="629858880"/>
        <c:axId val="629863192"/>
      </c:barChart>
      <c:catAx>
        <c:axId val="629858880"/>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29863192"/>
        <c:crosses val="autoZero"/>
        <c:auto val="1"/>
        <c:lblAlgn val="ctr"/>
        <c:lblOffset val="100"/>
        <c:noMultiLvlLbl val="0"/>
      </c:catAx>
      <c:valAx>
        <c:axId val="629863192"/>
        <c:scaling>
          <c:orientation val="minMax"/>
        </c:scaling>
        <c:delete val="0"/>
        <c:axPos val="l"/>
        <c:numFmt formatCode="0" sourceLinked="0"/>
        <c:majorTickMark val="out"/>
        <c:minorTickMark val="none"/>
        <c:tickLblPos val="nextTo"/>
        <c:crossAx val="629858880"/>
        <c:crosses val="autoZero"/>
        <c:crossBetween val="between"/>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72841410287632"/>
          <c:y val="0.057971014492753624"/>
          <c:w val="0.69294856184214082"/>
          <c:h val="0.726718711443121"/>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extLst>
              <c:ext xmlns:c="http://schemas.openxmlformats.org/drawingml/2006/chart" xmlns:c16="http://schemas.microsoft.com/office/drawing/2014/chart" uri="{C3380CC4-5D6E-409C-BE32-E72D297353CC}">
                <c16:uniqueId val="{00000000-A7FC-417E-B823-805A8232D584}"/>
              </c:ext>
            </c:extLst>
          </c:dPt>
          <c:dLbls>
            <c:dLbl>
              <c:idx val="0"/>
              <c:layout>
                <c:manualLayout>
                  <c:x val="-0.22962436454935367"/>
                  <c:y val="0.028082211106319"/>
                </c:manualLayout>
              </c:layout>
              <c:tx>
                <c:rich>
                  <a:bodyPr vertOverflow="clip"/>
                  <a:lstStyle/>
                  <a:p>
                    <a:r>
                      <a:rPr lang="en-US"/>
                      <a:t>2005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A7FC-417E-B823-805A8232D584}"/>
                </c:ext>
                <c:ext xmlns:c15="http://schemas.microsoft.com/office/drawing/2012/chart" uri="{CE6537A1-D6FC-4f65-9D91-7224C49458BB}"/>
              </c:extLst>
            </c:dLbl>
            <c:dLbl>
              <c:idx val="1"/>
              <c:layout>
                <c:manualLayout>
                  <c:x val="-0.19930784425142734"/>
                  <c:y val="-0.14274132400116646"/>
                </c:manualLayout>
              </c:layout>
              <c:tx>
                <c:rich>
                  <a:bodyPr vertOverflow="clip"/>
                  <a:lstStyle/>
                  <a:p>
                    <a:r>
                      <a:rPr lang="en-US"/>
                      <a:t>2007</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A7FC-417E-B823-805A8232D584}"/>
                </c:ext>
                <c:ext xmlns:c15="http://schemas.microsoft.com/office/drawing/2012/chart" uri="{CE6537A1-D6FC-4f65-9D91-7224C49458BB}"/>
              </c:extLst>
            </c:dLbl>
            <c:dLbl>
              <c:idx val="2"/>
              <c:layout>
                <c:manualLayout>
                  <c:x val="0.065373271640014066"/>
                  <c:y val="0.04675774502546156"/>
                </c:manualLayout>
              </c:layout>
              <c:tx>
                <c:rich>
                  <a:bodyPr vertOverflow="clip"/>
                  <a:lstStyle/>
                  <a:p>
                    <a:r>
                      <a:rPr lang="en-US"/>
                      <a:t>2010</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A7FC-417E-B823-805A8232D584}"/>
                </c:ext>
                <c:ext xmlns:c15="http://schemas.microsoft.com/office/drawing/2012/chart" uri="{CE6537A1-D6FC-4f65-9D91-7224C49458BB}"/>
              </c:extLst>
            </c:dLbl>
            <c:dLbl>
              <c:idx val="3"/>
              <c:layout>
                <c:manualLayout>
                  <c:x val="-0.11024812620071976"/>
                  <c:y val="-0.053561253561253547"/>
                </c:manualLayout>
              </c:layout>
              <c:tx>
                <c:rich>
                  <a:bodyPr vertOverflow="clip"/>
                  <a:lstStyle/>
                  <a:p>
                    <a:r>
                      <a:rPr lang="en-US"/>
                      <a:t>2008</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A7FC-417E-B823-805A8232D584}"/>
                </c:ext>
                <c:ext xmlns:c15="http://schemas.microsoft.com/office/drawing/2012/chart" uri="{CE6537A1-D6FC-4f65-9D91-7224C49458BB}"/>
              </c:extLst>
            </c:dLbl>
            <c:dLbl>
              <c:idx val="4"/>
              <c:delete val="1"/>
              <c:extLst>
                <c:ext xmlns:c="http://schemas.openxmlformats.org/drawingml/2006/chart" xmlns:c16="http://schemas.microsoft.com/office/drawing/2014/chart" uri="{C3380CC4-5D6E-409C-BE32-E72D297353CC}">
                  <c16:uniqueId val="{00000005-A7FC-417E-B823-805A8232D584}"/>
                </c:ext>
                <c:ext xmlns:c15="http://schemas.microsoft.com/office/drawing/2012/chart" uri="{CE6537A1-D6FC-4f65-9D91-7224C49458BB}"/>
              </c:extLst>
            </c:dLbl>
            <c:dLbl>
              <c:idx val="5"/>
              <c:delete val="1"/>
              <c:extLst>
                <c:ext xmlns:c="http://schemas.openxmlformats.org/drawingml/2006/chart" xmlns:c16="http://schemas.microsoft.com/office/drawing/2014/chart" uri="{C3380CC4-5D6E-409C-BE32-E72D297353CC}">
                  <c16:uniqueId val="{00000000-A7FC-417E-B823-805A8232D584}"/>
                </c:ext>
                <c:ext xmlns:c15="http://schemas.microsoft.com/office/drawing/2012/chart" uri="{CE6537A1-D6FC-4f65-9D91-7224C49458BB}"/>
              </c:extLst>
            </c:dLbl>
            <c:dLbl>
              <c:idx val="6"/>
              <c:delete val="1"/>
              <c:extLst>
                <c:ext xmlns:c="http://schemas.openxmlformats.org/drawingml/2006/chart" xmlns:c16="http://schemas.microsoft.com/office/drawing/2014/chart" uri="{C3380CC4-5D6E-409C-BE32-E72D297353CC}">
                  <c16:uniqueId val="{00000006-A7FC-417E-B823-805A8232D584}"/>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7-A7FC-417E-B823-805A8232D584}"/>
                </c:ext>
                <c:ext xmlns:c15="http://schemas.microsoft.com/office/drawing/2012/chart" uri="{CE6537A1-D6FC-4f65-9D91-7224C49458BB}"/>
              </c:extLst>
            </c:dLbl>
            <c:dLbl>
              <c:idx val="8"/>
              <c:delete val="1"/>
              <c:extLst>
                <c:ext xmlns:c="http://schemas.openxmlformats.org/drawingml/2006/chart" xmlns:c16="http://schemas.microsoft.com/office/drawing/2014/chart" uri="{C3380CC4-5D6E-409C-BE32-E72D297353CC}">
                  <c16:uniqueId val="{00000008-A7FC-417E-B823-805A8232D584}"/>
                </c:ext>
                <c:ext xmlns:c15="http://schemas.microsoft.com/office/drawing/2012/chart" uri="{CE6537A1-D6FC-4f65-9D91-7224C49458BB}"/>
              </c:extLst>
            </c:dLbl>
            <c:dLbl>
              <c:idx val="9"/>
              <c:layout>
                <c:manualLayout>
                  <c:x val="-0.034488730145845171"/>
                  <c:y val="0.04327478295982233"/>
                </c:manualLayout>
              </c:layout>
              <c:tx>
                <c:rich>
                  <a:bodyPr vertOverflow="clip"/>
                  <a:lstStyle/>
                  <a:p>
                    <a:r>
                      <a:rPr lang="en-US"/>
                      <a:t>2014</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A7FC-417E-B823-805A8232D584}"/>
                </c:ext>
                <c:ext xmlns:c15="http://schemas.microsoft.com/office/drawing/2012/chart" uri="{CE6537A1-D6FC-4f65-9D91-7224C49458BB}"/>
              </c:extLst>
            </c:dLbl>
            <c:dLbl>
              <c:idx val="10"/>
              <c:layout>
                <c:manualLayout>
                  <c:x val="-0.048682691305879967"/>
                  <c:y val="-0.05288250515989211"/>
                </c:manualLayout>
              </c:layout>
              <c:tx>
                <c:rich>
                  <a:bodyPr vertOverflow="clip"/>
                  <a:lstStyle/>
                  <a:p>
                    <a:r>
                      <a:rPr lang="en-US"/>
                      <a:t>2016</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A7FC-417E-B823-805A8232D584}"/>
                </c:ext>
                <c:ext xmlns:c15="http://schemas.microsoft.com/office/drawing/2012/chart" uri="{CE6537A1-D6FC-4f65-9D91-7224C49458BB}"/>
              </c:extLst>
            </c:dLbl>
            <c:dLbl>
              <c:idx val="11"/>
              <c:delete val="1"/>
              <c:extLst>
                <c:ext xmlns:c="http://schemas.openxmlformats.org/drawingml/2006/chart" xmlns:c16="http://schemas.microsoft.com/office/drawing/2014/chart" uri="{C3380CC4-5D6E-409C-BE32-E72D297353CC}">
                  <c16:uniqueId val="{0000000B-A7FC-417E-B823-805A8232D584}"/>
                </c:ext>
                <c:ext xmlns:c15="http://schemas.microsoft.com/office/drawing/2012/chart" uri="{CE6537A1-D6FC-4f65-9D91-7224C49458BB}"/>
              </c:extLst>
            </c:dLbl>
            <c:dLbl>
              <c:idx val="12"/>
              <c:tx>
                <c:rich>
                  <a:bodyPr/>
                  <a:lstStyle/>
                  <a:p>
                    <a:r>
                      <a:rPr lang="lv-LV"/>
                      <a:t>FI</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A7FC-417E-B823-805A8232D584}"/>
                </c:ext>
                <c:ext xmlns:c15="http://schemas.microsoft.com/office/drawing/2012/chart" uri="{CE6537A1-D6FC-4f65-9D91-7224C49458BB}"/>
              </c:extLst>
            </c:dLbl>
            <c:dLbl>
              <c:idx val="13"/>
              <c:tx>
                <c:rich>
                  <a:bodyPr/>
                  <a:lstStyle/>
                  <a:p>
                    <a:r>
                      <a:rPr lang="lv-LV" b="0"/>
                      <a:t>SE</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A7FC-417E-B823-805A8232D584}"/>
                </c:ext>
                <c:ext xmlns:c15="http://schemas.microsoft.com/office/drawing/2012/chart" uri="{CE6537A1-D6FC-4f65-9D91-7224C49458BB}"/>
              </c:extLst>
            </c:dLbl>
            <c:spPr>
              <a:noFill/>
              <a:ln>
                <a:noFill/>
              </a:ln>
              <a:effectLst/>
            </c:spPr>
            <c:txPr>
              <a:bodyPr/>
              <a:lstStyle/>
              <a:p>
                <a:pPr>
                  <a:defRPr b="0"/>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Sheet1!$B$3:$B$14</c:f>
              <c:numCache>
                <c:formatCode>0.0</c:formatCode>
                <c:ptCount val="12"/>
                <c:pt idx="0">
                  <c:v>15.374171139880014</c:v>
                </c:pt>
                <c:pt idx="1">
                  <c:v>16.398018063221276</c:v>
                </c:pt>
                <c:pt idx="2">
                  <c:v>16.753029131219389</c:v>
                </c:pt>
                <c:pt idx="3">
                  <c:v>15.841734203070436</c:v>
                </c:pt>
                <c:pt idx="4">
                  <c:v>15.903379181524876</c:v>
                </c:pt>
                <c:pt idx="5">
                  <c:v>18.32162440027416</c:v>
                </c:pt>
                <c:pt idx="6">
                  <c:v>18.645487723954879</c:v>
                </c:pt>
                <c:pt idx="7">
                  <c:v>18.575841584158415</c:v>
                </c:pt>
                <c:pt idx="8">
                  <c:v>18.201535660571519</c:v>
                </c:pt>
                <c:pt idx="9">
                  <c:v>19.235960673221129</c:v>
                </c:pt>
                <c:pt idx="10">
                  <c:v>19.567750105529761</c:v>
                </c:pt>
                <c:pt idx="11">
                  <c:v>20.575176589303734</c:v>
                </c:pt>
              </c:numCache>
            </c:numRef>
          </c:xVal>
          <c:yVal>
            <c:numRef>
              <c:f>Sheet1!$C$3:$C$14</c:f>
              <c:numCache>
                <c:formatCode>0.0</c:formatCode>
                <c:ptCount val="12"/>
                <c:pt idx="0">
                  <c:v>0.35006911416182629</c:v>
                </c:pt>
                <c:pt idx="1">
                  <c:v>0.38337534135993828</c:v>
                </c:pt>
                <c:pt idx="2">
                  <c:v>0.5010771794630785</c:v>
                </c:pt>
                <c:pt idx="3">
                  <c:v>0.63340536254697244</c:v>
                </c:pt>
                <c:pt idx="4">
                  <c:v>0.5641412637229859</c:v>
                </c:pt>
                <c:pt idx="5">
                  <c:v>0.48062074540338945</c:v>
                </c:pt>
                <c:pt idx="6">
                  <c:v>0.48127277164892596</c:v>
                </c:pt>
                <c:pt idx="7">
                  <c:v>0.529487545959121</c:v>
                </c:pt>
                <c:pt idx="8">
                  <c:v>0.56514616909038629</c:v>
                </c:pt>
                <c:pt idx="9">
                  <c:v>0.58412548564809619</c:v>
                </c:pt>
                <c:pt idx="10">
                  <c:v>0.62622709369655249</c:v>
                </c:pt>
                <c:pt idx="11">
                  <c:v>0.63328205293407969</c:v>
                </c:pt>
              </c:numCache>
            </c:numRef>
          </c:yVal>
          <c:smooth val="1"/>
          <c:extLst>
            <c:ext xmlns:c="http://schemas.openxmlformats.org/drawingml/2006/chart" xmlns:c16="http://schemas.microsoft.com/office/drawing/2014/chart" uri="{C3380CC4-5D6E-409C-BE32-E72D297353CC}">
              <c16:uniqueId val="{0000000E-A7FC-417E-B823-805A8232D584}"/>
            </c:ext>
          </c:extLst>
        </c:ser>
        <c:dLbls>
          <c:showLegendKey val="0"/>
          <c:showVal val="0"/>
          <c:showCatName val="0"/>
          <c:showSerName val="0"/>
          <c:showPercent val="0"/>
          <c:showBubbleSize val="0"/>
        </c:dLbls>
        <c:axId val="629863976"/>
        <c:axId val="629860056"/>
      </c:scatterChart>
      <c:valAx>
        <c:axId val="629863976"/>
        <c:scaling>
          <c:orientation val="minMax"/>
          <c:max val="25"/>
          <c:min val="10"/>
        </c:scaling>
        <c:delete val="0"/>
        <c:axPos val="b"/>
        <c:title>
          <c:tx>
            <c:rich>
              <a:bodyPr vertOverflow="clip"/>
              <a:lstStyle/>
              <a:p>
                <a:pPr>
                  <a:defRPr sz="700" b="0">
                    <a:latin typeface="Arial Narrow" pitchFamily="34" charset="0"/>
                  </a:defRPr>
                </a:pPr>
                <a:r>
                  <a:rPr lang="lv-LV" sz="700" b="0">
                    <a:latin typeface="Arial Narrow" pitchFamily="34" charset="0"/>
                  </a:rPr>
                  <a:t>Produktivitāte (pievienotā vērtība </a:t>
                </a:r>
                <a:br>
                  <a:rPr lang="lv-LV" sz="700" b="0">
                    <a:latin typeface="Arial Narrow" pitchFamily="34" charset="0"/>
                  </a:rPr>
                </a:br>
                <a:r>
                  <a:rPr lang="lv-LV" sz="700" b="0">
                    <a:latin typeface="Arial Narrow" pitchFamily="34" charset="0"/>
                  </a:rPr>
                  <a:t>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29860056"/>
        <c:crosses val="autoZero"/>
        <c:crossBetween val="midCat"/>
        <c:majorUnit val="5"/>
      </c:valAx>
      <c:valAx>
        <c:axId val="629860056"/>
        <c:scaling>
          <c:orientation val="minMax"/>
          <c:min val="0.2"/>
        </c:scaling>
        <c:delete val="0"/>
        <c:axPos val="l"/>
        <c:title>
          <c:tx>
            <c:rich>
              <a:bodyPr vertOverflow="clip"/>
              <a:lstStyle/>
              <a:p>
                <a:pPr>
                  <a:defRPr sz="700" b="0"/>
                </a:pPr>
                <a:r>
                  <a:rPr lang="lv-LV" sz="700" b="0">
                    <a:latin typeface="Arial Narrow" pitchFamily="34" charset="0"/>
                  </a:rPr>
                  <a:t>Darbaspēka izmaksas </a:t>
                </a:r>
                <a:br>
                  <a:rPr lang="lv-LV" sz="700" b="0">
                    <a:latin typeface="Arial Narrow" pitchFamily="34" charset="0"/>
                  </a:rPr>
                </a:br>
                <a:r>
                  <a:rPr lang="lv-LV" sz="700" b="0">
                    <a:latin typeface="Arial Narrow" pitchFamily="34" charset="0"/>
                  </a:rPr>
                  <a:t>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29863976"/>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8"/>
          <c:y val="0.046005165816941182"/>
          <c:w val="0.85762258292899962"/>
          <c:h val="0.831279863372076"/>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Sheet1!$B$1:$K$1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Sheet1!$B$2:$K$2</c:f>
              <c:numCache>
                <c:formatCode>0</c:formatCode>
                <c:ptCount val="10"/>
                <c:pt idx="0">
                  <c:v>33.733810364325855</c:v>
                </c:pt>
                <c:pt idx="1">
                  <c:v>39.366062694556014</c:v>
                </c:pt>
                <c:pt idx="2">
                  <c:v>35.265739314535836</c:v>
                </c:pt>
                <c:pt idx="3">
                  <c:v>31.598932010849889</c:v>
                </c:pt>
                <c:pt idx="4">
                  <c:v>31.869900214985641</c:v>
                </c:pt>
                <c:pt idx="5">
                  <c:v>33.801329812213076</c:v>
                </c:pt>
                <c:pt idx="6">
                  <c:v>35.118191713592282</c:v>
                </c:pt>
                <c:pt idx="7">
                  <c:v>37.375186420479331</c:v>
                </c:pt>
                <c:pt idx="8">
                  <c:v>39.02724647709001</c:v>
                </c:pt>
                <c:pt idx="9">
                  <c:v>41.8751646537594</c:v>
                </c:pt>
              </c:numCache>
            </c:numRef>
          </c:val>
          <c:extLst>
            <c:ext xmlns:c="http://schemas.openxmlformats.org/drawingml/2006/chart" xmlns:c16="http://schemas.microsoft.com/office/drawing/2014/chart" uri="{C3380CC4-5D6E-409C-BE32-E72D297353CC}">
              <c16:uniqueId val="{00000000-6350-4D3C-A427-B1ACFF904241}"/>
            </c:ext>
          </c:extLst>
        </c:ser>
        <c:ser>
          <c:idx val="1"/>
          <c:order val="1"/>
          <c:tx>
            <c:strRef>
              <c:f>Sheet1!$A$3</c:f>
              <c:strCache>
                <c:ptCount val="1"/>
                <c:pt idx="0">
                  <c:v>Apstrādes rūpniecība</c:v>
                </c:pt>
              </c:strCache>
            </c:strRef>
          </c:tx>
          <c:spPr>
            <a:ln>
              <a:solidFill>
                <a:sysClr val="windowText" lastClr="000000"/>
              </a:solidFill>
            </a:ln>
          </c:spPr>
          <c:invertIfNegative val="0"/>
          <c:dLbls>
            <c:numFmt formatCode="#,##0" sourceLinked="0"/>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Sheet1!$B$3:$K$3</c:f>
              <c:numCache>
                <c:formatCode>0</c:formatCode>
                <c:ptCount val="10"/>
                <c:pt idx="0">
                  <c:v>25.378971012121887</c:v>
                </c:pt>
                <c:pt idx="1">
                  <c:v>29.954949752509386</c:v>
                </c:pt>
                <c:pt idx="2">
                  <c:v>27.438315931799139</c:v>
                </c:pt>
                <c:pt idx="3">
                  <c:v>25.396586049138204</c:v>
                </c:pt>
                <c:pt idx="4">
                  <c:v>25.117274833237762</c:v>
                </c:pt>
                <c:pt idx="5">
                  <c:v>26.732516233026793</c:v>
                </c:pt>
                <c:pt idx="6">
                  <c:v>27.35164368418797</c:v>
                </c:pt>
                <c:pt idx="7">
                  <c:v>29.308262300975041</c:v>
                </c:pt>
                <c:pt idx="8">
                  <c:v>30.997615943342133</c:v>
                </c:pt>
                <c:pt idx="9">
                  <c:v>32.974054710840583</c:v>
                </c:pt>
              </c:numCache>
            </c:numRef>
          </c:val>
          <c:extLst>
            <c:ext xmlns:c="http://schemas.openxmlformats.org/drawingml/2006/chart" xmlns:c16="http://schemas.microsoft.com/office/drawing/2014/chart" uri="{C3380CC4-5D6E-409C-BE32-E72D297353CC}">
              <c16:uniqueId val="{00000001-6350-4D3C-A427-B1ACFF904241}"/>
            </c:ext>
          </c:extLst>
        </c:ser>
        <c:dLbls>
          <c:showLegendKey val="0"/>
          <c:showVal val="0"/>
          <c:showCatName val="0"/>
          <c:showSerName val="0"/>
          <c:showPercent val="0"/>
          <c:showBubbleSize val="0"/>
        </c:dLbls>
        <c:gapWidth val="50"/>
        <c:overlap val="52"/>
        <c:axId val="629860840"/>
        <c:axId val="629868680"/>
      </c:barChart>
      <c:catAx>
        <c:axId val="629860840"/>
        <c:scaling>
          <c:orientation val="minMax"/>
        </c:scaling>
        <c:delete val="0"/>
        <c:axPos val="b"/>
        <c:numFmt formatCode="General" sourceLinked="0"/>
        <c:majorTickMark val="out"/>
        <c:minorTickMark val="none"/>
        <c:tickLblPos val="nextTo"/>
        <c:txPr>
          <a:bodyPr rot="-2700000"/>
          <a:lstStyle/>
          <a:p>
            <a:pPr>
              <a:defRPr sz="700"/>
            </a:pPr>
            <a:endParaRPr lang="lv-LV"/>
          </a:p>
        </c:txPr>
        <c:crossAx val="629868680"/>
        <c:crosses val="autoZero"/>
        <c:auto val="1"/>
        <c:lblAlgn val="ctr"/>
        <c:lblOffset val="100"/>
        <c:noMultiLvlLbl val="0"/>
      </c:catAx>
      <c:valAx>
        <c:axId val="629868680"/>
        <c:scaling>
          <c:orientation val="minMax"/>
          <c:max val="80"/>
        </c:scaling>
        <c:delete val="0"/>
        <c:axPos val="l"/>
        <c:numFmt formatCode="0" sourceLinked="0"/>
        <c:majorTickMark val="out"/>
        <c:minorTickMark val="none"/>
        <c:tickLblPos val="nextTo"/>
        <c:txPr>
          <a:bodyPr/>
          <a:lstStyle/>
          <a:p>
            <a:pPr>
              <a:defRPr sz="800"/>
            </a:pPr>
            <a:endParaRPr lang="lv-LV"/>
          </a:p>
        </c:txPr>
        <c:crossAx val="629860840"/>
        <c:crosses val="autoZero"/>
        <c:crossBetween val="between"/>
        <c:majorUnit val="20"/>
      </c:valAx>
      <c:spPr>
        <a:ln>
          <a:noFill/>
        </a:ln>
      </c:spPr>
    </c:plotArea>
    <c:legend>
      <c:legendPos val="r"/>
      <c:layout>
        <c:manualLayout>
          <c:xMode val="edge"/>
          <c:yMode val="edge"/>
          <c:x val="0.1972511805244323"/>
          <c:y val="0.049528317790409886"/>
          <c:w val="0.53767545872909384"/>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738"/>
          <c:y val="0.046005165816941182"/>
          <c:w val="0.85762258292899962"/>
          <c:h val="0.83127986337207582"/>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Sheet1!$B$1:$K$1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Sheet1!$B$2:$K$2</c:f>
              <c:numCache>
                <c:formatCode>0</c:formatCode>
                <c:ptCount val="10"/>
                <c:pt idx="0">
                  <c:v>37.543267740570116</c:v>
                </c:pt>
                <c:pt idx="1">
                  <c:v>40.842057643741676</c:v>
                </c:pt>
                <c:pt idx="2">
                  <c:v>38.288707041966028</c:v>
                </c:pt>
                <c:pt idx="3">
                  <c:v>37.097778599507883</c:v>
                </c:pt>
                <c:pt idx="4">
                  <c:v>40.389766440010831</c:v>
                </c:pt>
                <c:pt idx="5">
                  <c:v>42.46259667259212</c:v>
                </c:pt>
                <c:pt idx="6">
                  <c:v>42.568476309606638</c:v>
                </c:pt>
                <c:pt idx="7">
                  <c:v>43.635115226322327</c:v>
                </c:pt>
                <c:pt idx="8">
                  <c:v>42.45554310298936</c:v>
                </c:pt>
                <c:pt idx="9">
                  <c:v>43.804313173121656</c:v>
                </c:pt>
              </c:numCache>
            </c:numRef>
          </c:val>
          <c:extLst>
            <c:ext xmlns:c="http://schemas.openxmlformats.org/drawingml/2006/chart" xmlns:c16="http://schemas.microsoft.com/office/drawing/2014/chart" uri="{C3380CC4-5D6E-409C-BE32-E72D297353CC}">
              <c16:uniqueId val="{00000000-B1AB-488A-AA82-04F449B2C146}"/>
            </c:ext>
          </c:extLst>
        </c:ser>
        <c:ser>
          <c:idx val="1"/>
          <c:order val="1"/>
          <c:tx>
            <c:strRef>
              <c:f>Sheet1!$A$3</c:f>
              <c:strCache>
                <c:ptCount val="1"/>
                <c:pt idx="0">
                  <c:v>Apstrādes rūpniecība</c:v>
                </c:pt>
              </c:strCache>
            </c:strRef>
          </c:tx>
          <c:spPr>
            <a:ln>
              <a:solidFill>
                <a:sysClr val="windowText" lastClr="000000"/>
              </a:solidFill>
            </a:ln>
          </c:spPr>
          <c:invertIfNegative val="0"/>
          <c:dLbls>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Sheet1!$B$3:$K$3</c:f>
              <c:numCache>
                <c:formatCode>0</c:formatCode>
                <c:ptCount val="10"/>
                <c:pt idx="0">
                  <c:v>27.321320077735468</c:v>
                </c:pt>
                <c:pt idx="1">
                  <c:v>29.397739739995664</c:v>
                </c:pt>
                <c:pt idx="2">
                  <c:v>31.911683444112189</c:v>
                </c:pt>
                <c:pt idx="3">
                  <c:v>33.120893068296795</c:v>
                </c:pt>
                <c:pt idx="4">
                  <c:v>34.224745584270913</c:v>
                </c:pt>
                <c:pt idx="5">
                  <c:v>34.808185493865693</c:v>
                </c:pt>
                <c:pt idx="6">
                  <c:v>33.992957258274387</c:v>
                </c:pt>
                <c:pt idx="7">
                  <c:v>34.454821381162624</c:v>
                </c:pt>
                <c:pt idx="8">
                  <c:v>32.199788971211376</c:v>
                </c:pt>
                <c:pt idx="9">
                  <c:v>33.304751564805336</c:v>
                </c:pt>
              </c:numCache>
            </c:numRef>
          </c:val>
          <c:extLst>
            <c:ext xmlns:c="http://schemas.openxmlformats.org/drawingml/2006/chart" xmlns:c16="http://schemas.microsoft.com/office/drawing/2014/chart" uri="{C3380CC4-5D6E-409C-BE32-E72D297353CC}">
              <c16:uniqueId val="{00000001-B1AB-488A-AA82-04F449B2C146}"/>
            </c:ext>
          </c:extLst>
        </c:ser>
        <c:dLbls>
          <c:showLegendKey val="0"/>
          <c:showVal val="0"/>
          <c:showCatName val="0"/>
          <c:showSerName val="0"/>
          <c:showPercent val="0"/>
          <c:showBubbleSize val="0"/>
        </c:dLbls>
        <c:gapWidth val="50"/>
        <c:overlap val="52"/>
        <c:axId val="629871816"/>
        <c:axId val="629875344"/>
      </c:barChart>
      <c:catAx>
        <c:axId val="629871816"/>
        <c:scaling>
          <c:orientation val="minMax"/>
        </c:scaling>
        <c:delete val="0"/>
        <c:axPos val="b"/>
        <c:numFmt formatCode="General" sourceLinked="0"/>
        <c:majorTickMark val="out"/>
        <c:minorTickMark val="none"/>
        <c:tickLblPos val="nextTo"/>
        <c:txPr>
          <a:bodyPr rot="-2700000"/>
          <a:lstStyle/>
          <a:p>
            <a:pPr>
              <a:defRPr sz="700"/>
            </a:pPr>
            <a:endParaRPr lang="lv-LV"/>
          </a:p>
        </c:txPr>
        <c:crossAx val="629875344"/>
        <c:crosses val="autoZero"/>
        <c:auto val="1"/>
        <c:lblAlgn val="ctr"/>
        <c:lblOffset val="100"/>
        <c:noMultiLvlLbl val="0"/>
      </c:catAx>
      <c:valAx>
        <c:axId val="629875344"/>
        <c:scaling>
          <c:orientation val="minMax"/>
          <c:max val="80"/>
        </c:scaling>
        <c:delete val="0"/>
        <c:axPos val="l"/>
        <c:numFmt formatCode="0" sourceLinked="1"/>
        <c:majorTickMark val="out"/>
        <c:minorTickMark val="none"/>
        <c:tickLblPos val="nextTo"/>
        <c:txPr>
          <a:bodyPr/>
          <a:lstStyle/>
          <a:p>
            <a:pPr>
              <a:defRPr sz="800"/>
            </a:pPr>
            <a:endParaRPr lang="lv-LV"/>
          </a:p>
        </c:txPr>
        <c:crossAx val="629871816"/>
        <c:crosses val="autoZero"/>
        <c:crossBetween val="between"/>
        <c:majorUnit val="20"/>
      </c:valAx>
      <c:spPr>
        <a:ln>
          <a:noFill/>
        </a:ln>
      </c:spPr>
    </c:plotArea>
    <c:legend>
      <c:legendPos val="r"/>
      <c:layout>
        <c:manualLayout>
          <c:xMode val="edge"/>
          <c:yMode val="edge"/>
          <c:x val="0.19725118052443219"/>
          <c:y val="0.0495283177904099"/>
          <c:w val="0.58747156605424322"/>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46717244654"/>
          <c:y val="0.044057617797775277"/>
          <c:w val="0.9310540474739486"/>
          <c:h val="0.51653970083007916"/>
        </c:manualLayout>
      </c:layout>
      <c:barChart>
        <c:barDir val="col"/>
        <c:grouping val="clustered"/>
        <c:varyColors val="0"/>
        <c:ser>
          <c:idx val="1"/>
          <c:order val="0"/>
          <c:tx>
            <c:strRef>
              <c:f>Sheet1!$B$3</c:f>
              <c:strCache>
                <c:ptCount val="1"/>
                <c:pt idx="0">
                  <c:v>Compensation per employees 1000 of euro</c:v>
                </c:pt>
              </c:strCache>
            </c:strRef>
          </c:tx>
          <c:spPr>
            <a:solidFill>
              <a:schemeClr val="accent3">
                <a:lumMod val="50000"/>
              </a:schemeClr>
            </a:solidFill>
            <a:ln w="19050"/>
          </c:spPr>
          <c:invertIfNegative val="0"/>
          <c:dPt>
            <c:idx val="12"/>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6-12E2-494C-8393-C7677FB57673}"/>
              </c:ext>
            </c:extLst>
          </c:dPt>
          <c:dPt>
            <c:idx val="20"/>
            <c:invertIfNegative val="0"/>
            <c:bubble3D val="0"/>
            <c:extLst>
              <c:ext xmlns:c="http://schemas.openxmlformats.org/drawingml/2006/chart" xmlns:c16="http://schemas.microsoft.com/office/drawing/2014/chart" uri="{C3380CC4-5D6E-409C-BE32-E72D297353CC}">
                <c16:uniqueId val="{00000000-4311-4D57-A128-A4FBA9C5AC44}"/>
              </c:ext>
            </c:extLst>
          </c:dPt>
          <c:dPt>
            <c:idx val="22"/>
            <c:invertIfNegative val="0"/>
            <c:bubble3D val="0"/>
            <c:extLst>
              <c:ext xmlns:c="http://schemas.openxmlformats.org/drawingml/2006/chart" xmlns:c16="http://schemas.microsoft.com/office/drawing/2014/chart" uri="{C3380CC4-5D6E-409C-BE32-E72D297353CC}">
                <c16:uniqueId val="{00000001-4311-4D57-A128-A4FBA9C5AC44}"/>
              </c:ext>
            </c:extLst>
          </c:dPt>
          <c:dPt>
            <c:idx val="23"/>
            <c:invertIfNegative val="0"/>
            <c:bubble3D val="0"/>
            <c:extLst>
              <c:ext xmlns:c="http://schemas.openxmlformats.org/drawingml/2006/chart" xmlns:c16="http://schemas.microsoft.com/office/drawing/2014/chart" uri="{C3380CC4-5D6E-409C-BE32-E72D297353CC}">
                <c16:uniqueId val="{00000005-89CD-41E6-AFAA-1DB7D39E72E9}"/>
              </c:ext>
            </c:extLst>
          </c:dPt>
          <c:dPt>
            <c:idx val="24"/>
            <c:invertIfNegative val="0"/>
            <c:bubble3D val="0"/>
            <c:extLst>
              <c:ext xmlns:c="http://schemas.openxmlformats.org/drawingml/2006/chart" xmlns:c16="http://schemas.microsoft.com/office/drawing/2014/chart" uri="{C3380CC4-5D6E-409C-BE32-E72D297353CC}">
                <c16:uniqueId val="{00000003-4311-4D57-A128-A4FBA9C5AC44}"/>
              </c:ext>
            </c:extLst>
          </c:dPt>
          <c:dPt>
            <c:idx val="25"/>
            <c:invertIfNegative val="0"/>
            <c:bubble3D val="0"/>
            <c:spPr>
              <a:solidFill>
                <a:srgbClr val="C00000"/>
              </a:solidFill>
              <a:ln w="19050"/>
            </c:spPr>
            <c:extLst>
              <c:ext xmlns:c="http://schemas.openxmlformats.org/drawingml/2006/chart" xmlns:c16="http://schemas.microsoft.com/office/drawing/2014/chart" uri="{C3380CC4-5D6E-409C-BE32-E72D297353CC}">
                <c16:uniqueId val="{00000004-4311-4D57-A128-A4FBA9C5AC44}"/>
              </c:ext>
            </c:extLst>
          </c:dPt>
          <c:dLbls>
            <c:dLbl>
              <c:idx val="12"/>
              <c:numFmt formatCode="#,##0" sourceLinked="0"/>
              <c:spPr>
                <a:noFill/>
                <a:ln>
                  <a:noFill/>
                </a:ln>
                <a:effectLst/>
              </c:spPr>
              <c:txPr>
                <a:bodyPr/>
                <a:lstStyle/>
                <a:p>
                  <a:pPr>
                    <a:defRPr sz="600" b="0"/>
                  </a:pPr>
                  <a:endParaRPr lang="lv-LV"/>
                </a:p>
              </c:txPr>
              <c:showLegendKey val="0"/>
              <c:showVal val="1"/>
              <c:showCatName val="0"/>
              <c:showSerName val="0"/>
              <c:showPercent val="0"/>
              <c:showBubbleSize val="0"/>
            </c:dLbl>
            <c:dLbl>
              <c:idx val="22"/>
              <c:layout>
                <c:manualLayout>
                  <c:x val="0"/>
                  <c:y val="0.010957045003520901"/>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4311-4D57-A128-A4FBA9C5AC44}"/>
                </c:ext>
                <c:ext xmlns:c15="http://schemas.microsoft.com/office/drawing/2012/chart" uri="{CE6537A1-D6FC-4f65-9D91-7224C49458BB}"/>
              </c:extLst>
            </c:dLbl>
            <c:dLbl>
              <c:idx val="23"/>
              <c:layout>
                <c:manualLayout>
                  <c:x val="0"/>
                  <c:y val="0.010840108401083961"/>
                </c:manualLayout>
              </c:layout>
              <c:numFmt formatCode="#,##0" sourceLinked="0"/>
              <c:spPr>
                <a:noFill/>
                <a:ln>
                  <a:noFill/>
                </a:ln>
                <a:effectLst/>
              </c:spPr>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89CD-41E6-AFAA-1DB7D39E72E9}"/>
                </c:ext>
                <c:ext xmlns:c15="http://schemas.microsoft.com/office/drawing/2012/chart" uri="{CE6537A1-D6FC-4f65-9D91-7224C49458BB}"/>
              </c:extLst>
            </c:dLbl>
            <c:dLbl>
              <c:idx val="24"/>
              <c:layout>
                <c:manualLayout>
                  <c:x val="0"/>
                  <c:y val="0.010840108401083912"/>
                </c:manualLayout>
              </c:layout>
              <c:numFmt formatCode="#,##0" sourceLinked="0"/>
              <c:spPr>
                <a:noFill/>
                <a:ln>
                  <a:noFill/>
                </a:ln>
                <a:effectLst/>
              </c:spPr>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4311-4D57-A128-A4FBA9C5AC44}"/>
                </c:ext>
                <c:ext xmlns:c15="http://schemas.microsoft.com/office/drawing/2012/chart" uri="{CE6537A1-D6FC-4f65-9D91-7224C49458BB}"/>
              </c:extLst>
            </c:dLbl>
            <c:dLbl>
              <c:idx val="25"/>
              <c:layout>
                <c:manualLayout>
                  <c:x val="0"/>
                  <c:y val="0.0047350290403144375"/>
                </c:manualLayout>
              </c:layout>
              <c:numFmt formatCode="#,##0" sourceLinked="0"/>
              <c:txPr>
                <a:bodyPr/>
                <a:lstStyle/>
                <a:p>
                  <a:pPr>
                    <a:defRPr sz="600" b="1"/>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4311-4D57-A128-A4FBA9C5AC44}"/>
                </c:ext>
                <c:ext xmlns:c15="http://schemas.microsoft.com/office/drawing/2012/chart" uri="{CE6537A1-D6FC-4f65-9D91-7224C49458BB}"/>
              </c:extLst>
            </c:dLbl>
            <c:numFmt formatCode="#,##0" sourceLinked="0"/>
            <c:spPr>
              <a:noFill/>
              <a:ln>
                <a:noFill/>
              </a:ln>
              <a:effectLst/>
            </c:spPr>
            <c:txPr>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Sheet1!$A$4:$A$32</c:f>
              <c:strCache>
                <c:ptCount val="29"/>
                <c:pt idx="0">
                  <c:v>Dānija</c:v>
                </c:pt>
                <c:pt idx="1">
                  <c:v>Beļģija</c:v>
                </c:pt>
                <c:pt idx="2">
                  <c:v>Apv. Karaliste</c:v>
                </c:pt>
                <c:pt idx="3">
                  <c:v>Īrija</c:v>
                </c:pt>
                <c:pt idx="4">
                  <c:v>Luksemburga</c:v>
                </c:pt>
                <c:pt idx="5">
                  <c:v>Nīderlande</c:v>
                </c:pt>
                <c:pt idx="6">
                  <c:v>Francija</c:v>
                </c:pt>
                <c:pt idx="7">
                  <c:v>Vācija</c:v>
                </c:pt>
                <c:pt idx="8">
                  <c:v>Somija</c:v>
                </c:pt>
                <c:pt idx="9">
                  <c:v>Austrija</c:v>
                </c:pt>
                <c:pt idx="10">
                  <c:v>Zviedrija</c:v>
                </c:pt>
                <c:pt idx="11">
                  <c:v>Itālija</c:v>
                </c:pt>
                <c:pt idx="12">
                  <c:v>ES-28</c:v>
                </c:pt>
                <c:pt idx="13">
                  <c:v>Spānija</c:v>
                </c:pt>
                <c:pt idx="14">
                  <c:v>Slovēnija</c:v>
                </c:pt>
                <c:pt idx="15">
                  <c:v>Malta</c:v>
                </c:pt>
                <c:pt idx="16">
                  <c:v>Grieķija</c:v>
                </c:pt>
                <c:pt idx="17">
                  <c:v>Kipra</c:v>
                </c:pt>
                <c:pt idx="18">
                  <c:v>Portugāle</c:v>
                </c:pt>
                <c:pt idx="19">
                  <c:v>Igaunija</c:v>
                </c:pt>
                <c:pt idx="20">
                  <c:v>Slovākija</c:v>
                </c:pt>
                <c:pt idx="21">
                  <c:v>Čehija</c:v>
                </c:pt>
                <c:pt idx="22">
                  <c:v>Lietuva</c:v>
                </c:pt>
                <c:pt idx="23">
                  <c:v>Horvātija</c:v>
                </c:pt>
                <c:pt idx="24">
                  <c:v>Ungārija</c:v>
                </c:pt>
                <c:pt idx="25">
                  <c:v>Latvija</c:v>
                </c:pt>
                <c:pt idx="26">
                  <c:v>Polija</c:v>
                </c:pt>
                <c:pt idx="27">
                  <c:v>Rumānija</c:v>
                </c:pt>
                <c:pt idx="28">
                  <c:v>Bulgārija</c:v>
                </c:pt>
              </c:strCache>
            </c:strRef>
          </c:cat>
          <c:val>
            <c:numRef>
              <c:f>Sheet1!$B$4:$B$32</c:f>
              <c:numCache>
                <c:formatCode>0.0</c:formatCode>
                <c:ptCount val="29"/>
                <c:pt idx="0">
                  <c:v>65.461702127659578</c:v>
                </c:pt>
                <c:pt idx="1">
                  <c:v>64.322233930453109</c:v>
                </c:pt>
                <c:pt idx="2">
                  <c:v>62.161752591398262</c:v>
                </c:pt>
                <c:pt idx="3">
                  <c:v>58.376248029427217</c:v>
                </c:pt>
                <c:pt idx="4">
                  <c:v>55.942482025633012</c:v>
                </c:pt>
                <c:pt idx="5">
                  <c:v>55.60164835164835</c:v>
                </c:pt>
                <c:pt idx="6">
                  <c:v>54.488951386098833</c:v>
                </c:pt>
                <c:pt idx="7">
                  <c:v>54.181318681318679</c:v>
                </c:pt>
                <c:pt idx="8">
                  <c:v>53.95614871306006</c:v>
                </c:pt>
                <c:pt idx="9">
                  <c:v>53.644414058048881</c:v>
                </c:pt>
                <c:pt idx="10">
                  <c:v>52.373328448433782</c:v>
                </c:pt>
                <c:pt idx="11">
                  <c:v>41.095909564182655</c:v>
                </c:pt>
                <c:pt idx="12">
                  <c:v>39.51558334035203</c:v>
                </c:pt>
                <c:pt idx="13">
                  <c:v>38.175175021718019</c:v>
                </c:pt>
                <c:pt idx="14">
                  <c:v>25.946106812401929</c:v>
                </c:pt>
                <c:pt idx="15">
                  <c:v>20.99502487562189</c:v>
                </c:pt>
                <c:pt idx="16">
                  <c:v>20.923088592233007</c:v>
                </c:pt>
                <c:pt idx="17">
                  <c:v>20.20757465404224</c:v>
                </c:pt>
                <c:pt idx="18">
                  <c:v>17.66908879523325</c:v>
                </c:pt>
                <c:pt idx="19">
                  <c:v>16.714795008912656</c:v>
                </c:pt>
                <c:pt idx="20">
                  <c:v>16.559268792810087</c:v>
                </c:pt>
                <c:pt idx="21">
                  <c:v>15.769445251690634</c:v>
                </c:pt>
                <c:pt idx="22">
                  <c:v>15.043048550613889</c:v>
                </c:pt>
                <c:pt idx="23">
                  <c:v>14.452350998584683</c:v>
                </c:pt>
                <c:pt idx="24">
                  <c:v>13.409503414595928</c:v>
                </c:pt>
                <c:pt idx="25">
                  <c:v>13.029890069955485</c:v>
                </c:pt>
                <c:pt idx="26">
                  <c:v>11.332478210820589</c:v>
                </c:pt>
                <c:pt idx="27">
                  <c:v>7.7616943866943862</c:v>
                </c:pt>
                <c:pt idx="28">
                  <c:v>6.1034482758620694</c:v>
                </c:pt>
              </c:numCache>
            </c:numRef>
          </c:val>
          <c:extLst>
            <c:ext xmlns:c="http://schemas.openxmlformats.org/drawingml/2006/chart" xmlns:c16="http://schemas.microsoft.com/office/drawing/2014/chart" uri="{C3380CC4-5D6E-409C-BE32-E72D297353CC}">
              <c16:uniqueId val="{00000005-4311-4D57-A128-A4FBA9C5AC44}"/>
            </c:ext>
          </c:extLst>
        </c:ser>
        <c:dLbls>
          <c:showLegendKey val="0"/>
          <c:showVal val="0"/>
          <c:showCatName val="0"/>
          <c:showSerName val="0"/>
          <c:showPercent val="0"/>
          <c:showBubbleSize val="0"/>
        </c:dLbls>
        <c:gapWidth val="20"/>
        <c:axId val="629870640"/>
        <c:axId val="629876128"/>
      </c:barChart>
      <c:catAx>
        <c:axId val="629870640"/>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29876128"/>
        <c:crosses val="autoZero"/>
        <c:auto val="1"/>
        <c:lblAlgn val="ctr"/>
        <c:lblOffset val="100"/>
        <c:tickLblSkip val="1"/>
        <c:noMultiLvlLbl val="0"/>
      </c:catAx>
      <c:valAx>
        <c:axId val="629876128"/>
        <c:scaling>
          <c:orientation val="minMax"/>
        </c:scaling>
        <c:delete val="0"/>
        <c:axPos val="l"/>
        <c:numFmt formatCode="0" sourceLinked="0"/>
        <c:majorTickMark val="out"/>
        <c:minorTickMark val="none"/>
        <c:tickLblPos val="nextTo"/>
        <c:txPr>
          <a:bodyPr/>
          <a:lstStyle/>
          <a:p>
            <a:pPr>
              <a:defRPr sz="600"/>
            </a:pPr>
            <a:endParaRPr lang="lv-LV"/>
          </a:p>
        </c:txPr>
        <c:crossAx val="629870640"/>
        <c:crosses val="autoZero"/>
        <c:crossBetween val="between"/>
      </c:valAx>
    </c:plotArea>
    <c:plotVisOnly val="1"/>
    <c:dispBlanksAs val="gap"/>
    <c:showDLblsOverMax val="0"/>
  </c:chart>
  <c:spPr>
    <a:ln w="9525">
      <a:noFill/>
    </a:ln>
  </c:sp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46717244654"/>
          <c:y val="0.044057617797775277"/>
          <c:w val="0.9310540474739486"/>
          <c:h val="0.61410067643983524"/>
        </c:manualLayout>
      </c:layout>
      <c:barChart>
        <c:barDir val="col"/>
        <c:grouping val="clustered"/>
        <c:varyColors val="0"/>
        <c:ser>
          <c:idx val="1"/>
          <c:order val="0"/>
          <c:tx>
            <c:strRef>
              <c:f>Sheet1!$B$3</c:f>
              <c:strCache>
                <c:ptCount val="1"/>
                <c:pt idx="0">
                  <c:v>Resource productivity</c:v>
                </c:pt>
              </c:strCache>
            </c:strRef>
          </c:tx>
          <c:spPr>
            <a:solidFill>
              <a:schemeClr val="accent3">
                <a:lumMod val="50000"/>
              </a:schemeClr>
            </a:solidFill>
            <a:ln w="19050"/>
          </c:spPr>
          <c:invertIfNegative val="0"/>
          <c:dPt>
            <c:idx val="12"/>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8-3DC3-4D4D-8B40-812BDE5BC1C9}"/>
              </c:ext>
            </c:extLst>
          </c:dPt>
          <c:dPt>
            <c:idx val="16"/>
            <c:invertIfNegative val="0"/>
            <c:bubble3D val="0"/>
            <c:extLst>
              <c:ext xmlns:c="http://schemas.openxmlformats.org/drawingml/2006/chart" xmlns:c16="http://schemas.microsoft.com/office/drawing/2014/chart" uri="{C3380CC4-5D6E-409C-BE32-E72D297353CC}">
                <c16:uniqueId val="{00000000-504A-4B28-A9B1-ADA16585DF34}"/>
              </c:ext>
            </c:extLst>
          </c:dPt>
          <c:dPt>
            <c:idx val="17"/>
            <c:invertIfNegative val="0"/>
            <c:bubble3D val="0"/>
            <c:extLst>
              <c:ext xmlns:c="http://schemas.openxmlformats.org/drawingml/2006/chart" xmlns:c16="http://schemas.microsoft.com/office/drawing/2014/chart" uri="{C3380CC4-5D6E-409C-BE32-E72D297353CC}">
                <c16:uniqueId val="{00000001-504A-4B28-A9B1-ADA16585DF34}"/>
              </c:ext>
            </c:extLst>
          </c:dPt>
          <c:dPt>
            <c:idx val="23"/>
            <c:invertIfNegative val="0"/>
            <c:bubble3D val="0"/>
            <c:extLst>
              <c:ext xmlns:c="http://schemas.openxmlformats.org/drawingml/2006/chart" xmlns:c16="http://schemas.microsoft.com/office/drawing/2014/chart" uri="{C3380CC4-5D6E-409C-BE32-E72D297353CC}">
                <c16:uniqueId val="{00000003-504A-4B28-A9B1-ADA16585DF34}"/>
              </c:ext>
            </c:extLst>
          </c:dPt>
          <c:dPt>
            <c:idx val="24"/>
            <c:invertIfNegative val="0"/>
            <c:bubble3D val="0"/>
            <c:extLst>
              <c:ext xmlns:c="http://schemas.openxmlformats.org/drawingml/2006/chart" xmlns:c16="http://schemas.microsoft.com/office/drawing/2014/chart" uri="{C3380CC4-5D6E-409C-BE32-E72D297353CC}">
                <c16:uniqueId val="{00000007-3DC3-4D4D-8B40-812BDE5BC1C9}"/>
              </c:ext>
            </c:extLst>
          </c:dPt>
          <c:dPt>
            <c:idx val="25"/>
            <c:invertIfNegative val="0"/>
            <c:bubble3D val="0"/>
            <c:extLst>
              <c:ext xmlns:c="http://schemas.openxmlformats.org/drawingml/2006/chart" xmlns:c16="http://schemas.microsoft.com/office/drawing/2014/chart" uri="{C3380CC4-5D6E-409C-BE32-E72D297353CC}">
                <c16:uniqueId val="{00000004-504A-4B28-A9B1-ADA16585DF34}"/>
              </c:ext>
            </c:extLst>
          </c:dPt>
          <c:dPt>
            <c:idx val="26"/>
            <c:invertIfNegative val="0"/>
            <c:bubble3D val="0"/>
            <c:spPr>
              <a:solidFill>
                <a:srgbClr val="C00000"/>
              </a:solidFill>
              <a:ln w="19050"/>
            </c:spPr>
            <c:extLst>
              <c:ext xmlns:c="http://schemas.openxmlformats.org/drawingml/2006/chart" xmlns:c16="http://schemas.microsoft.com/office/drawing/2014/chart" uri="{C3380CC4-5D6E-409C-BE32-E72D297353CC}">
                <c16:uniqueId val="{00000006-504A-4B28-A9B1-ADA16585DF34}"/>
              </c:ext>
            </c:extLst>
          </c:dPt>
          <c:dLbls>
            <c:dLbl>
              <c:idx val="12"/>
              <c:numFmt formatCode="#,##0" sourceLinked="0"/>
              <c:spPr>
                <a:noFill/>
                <a:ln>
                  <a:noFill/>
                </a:ln>
                <a:effectLst/>
              </c:spPr>
              <c:txPr>
                <a:bodyPr/>
                <a:lstStyle/>
                <a:p>
                  <a:pPr>
                    <a:defRPr sz="600" b="0"/>
                  </a:pPr>
                  <a:endParaRPr lang="lv-LV"/>
                </a:p>
              </c:txPr>
              <c:showLegendKey val="0"/>
              <c:showVal val="1"/>
              <c:showCatName val="0"/>
              <c:showSerName val="0"/>
              <c:showPercent val="0"/>
              <c:showBubbleSize val="0"/>
            </c:dLbl>
            <c:dLbl>
              <c:idx val="23"/>
              <c:layout>
                <c:manualLayout>
                  <c:x val="1.2016570217732137E-05"/>
                  <c:y val="0"/>
                </c:manualLayout>
              </c:layout>
              <c:numFmt formatCode="#,##0" sourceLinked="0"/>
              <c:spPr>
                <a:noFill/>
                <a:ln>
                  <a:noFill/>
                </a:ln>
                <a:effectLst/>
              </c:spPr>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504A-4B28-A9B1-ADA16585DF34}"/>
                </c:ext>
                <c:ext xmlns:c15="http://schemas.microsoft.com/office/drawing/2012/chart" uri="{CE6537A1-D6FC-4f65-9D91-7224C49458BB}"/>
              </c:extLst>
            </c:dLbl>
            <c:dLbl>
              <c:idx val="24"/>
              <c:numFmt formatCode="#,##0" sourceLinked="0"/>
              <c:spPr>
                <a:noFill/>
                <a:ln>
                  <a:noFill/>
                </a:ln>
                <a:effectLst/>
              </c:spPr>
              <c:txPr>
                <a:bodyPr/>
                <a:lstStyle/>
                <a:p>
                  <a:pPr>
                    <a:defRPr sz="600" b="0"/>
                  </a:pPr>
                  <a:endParaRPr lang="lv-LV"/>
                </a:p>
              </c:txPr>
              <c:showLegendKey val="0"/>
              <c:showVal val="1"/>
              <c:showCatName val="0"/>
              <c:showSerName val="0"/>
              <c:showPercent val="0"/>
              <c:showBubbleSize val="0"/>
            </c:dLbl>
            <c:dLbl>
              <c:idx val="25"/>
              <c:layout>
                <c:manualLayout>
                  <c:x val="0"/>
                  <c:y val="0.0045439455203234733"/>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504A-4B28-A9B1-ADA16585DF34}"/>
                </c:ext>
                <c:ext xmlns:c15="http://schemas.microsoft.com/office/drawing/2012/chart" uri="{CE6537A1-D6FC-4f65-9D91-7224C49458BB}"/>
              </c:extLst>
            </c:dLbl>
            <c:dLbl>
              <c:idx val="26"/>
              <c:layout>
                <c:manualLayout>
                  <c:x val="0"/>
                  <c:y val="8.791583978831914E-05"/>
                </c:manualLayout>
              </c:layout>
              <c:numFmt formatCode="#,##0" sourceLinked="0"/>
              <c:txPr>
                <a:bodyPr/>
                <a:lstStyle/>
                <a:p>
                  <a:pPr>
                    <a:defRPr sz="600" b="1"/>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504A-4B28-A9B1-ADA16585DF34}"/>
                </c:ext>
                <c:ext xmlns:c15="http://schemas.microsoft.com/office/drawing/2012/chart" uri="{CE6537A1-D6FC-4f65-9D91-7224C49458BB}"/>
              </c:extLst>
            </c:dLbl>
            <c:numFmt formatCode="#,##0" sourceLinked="0"/>
            <c:spPr>
              <a:noFill/>
              <a:ln>
                <a:noFill/>
              </a:ln>
              <a:effectLst/>
            </c:spPr>
            <c:txPr>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Sheet1!$A$4:$A$31</c:f>
              <c:strCache>
                <c:ptCount val="28"/>
                <c:pt idx="0">
                  <c:v>Īrija</c:v>
                </c:pt>
                <c:pt idx="1">
                  <c:v>Dānija</c:v>
                </c:pt>
                <c:pt idx="2">
                  <c:v>Beļģija</c:v>
                </c:pt>
                <c:pt idx="3">
                  <c:v>Zviedrija</c:v>
                </c:pt>
                <c:pt idx="4">
                  <c:v>Nīderlande</c:v>
                </c:pt>
                <c:pt idx="5">
                  <c:v>Austrija</c:v>
                </c:pt>
                <c:pt idx="6">
                  <c:v>Somija</c:v>
                </c:pt>
                <c:pt idx="7">
                  <c:v>Francija</c:v>
                </c:pt>
                <c:pt idx="8">
                  <c:v>Vācija</c:v>
                </c:pt>
                <c:pt idx="9">
                  <c:v>Luksemburga</c:v>
                </c:pt>
                <c:pt idx="10">
                  <c:v>Spānija</c:v>
                </c:pt>
                <c:pt idx="11">
                  <c:v>Apv. Karaliste</c:v>
                </c:pt>
                <c:pt idx="12">
                  <c:v>ES-28</c:v>
                </c:pt>
                <c:pt idx="13">
                  <c:v>Itālija</c:v>
                </c:pt>
                <c:pt idx="14">
                  <c:v>Grieķija</c:v>
                </c:pt>
                <c:pt idx="15">
                  <c:v>Slovākija</c:v>
                </c:pt>
                <c:pt idx="16">
                  <c:v>Slovēnija</c:v>
                </c:pt>
                <c:pt idx="17">
                  <c:v>Lietuva</c:v>
                </c:pt>
                <c:pt idx="18">
                  <c:v>Portugāle</c:v>
                </c:pt>
                <c:pt idx="19">
                  <c:v>Čehija</c:v>
                </c:pt>
                <c:pt idx="20">
                  <c:v>Kipra</c:v>
                </c:pt>
                <c:pt idx="21">
                  <c:v>Ungārija</c:v>
                </c:pt>
                <c:pt idx="22">
                  <c:v>Polija</c:v>
                </c:pt>
                <c:pt idx="23">
                  <c:v>Igaunija</c:v>
                </c:pt>
                <c:pt idx="24">
                  <c:v>Rumānija</c:v>
                </c:pt>
                <c:pt idx="25">
                  <c:v>Horvātija</c:v>
                </c:pt>
                <c:pt idx="26">
                  <c:v>Latvija</c:v>
                </c:pt>
                <c:pt idx="27">
                  <c:v>Bulgārija</c:v>
                </c:pt>
              </c:strCache>
            </c:strRef>
          </c:cat>
          <c:val>
            <c:numRef>
              <c:f>Sheet1!$B$4:$B$31</c:f>
              <c:numCache>
                <c:formatCode>0.0</c:formatCode>
                <c:ptCount val="28"/>
                <c:pt idx="0">
                  <c:v>375.72102902997403</c:v>
                </c:pt>
                <c:pt idx="1">
                  <c:v>112.69273356401385</c:v>
                </c:pt>
                <c:pt idx="2">
                  <c:v>108.01683029453014</c:v>
                </c:pt>
                <c:pt idx="3">
                  <c:v>101.62513523260007</c:v>
                </c:pt>
                <c:pt idx="4">
                  <c:v>93.404166666666654</c:v>
                </c:pt>
                <c:pt idx="5">
                  <c:v>88.51156458277265</c:v>
                </c:pt>
                <c:pt idx="6">
                  <c:v>85.187518751875189</c:v>
                </c:pt>
                <c:pt idx="7">
                  <c:v>83.56778370144707</c:v>
                </c:pt>
                <c:pt idx="8">
                  <c:v>79.869545032497683</c:v>
                </c:pt>
                <c:pt idx="9">
                  <c:v>77.242339832869064</c:v>
                </c:pt>
                <c:pt idx="10">
                  <c:v>68.436180026217414</c:v>
                </c:pt>
                <c:pt idx="11">
                  <c:v>68.062839859712341</c:v>
                </c:pt>
                <c:pt idx="12">
                  <c:v>62.286395413826583</c:v>
                </c:pt>
                <c:pt idx="13">
                  <c:v>59.755930798715433</c:v>
                </c:pt>
                <c:pt idx="14">
                  <c:v>47.515962861285054</c:v>
                </c:pt>
                <c:pt idx="15">
                  <c:v>37.464082860006677</c:v>
                </c:pt>
                <c:pt idx="16">
                  <c:v>36.149659171838437</c:v>
                </c:pt>
                <c:pt idx="17">
                  <c:v>30.222317433114348</c:v>
                </c:pt>
                <c:pt idx="18">
                  <c:v>30.016816220761143</c:v>
                </c:pt>
                <c:pt idx="19">
                  <c:v>29.480189334536362</c:v>
                </c:pt>
                <c:pt idx="20">
                  <c:v>26.17208672086721</c:v>
                </c:pt>
                <c:pt idx="21">
                  <c:v>26.093110721455616</c:v>
                </c:pt>
                <c:pt idx="22">
                  <c:v>23.366483753622294</c:v>
                </c:pt>
                <c:pt idx="23">
                  <c:v>21.93597304128054</c:v>
                </c:pt>
                <c:pt idx="24">
                  <c:v>21.559987277353692</c:v>
                </c:pt>
                <c:pt idx="25">
                  <c:v>21.41192899930175</c:v>
                </c:pt>
                <c:pt idx="26">
                  <c:v>20.575176589303734</c:v>
                </c:pt>
                <c:pt idx="27">
                  <c:v>10.025140904086628</c:v>
                </c:pt>
              </c:numCache>
            </c:numRef>
          </c:val>
          <c:extLst>
            <c:ext xmlns:c="http://schemas.openxmlformats.org/drawingml/2006/chart" xmlns:c16="http://schemas.microsoft.com/office/drawing/2014/chart" uri="{C3380CC4-5D6E-409C-BE32-E72D297353CC}">
              <c16:uniqueId val="{00000007-504A-4B28-A9B1-ADA16585DF34}"/>
            </c:ext>
          </c:extLst>
        </c:ser>
        <c:dLbls>
          <c:showLegendKey val="0"/>
          <c:showVal val="0"/>
          <c:showCatName val="0"/>
          <c:showSerName val="0"/>
          <c:showPercent val="0"/>
          <c:showBubbleSize val="0"/>
        </c:dLbls>
        <c:gapWidth val="20"/>
        <c:axId val="629878872"/>
        <c:axId val="629877696"/>
      </c:barChart>
      <c:catAx>
        <c:axId val="629878872"/>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29877696"/>
        <c:crosses val="autoZero"/>
        <c:auto val="1"/>
        <c:lblAlgn val="ctr"/>
        <c:lblOffset val="100"/>
        <c:tickLblSkip val="1"/>
        <c:noMultiLvlLbl val="0"/>
      </c:catAx>
      <c:valAx>
        <c:axId val="629877696"/>
        <c:scaling>
          <c:orientation val="minMax"/>
        </c:scaling>
        <c:delete val="0"/>
        <c:axPos val="l"/>
        <c:numFmt formatCode="0" sourceLinked="0"/>
        <c:majorTickMark val="out"/>
        <c:minorTickMark val="none"/>
        <c:tickLblPos val="nextTo"/>
        <c:txPr>
          <a:bodyPr/>
          <a:lstStyle/>
          <a:p>
            <a:pPr>
              <a:defRPr sz="600"/>
            </a:pPr>
            <a:endParaRPr lang="lv-LV"/>
          </a:p>
        </c:txPr>
        <c:crossAx val="629878872"/>
        <c:crosses val="autoZero"/>
        <c:crossBetween val="between"/>
      </c:valAx>
    </c:plotArea>
    <c:plotVisOnly val="1"/>
    <c:dispBlanksAs val="gap"/>
    <c:showDLblsOverMax val="0"/>
  </c:chart>
  <c:spPr>
    <a:ln w="9525">
      <a:noFill/>
    </a:ln>
  </c:sp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018014608639036"/>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D4F2-4EBB-9B65-21D36C0A2102}"/>
              </c:ext>
            </c:extLst>
          </c:dPt>
          <c:dPt>
            <c:idx val="5"/>
            <c:bubble3D val="0"/>
            <c:extLst>
              <c:ext xmlns:c="http://schemas.openxmlformats.org/drawingml/2006/chart" xmlns:c16="http://schemas.microsoft.com/office/drawing/2014/chart" uri="{C3380CC4-5D6E-409C-BE32-E72D297353CC}">
                <c16:uniqueId val="{00000001-D4F2-4EBB-9B65-21D36C0A2102}"/>
              </c:ext>
            </c:extLst>
          </c:dPt>
          <c:dPt>
            <c:idx val="11"/>
            <c:bubble3D val="0"/>
            <c:extLst>
              <c:ext xmlns:c="http://schemas.openxmlformats.org/drawingml/2006/chart" xmlns:c16="http://schemas.microsoft.com/office/drawing/2014/chart" uri="{C3380CC4-5D6E-409C-BE32-E72D297353CC}">
                <c16:uniqueId val="{00000002-D4F2-4EBB-9B65-21D36C0A2102}"/>
              </c:ext>
            </c:extLst>
          </c:dPt>
          <c:dPt>
            <c:idx val="12"/>
            <c:bubble3D val="0"/>
            <c:extLst>
              <c:ext xmlns:c="http://schemas.openxmlformats.org/drawingml/2006/chart" xmlns:c16="http://schemas.microsoft.com/office/drawing/2014/chart" uri="{C3380CC4-5D6E-409C-BE32-E72D297353CC}">
                <c16:uniqueId val="{00000003-D4F2-4EBB-9B65-21D36C0A2102}"/>
              </c:ext>
            </c:extLst>
          </c:dPt>
          <c:dPt>
            <c:idx val="13"/>
            <c:bubble3D val="0"/>
            <c:marker>
              <c:symbol val="triangle"/>
              <c:size val="8"/>
            </c:marker>
            <c:extLst>
              <c:ext xmlns:c="http://schemas.openxmlformats.org/drawingml/2006/chart" xmlns:c16="http://schemas.microsoft.com/office/drawing/2014/chart" uri="{C3380CC4-5D6E-409C-BE32-E72D297353CC}">
                <c16:uniqueId val="{00000004-D4F2-4EBB-9B65-21D36C0A2102}"/>
              </c:ext>
            </c:extLst>
          </c:dPt>
          <c:dPt>
            <c:idx val="14"/>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5-D4F2-4EBB-9B65-21D36C0A2102}"/>
              </c:ext>
            </c:extLst>
          </c:dPt>
          <c:dLbls>
            <c:dLbl>
              <c:idx val="0"/>
              <c:layout>
                <c:manualLayout>
                  <c:x val="-0.12461059190031153"/>
                  <c:y val="0.0761904761904762"/>
                </c:manualLayout>
              </c:layout>
              <c:tx>
                <c:rich>
                  <a:bodyPr vertOverflow="clip"/>
                  <a:lstStyle/>
                  <a:p>
                    <a:r>
                      <a:rPr lang="en-US"/>
                      <a:t>EU-28</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D4F2-4EBB-9B65-21D36C0A2102}"/>
                </c:ext>
                <c:ext xmlns:c15="http://schemas.microsoft.com/office/drawing/2012/chart" uri="{CE6537A1-D6FC-4f65-9D91-7224C49458BB}"/>
              </c:extLst>
            </c:dLbl>
            <c:dLbl>
              <c:idx val="1"/>
              <c:layout>
                <c:manualLayout>
                  <c:x val="-0.053997923156801658"/>
                  <c:y val="-0.095238095238095233"/>
                </c:manualLayout>
              </c:layout>
              <c:tx>
                <c:rich>
                  <a:bodyPr vertOverflow="clip"/>
                  <a:lstStyle/>
                  <a:p>
                    <a:r>
                      <a:rPr lang="en-US"/>
                      <a:t>BE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D4F2-4EBB-9B65-21D36C0A2102}"/>
                </c:ext>
                <c:ext xmlns:c15="http://schemas.microsoft.com/office/drawing/2012/chart" uri="{CE6537A1-D6FC-4f65-9D91-7224C49458BB}"/>
              </c:extLst>
            </c:dLbl>
            <c:dLbl>
              <c:idx val="3"/>
              <c:layout>
                <c:manualLayout>
                  <c:x val="-0.016614745586708203"/>
                  <c:y val="0.019047619047619049"/>
                </c:manualLayout>
              </c:layout>
              <c:tx>
                <c:rich>
                  <a:bodyPr vertOverflow="clip"/>
                  <a:lstStyle/>
                  <a:p>
                    <a:r>
                      <a:rPr lang="en-US"/>
                      <a:t>CZ</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D4F2-4EBB-9B65-21D36C0A2102}"/>
                </c:ext>
                <c:ext xmlns:c15="http://schemas.microsoft.com/office/drawing/2012/chart" uri="{CE6537A1-D6FC-4f65-9D91-7224C49458BB}"/>
              </c:extLst>
            </c:dLbl>
            <c:dLbl>
              <c:idx val="4"/>
              <c:layout>
                <c:manualLayout>
                  <c:x val="-0.0083073727933541015"/>
                  <c:y val="0.0095238095238095247"/>
                </c:manualLayout>
              </c:layout>
              <c:tx>
                <c:rich>
                  <a:bodyPr/>
                  <a:lstStyle/>
                  <a:p>
                    <a:r>
                      <a:rPr lang="en-US"/>
                      <a:t>DK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D4F2-4EBB-9B65-21D36C0A2102}"/>
                </c:ext>
                <c:ext xmlns:c15="http://schemas.microsoft.com/office/drawing/2012/chart" uri="{CE6537A1-D6FC-4f65-9D91-7224C49458BB}"/>
              </c:extLst>
            </c:dLbl>
            <c:dLbl>
              <c:idx val="5"/>
              <c:layout>
                <c:manualLayout>
                  <c:x val="-0.041536863966770511"/>
                  <c:y val="0.0761904761904762"/>
                </c:manualLayout>
              </c:layout>
              <c:tx>
                <c:rich>
                  <a:bodyPr vertOverflow="clip"/>
                  <a:lstStyle/>
                  <a:p>
                    <a:r>
                      <a:rPr lang="en-US"/>
                      <a:t>DE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D4F2-4EBB-9B65-21D36C0A2102}"/>
                </c:ext>
                <c:ext xmlns:c15="http://schemas.microsoft.com/office/drawing/2012/chart" uri="{CE6537A1-D6FC-4f65-9D91-7224C49458BB}"/>
              </c:extLst>
            </c:dLbl>
            <c:dLbl>
              <c:idx val="6"/>
              <c:layout>
                <c:manualLayout>
                  <c:x val="-0.033229491173416406"/>
                  <c:y val="-0.057142857142857141"/>
                </c:manualLayout>
              </c:layout>
              <c:tx>
                <c:rich>
                  <a:bodyPr vertOverflow="clip"/>
                  <a:lstStyle/>
                  <a:p>
                    <a:r>
                      <a:rPr lang="en-US"/>
                      <a:t>EE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D4F2-4EBB-9B65-21D36C0A2102}"/>
                </c:ext>
                <c:ext xmlns:c15="http://schemas.microsoft.com/office/drawing/2012/chart" uri="{CE6537A1-D6FC-4f65-9D91-7224C49458BB}"/>
              </c:extLst>
            </c:dLbl>
            <c:dLbl>
              <c:idx val="8"/>
              <c:layout>
                <c:manualLayout>
                  <c:x val="-0.04569055036344756"/>
                  <c:y val="-0.0761904761904762"/>
                </c:manualLayout>
              </c:layout>
              <c:tx>
                <c:rich>
                  <a:bodyPr vertOverflow="clip"/>
                  <a:lstStyle/>
                  <a:p>
                    <a:r>
                      <a:rPr lang="en-US"/>
                      <a:t>EL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D4F2-4EBB-9B65-21D36C0A2102}"/>
                </c:ext>
                <c:ext xmlns:c15="http://schemas.microsoft.com/office/drawing/2012/chart" uri="{CE6537A1-D6FC-4f65-9D91-7224C49458BB}"/>
              </c:extLst>
            </c:dLbl>
            <c:dLbl>
              <c:idx val="9"/>
              <c:layout>
                <c:manualLayout>
                  <c:x val="-0.016614745586708203"/>
                  <c:y val="0"/>
                </c:manualLayout>
              </c:layout>
              <c:tx>
                <c:rich>
                  <a:bodyPr vertOverflow="clip"/>
                  <a:lstStyle/>
                  <a:p>
                    <a:r>
                      <a:rPr lang="en-US"/>
                      <a:t>ES</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D4F2-4EBB-9B65-21D36C0A2102}"/>
                </c:ext>
                <c:ext xmlns:c15="http://schemas.microsoft.com/office/drawing/2012/chart" uri="{CE6537A1-D6FC-4f65-9D91-7224C49458BB}"/>
              </c:extLst>
            </c:dLbl>
            <c:dLbl>
              <c:idx val="10"/>
              <c:layout>
                <c:manualLayout>
                  <c:x val="-0.037383177570093455"/>
                  <c:y val="-0.085714285714285715"/>
                </c:manualLayout>
              </c:layout>
              <c:tx>
                <c:rich>
                  <a:bodyPr vertOverflow="clip"/>
                  <a:lstStyle/>
                  <a:p>
                    <a:r>
                      <a:rPr lang="en-US"/>
                      <a:t>FR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D4F2-4EBB-9B65-21D36C0A2102}"/>
                </c:ext>
                <c:ext xmlns:c15="http://schemas.microsoft.com/office/drawing/2012/chart" uri="{CE6537A1-D6FC-4f65-9D91-7224C49458BB}"/>
              </c:extLst>
            </c:dLbl>
            <c:dLbl>
              <c:idx val="11"/>
              <c:layout>
                <c:manualLayout>
                  <c:x val="-0.04569055036344756"/>
                  <c:y val="-0.06666666666666668"/>
                </c:manualLayout>
              </c:layout>
              <c:tx>
                <c:rich>
                  <a:bodyPr vertOverflow="clip"/>
                  <a:lstStyle/>
                  <a:p>
                    <a:r>
                      <a:rPr lang="en-US"/>
                      <a:t>HR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D4F2-4EBB-9B65-21D36C0A2102}"/>
                </c:ext>
                <c:ext xmlns:c15="http://schemas.microsoft.com/office/drawing/2012/chart" uri="{CE6537A1-D6FC-4f65-9D91-7224C49458BB}"/>
              </c:extLst>
            </c:dLbl>
            <c:dLbl>
              <c:idx val="12"/>
              <c:layout>
                <c:manualLayout>
                  <c:x val="-0.04569055036344756"/>
                  <c:y val="-0.0761904761904762"/>
                </c:manualLayout>
              </c:layout>
              <c:tx>
                <c:rich>
                  <a:bodyPr vertOverflow="clip"/>
                  <a:lstStyle/>
                  <a:p>
                    <a:r>
                      <a:rPr lang="en-US"/>
                      <a:t>IT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D4F2-4EBB-9B65-21D36C0A2102}"/>
                </c:ext>
                <c:ext xmlns:c15="http://schemas.microsoft.com/office/drawing/2012/chart" uri="{CE6537A1-D6FC-4f65-9D91-7224C49458BB}"/>
              </c:extLst>
            </c:dLbl>
            <c:dLbl>
              <c:idx val="14"/>
              <c:layout>
                <c:manualLayout>
                  <c:x val="-0.087227414330218064"/>
                  <c:y val="0.0095238095238095247"/>
                </c:manualLayout>
              </c:layout>
              <c:tx>
                <c:rich>
                  <a:bodyPr vertOverflow="clip"/>
                  <a:lstStyle/>
                  <a:p>
                    <a:r>
                      <a:rPr lang="en-US"/>
                      <a:t>LV</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D4F2-4EBB-9B65-21D36C0A2102}"/>
                </c:ext>
                <c:ext xmlns:c15="http://schemas.microsoft.com/office/drawing/2012/chart" uri="{CE6537A1-D6FC-4f65-9D91-7224C49458BB}"/>
              </c:extLst>
            </c:dLbl>
            <c:dLbl>
              <c:idx val="15"/>
              <c:layout>
                <c:manualLayout>
                  <c:x val="-0.020768431983385256"/>
                  <c:y val="0.057142857142857231"/>
                </c:manualLayout>
              </c:layout>
              <c:tx>
                <c:rich>
                  <a:bodyPr vertOverflow="clip"/>
                  <a:lstStyle/>
                  <a:p>
                    <a:r>
                      <a:rPr lang="en-US"/>
                      <a:t>LT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D4F2-4EBB-9B65-21D36C0A2102}"/>
                </c:ext>
                <c:ext xmlns:c15="http://schemas.microsoft.com/office/drawing/2012/chart" uri="{CE6537A1-D6FC-4f65-9D91-7224C49458BB}"/>
              </c:extLst>
            </c:dLbl>
            <c:dLbl>
              <c:idx val="17"/>
              <c:layout>
                <c:manualLayout>
                  <c:x val="-0.078920041536863966"/>
                  <c:y val="0.066666666666666666"/>
                </c:manualLayout>
              </c:layout>
              <c:tx>
                <c:rich>
                  <a:bodyPr vertOverflow="clip"/>
                  <a:lstStyle/>
                  <a:p>
                    <a:r>
                      <a:rPr lang="en-US"/>
                      <a:t>HU</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E-D4F2-4EBB-9B65-21D36C0A2102}"/>
                </c:ext>
                <c:ext xmlns:c15="http://schemas.microsoft.com/office/drawing/2012/chart" uri="{CE6537A1-D6FC-4f65-9D91-7224C49458BB}"/>
              </c:extLst>
            </c:dLbl>
            <c:dLbl>
              <c:idx val="18"/>
              <c:layout>
                <c:manualLayout>
                  <c:x val="-0.049844236760124609"/>
                  <c:y val="-0.066666666666666666"/>
                </c:manualLayout>
              </c:layout>
              <c:tx>
                <c:rich>
                  <a:bodyPr vertOverflow="clip"/>
                  <a:lstStyle/>
                  <a:p>
                    <a:r>
                      <a:rPr lang="en-US"/>
                      <a:t>NL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F-D4F2-4EBB-9B65-21D36C0A2102}"/>
                </c:ext>
                <c:ext xmlns:c15="http://schemas.microsoft.com/office/drawing/2012/chart" uri="{CE6537A1-D6FC-4f65-9D91-7224C49458BB}"/>
              </c:extLst>
            </c:dLbl>
            <c:dLbl>
              <c:idx val="19"/>
              <c:layout>
                <c:manualLayout>
                  <c:x val="-0.087227414330218064"/>
                  <c:y val="0.047619047619047616"/>
                </c:manualLayout>
              </c:layout>
              <c:tx>
                <c:rich>
                  <a:bodyPr vertOverflow="clip"/>
                  <a:lstStyle/>
                  <a:p>
                    <a:r>
                      <a:rPr lang="en-US"/>
                      <a:t>AT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0-D4F2-4EBB-9B65-21D36C0A2102}"/>
                </c:ext>
                <c:ext xmlns:c15="http://schemas.microsoft.com/office/drawing/2012/chart" uri="{CE6537A1-D6FC-4f65-9D91-7224C49458BB}"/>
              </c:extLst>
            </c:dLbl>
            <c:dLbl>
              <c:idx val="20"/>
              <c:layout>
                <c:manualLayout>
                  <c:x val="-0.04569055036344756"/>
                  <c:y val="-0.0761904761904762"/>
                </c:manualLayout>
              </c:layout>
              <c:tx>
                <c:rich>
                  <a:bodyPr vertOverflow="clip"/>
                  <a:lstStyle/>
                  <a:p>
                    <a:r>
                      <a:rPr lang="en-US"/>
                      <a:t>PL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1-D4F2-4EBB-9B65-21D36C0A2102}"/>
                </c:ext>
                <c:ext xmlns:c15="http://schemas.microsoft.com/office/drawing/2012/chart" uri="{CE6537A1-D6FC-4f65-9D91-7224C49458BB}"/>
              </c:extLst>
            </c:dLbl>
            <c:dLbl>
              <c:idx val="21"/>
              <c:layout>
                <c:manualLayout>
                  <c:x val="-0.049844236760124609"/>
                  <c:y val="-0.05714285714285719"/>
                </c:manualLayout>
              </c:layout>
              <c:tx>
                <c:rich>
                  <a:bodyPr vertOverflow="clip"/>
                  <a:lstStyle/>
                  <a:p>
                    <a:r>
                      <a:rPr lang="en-US"/>
                      <a:t>PT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2-D4F2-4EBB-9B65-21D36C0A2102}"/>
                </c:ext>
                <c:ext xmlns:c15="http://schemas.microsoft.com/office/drawing/2012/chart" uri="{CE6537A1-D6FC-4f65-9D91-7224C49458BB}"/>
              </c:extLst>
            </c:dLbl>
            <c:dLbl>
              <c:idx val="22"/>
              <c:layout>
                <c:manualLayout>
                  <c:x val="-0.012461059190031152"/>
                  <c:y val="-0.0095238095238096114"/>
                </c:manualLayout>
              </c:layout>
              <c:tx>
                <c:rich>
                  <a:bodyPr vertOverflow="clip"/>
                  <a:lstStyle/>
                  <a:p>
                    <a:r>
                      <a:rPr lang="en-US"/>
                      <a:t>RO</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3-D4F2-4EBB-9B65-21D36C0A2102}"/>
                </c:ext>
                <c:ext xmlns:c15="http://schemas.microsoft.com/office/drawing/2012/chart" uri="{CE6537A1-D6FC-4f65-9D91-7224C49458BB}"/>
              </c:extLst>
            </c:dLbl>
            <c:dLbl>
              <c:idx val="23"/>
              <c:layout>
                <c:manualLayout>
                  <c:x val="-0.049844236760124609"/>
                  <c:y val="-0.0666666666666667"/>
                </c:manualLayout>
              </c:layout>
              <c:tx>
                <c:rich>
                  <a:bodyPr vertOverflow="clip"/>
                  <a:lstStyle/>
                  <a:p>
                    <a:r>
                      <a:rPr lang="en-US"/>
                      <a:t>SI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4-D4F2-4EBB-9B65-21D36C0A2102}"/>
                </c:ext>
                <c:ext xmlns:c15="http://schemas.microsoft.com/office/drawing/2012/chart" uri="{CE6537A1-D6FC-4f65-9D91-7224C49458BB}"/>
              </c:extLst>
            </c:dLbl>
            <c:dLbl>
              <c:idx val="24"/>
              <c:layout>
                <c:manualLayout>
                  <c:x val="-0.012461059190031152"/>
                  <c:y val="0.047619047619047616"/>
                </c:manualLayout>
              </c:layout>
              <c:tx>
                <c:rich>
                  <a:bodyPr vertOverflow="clip"/>
                  <a:lstStyle/>
                  <a:p>
                    <a:r>
                      <a:rPr lang="en-US"/>
                      <a:t>SK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5-D4F2-4EBB-9B65-21D36C0A2102}"/>
                </c:ext>
                <c:ext xmlns:c15="http://schemas.microsoft.com/office/drawing/2012/chart" uri="{CE6537A1-D6FC-4f65-9D91-7224C49458BB}"/>
              </c:extLst>
            </c:dLbl>
            <c:dLbl>
              <c:idx val="25"/>
              <c:layout>
                <c:manualLayout>
                  <c:x val="-0.0083073727933541015"/>
                  <c:y val="0.0380952380952381"/>
                </c:manualLayout>
              </c:layout>
              <c:tx>
                <c:rich>
                  <a:bodyPr vertOverflow="clip"/>
                  <a:lstStyle/>
                  <a:p>
                    <a:r>
                      <a:rPr lang="en-US"/>
                      <a:t>FI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6-D4F2-4EBB-9B65-21D36C0A2102}"/>
                </c:ext>
                <c:ext xmlns:c15="http://schemas.microsoft.com/office/drawing/2012/chart" uri="{CE6537A1-D6FC-4f65-9D91-7224C49458BB}"/>
              </c:extLst>
            </c:dLbl>
            <c:dLbl>
              <c:idx val="26"/>
              <c:layout>
                <c:manualLayout>
                  <c:x val="-0.049844236760124609"/>
                  <c:y val="0.0761904761904762"/>
                </c:manualLayout>
              </c:layout>
              <c:tx>
                <c:rich>
                  <a:bodyPr/>
                  <a:lstStyle/>
                  <a:p>
                    <a:r>
                      <a:rPr lang="en-US"/>
                      <a:t>SE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7-D4F2-4EBB-9B65-21D36C0A2102}"/>
                </c:ext>
                <c:ext xmlns:c15="http://schemas.microsoft.com/office/drawing/2012/chart" uri="{CE6537A1-D6FC-4f65-9D91-7224C49458BB}"/>
              </c:extLst>
            </c:dLbl>
            <c:dLbl>
              <c:idx val="27"/>
              <c:layout>
                <c:manualLayout>
                  <c:x val="-0.033229491173416406"/>
                  <c:y val="-0.076190476190476183"/>
                </c:manualLayout>
              </c:layout>
              <c:tx>
                <c:rich>
                  <a:bodyPr vertOverflow="clip"/>
                  <a:lstStyle/>
                  <a:p>
                    <a:r>
                      <a:rPr lang="en-US"/>
                      <a:t>UK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8-D4F2-4EBB-9B65-21D36C0A2102}"/>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Sheet1!$B$3:$B$30</c:f>
              <c:numCache>
                <c:formatCode>0</c:formatCode>
                <c:ptCount val="28"/>
                <c:pt idx="0">
                  <c:v>55.299228594174657</c:v>
                </c:pt>
                <c:pt idx="1">
                  <c:v>88.7536927621861</c:v>
                </c:pt>
                <c:pt idx="2">
                  <c:v>7.1720051249199228</c:v>
                </c:pt>
                <c:pt idx="3">
                  <c:v>26.534109511375163</c:v>
                </c:pt>
                <c:pt idx="4">
                  <c:v>91.998269896193776</c:v>
                </c:pt>
                <c:pt idx="5">
                  <c:v>72.173578033062483</c:v>
                </c:pt>
                <c:pt idx="6">
                  <c:v>19.36529242569511</c:v>
                </c:pt>
                <c:pt idx="7">
                  <c:v>151.30577367205544</c:v>
                </c:pt>
                <c:pt idx="8">
                  <c:v>37.980912130782094</c:v>
                </c:pt>
                <c:pt idx="9">
                  <c:v>56.869158878504678</c:v>
                </c:pt>
                <c:pt idx="10">
                  <c:v>72.26105563480742</c:v>
                </c:pt>
                <c:pt idx="11">
                  <c:v>19.329004329004331</c:v>
                </c:pt>
                <c:pt idx="12">
                  <c:v>54.793096826844611</c:v>
                </c:pt>
                <c:pt idx="13">
                  <c:v>27.082875960482987</c:v>
                </c:pt>
                <c:pt idx="14">
                  <c:v>18.32162440027416</c:v>
                </c:pt>
                <c:pt idx="15">
                  <c:v>24.695538742499345</c:v>
                </c:pt>
                <c:pt idx="16">
                  <c:v>64.324984728161269</c:v>
                </c:pt>
                <c:pt idx="17">
                  <c:v>22.621011340491336</c:v>
                </c:pt>
                <c:pt idx="18">
                  <c:v>83.884856070087608</c:v>
                </c:pt>
                <c:pt idx="19">
                  <c:v>80.003756574004512</c:v>
                </c:pt>
                <c:pt idx="20">
                  <c:v>19.708603242410447</c:v>
                </c:pt>
                <c:pt idx="21">
                  <c:v>28.626165140641753</c:v>
                </c:pt>
                <c:pt idx="22">
                  <c:v>16.867969286472313</c:v>
                </c:pt>
                <c:pt idx="23">
                  <c:v>32.537687158260518</c:v>
                </c:pt>
                <c:pt idx="24">
                  <c:v>27.672604342738264</c:v>
                </c:pt>
                <c:pt idx="25">
                  <c:v>87.5767543859649</c:v>
                </c:pt>
                <c:pt idx="26">
                  <c:v>99.401450230718538</c:v>
                </c:pt>
                <c:pt idx="27">
                  <c:v>66.519561916453981</c:v>
                </c:pt>
              </c:numCache>
            </c:numRef>
          </c:xVal>
          <c:yVal>
            <c:numRef>
              <c:f>Sheet1!$C$3:$C$30</c:f>
              <c:numCache>
                <c:formatCode>0.0</c:formatCode>
                <c:ptCount val="28"/>
                <c:pt idx="0">
                  <c:v>0.62561478969944284</c:v>
                </c:pt>
                <c:pt idx="1">
                  <c:v>0.6333787186077976</c:v>
                </c:pt>
                <c:pt idx="2">
                  <c:v>0.54870279923743048</c:v>
                </c:pt>
                <c:pt idx="3">
                  <c:v>0.54022270086675894</c:v>
                </c:pt>
                <c:pt idx="4">
                  <c:v>0.62768471122845226</c:v>
                </c:pt>
                <c:pt idx="5">
                  <c:v>0.645513695933352</c:v>
                </c:pt>
                <c:pt idx="6">
                  <c:v>0.62173915982774552</c:v>
                </c:pt>
                <c:pt idx="7">
                  <c:v>0.28684013831440863</c:v>
                </c:pt>
                <c:pt idx="8">
                  <c:v>0.70466081407725445</c:v>
                </c:pt>
                <c:pt idx="9">
                  <c:v>0.6244268478410705</c:v>
                </c:pt>
                <c:pt idx="10">
                  <c:v>0.67016839315217469</c:v>
                </c:pt>
                <c:pt idx="11">
                  <c:v>0.72663022751960327</c:v>
                </c:pt>
                <c:pt idx="12">
                  <c:v>0.664876471866571</c:v>
                </c:pt>
                <c:pt idx="13">
                  <c:v>0.81858832804228321</c:v>
                </c:pt>
                <c:pt idx="14">
                  <c:v>0.48062074540338945</c:v>
                </c:pt>
                <c:pt idx="15">
                  <c:v>0.41904315070620946</c:v>
                </c:pt>
                <c:pt idx="16">
                  <c:v>0.80670662830490059</c:v>
                </c:pt>
                <c:pt idx="17">
                  <c:v>0.47534820530369742</c:v>
                </c:pt>
                <c:pt idx="18">
                  <c:v>0.57822831776735828</c:v>
                </c:pt>
                <c:pt idx="19">
                  <c:v>0.54739652402612371</c:v>
                </c:pt>
                <c:pt idx="20">
                  <c:v>0.50383509563909978</c:v>
                </c:pt>
                <c:pt idx="21">
                  <c:v>0.58688424927576011</c:v>
                </c:pt>
                <c:pt idx="22">
                  <c:v>0.33517686276370856</c:v>
                </c:pt>
                <c:pt idx="23">
                  <c:v>0.67959399313870061</c:v>
                </c:pt>
                <c:pt idx="24">
                  <c:v>0.48356314019798419</c:v>
                </c:pt>
                <c:pt idx="25">
                  <c:v>0.54748897473739366</c:v>
                </c:pt>
                <c:pt idx="26">
                  <c:v>0.45195327292584797</c:v>
                </c:pt>
                <c:pt idx="27">
                  <c:v>0.76329798245159031</c:v>
                </c:pt>
              </c:numCache>
            </c:numRef>
          </c:yVal>
          <c:smooth val="0"/>
          <c:extLst>
            <c:ext xmlns:c="http://schemas.openxmlformats.org/drawingml/2006/chart" xmlns:c16="http://schemas.microsoft.com/office/drawing/2014/chart" uri="{C3380CC4-5D6E-409C-BE32-E72D297353CC}">
              <c16:uniqueId val="{00000019-D4F2-4EBB-9B65-21D36C0A2102}"/>
            </c:ext>
          </c:extLst>
        </c:ser>
        <c:dLbls>
          <c:showLegendKey val="0"/>
          <c:showVal val="0"/>
          <c:showCatName val="0"/>
          <c:showSerName val="0"/>
          <c:showPercent val="0"/>
          <c:showBubbleSize val="0"/>
        </c:dLbls>
        <c:axId val="629880440"/>
        <c:axId val="629876912"/>
      </c:scatterChart>
      <c:valAx>
        <c:axId val="629880440"/>
        <c:scaling>
          <c:orientation val="minMax"/>
          <c:max val="100"/>
          <c:min val="10"/>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29876912"/>
        <c:crosses val="autoZero"/>
        <c:crossBetween val="midCat"/>
        <c:majorUnit val="20"/>
      </c:valAx>
      <c:valAx>
        <c:axId val="629876912"/>
        <c:scaling>
          <c:orientation val="minMax"/>
          <c:max val="0.8"/>
          <c:min val="0.30000000000000004"/>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29880440"/>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30307899251493849"/>
          <c:y val="0.038493219843582546"/>
          <c:w val="0.94252315784843266"/>
          <c:h val="0.91449828613942941"/>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extLst>
              <c:ext xmlns:c="http://schemas.openxmlformats.org/drawingml/2006/chart" xmlns:c16="http://schemas.microsoft.com/office/drawing/2014/chart" uri="{C3380CC4-5D6E-409C-BE32-E72D297353CC}">
                <c16:uniqueId val="{00000000-DD11-4E28-BF1C-DF326A2A23E0}"/>
              </c:ext>
            </c:extLst>
          </c:dPt>
          <c:dPt>
            <c:idx val="1"/>
            <c:invertIfNegative val="0"/>
            <c:bubble3D val="0"/>
            <c:extLst>
              <c:ext xmlns:c="http://schemas.openxmlformats.org/drawingml/2006/chart" xmlns:c16="http://schemas.microsoft.com/office/drawing/2014/chart" uri="{C3380CC4-5D6E-409C-BE32-E72D297353CC}">
                <c16:uniqueId val="{00000001-DD11-4E28-BF1C-DF326A2A23E0}"/>
              </c:ext>
            </c:extLst>
          </c:dPt>
          <c:dPt>
            <c:idx val="2"/>
            <c:invertIfNegative val="0"/>
            <c:bubble3D val="0"/>
            <c:extLst>
              <c:ext xmlns:c="http://schemas.openxmlformats.org/drawingml/2006/chart" xmlns:c16="http://schemas.microsoft.com/office/drawing/2014/chart" uri="{C3380CC4-5D6E-409C-BE32-E72D297353CC}">
                <c16:uniqueId val="{00000002-DD11-4E28-BF1C-DF326A2A23E0}"/>
              </c:ext>
            </c:extLst>
          </c:dPt>
          <c:dPt>
            <c:idx val="5"/>
            <c:invertIfNegative val="0"/>
            <c:bubble3D val="0"/>
            <c:extLst>
              <c:ext xmlns:c="http://schemas.openxmlformats.org/drawingml/2006/chart" xmlns:c16="http://schemas.microsoft.com/office/drawing/2014/chart" uri="{C3380CC4-5D6E-409C-BE32-E72D297353CC}">
                <c16:uniqueId val="{00000003-DD11-4E28-BF1C-DF326A2A23E0}"/>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Vieglā rūpniecība</c:v>
                </c:pt>
                <c:pt idx="1">
                  <c:v>Ieguves rūpniecība</c:v>
                </c:pt>
                <c:pt idx="2">
                  <c:v>Ūdens apgāde</c:v>
                </c:pt>
                <c:pt idx="3">
                  <c:v>Elektroenerģija, gāzes apgāde</c:v>
                </c:pt>
                <c:pt idx="4">
                  <c:v>IKT</c:v>
                </c:pt>
                <c:pt idx="5">
                  <c:v>Valsts pārvalde</c:v>
                </c:pt>
              </c:strCache>
            </c:strRef>
          </c:cat>
          <c:val>
            <c:numRef>
              <c:f>Sheet1!$B$2:$B$7</c:f>
              <c:numCache>
                <c:formatCode>0.0</c:formatCode>
                <c:ptCount val="6"/>
                <c:pt idx="0">
                  <c:v>3.6</c:v>
                </c:pt>
                <c:pt idx="1">
                  <c:v>4</c:v>
                </c:pt>
                <c:pt idx="2">
                  <c:v>4.5</c:v>
                </c:pt>
                <c:pt idx="3">
                  <c:v>5.3</c:v>
                </c:pt>
                <c:pt idx="4">
                  <c:v>5.5</c:v>
                </c:pt>
                <c:pt idx="5">
                  <c:v>6</c:v>
                </c:pt>
              </c:numCache>
            </c:numRef>
          </c:val>
          <c:extLst>
            <c:ext xmlns:c="http://schemas.openxmlformats.org/drawingml/2006/chart" xmlns:c16="http://schemas.microsoft.com/office/drawing/2014/chart" uri="{C3380CC4-5D6E-409C-BE32-E72D297353CC}">
              <c16:uniqueId val="{00000004-DD11-4E28-BF1C-DF326A2A23E0}"/>
            </c:ext>
          </c:extLst>
        </c:ser>
        <c:dLbls>
          <c:showLegendKey val="0"/>
          <c:showVal val="0"/>
          <c:showCatName val="0"/>
          <c:showSerName val="0"/>
          <c:showPercent val="0"/>
          <c:showBubbleSize val="0"/>
        </c:dLbls>
        <c:gapWidth val="40"/>
        <c:axId val="629818112"/>
        <c:axId val="629813016"/>
      </c:barChart>
      <c:catAx>
        <c:axId val="629818112"/>
        <c:scaling>
          <c:orientation val="minMax"/>
        </c:scaling>
        <c:delete val="1"/>
        <c:axPos val="l"/>
        <c:numFmt formatCode="General" sourceLinked="1"/>
        <c:majorTickMark val="out"/>
        <c:minorTickMark val="none"/>
        <c:tickLblPos val="nextTo"/>
        <c:crossAx val="629813016"/>
        <c:crosses val="autoZero"/>
        <c:auto val="1"/>
        <c:lblAlgn val="ctr"/>
        <c:lblOffset val="100"/>
        <c:noMultiLvlLbl val="0"/>
      </c:catAx>
      <c:valAx>
        <c:axId val="629813016"/>
        <c:scaling>
          <c:orientation val="minMax"/>
          <c:max val="12"/>
          <c:min val="0"/>
        </c:scaling>
        <c:delete val="1"/>
        <c:axPos val="b"/>
        <c:numFmt formatCode="0.0" sourceLinked="1"/>
        <c:majorTickMark val="out"/>
        <c:minorTickMark val="none"/>
        <c:tickLblPos val="nextTo"/>
        <c:crossAx val="629818112"/>
        <c:crosses val="autoZero"/>
        <c:crossBetween val="between"/>
        <c:majorUnit val="4"/>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lv-LV"/>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0032495938007744"/>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B4D6-42D4-AF0B-EFF361F3FF43}"/>
              </c:ext>
            </c:extLst>
          </c:dPt>
          <c:dPt>
            <c:idx val="5"/>
            <c:bubble3D val="0"/>
            <c:extLst>
              <c:ext xmlns:c="http://schemas.openxmlformats.org/drawingml/2006/chart" xmlns:c16="http://schemas.microsoft.com/office/drawing/2014/chart" uri="{C3380CC4-5D6E-409C-BE32-E72D297353CC}">
                <c16:uniqueId val="{00000001-B4D6-42D4-AF0B-EFF361F3FF43}"/>
              </c:ext>
            </c:extLst>
          </c:dPt>
          <c:dPt>
            <c:idx val="11"/>
            <c:bubble3D val="0"/>
            <c:extLst>
              <c:ext xmlns:c="http://schemas.openxmlformats.org/drawingml/2006/chart" xmlns:c16="http://schemas.microsoft.com/office/drawing/2014/chart" uri="{C3380CC4-5D6E-409C-BE32-E72D297353CC}">
                <c16:uniqueId val="{00000002-B4D6-42D4-AF0B-EFF361F3FF43}"/>
              </c:ext>
            </c:extLst>
          </c:dPt>
          <c:dPt>
            <c:idx val="12"/>
            <c:bubble3D val="0"/>
            <c:extLst>
              <c:ext xmlns:c="http://schemas.openxmlformats.org/drawingml/2006/chart" xmlns:c16="http://schemas.microsoft.com/office/drawing/2014/chart" uri="{C3380CC4-5D6E-409C-BE32-E72D297353CC}">
                <c16:uniqueId val="{00000003-B4D6-42D4-AF0B-EFF361F3FF43}"/>
              </c:ext>
            </c:extLst>
          </c:dPt>
          <c:dPt>
            <c:idx val="13"/>
            <c:bubble3D val="0"/>
            <c:marker>
              <c:symbol val="triangle"/>
              <c:size val="6"/>
            </c:marker>
            <c:extLst>
              <c:ext xmlns:c="http://schemas.openxmlformats.org/drawingml/2006/chart" xmlns:c16="http://schemas.microsoft.com/office/drawing/2014/chart" uri="{C3380CC4-5D6E-409C-BE32-E72D297353CC}">
                <c16:uniqueId val="{00000004-B4D6-42D4-AF0B-EFF361F3FF43}"/>
              </c:ext>
            </c:extLst>
          </c:dPt>
          <c:dPt>
            <c:idx val="14"/>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5-B4D6-42D4-AF0B-EFF361F3FF43}"/>
              </c:ext>
            </c:extLst>
          </c:dPt>
          <c:dLbls>
            <c:dLbl>
              <c:idx val="0"/>
              <c:tx>
                <c:rich>
                  <a:bodyPr vertOverflow="clip"/>
                  <a:lstStyle/>
                  <a:p>
                    <a:fld id="{4f4d655b-3217-454e-81ea-6ecb9fd099e6}" type="CELLRANGE">
                      <a:rPr lang="en-US"/>
                      <a:t>ES-28</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0-B4D6-42D4-AF0B-EFF361F3FF43}"/>
                </c:ext>
                <c:ext xmlns:c15="http://schemas.microsoft.com/office/drawing/2012/chart" uri="{CE6537A1-D6FC-4f65-9D91-7224C49458BB}">
                  <c15:showDataLabelsRange val="1"/>
                </c:ext>
              </c:extLst>
            </c:dLbl>
            <c:dLbl>
              <c:idx val="1"/>
              <c:tx>
                <c:rich>
                  <a:bodyPr/>
                  <a:lstStyle/>
                  <a:p>
                    <a:fld id="{ffb4bf37-412d-47dc-808f-1b4c43220e48}" type="CELLRANGE">
                      <a:rPr lang="lv-LV"/>
                      <a:t>BE</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2"/>
              <c:layout>
                <c:manualLayout>
                  <c:x val="-0.058151609553478714"/>
                  <c:y val="0.084656084656084651"/>
                </c:manualLayout>
              </c:layout>
              <c:tx>
                <c:rich>
                  <a:bodyPr vertOverflow="clip"/>
                  <a:lstStyle/>
                  <a:p>
                    <a:fld id="{8baf673d-eabe-401b-a6d8-e0331c11321d}" type="CELLRANGE">
                      <a:rPr lang="en-US"/>
                      <a:t>BG</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6-FF30-4BC1-B313-718929E42673}"/>
                </c:ext>
                <c:ext xmlns:c15="http://schemas.microsoft.com/office/drawing/2012/chart" uri="{CE6537A1-D6FC-4f65-9D91-7224C49458BB}">
                  <c15:showDataLabelsRange val="1"/>
                </c:ext>
              </c:extLst>
            </c:dLbl>
            <c:dLbl>
              <c:idx val="3"/>
              <c:tx>
                <c:rich>
                  <a:bodyPr vertOverflow="clip"/>
                  <a:lstStyle/>
                  <a:p>
                    <a:fld id="{db6ce8d7-0b49-405c-96e1-f4f8d12dab45}" type="CELLRANGE">
                      <a:rPr lang="lv-LV"/>
                      <a:t>CZ</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4"/>
              <c:tx>
                <c:rich>
                  <a:bodyPr/>
                  <a:lstStyle/>
                  <a:p>
                    <a:fld id="{24e21ce6-da9a-4d17-8dfc-3c521a332394}" type="CELLRANGE">
                      <a:rPr lang="lv-LV"/>
                      <a:t>DK</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5"/>
              <c:layout>
                <c:manualLayout>
                  <c:x val="-0.020768431983385256"/>
                  <c:y val="-0.021164021164021187"/>
                </c:manualLayout>
              </c:layout>
              <c:tx>
                <c:rich>
                  <a:bodyPr vertOverflow="clip"/>
                  <a:lstStyle/>
                  <a:p>
                    <a:fld id="{e7fa2e2c-97d3-4ce6-913b-c6574e41f0df}" type="CELLRANGE">
                      <a:rPr lang="en-US"/>
                      <a:t>DE</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1-B4D6-42D4-AF0B-EFF361F3FF43}"/>
                </c:ext>
                <c:ext xmlns:c15="http://schemas.microsoft.com/office/drawing/2012/chart" uri="{CE6537A1-D6FC-4f65-9D91-7224C49458BB}">
                  <c15:showDataLabelsRange val="1"/>
                </c:ext>
              </c:extLst>
            </c:dLbl>
            <c:dLbl>
              <c:idx val="6"/>
              <c:layout>
                <c:manualLayout>
                  <c:x val="-0.099688473520249218"/>
                  <c:y val="-6.062540194295235E-18"/>
                </c:manualLayout>
              </c:layout>
              <c:tx>
                <c:rich>
                  <a:bodyPr vertOverflow="clip"/>
                  <a:lstStyle/>
                  <a:p>
                    <a:fld id="{02180050-9774-4280-8a64-76a49dccf6c7}" type="CELLRANGE">
                      <a:rPr lang="en-US"/>
                      <a:t>EE</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9-B4D6-42D4-AF0B-EFF361F3FF43}"/>
                </c:ext>
                <c:ext xmlns:c15="http://schemas.microsoft.com/office/drawing/2012/chart" uri="{CE6537A1-D6FC-4f65-9D91-7224C49458BB}">
                  <c15:showDataLabelsRange val="1"/>
                </c:ext>
              </c:extLst>
            </c:dLbl>
            <c:dLbl>
              <c:idx val="7"/>
              <c:tx>
                <c:rich>
                  <a:bodyPr/>
                  <a:lstStyle/>
                  <a:p>
                    <a:fld id="{04122b23-7425-40af-abc4-43b54c9d0260}" type="CELLRANGE">
                      <a:rPr lang="lv-LV"/>
                      <a:t>IE</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8"/>
              <c:tx>
                <c:rich>
                  <a:bodyPr vertOverflow="clip"/>
                  <a:lstStyle/>
                  <a:p>
                    <a:fld id="{9b6700d4-e532-47cc-81c8-85ff13bfe266}" type="CELLRANGE">
                      <a:rPr lang="lv-LV"/>
                      <a:t>EL</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9"/>
              <c:tx>
                <c:rich>
                  <a:bodyPr vertOverflow="clip"/>
                  <a:lstStyle/>
                  <a:p>
                    <a:fld id="{f9b22898-92a6-4f9b-808d-06e92e690126}" type="CELLRANGE">
                      <a:rPr lang="lv-LV"/>
                      <a:t>ES</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0"/>
              <c:layout>
                <c:manualLayout>
                  <c:x val="0.016614745586708203"/>
                  <c:y val="0"/>
                </c:manualLayout>
              </c:layout>
              <c:tx>
                <c:rich>
                  <a:bodyPr vertOverflow="clip"/>
                  <a:lstStyle/>
                  <a:p>
                    <a:fld id="{f24926e9-b2ef-4a73-ac1c-c910e7d71fd6}" type="CELLRANGE">
                      <a:rPr lang="en-US"/>
                      <a:t>FR</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C-B4D6-42D4-AF0B-EFF361F3FF43}"/>
                </c:ext>
                <c:ext xmlns:c15="http://schemas.microsoft.com/office/drawing/2012/chart" uri="{CE6537A1-D6FC-4f65-9D91-7224C49458BB}">
                  <c15:showDataLabelsRange val="1"/>
                </c:ext>
              </c:extLst>
            </c:dLbl>
            <c:dLbl>
              <c:idx val="11"/>
              <c:layout>
                <c:manualLayout>
                  <c:x val="-0.016614745586708279"/>
                  <c:y val="-0.010582010582010557"/>
                </c:manualLayout>
              </c:layout>
              <c:tx>
                <c:rich>
                  <a:bodyPr vertOverflow="clip"/>
                  <a:lstStyle/>
                  <a:p>
                    <a:fld id="{79333ba4-c05f-4864-b842-10693c6868eb}" type="CELLRANGE">
                      <a:rPr lang="en-US"/>
                      <a:t>HR</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2-B4D6-42D4-AF0B-EFF361F3FF43}"/>
                </c:ext>
                <c:ext xmlns:c15="http://schemas.microsoft.com/office/drawing/2012/chart" uri="{CE6537A1-D6FC-4f65-9D91-7224C49458BB}">
                  <c15:showDataLabelsRange val="1"/>
                </c:ext>
              </c:extLst>
            </c:dLbl>
            <c:dLbl>
              <c:idx val="12"/>
              <c:tx>
                <c:rich>
                  <a:bodyPr vertOverflow="clip"/>
                  <a:lstStyle/>
                  <a:p>
                    <a:fld id="{99f60728-85e9-4ef8-84c4-f6fd793d0455}" type="CELLRANGE">
                      <a:rPr lang="lv-LV"/>
                      <a:t>IT</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3"/>
              <c:tx>
                <c:rich>
                  <a:bodyPr vertOverflow="clip"/>
                  <a:lstStyle/>
                  <a:p>
                    <a:fld id="{a3f75a2b-60ec-4b5a-8398-1ba0a60b3d30}" type="CELLRANGE">
                      <a:rPr lang="lv-LV"/>
                      <a:t>CY</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4"/>
              <c:layout>
                <c:manualLayout>
                  <c:x val="-0.012461059190031152"/>
                  <c:y val="0"/>
                </c:manualLayout>
              </c:layout>
              <c:tx>
                <c:rich>
                  <a:bodyPr vertOverflow="clip"/>
                  <a:lstStyle/>
                  <a:p>
                    <a:fld id="{c5dca422-0904-42ed-b78e-e16cb20194c0}" type="CELLRANGE">
                      <a:rPr lang="en-US"/>
                      <a:t>LV</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5-B4D6-42D4-AF0B-EFF361F3FF43}"/>
                </c:ext>
                <c:ext xmlns:c15="http://schemas.microsoft.com/office/drawing/2012/chart" uri="{CE6537A1-D6FC-4f65-9D91-7224C49458BB}">
                  <c15:showDataLabelsRange val="1"/>
                </c:ext>
              </c:extLst>
            </c:dLbl>
            <c:dLbl>
              <c:idx val="15"/>
              <c:tx>
                <c:rich>
                  <a:bodyPr vertOverflow="clip"/>
                  <a:lstStyle/>
                  <a:p>
                    <a:fld id="{b6c5f361-4096-4fc1-8af0-6245e3c087ac}" type="CELLRANGE">
                      <a:rPr lang="lv-LV"/>
                      <a:t>LT</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6"/>
              <c:layout>
                <c:manualLayout>
                  <c:x val="-0.012461059190031152"/>
                  <c:y val="-0.031746031746031758"/>
                </c:manualLayout>
              </c:layout>
              <c:tx>
                <c:rich>
                  <a:bodyPr vertOverflow="clip"/>
                  <a:lstStyle/>
                  <a:p>
                    <a:fld id="{82f49d9b-e946-4019-a35d-7c6dcae74298}" type="CELLRANGE">
                      <a:rPr lang="en-US"/>
                      <a:t>LU</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E-B4D6-42D4-AF0B-EFF361F3FF43}"/>
                </c:ext>
                <c:ext xmlns:c15="http://schemas.microsoft.com/office/drawing/2012/chart" uri="{CE6537A1-D6FC-4f65-9D91-7224C49458BB}">
                  <c15:showDataLabelsRange val="1"/>
                </c:ext>
              </c:extLst>
            </c:dLbl>
            <c:dLbl>
              <c:idx val="17"/>
              <c:layout>
                <c:manualLayout>
                  <c:x val="-0.087227414330218064"/>
                  <c:y val="-0.042328042328042374"/>
                </c:manualLayout>
              </c:layout>
              <c:tx>
                <c:rich>
                  <a:bodyPr vertOverflow="clip"/>
                  <a:lstStyle/>
                  <a:p>
                    <a:fld id="{546f749c-16cd-4e64-a6b1-9e8ad09475c5}" type="CELLRANGE">
                      <a:rPr lang="en-US"/>
                      <a:t>HU</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F-B4D6-42D4-AF0B-EFF361F3FF43}"/>
                </c:ext>
                <c:ext xmlns:c15="http://schemas.microsoft.com/office/drawing/2012/chart" uri="{CE6537A1-D6FC-4f65-9D91-7224C49458BB}">
                  <c15:showDataLabelsRange val="1"/>
                </c:ext>
              </c:extLst>
            </c:dLbl>
            <c:dLbl>
              <c:idx val="18"/>
              <c:tx>
                <c:rich>
                  <a:bodyPr vertOverflow="clip"/>
                  <a:lstStyle/>
                  <a:p>
                    <a:fld id="{c007d7f0-d23f-4f44-ac55-0bdf886fb295}" type="CELLRANGE">
                      <a:rPr lang="lv-LV"/>
                      <a:t>NL</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9"/>
              <c:layout>
                <c:manualLayout>
                  <c:x val="-0.078920041536863966"/>
                  <c:y val="0.063492063492063489"/>
                </c:manualLayout>
              </c:layout>
              <c:tx>
                <c:rich>
                  <a:bodyPr vertOverflow="clip"/>
                  <a:lstStyle/>
                  <a:p>
                    <a:fld id="{7deab6e3-4196-4576-b5d1-bac1c9eaa675}" type="CELLRANGE">
                      <a:rPr lang="en-US"/>
                      <a:t>AT</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1-B4D6-42D4-AF0B-EFF361F3FF43}"/>
                </c:ext>
                <c:ext xmlns:c15="http://schemas.microsoft.com/office/drawing/2012/chart" uri="{CE6537A1-D6FC-4f65-9D91-7224C49458BB}">
                  <c15:showDataLabelsRange val="1"/>
                </c:ext>
              </c:extLst>
            </c:dLbl>
            <c:dLbl>
              <c:idx val="20"/>
              <c:layout>
                <c:manualLayout>
                  <c:x val="-0.095534787123572176"/>
                  <c:y val="0.021164021164021066"/>
                </c:manualLayout>
              </c:layout>
              <c:tx>
                <c:rich>
                  <a:bodyPr vertOverflow="clip"/>
                  <a:lstStyle/>
                  <a:p>
                    <a:fld id="{a0533d47-d719-49a1-ba27-2e63c69962d0}" type="CELLRANGE">
                      <a:rPr lang="en-US"/>
                      <a:t>PL</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2-B4D6-42D4-AF0B-EFF361F3FF43}"/>
                </c:ext>
                <c:ext xmlns:c15="http://schemas.microsoft.com/office/drawing/2012/chart" uri="{CE6537A1-D6FC-4f65-9D91-7224C49458BB}">
                  <c15:showDataLabelsRange val="1"/>
                </c:ext>
              </c:extLst>
            </c:dLbl>
            <c:dLbl>
              <c:idx val="21"/>
              <c:tx>
                <c:rich>
                  <a:bodyPr vertOverflow="clip"/>
                  <a:lstStyle/>
                  <a:p>
                    <a:fld id="{291028b2-2055-4a73-b396-179f6af890cd}" type="CELLRANGE">
                      <a:rPr lang="lv-LV"/>
                      <a:t>PT</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22"/>
              <c:tx>
                <c:rich>
                  <a:bodyPr vertOverflow="clip"/>
                  <a:lstStyle/>
                  <a:p>
                    <a:fld id="{6c8ac8c6-38a3-4ee3-a7bf-6b9bb710d3aa}" type="CELLRANGE">
                      <a:rPr lang="lv-LV"/>
                      <a:t>RO</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23"/>
              <c:tx>
                <c:rich>
                  <a:bodyPr vertOverflow="clip"/>
                  <a:lstStyle/>
                  <a:p>
                    <a:fld id="{8048e71f-3b2c-4c55-a605-dd3d1aaa4136}" type="CELLRANGE">
                      <a:rPr lang="lv-LV"/>
                      <a:t>SI</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24"/>
              <c:layout>
                <c:manualLayout>
                  <c:x val="-0.016614745586708279"/>
                  <c:y val="0"/>
                </c:manualLayout>
              </c:layout>
              <c:tx>
                <c:rich>
                  <a:bodyPr vertOverflow="clip"/>
                  <a:lstStyle/>
                  <a:p>
                    <a:fld id="{10f492fa-6bb0-466e-bcb1-bb9ddfc4f444}" type="CELLRANGE">
                      <a:rPr lang="en-US"/>
                      <a:t>SK</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6-B4D6-42D4-AF0B-EFF361F3FF43}"/>
                </c:ext>
                <c:ext xmlns:c15="http://schemas.microsoft.com/office/drawing/2012/chart" uri="{CE6537A1-D6FC-4f65-9D91-7224C49458BB}">
                  <c15:showDataLabelsRange val="1"/>
                </c:ext>
              </c:extLst>
            </c:dLbl>
            <c:dLbl>
              <c:idx val="25"/>
              <c:layout>
                <c:manualLayout>
                  <c:x val="-0.024922118380062457"/>
                  <c:y val="-0.052910052910052907"/>
                </c:manualLayout>
              </c:layout>
              <c:tx>
                <c:rich>
                  <a:bodyPr vertOverflow="clip"/>
                  <a:lstStyle/>
                  <a:p>
                    <a:fld id="{8dbfebf1-930e-4713-8fc0-111b5e179d52}" type="CELLRANGE">
                      <a:rPr lang="en-US"/>
                      <a:t>FI</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7-B4D6-42D4-AF0B-EFF361F3FF43}"/>
                </c:ext>
                <c:ext xmlns:c15="http://schemas.microsoft.com/office/drawing/2012/chart" uri="{CE6537A1-D6FC-4f65-9D91-7224C49458BB}">
                  <c15:showDataLabelsRange val="1"/>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Sheet1!$B$3:$B$28</c:f>
              <c:numCache>
                <c:formatCode>0.0</c:formatCode>
                <c:ptCount val="26"/>
                <c:pt idx="0">
                  <c:v>62.286395413826583</c:v>
                </c:pt>
                <c:pt idx="1">
                  <c:v>108.01683029453014</c:v>
                </c:pt>
                <c:pt idx="2">
                  <c:v>10.025140904086628</c:v>
                </c:pt>
                <c:pt idx="3">
                  <c:v>29.480189334536362</c:v>
                </c:pt>
                <c:pt idx="4">
                  <c:v>112.69273356401385</c:v>
                </c:pt>
                <c:pt idx="5">
                  <c:v>79.869545032497683</c:v>
                </c:pt>
                <c:pt idx="6">
                  <c:v>21.93597304128054</c:v>
                </c:pt>
                <c:pt idx="7">
                  <c:v>375.72102902997403</c:v>
                </c:pt>
                <c:pt idx="8">
                  <c:v>47.515962861285054</c:v>
                </c:pt>
                <c:pt idx="9">
                  <c:v>68.436180026217414</c:v>
                </c:pt>
                <c:pt idx="10">
                  <c:v>83.56778370144707</c:v>
                </c:pt>
                <c:pt idx="11">
                  <c:v>21.41192899930175</c:v>
                </c:pt>
                <c:pt idx="12">
                  <c:v>59.755930798715433</c:v>
                </c:pt>
                <c:pt idx="13">
                  <c:v>26.17208672086721</c:v>
                </c:pt>
                <c:pt idx="14">
                  <c:v>20.575176589303734</c:v>
                </c:pt>
                <c:pt idx="15">
                  <c:v>30.222317433114348</c:v>
                </c:pt>
                <c:pt idx="16">
                  <c:v>77.242339832869064</c:v>
                </c:pt>
                <c:pt idx="17">
                  <c:v>26.093110721455616</c:v>
                </c:pt>
                <c:pt idx="18">
                  <c:v>93.404166666666654</c:v>
                </c:pt>
                <c:pt idx="19">
                  <c:v>88.51156458277265</c:v>
                </c:pt>
                <c:pt idx="20">
                  <c:v>23.366483753622294</c:v>
                </c:pt>
                <c:pt idx="21">
                  <c:v>30.016816220761143</c:v>
                </c:pt>
                <c:pt idx="22">
                  <c:v>21.559987277353692</c:v>
                </c:pt>
                <c:pt idx="23">
                  <c:v>36.149659171838437</c:v>
                </c:pt>
                <c:pt idx="24">
                  <c:v>37.464082860006677</c:v>
                </c:pt>
                <c:pt idx="25">
                  <c:v>85.187518751875189</c:v>
                </c:pt>
              </c:numCache>
            </c:numRef>
          </c:xVal>
          <c:yVal>
            <c:numRef>
              <c:f>Sheet1!$C$3:$C$28</c:f>
              <c:numCache>
                <c:formatCode>#,##0.0</c:formatCode>
                <c:ptCount val="26"/>
                <c:pt idx="0">
                  <c:v>0.63441756547016692</c:v>
                </c:pt>
                <c:pt idx="1">
                  <c:v>0.59548344230306782</c:v>
                </c:pt>
                <c:pt idx="2">
                  <c:v>0.60881421361110966</c:v>
                </c:pt>
                <c:pt idx="3">
                  <c:v>0.53491668838152806</c:v>
                </c:pt>
                <c:pt idx="4">
                  <c:v>0.58088662913190214</c:v>
                </c:pt>
                <c:pt idx="5">
                  <c:v>0.67837269711844661</c:v>
                </c:pt>
                <c:pt idx="6">
                  <c:v>0.76198101526919582</c:v>
                </c:pt>
                <c:pt idx="7">
                  <c:v>0.15537125558327508</c:v>
                </c:pt>
                <c:pt idx="8">
                  <c:v>0.44033809550096842</c:v>
                </c:pt>
                <c:pt idx="9">
                  <c:v>0.55782153543773749</c:v>
                </c:pt>
                <c:pt idx="10">
                  <c:v>0.65203298415529587</c:v>
                </c:pt>
                <c:pt idx="11">
                  <c:v>0.674967257693409</c:v>
                </c:pt>
                <c:pt idx="12">
                  <c:v>0.68772938543308726</c:v>
                </c:pt>
                <c:pt idx="13">
                  <c:v>0.77210406910086316</c:v>
                </c:pt>
                <c:pt idx="14">
                  <c:v>0.63328205293407969</c:v>
                </c:pt>
                <c:pt idx="15">
                  <c:v>0.49774636190311944</c:v>
                </c:pt>
                <c:pt idx="16">
                  <c:v>0.72424634140650035</c:v>
                </c:pt>
                <c:pt idx="17">
                  <c:v>0.51390972727409145</c:v>
                </c:pt>
                <c:pt idx="18">
                  <c:v>0.59528017149465162</c:v>
                </c:pt>
                <c:pt idx="19">
                  <c:v>0.60607237382955381</c:v>
                </c:pt>
                <c:pt idx="20">
                  <c:v>0.484988598640299</c:v>
                </c:pt>
                <c:pt idx="21">
                  <c:v>0.588639670019781</c:v>
                </c:pt>
                <c:pt idx="22">
                  <c:v>0.36000459030173737</c:v>
                </c:pt>
                <c:pt idx="23">
                  <c:v>0.71774139526644964</c:v>
                </c:pt>
                <c:pt idx="24">
                  <c:v>0.4420038481840774</c:v>
                </c:pt>
                <c:pt idx="25">
                  <c:v>0.63338091663659768</c:v>
                </c:pt>
              </c:numCache>
            </c:numRef>
          </c:yVal>
          <c:smooth val="0"/>
          <c:extLst>
            <c:ext xmlns:c="http://schemas.openxmlformats.org/drawingml/2006/chart" xmlns:c16="http://schemas.microsoft.com/office/drawing/2014/chart" uri="{C3380CC4-5D6E-409C-BE32-E72D297353CC}">
              <c16:uniqueId val="{0000001A-B4D6-42D4-AF0B-EFF361F3FF43}"/>
            </c:ext>
            <c:ext xmlns:c15="http://schemas.microsoft.com/office/drawing/2012/chart" uri="{02D57815-91ED-43cb-92C2-25804820EDAC}">
              <c15:datalabelsRange>
                <c15:f>Sheet1!$A$3:$A$30</c15:f>
                <c15:dlblRangeCache>
                  <c:ptCount val="28"/>
                  <c:pt idx="0">
                    <c:v>ES-28</c:v>
                  </c:pt>
                  <c:pt idx="1">
                    <c:v>BE</c:v>
                  </c:pt>
                  <c:pt idx="2">
                    <c:v>BG</c:v>
                  </c:pt>
                  <c:pt idx="3">
                    <c:v>CZ</c:v>
                  </c:pt>
                  <c:pt idx="4">
                    <c:v>DK</c:v>
                  </c:pt>
                  <c:pt idx="5">
                    <c:v>DE</c:v>
                  </c:pt>
                  <c:pt idx="6">
                    <c:v>EE</c:v>
                  </c:pt>
                  <c:pt idx="7">
                    <c:v>IE</c:v>
                  </c:pt>
                  <c:pt idx="8">
                    <c:v>EL</c:v>
                  </c:pt>
                  <c:pt idx="9">
                    <c:v>ES</c:v>
                  </c:pt>
                  <c:pt idx="10">
                    <c:v>FR</c:v>
                  </c:pt>
                  <c:pt idx="11">
                    <c:v>HR</c:v>
                  </c:pt>
                  <c:pt idx="12">
                    <c:v>IT</c:v>
                  </c:pt>
                  <c:pt idx="13">
                    <c:v>CY</c:v>
                  </c:pt>
                  <c:pt idx="14">
                    <c:v>LV</c:v>
                  </c:pt>
                  <c:pt idx="15">
                    <c:v>LT</c:v>
                  </c:pt>
                  <c:pt idx="16">
                    <c:v>LU</c:v>
                  </c:pt>
                  <c:pt idx="17">
                    <c:v>HU</c:v>
                  </c:pt>
                  <c:pt idx="18">
                    <c:v>NL</c:v>
                  </c:pt>
                  <c:pt idx="19">
                    <c:v>AT</c:v>
                  </c:pt>
                  <c:pt idx="20">
                    <c:v>PL</c:v>
                  </c:pt>
                  <c:pt idx="21">
                    <c:v>PT</c:v>
                  </c:pt>
                  <c:pt idx="22">
                    <c:v>RO</c:v>
                  </c:pt>
                  <c:pt idx="23">
                    <c:v>SI</c:v>
                  </c:pt>
                  <c:pt idx="24">
                    <c:v>SK</c:v>
                  </c:pt>
                  <c:pt idx="25">
                    <c:v>FI</c:v>
                  </c:pt>
                  <c:pt idx="26">
                    <c:v>SE</c:v>
                  </c:pt>
                  <c:pt idx="27">
                    <c:v>UK</c:v>
                  </c:pt>
                </c15:dlblRangeCache>
              </c15:datalabelsRange>
            </c:ext>
          </c:extLst>
        </c:ser>
        <c:dLbls>
          <c:showLegendKey val="0"/>
          <c:showVal val="0"/>
          <c:showCatName val="0"/>
          <c:showSerName val="0"/>
          <c:showPercent val="0"/>
          <c:showBubbleSize val="0"/>
        </c:dLbls>
        <c:axId val="629874168"/>
        <c:axId val="629877304"/>
      </c:scatterChart>
      <c:valAx>
        <c:axId val="629874168"/>
        <c:scaling>
          <c:orientation val="minMax"/>
          <c:max val="100"/>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29877304"/>
        <c:crosses val="autoZero"/>
        <c:crossBetween val="midCat"/>
        <c:majorUnit val="20"/>
      </c:valAx>
      <c:valAx>
        <c:axId val="629877304"/>
        <c:scaling>
          <c:orientation val="minMax"/>
          <c:min val="0.30000000000000004"/>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29874168"/>
        <c:crosses val="autoZero"/>
        <c:crossBetween val="midCat"/>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59412201441466"/>
          <c:y val="0.098301682877875565"/>
          <c:w val="0.77357359176256812"/>
          <c:h val="0.702125"/>
        </c:manualLayout>
      </c:layout>
      <c:barChart>
        <c:barDir val="col"/>
        <c:grouping val="clustered"/>
        <c:varyColors val="0"/>
        <c:ser>
          <c:idx val="4"/>
          <c:order val="0"/>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6AF1-46B9-94EB-D034ACE1F734}"/>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6AF1-46B9-94EB-D034ACE1F734}"/>
              </c:ext>
            </c:extLst>
          </c:dPt>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Sheet1!$A$3:$A$5</c:f>
              <c:strCache>
                <c:ptCount val="3"/>
                <c:pt idx="0">
                  <c:v>2005</c:v>
                </c:pt>
                <c:pt idx="1">
                  <c:v>2010</c:v>
                </c:pt>
                <c:pt idx="2">
                  <c:v>2015</c:v>
                </c:pt>
              </c:strCache>
            </c:strRef>
          </c:cat>
          <c:val>
            <c:numRef>
              <c:f>Sheet1!$B$3:$B$5</c:f>
              <c:numCache>
                <c:formatCode>0.0</c:formatCode>
                <c:ptCount val="3"/>
                <c:pt idx="0">
                  <c:v>3.3723246415777952</c:v>
                </c:pt>
                <c:pt idx="1">
                  <c:v>3.3071961553054261</c:v>
                </c:pt>
                <c:pt idx="2">
                  <c:v>2.5344543479889148</c:v>
                </c:pt>
              </c:numCache>
            </c:numRef>
          </c:val>
          <c:extLst>
            <c:ext xmlns:c="http://schemas.openxmlformats.org/drawingml/2006/chart" xmlns:c16="http://schemas.microsoft.com/office/drawing/2014/chart" uri="{C3380CC4-5D6E-409C-BE32-E72D297353CC}">
              <c16:uniqueId val="{00000004-6AF1-46B9-94EB-D034ACE1F734}"/>
            </c:ext>
          </c:extLst>
        </c:ser>
        <c:dLbls>
          <c:showLegendKey val="0"/>
          <c:showVal val="0"/>
          <c:showCatName val="0"/>
          <c:showSerName val="0"/>
          <c:showPercent val="0"/>
          <c:showBubbleSize val="0"/>
        </c:dLbls>
        <c:gapWidth val="20"/>
        <c:axId val="629873776"/>
        <c:axId val="629880048"/>
      </c:barChart>
      <c:catAx>
        <c:axId val="629873776"/>
        <c:scaling>
          <c:orientation val="minMax"/>
        </c:scaling>
        <c:delete val="0"/>
        <c:axPos val="b"/>
        <c:numFmt formatCode="General" sourceLinked="0"/>
        <c:majorTickMark val="out"/>
        <c:minorTickMark val="none"/>
        <c:tickLblPos val="nextTo"/>
        <c:crossAx val="629880048"/>
        <c:crosses val="autoZero"/>
        <c:auto val="1"/>
        <c:lblAlgn val="ctr"/>
        <c:lblOffset val="100"/>
        <c:noMultiLvlLbl val="0"/>
      </c:catAx>
      <c:valAx>
        <c:axId val="629880048"/>
        <c:scaling>
          <c:orientation val="minMax"/>
          <c:min val="0"/>
        </c:scaling>
        <c:delete val="0"/>
        <c:axPos val="l"/>
        <c:numFmt formatCode="0.0" sourceLinked="0"/>
        <c:majorTickMark val="out"/>
        <c:minorTickMark val="none"/>
        <c:tickLblPos val="nextTo"/>
        <c:crossAx val="629873776"/>
        <c:crosses val="autoZero"/>
        <c:crossBetween val="between"/>
        <c:majorUnit val="1"/>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mbria Math" panose="02040503050406030204" pitchFamily="18" charset="0"/>
          <a:ea typeface="Cambria Math" panose="02040503050406030204" pitchFamily="18" charset="0"/>
          <a:cs typeface="Arial"/>
        </a:defRPr>
      </a:pPr>
      <a:endParaRPr lang="lv-LV"/>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73546128124922"/>
          <c:y val="0.048706240487062395"/>
          <c:w val="0.84631315184653555"/>
          <c:h val="0.73779794474843186"/>
        </c:manualLayout>
      </c:layout>
      <c:lineChart>
        <c:grouping val="standard"/>
        <c:varyColors val="0"/>
        <c:ser>
          <c:idx val="0"/>
          <c:order val="0"/>
          <c:tx>
            <c:strRef>
              <c:f>Sheet1!$A$2</c:f>
              <c:strCache>
                <c:ptCount val="1"/>
                <c:pt idx="0">
                  <c:v>Nodarbinātie</c:v>
                </c:pt>
              </c:strCache>
            </c:strRef>
          </c:tx>
          <c:spPr>
            <a:ln w="19050">
              <a:solidFill>
                <a:srgbClr val="0070C0"/>
              </a:solidFill>
              <a:prstDash val="dash"/>
            </a:ln>
          </c:spPr>
          <c:marker>
            <c:symbol val="none"/>
          </c:marker>
          <c:cat>
            <c:numRef>
              <c:f>Sheet1!$B$1:$K$1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Sheet1!$B$2:$K$2</c:f>
              <c:numCache>
                <c:formatCode>0.0</c:formatCode>
                <c:ptCount val="10"/>
                <c:pt idx="0">
                  <c:v>98.582811610700062</c:v>
                </c:pt>
                <c:pt idx="1">
                  <c:v>92.988873239938641</c:v>
                </c:pt>
                <c:pt idx="2">
                  <c:v>114.83007810343649</c:v>
                </c:pt>
                <c:pt idx="3">
                  <c:v>103.80030729163906</c:v>
                </c:pt>
                <c:pt idx="4">
                  <c:v>98.627984733478769</c:v>
                </c:pt>
                <c:pt idx="5">
                  <c:v>99.629322288406456</c:v>
                </c:pt>
                <c:pt idx="6">
                  <c:v>100.47255391360872</c:v>
                </c:pt>
                <c:pt idx="7">
                  <c:v>101.66964166724408</c:v>
                </c:pt>
                <c:pt idx="8">
                  <c:v>101.38354522297902</c:v>
                </c:pt>
                <c:pt idx="9">
                  <c:v>99.546504896645516</c:v>
                </c:pt>
              </c:numCache>
            </c:numRef>
          </c:val>
          <c:smooth val="0"/>
          <c:extLst>
            <c:ext xmlns:c="http://schemas.openxmlformats.org/drawingml/2006/chart" xmlns:c16="http://schemas.microsoft.com/office/drawing/2014/chart" uri="{C3380CC4-5D6E-409C-BE32-E72D297353CC}">
              <c16:uniqueId val="{00000000-D5D7-416D-ACDA-2806F6E0E36D}"/>
            </c:ext>
          </c:extLst>
        </c:ser>
        <c:ser>
          <c:idx val="1"/>
          <c:order val="1"/>
          <c:tx>
            <c:strRef>
              <c:f>Sheet1!$A$3</c:f>
              <c:strCache>
                <c:ptCount val="1"/>
                <c:pt idx="0">
                  <c:v>Ražošanas apjomi</c:v>
                </c:pt>
              </c:strCache>
            </c:strRef>
          </c:tx>
          <c:marker>
            <c:symbol val="none"/>
          </c:marker>
          <c:cat>
            <c:numRef>
              <c:f>Sheet1!$B$1:$K$1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Sheet1!$B$3:$K$3</c:f>
              <c:numCache>
                <c:formatCode>0.0</c:formatCode>
                <c:ptCount val="10"/>
                <c:pt idx="0">
                  <c:v>104.70117529382345</c:v>
                </c:pt>
                <c:pt idx="1">
                  <c:v>97.474368592148039</c:v>
                </c:pt>
                <c:pt idx="2">
                  <c:v>92.348087021755447</c:v>
                </c:pt>
                <c:pt idx="3">
                  <c:v>64.478619654913743</c:v>
                </c:pt>
                <c:pt idx="4">
                  <c:v>65.391347836959255</c:v>
                </c:pt>
                <c:pt idx="5">
                  <c:v>57.126781695423865</c:v>
                </c:pt>
                <c:pt idx="6">
                  <c:v>59.777444361090289</c:v>
                </c:pt>
                <c:pt idx="7">
                  <c:v>64.416104026006522</c:v>
                </c:pt>
                <c:pt idx="8">
                  <c:v>64.253563390847731</c:v>
                </c:pt>
                <c:pt idx="9" formatCode="General">
                  <c:v>61.327831957989524</c:v>
                </c:pt>
              </c:numCache>
            </c:numRef>
          </c:val>
          <c:smooth val="0"/>
          <c:extLst>
            <c:ext xmlns:c="http://schemas.openxmlformats.org/drawingml/2006/chart" xmlns:c16="http://schemas.microsoft.com/office/drawing/2014/chart" uri="{C3380CC4-5D6E-409C-BE32-E72D297353CC}">
              <c16:uniqueId val="{00000001-D5D7-416D-ACDA-2806F6E0E36D}"/>
            </c:ext>
          </c:extLst>
        </c:ser>
        <c:dLbls>
          <c:showLegendKey val="0"/>
          <c:showVal val="0"/>
          <c:showCatName val="0"/>
          <c:showSerName val="0"/>
          <c:showPercent val="0"/>
          <c:showBubbleSize val="0"/>
        </c:dLbls>
        <c:smooth val="0"/>
        <c:axId val="629874952"/>
        <c:axId val="629880832"/>
      </c:lineChart>
      <c:catAx>
        <c:axId val="629874952"/>
        <c:scaling>
          <c:orientation val="minMax"/>
        </c:scaling>
        <c:delete val="0"/>
        <c:axPos val="b"/>
        <c:numFmt formatCode="General" sourceLinked="1"/>
        <c:majorTickMark val="cross"/>
        <c:minorTickMark val="none"/>
        <c:tickLblPos val="nextTo"/>
        <c:spPr>
          <a:ln w="6350">
            <a:solidFill>
              <a:srgbClr val="000000"/>
            </a:solidFill>
          </a:ln>
        </c:spPr>
        <c:txPr>
          <a:bodyPr rot="-5400000" vert="horz"/>
          <a:lstStyle/>
          <a:p>
            <a:pPr>
              <a:defRPr sz="700" b="0" i="0" u="none" strike="noStrike" baseline="0">
                <a:solidFill>
                  <a:srgbClr val="000000"/>
                </a:solidFill>
                <a:latin typeface="Arial Narrow" pitchFamily="34" charset="0"/>
                <a:ea typeface="Times New Roman"/>
                <a:cs typeface="Times New Roman" pitchFamily="18" charset="0"/>
              </a:defRPr>
            </a:pPr>
            <a:endParaRPr lang="lv-LV"/>
          </a:p>
        </c:txPr>
        <c:crossAx val="629880832"/>
        <c:crosses val="autoZero"/>
        <c:auto val="1"/>
        <c:lblAlgn val="ctr"/>
        <c:lblOffset val="0"/>
        <c:noMultiLvlLbl val="0"/>
      </c:catAx>
      <c:valAx>
        <c:axId val="629880832"/>
        <c:scaling>
          <c:orientation val="minMax"/>
          <c:max val="150"/>
          <c:min val="50"/>
        </c:scaling>
        <c:delete val="0"/>
        <c:axPos val="l"/>
        <c:numFmt formatCode="0" sourceLinked="0"/>
        <c:majorTickMark val="cross"/>
        <c:minorTickMark val="none"/>
        <c:tickLblPos val="nextTo"/>
        <c:spPr>
          <a:ln w="6350">
            <a:solidFill>
              <a:sysClr val="windowText" lastClr="000000"/>
            </a:solidFill>
          </a:ln>
        </c:spPr>
        <c:txPr>
          <a:bodyPr rot="0" vert="horz"/>
          <a:lstStyle/>
          <a:p>
            <a:pPr>
              <a:defRPr sz="700" b="0" i="0" u="none" strike="noStrike" baseline="0">
                <a:solidFill>
                  <a:srgbClr val="000000"/>
                </a:solidFill>
                <a:latin typeface="Arial Narrow" pitchFamily="34" charset="0"/>
                <a:ea typeface="Times New Roman"/>
                <a:cs typeface="Times New Roman"/>
              </a:defRPr>
            </a:pPr>
            <a:endParaRPr lang="lv-LV"/>
          </a:p>
        </c:txPr>
        <c:crossAx val="629874952"/>
        <c:crosses val="autoZero"/>
        <c:crossBetween val="between"/>
        <c:majorUnit val="25"/>
      </c:valAx>
      <c:spPr>
        <a:solidFill>
          <a:sysClr val="window" lastClr="FFFFFF"/>
        </a:solidFill>
        <a:ln w="6350">
          <a:noFill/>
        </a:ln>
      </c:spPr>
    </c:plotArea>
    <c:legend>
      <c:legendPos val="t"/>
      <c:layout>
        <c:manualLayout>
          <c:xMode val="edge"/>
          <c:yMode val="edge"/>
          <c:x val="0.14280634038392259"/>
          <c:y val="0.0565174922754909"/>
          <c:w val="0.65805884790716951"/>
          <c:h val="0.19964223582144541"/>
        </c:manualLayout>
      </c:layout>
      <c:overlay val="0"/>
      <c:txPr>
        <a:bodyPr/>
        <a:lstStyle/>
        <a:p>
          <a:pPr>
            <a:defRPr sz="700" b="0">
              <a:latin typeface="Arial Narrow" pitchFamily="34" charset="0"/>
            </a:defRPr>
          </a:pPr>
          <a:endParaRPr lang="lv-LV"/>
        </a:p>
      </c:txPr>
    </c:legend>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7354822834645707"/>
          <c:y val="0.054187037037040774"/>
          <c:w val="0.8789631193571017"/>
          <c:h val="0.67586639249711622"/>
        </c:manualLayout>
      </c:layout>
      <c:lineChart>
        <c:grouping val="standard"/>
        <c:varyColors val="0"/>
        <c:ser>
          <c:idx val="9"/>
          <c:order val="0"/>
          <c:tx>
            <c:strRef>
              <c:f>Sheet1!$A$3</c:f>
              <c:strCache>
                <c:ptCount val="1"/>
                <c:pt idx="0">
                  <c:v>Eksports, kopā</c:v>
                </c:pt>
              </c:strCache>
            </c:strRef>
          </c:tx>
          <c:spPr>
            <a:ln w="25400">
              <a:solidFill>
                <a:schemeClr val="accent5">
                  <a:lumMod val="75000"/>
                </a:schemeClr>
              </a:solidFill>
            </a:ln>
            <a:effectLst/>
          </c:spPr>
          <c:marker>
            <c:symbol val="none"/>
          </c:marker>
          <c:cat>
            <c:numRef>
              <c:f>Sheet1!$B$2:$M$2</c:f>
              <c:numCache>
                <c:formatCode>0</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Sheet1!$B$3:$M$3</c:f>
              <c:numCache>
                <c:formatCode>0.0</c:formatCode>
                <c:ptCount val="12"/>
                <c:pt idx="0">
                  <c:v>394.600407</c:v>
                </c:pt>
                <c:pt idx="1">
                  <c:v>518.461577</c:v>
                </c:pt>
                <c:pt idx="2">
                  <c:v>613.560358</c:v>
                </c:pt>
                <c:pt idx="3">
                  <c:v>718.267945</c:v>
                </c:pt>
                <c:pt idx="4">
                  <c:v>617.695246</c:v>
                </c:pt>
                <c:pt idx="5">
                  <c:v>800.502485</c:v>
                </c:pt>
                <c:pt idx="6">
                  <c:v>1004.6760109999999</c:v>
                </c:pt>
                <c:pt idx="7">
                  <c:v>1298.8581629999999</c:v>
                </c:pt>
                <c:pt idx="8">
                  <c:v>1473.0203390000001</c:v>
                </c:pt>
                <c:pt idx="9">
                  <c:v>1433.0116170000001</c:v>
                </c:pt>
                <c:pt idx="10">
                  <c:v>1201.063773</c:v>
                </c:pt>
                <c:pt idx="11" formatCode="0">
                  <c:v>1267.212876</c:v>
                </c:pt>
              </c:numCache>
            </c:numRef>
          </c:val>
          <c:smooth val="0"/>
          <c:extLst>
            <c:ext xmlns:c="http://schemas.openxmlformats.org/drawingml/2006/chart" xmlns:c16="http://schemas.microsoft.com/office/drawing/2014/chart" uri="{C3380CC4-5D6E-409C-BE32-E72D297353CC}">
              <c16:uniqueId val="{00000000-9A6B-4A28-9DF7-2896B828A583}"/>
            </c:ext>
          </c:extLst>
        </c:ser>
        <c:dLbls>
          <c:showLegendKey val="0"/>
          <c:showVal val="0"/>
          <c:showCatName val="0"/>
          <c:showSerName val="0"/>
          <c:showPercent val="0"/>
          <c:showBubbleSize val="0"/>
        </c:dLbls>
        <c:smooth val="0"/>
        <c:axId val="629869464"/>
        <c:axId val="629869856"/>
      </c:lineChart>
      <c:catAx>
        <c:axId val="629869464"/>
        <c:scaling>
          <c:orientation val="minMax"/>
        </c:scaling>
        <c:delete val="0"/>
        <c:axPos val="b"/>
        <c:numFmt formatCode="0" sourceLinked="1"/>
        <c:majorTickMark val="out"/>
        <c:minorTickMark val="none"/>
        <c:tickLblPos val="low"/>
        <c:spPr>
          <a:noFill/>
          <a:ln w="3175">
            <a:solidFill>
              <a:sysClr val="window" lastClr="FFFFFF">
                <a:lumMod val="50000"/>
              </a:sysClr>
            </a:solidFill>
            <a:round/>
          </a:ln>
          <a:effectLst/>
        </c:spPr>
        <c:txPr>
          <a:bodyPr rot="-5400000" vert="horz"/>
          <a:lstStyle/>
          <a:p>
            <a:pPr>
              <a:defRPr sz="700"/>
            </a:pPr>
            <a:endParaRPr lang="lv-LV"/>
          </a:p>
        </c:txPr>
        <c:crossAx val="629869856"/>
        <c:crosses val="autoZero"/>
        <c:lblAlgn val="ctr"/>
        <c:lblOffset val="100"/>
        <c:noMultiLvlLbl val="0"/>
      </c:catAx>
      <c:valAx>
        <c:axId val="629869856"/>
        <c:scaling>
          <c:orientation val="minMax"/>
          <c:max val="1500"/>
          <c:min val="0"/>
        </c:scaling>
        <c:delete val="0"/>
        <c:axPos val="l"/>
        <c:numFmt formatCode="0" sourceLinked="0"/>
        <c:majorTickMark val="out"/>
        <c:minorTickMark val="none"/>
        <c:tickLblPos val="nextTo"/>
        <c:spPr>
          <a:noFill/>
          <a:ln w="3175">
            <a:solidFill>
              <a:sysClr val="window" lastClr="FFFFFF">
                <a:lumMod val="50000"/>
              </a:sysClr>
            </a:solidFill>
            <a:round/>
          </a:ln>
          <a:effectLst/>
        </c:spPr>
        <c:txPr>
          <a:bodyPr rot="0"/>
          <a:lstStyle/>
          <a:p>
            <a:pPr>
              <a:defRPr/>
            </a:pPr>
            <a:endParaRPr lang="lv-LV"/>
          </a:p>
        </c:txPr>
        <c:crossAx val="629869464"/>
        <c:crosses val="autoZero"/>
        <c:crossBetween val="between"/>
        <c:majorUnit val="300"/>
      </c:valAx>
      <c:spPr>
        <a:noFill/>
        <a:ln w="24631">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Arial Narrow" panose="020B0606020202030204" pitchFamily="34" charset="0"/>
          <a:ea typeface="Arial"/>
          <a:cs typeface="Arial"/>
        </a:defRPr>
      </a:pPr>
      <a:endParaRPr lang="lv-LV"/>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5939056398438"/>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2690-4CE7-BF7D-96D969BC3D8E}"/>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2690-4CE7-BF7D-96D969BC3D8E}"/>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Sheet1!$B$2:$L$2</c:f>
              <c:numCache>
                <c:formatCode>0</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Sheet1!$B$3:$L$3</c:f>
              <c:numCache>
                <c:formatCode>0</c:formatCode>
                <c:ptCount val="11"/>
                <c:pt idx="0">
                  <c:v>10.846630208905992</c:v>
                </c:pt>
                <c:pt idx="1">
                  <c:v>14.534947490888703</c:v>
                </c:pt>
                <c:pt idx="2">
                  <c:v>18.099125604719763</c:v>
                </c:pt>
                <c:pt idx="3">
                  <c:v>20.735217811778291</c:v>
                </c:pt>
                <c:pt idx="4">
                  <c:v>19.951396834625321</c:v>
                </c:pt>
                <c:pt idx="5">
                  <c:v>27.034869469773724</c:v>
                </c:pt>
                <c:pt idx="6">
                  <c:v>35.588948317392841</c:v>
                </c:pt>
                <c:pt idx="7">
                  <c:v>44.974313123268693</c:v>
                </c:pt>
                <c:pt idx="8">
                  <c:v>52.551564002854086</c:v>
                </c:pt>
                <c:pt idx="9">
                  <c:v>53.4705827238806</c:v>
                </c:pt>
                <c:pt idx="10">
                  <c:v>47.491647805456708</c:v>
                </c:pt>
              </c:numCache>
            </c:numRef>
          </c:val>
          <c:extLst>
            <c:ext xmlns:c="http://schemas.openxmlformats.org/drawingml/2006/chart" xmlns:c16="http://schemas.microsoft.com/office/drawing/2014/chart" uri="{C3380CC4-5D6E-409C-BE32-E72D297353CC}">
              <c16:uniqueId val="{00000004-2690-4CE7-BF7D-96D969BC3D8E}"/>
            </c:ext>
          </c:extLst>
        </c:ser>
        <c:dLbls>
          <c:showLegendKey val="0"/>
          <c:showVal val="0"/>
          <c:showCatName val="0"/>
          <c:showSerName val="0"/>
          <c:showPercent val="0"/>
          <c:showBubbleSize val="0"/>
        </c:dLbls>
        <c:gapWidth val="20"/>
        <c:axId val="629871032"/>
        <c:axId val="629871424"/>
      </c:barChart>
      <c:catAx>
        <c:axId val="629871032"/>
        <c:scaling>
          <c:orientation val="minMax"/>
        </c:scaling>
        <c:delete val="0"/>
        <c:axPos val="b"/>
        <c:numFmt formatCode="0" sourceLinked="1"/>
        <c:majorTickMark val="out"/>
        <c:minorTickMark val="none"/>
        <c:tickLblPos val="low"/>
        <c:txPr>
          <a:bodyPr rot="-5400000" vert="horz"/>
          <a:lstStyle/>
          <a:p>
            <a:pPr>
              <a:defRPr/>
            </a:pPr>
            <a:endParaRPr lang="lv-LV"/>
          </a:p>
        </c:txPr>
        <c:crossAx val="629871424"/>
        <c:crosses val="autoZero"/>
        <c:auto val="1"/>
        <c:lblAlgn val="ctr"/>
        <c:lblOffset val="100"/>
        <c:noMultiLvlLbl val="0"/>
      </c:catAx>
      <c:valAx>
        <c:axId val="629871424"/>
        <c:scaling>
          <c:orientation val="minMax"/>
          <c:min val="0"/>
        </c:scaling>
        <c:delete val="0"/>
        <c:axPos val="l"/>
        <c:numFmt formatCode="0" sourceLinked="0"/>
        <c:majorTickMark val="out"/>
        <c:minorTickMark val="none"/>
        <c:tickLblPos val="nextTo"/>
        <c:crossAx val="629871032"/>
        <c:crosses val="autoZero"/>
        <c:crossBetween val="between"/>
        <c:majorUnit val="15"/>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572372897835"/>
          <c:y val="0.044057785459744363"/>
          <c:w val="0.9310540474739486"/>
          <c:h val="0.71166165204959131"/>
        </c:manualLayout>
      </c:layout>
      <c:barChart>
        <c:barDir val="col"/>
        <c:grouping val="clustered"/>
        <c:varyColors val="0"/>
        <c:ser>
          <c:idx val="1"/>
          <c:order val="0"/>
          <c:tx>
            <c:strRef>
              <c:f>Sheet1!$B$3</c:f>
              <c:strCache>
                <c:ptCount val="1"/>
              </c:strCache>
            </c:strRef>
          </c:tx>
          <c:spPr>
            <a:solidFill>
              <a:schemeClr val="accent3">
                <a:lumMod val="50000"/>
              </a:schemeClr>
            </a:solidFill>
            <a:ln w="19050"/>
          </c:spPr>
          <c:invertIfNegative val="0"/>
          <c:dPt>
            <c:idx val="7"/>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1-08A0-4606-89CE-CE5C4CDD6680}"/>
              </c:ext>
            </c:extLst>
          </c:dPt>
          <c:dPt>
            <c:idx val="9"/>
            <c:invertIfNegative val="0"/>
            <c:bubble3D val="0"/>
            <c:extLst>
              <c:ext xmlns:c="http://schemas.openxmlformats.org/drawingml/2006/chart" xmlns:c16="http://schemas.microsoft.com/office/drawing/2014/chart" uri="{C3380CC4-5D6E-409C-BE32-E72D297353CC}">
                <c16:uniqueId val="{00000002-08A0-4606-89CE-CE5C4CDD6680}"/>
              </c:ext>
            </c:extLst>
          </c:dPt>
          <c:dPt>
            <c:idx val="15"/>
            <c:invertIfNegative val="0"/>
            <c:bubble3D val="0"/>
            <c:extLst>
              <c:ext xmlns:c="http://schemas.openxmlformats.org/drawingml/2006/chart" xmlns:c16="http://schemas.microsoft.com/office/drawing/2014/chart" uri="{C3380CC4-5D6E-409C-BE32-E72D297353CC}">
                <c16:uniqueId val="{00000003-08A0-4606-89CE-CE5C4CDD6680}"/>
              </c:ext>
            </c:extLst>
          </c:dPt>
          <c:dPt>
            <c:idx val="17"/>
            <c:invertIfNegative val="0"/>
            <c:bubble3D val="0"/>
            <c:spPr>
              <a:ln w="19050"/>
            </c:spPr>
            <c:extLst>
              <c:ext xmlns:c="http://schemas.openxmlformats.org/drawingml/2006/chart" xmlns:c16="http://schemas.microsoft.com/office/drawing/2014/chart" uri="{C3380CC4-5D6E-409C-BE32-E72D297353CC}">
                <c16:uniqueId val="{00000005-08A0-4606-89CE-CE5C4CDD6680}"/>
              </c:ext>
            </c:extLst>
          </c:dPt>
          <c:dPt>
            <c:idx val="25"/>
            <c:invertIfNegative val="0"/>
            <c:bubble3D val="0"/>
            <c:extLst>
              <c:ext xmlns:c="http://schemas.openxmlformats.org/drawingml/2006/chart" xmlns:c16="http://schemas.microsoft.com/office/drawing/2014/chart" uri="{C3380CC4-5D6E-409C-BE32-E72D297353CC}">
                <c16:uniqueId val="{00000007-08A0-4606-89CE-CE5C4CDD6680}"/>
              </c:ext>
            </c:extLst>
          </c:dPt>
          <c:dLbls>
            <c:dLbl>
              <c:idx val="7"/>
              <c:spPr>
                <a:noFill/>
                <a:ln>
                  <a:noFill/>
                </a:ln>
                <a:effectLst/>
              </c:spPr>
              <c:txPr>
                <a:bodyPr wrap="square" lIns="38100" tIns="19050" rIns="38100" bIns="19050" anchor="ctr">
                  <a:spAutoFit/>
                </a:bodyPr>
                <a:lstStyle/>
                <a:p>
                  <a:pPr>
                    <a:defRPr sz="600" b="0"/>
                  </a:pPr>
                  <a:endParaRPr lang="lv-LV"/>
                </a:p>
              </c:txPr>
              <c:showLegendKey val="0"/>
              <c:showVal val="1"/>
              <c:showCatName val="0"/>
              <c:showSerName val="0"/>
              <c:showPercent val="0"/>
              <c:showBubbleSize val="0"/>
            </c:dLbl>
            <c:dLbl>
              <c:idx val="15"/>
              <c:spPr>
                <a:noFill/>
                <a:ln>
                  <a:noFill/>
                </a:ln>
                <a:effectLst/>
              </c:spPr>
              <c:txPr>
                <a:bodyPr wrap="square" lIns="38100" tIns="19050" rIns="38100" bIns="19050" anchor="ctr">
                  <a:spAutoFit/>
                </a:bodyPr>
                <a:lstStyle/>
                <a:p>
                  <a:pPr>
                    <a:defRPr sz="600" b="0"/>
                  </a:pPr>
                  <a:endParaRPr lang="lv-LV"/>
                </a:p>
              </c:txPr>
              <c:showLegendKey val="0"/>
              <c:showVal val="1"/>
              <c:showCatName val="0"/>
              <c:showSerName val="0"/>
              <c:showPercent val="0"/>
              <c:showBubbleSize val="0"/>
            </c:dLbl>
            <c:dLbl>
              <c:idx val="17"/>
              <c:spPr>
                <a:noFill/>
                <a:ln>
                  <a:noFill/>
                </a:ln>
                <a:effectLst/>
              </c:spPr>
              <c:txPr>
                <a:bodyPr wrap="square" lIns="38100" tIns="19050" rIns="38100" bIns="19050" anchor="ctr">
                  <a:spAutoFit/>
                </a:bodyPr>
                <a:lstStyle/>
                <a:p>
                  <a:pPr>
                    <a:defRPr sz="600" b="1"/>
                  </a:pPr>
                  <a:endParaRPr lang="lv-LV"/>
                </a:p>
              </c:txPr>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Sheet1!$A$4:$A$32</c:f>
              <c:strCache>
                <c:ptCount val="29"/>
                <c:pt idx="0">
                  <c:v>NL</c:v>
                </c:pt>
                <c:pt idx="1">
                  <c:v>DK</c:v>
                </c:pt>
                <c:pt idx="2">
                  <c:v>BE</c:v>
                </c:pt>
                <c:pt idx="3">
                  <c:v>IE</c:v>
                </c:pt>
                <c:pt idx="4">
                  <c:v>LU</c:v>
                </c:pt>
                <c:pt idx="5">
                  <c:v>SE</c:v>
                </c:pt>
                <c:pt idx="6">
                  <c:v>AT</c:v>
                </c:pt>
                <c:pt idx="7">
                  <c:v>EU-28</c:v>
                </c:pt>
                <c:pt idx="8">
                  <c:v>SI</c:v>
                </c:pt>
                <c:pt idx="9">
                  <c:v>FR</c:v>
                </c:pt>
                <c:pt idx="10">
                  <c:v>MT</c:v>
                </c:pt>
                <c:pt idx="11">
                  <c:v>IT</c:v>
                </c:pt>
                <c:pt idx="12">
                  <c:v>ES</c:v>
                </c:pt>
                <c:pt idx="13">
                  <c:v>DE</c:v>
                </c:pt>
                <c:pt idx="14">
                  <c:v>LT</c:v>
                </c:pt>
                <c:pt idx="15">
                  <c:v>UK</c:v>
                </c:pt>
                <c:pt idx="16">
                  <c:v>EE</c:v>
                </c:pt>
                <c:pt idx="17">
                  <c:v>LV</c:v>
                </c:pt>
                <c:pt idx="18">
                  <c:v>SK</c:v>
                </c:pt>
                <c:pt idx="19">
                  <c:v>HU</c:v>
                </c:pt>
                <c:pt idx="20">
                  <c:v>PT</c:v>
                </c:pt>
                <c:pt idx="21">
                  <c:v>CZ</c:v>
                </c:pt>
                <c:pt idx="22">
                  <c:v>EL</c:v>
                </c:pt>
                <c:pt idx="23">
                  <c:v>PL</c:v>
                </c:pt>
                <c:pt idx="24">
                  <c:v>FI</c:v>
                </c:pt>
                <c:pt idx="25">
                  <c:v>CY</c:v>
                </c:pt>
                <c:pt idx="26">
                  <c:v>HR</c:v>
                </c:pt>
                <c:pt idx="27">
                  <c:v>BG</c:v>
                </c:pt>
                <c:pt idx="28">
                  <c:v>RO</c:v>
                </c:pt>
              </c:strCache>
            </c:strRef>
          </c:cat>
          <c:val>
            <c:numRef>
              <c:f>Sheet1!$B$4:$B$32</c:f>
              <c:numCache>
                <c:formatCode>0</c:formatCode>
                <c:ptCount val="29"/>
                <c:pt idx="0">
                  <c:v>433.42945666929131</c:v>
                </c:pt>
                <c:pt idx="1">
                  <c:v>309.879814</c:v>
                </c:pt>
                <c:pt idx="2">
                  <c:v>297.25846214135021</c:v>
                </c:pt>
                <c:pt idx="3">
                  <c:v>215.32901915109667</c:v>
                </c:pt>
                <c:pt idx="4">
                  <c:v>167.0799480496454</c:v>
                </c:pt>
                <c:pt idx="5">
                  <c:v>133.67576001818182</c:v>
                </c:pt>
                <c:pt idx="6">
                  <c:v>112.91013744732089</c:v>
                </c:pt>
                <c:pt idx="7">
                  <c:v>73.313530748264853</c:v>
                </c:pt>
                <c:pt idx="8">
                  <c:v>71.368918154034233</c:v>
                </c:pt>
                <c:pt idx="9">
                  <c:v>69.672128165891465</c:v>
                </c:pt>
                <c:pt idx="10">
                  <c:v>65.836861202185787</c:v>
                </c:pt>
                <c:pt idx="11">
                  <c:v>65.667479193262409</c:v>
                </c:pt>
                <c:pt idx="12">
                  <c:v>62.416305998138668</c:v>
                </c:pt>
                <c:pt idx="13">
                  <c:v>61.17957136021505</c:v>
                </c:pt>
                <c:pt idx="14">
                  <c:v>59.215627082363895</c:v>
                </c:pt>
                <c:pt idx="15">
                  <c:v>57.616325084770395</c:v>
                </c:pt>
                <c:pt idx="16">
                  <c:v>57.060264117647058</c:v>
                </c:pt>
                <c:pt idx="17">
                  <c:v>47</c:v>
                </c:pt>
                <c:pt idx="18">
                  <c:v>45.450901198432817</c:v>
                </c:pt>
                <c:pt idx="19">
                  <c:v>42.746304720322932</c:v>
                </c:pt>
                <c:pt idx="20">
                  <c:v>41.802477906868667</c:v>
                </c:pt>
                <c:pt idx="21">
                  <c:v>39.7643012235991</c:v>
                </c:pt>
                <c:pt idx="22">
                  <c:v>36.474251599229291</c:v>
                </c:pt>
                <c:pt idx="23">
                  <c:v>32.9842460956473</c:v>
                </c:pt>
                <c:pt idx="24">
                  <c:v>32.82843305851064</c:v>
                </c:pt>
                <c:pt idx="25">
                  <c:v>19.394631814273428</c:v>
                </c:pt>
                <c:pt idx="26">
                  <c:v>18.31970422423376</c:v>
                </c:pt>
                <c:pt idx="27">
                  <c:v>15.892921716444764</c:v>
                </c:pt>
                <c:pt idx="28">
                  <c:v>8.311937503836317</c:v>
                </c:pt>
              </c:numCache>
            </c:numRef>
          </c:val>
          <c:extLst>
            <c:ext xmlns:c="http://schemas.openxmlformats.org/drawingml/2006/chart" xmlns:c16="http://schemas.microsoft.com/office/drawing/2014/chart" uri="{C3380CC4-5D6E-409C-BE32-E72D297353CC}">
              <c16:uniqueId val="{00000008-08A0-4606-89CE-CE5C4CDD6680}"/>
            </c:ext>
          </c:extLst>
        </c:ser>
        <c:dLbls>
          <c:showLegendKey val="0"/>
          <c:showVal val="0"/>
          <c:showCatName val="0"/>
          <c:showSerName val="0"/>
          <c:showPercent val="0"/>
          <c:showBubbleSize val="0"/>
        </c:dLbls>
        <c:gapWidth val="20"/>
        <c:axId val="629872600"/>
        <c:axId val="629872992"/>
      </c:barChart>
      <c:catAx>
        <c:axId val="629872600"/>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29872992"/>
        <c:crosses val="autoZero"/>
        <c:auto val="1"/>
        <c:lblAlgn val="ctr"/>
        <c:lblOffset val="100"/>
        <c:tickLblSkip val="1"/>
        <c:noMultiLvlLbl val="0"/>
      </c:catAx>
      <c:valAx>
        <c:axId val="629872992"/>
        <c:scaling>
          <c:orientation val="minMax"/>
        </c:scaling>
        <c:delete val="0"/>
        <c:axPos val="l"/>
        <c:numFmt formatCode="0" sourceLinked="0"/>
        <c:majorTickMark val="out"/>
        <c:minorTickMark val="none"/>
        <c:tickLblPos val="nextTo"/>
        <c:txPr>
          <a:bodyPr/>
          <a:lstStyle/>
          <a:p>
            <a:pPr>
              <a:defRPr sz="600"/>
            </a:pPr>
            <a:endParaRPr lang="lv-LV"/>
          </a:p>
        </c:txPr>
        <c:crossAx val="629872600"/>
        <c:crosses val="autoZero"/>
        <c:crossBetween val="between"/>
      </c:valAx>
    </c:plotArea>
    <c:plotVisOnly val="1"/>
    <c:dispBlanksAs val="gap"/>
    <c:showDLblsOverMax val="0"/>
  </c:chart>
  <c:spPr>
    <a:ln w="9525">
      <a:noFill/>
    </a:ln>
  </c:sp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449061330451076"/>
          <c:y val="0.15218914041994749"/>
          <c:w val="0.52181675566416263"/>
          <c:h val="0.709344652230971"/>
        </c:manualLayout>
      </c:layout>
      <c:pieChart>
        <c:varyColors val="1"/>
        <c:ser>
          <c:idx val="0"/>
          <c:order val="0"/>
          <c:tx>
            <c:strRef>
              <c:f>Sheet1!$B$1</c:f>
              <c:strCache>
                <c:ptCount val="1"/>
                <c:pt idx="0">
                  <c:v>Column1</c:v>
                </c:pt>
              </c:strCache>
            </c:strRef>
          </c:tx>
          <c:dPt>
            <c:idx val="0"/>
            <c:bubble3D val="0"/>
            <c:spPr>
              <a:solidFill>
                <a:schemeClr val="accent1"/>
              </a:solidFill>
              <a:ln>
                <a:noFill/>
              </a:ln>
              <a:effectLst/>
            </c:spPr>
            <c:extLst>
              <c:ext xmlns:c="http://schemas.openxmlformats.org/drawingml/2006/chart" xmlns:c16="http://schemas.microsoft.com/office/drawing/2014/chart" uri="{C3380CC4-5D6E-409C-BE32-E72D297353CC}">
                <c16:uniqueId val="{00000001-2A80-4186-AD15-EF7A2AC8B2AA}"/>
              </c:ext>
            </c:extLst>
          </c:dPt>
          <c:dPt>
            <c:idx val="1"/>
            <c:bubble3D val="0"/>
            <c:spPr>
              <a:solidFill>
                <a:schemeClr val="accent2"/>
              </a:solidFill>
              <a:ln>
                <a:noFill/>
              </a:ln>
              <a:effectLst/>
            </c:spPr>
            <c:extLst>
              <c:ext xmlns:c="http://schemas.openxmlformats.org/drawingml/2006/chart" xmlns:c16="http://schemas.microsoft.com/office/drawing/2014/chart" uri="{C3380CC4-5D6E-409C-BE32-E72D297353CC}">
                <c16:uniqueId val="{00000003-2A80-4186-AD15-EF7A2AC8B2AA}"/>
              </c:ext>
            </c:extLst>
          </c:dPt>
          <c:dPt>
            <c:idx val="2"/>
            <c:bubble3D val="0"/>
            <c:spPr>
              <a:solidFill>
                <a:schemeClr val="accent3"/>
              </a:solidFill>
              <a:ln>
                <a:noFill/>
              </a:ln>
              <a:effectLst/>
            </c:spPr>
            <c:extLst>
              <c:ext xmlns:c="http://schemas.openxmlformats.org/drawingml/2006/chart" xmlns:c16="http://schemas.microsoft.com/office/drawing/2014/chart" uri="{C3380CC4-5D6E-409C-BE32-E72D297353CC}">
                <c16:uniqueId val="{00000005-2A80-4186-AD15-EF7A2AC8B2AA}"/>
              </c:ext>
            </c:extLst>
          </c:dPt>
          <c:dPt>
            <c:idx val="3"/>
            <c:bubble3D val="0"/>
            <c:spPr>
              <a:solidFill>
                <a:schemeClr val="accent4"/>
              </a:solidFill>
              <a:ln>
                <a:noFill/>
              </a:ln>
              <a:effectLst/>
            </c:spPr>
            <c:extLst>
              <c:ext xmlns:c="http://schemas.openxmlformats.org/drawingml/2006/chart" xmlns:c16="http://schemas.microsoft.com/office/drawing/2014/chart" uri="{C3380CC4-5D6E-409C-BE32-E72D297353CC}">
                <c16:uniqueId val="{00000007-2A80-4186-AD15-EF7A2AC8B2AA}"/>
              </c:ext>
            </c:extLst>
          </c:dPt>
          <c:dPt>
            <c:idx val="4"/>
            <c:bubble3D val="0"/>
            <c:spPr>
              <a:solidFill>
                <a:schemeClr val="accent5"/>
              </a:solidFill>
              <a:ln>
                <a:noFill/>
              </a:ln>
              <a:effectLst/>
            </c:spPr>
            <c:extLst>
              <c:ext xmlns:c="http://schemas.openxmlformats.org/drawingml/2006/chart" xmlns:c16="http://schemas.microsoft.com/office/drawing/2014/chart" uri="{C3380CC4-5D6E-409C-BE32-E72D297353CC}">
                <c16:uniqueId val="{00000009-2A80-4186-AD15-EF7A2AC8B2AA}"/>
              </c:ext>
            </c:extLst>
          </c:dPt>
          <c:dPt>
            <c:idx val="5"/>
            <c:bubble3D val="0"/>
            <c:spPr>
              <a:solidFill>
                <a:schemeClr val="accent6"/>
              </a:solidFill>
              <a:ln>
                <a:noFill/>
              </a:ln>
              <a:effectLst/>
            </c:spPr>
            <c:extLst>
              <c:ext xmlns:c="http://schemas.openxmlformats.org/drawingml/2006/chart" xmlns:c16="http://schemas.microsoft.com/office/drawing/2014/chart" uri="{C3380CC4-5D6E-409C-BE32-E72D297353CC}">
                <c16:uniqueId val="{0000000B-2A80-4186-AD15-EF7A2AC8B2AA}"/>
              </c:ext>
            </c:extLst>
          </c:dPt>
          <c:dPt>
            <c:idx val="6"/>
            <c:bubble3D val="0"/>
            <c:spPr>
              <a:solidFill>
                <a:schemeClr val="accent1">
                  <a:lumMod val="60000"/>
                </a:schemeClr>
              </a:solidFill>
              <a:ln>
                <a:noFill/>
              </a:ln>
              <a:effectLst/>
            </c:spPr>
            <c:extLst>
              <c:ext xmlns:c="http://schemas.openxmlformats.org/drawingml/2006/chart" xmlns:c16="http://schemas.microsoft.com/office/drawing/2014/chart" uri="{C3380CC4-5D6E-409C-BE32-E72D297353CC}">
                <c16:uniqueId val="{0000000D-2A80-4186-AD15-EF7A2AC8B2AA}"/>
              </c:ext>
            </c:extLst>
          </c:dPt>
          <c:dLbls>
            <c:dLbl>
              <c:idx val="0"/>
              <c:layout>
                <c:manualLayout>
                  <c:x val="-0.0053332126587624824"/>
                  <c:y val="0.046425255338904362"/>
                </c:manualLayout>
              </c:layout>
              <c:spPr>
                <a:noFill/>
                <a:ln>
                  <a:noFill/>
                </a:ln>
                <a:effectLst/>
              </c:spPr>
              <c:txPr>
                <a:bodyPr rot="0" spcFirstLastPara="1" vertOverflow="ellipsis" vert="horz" wrap="square" lIns="38100" tIns="19050" rIns="38100" bIns="19050" anchor="ctr" anchorCtr="1"/>
                <a:lstStyle/>
                <a:p>
                  <a:pPr>
                    <a:defRPr sz="7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1-2A80-4186-AD15-EF7A2AC8B2AA}"/>
                </c:ext>
                <c:ext xmlns:c15="http://schemas.microsoft.com/office/drawing/2012/chart" uri="{CE6537A1-D6FC-4f65-9D91-7224C49458BB}">
                  <c15:layout>
                    <c:manualLayout>
                      <c:w val="0.26172443961746161"/>
                      <c:h val="0.26587780287909696"/>
                    </c:manualLayout>
                  </c15:layout>
                </c:ext>
              </c:extLst>
            </c:dLbl>
            <c:dLbl>
              <c:idx val="1"/>
              <c:layout>
                <c:manualLayout>
                  <c:x val="-0.0078851905642984572"/>
                  <c:y val="0.01734835228929717"/>
                </c:manualLayout>
              </c:layout>
              <c:spPr>
                <a:noFill/>
                <a:ln>
                  <a:noFill/>
                </a:ln>
                <a:effectLst/>
              </c:spPr>
              <c:txPr>
                <a:bodyPr rot="0" spcFirstLastPara="1" vertOverflow="ellipsis" vert="horz" wrap="square" lIns="38100" tIns="19050" rIns="38100" bIns="19050" anchor="ctr" anchorCtr="1"/>
                <a:lstStyle/>
                <a:p>
                  <a:pPr>
                    <a:defRPr sz="7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3-2A80-4186-AD15-EF7A2AC8B2AA}"/>
                </c:ext>
                <c:ext xmlns:c15="http://schemas.microsoft.com/office/drawing/2012/chart" uri="{CE6537A1-D6FC-4f65-9D91-7224C49458BB}">
                  <c15:layout>
                    <c:manualLayout>
                      <c:w val="0.26091893685703083"/>
                      <c:h val="0.23486573231270882"/>
                    </c:manualLayout>
                  </c15:layout>
                </c:ext>
              </c:extLst>
            </c:dLbl>
            <c:dLbl>
              <c:idx val="2"/>
              <c:layout>
                <c:manualLayout>
                  <c:x val="0.18390804597701144"/>
                  <c:y val="-0.0045262796189473528"/>
                </c:manualLayout>
              </c:layout>
              <c:spPr>
                <a:noFill/>
                <a:ln>
                  <a:noFill/>
                </a:ln>
                <a:effectLst/>
              </c:spPr>
              <c:txPr>
                <a:bodyPr rot="0" spcFirstLastPara="1" vertOverflow="ellipsis" vert="horz" wrap="square" lIns="38100" tIns="19050" rIns="38100" bIns="19050" anchor="ctr" anchorCtr="1"/>
                <a:lstStyle/>
                <a:p>
                  <a:pPr>
                    <a:defRPr sz="7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5-2A80-4186-AD15-EF7A2AC8B2AA}"/>
                </c:ext>
                <c:ext xmlns:c15="http://schemas.microsoft.com/office/drawing/2012/chart" uri="{CE6537A1-D6FC-4f65-9D91-7224C49458BB}">
                  <c15:layout>
                    <c:manualLayout>
                      <c:w val="0.27383171931094819"/>
                      <c:h val="0.19159739433684997"/>
                    </c:manualLayout>
                  </c15:layout>
                </c:ext>
              </c:extLst>
            </c:dLbl>
            <c:dLbl>
              <c:idx val="3"/>
              <c:layout>
                <c:manualLayout>
                  <c:x val="0.12266720970223549"/>
                  <c:y val="0.020890633796123673"/>
                </c:manualLayout>
              </c:layout>
              <c:spPr>
                <a:noFill/>
                <a:ln>
                  <a:noFill/>
                </a:ln>
                <a:effectLst/>
              </c:spPr>
              <c:txPr>
                <a:bodyPr rot="0" spcFirstLastPara="1" vertOverflow="ellipsis" vert="horz" wrap="square" lIns="38100" tIns="19050" rIns="38100" bIns="19050" anchor="ctr" anchorCtr="1"/>
                <a:lstStyle/>
                <a:p>
                  <a:pPr>
                    <a:defRPr sz="7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7-2A80-4186-AD15-EF7A2AC8B2AA}"/>
                </c:ext>
                <c:ext xmlns:c15="http://schemas.microsoft.com/office/drawing/2012/chart" uri="{CE6537A1-D6FC-4f65-9D91-7224C49458BB}">
                  <c15:layout>
                    <c:manualLayout>
                      <c:w val="0.28536398467432944"/>
                      <c:h val="0.20426893017202932"/>
                    </c:manualLayout>
                  </c15:layout>
                </c:ext>
              </c:extLst>
            </c:dLbl>
            <c:dLbl>
              <c:idx val="4"/>
              <c:layout>
                <c:manualLayout>
                  <c:x val="0.015214348206474191"/>
                  <c:y val="0.031931071290183431"/>
                </c:manualLayout>
              </c:layout>
              <c:spPr>
                <a:noFill/>
                <a:ln>
                  <a:noFill/>
                </a:ln>
                <a:effectLst/>
              </c:spPr>
              <c:txPr>
                <a:bodyPr rot="0" spcFirstLastPara="1" vertOverflow="ellipsis" vert="horz" wrap="square" lIns="38100" tIns="19050" rIns="38100" bIns="19050" anchor="ctr" anchorCtr="1"/>
                <a:lstStyle/>
                <a:p>
                  <a:pPr>
                    <a:defRPr sz="7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9-2A80-4186-AD15-EF7A2AC8B2AA}"/>
                </c:ext>
                <c:ext xmlns:c15="http://schemas.microsoft.com/office/drawing/2012/chart" uri="{CE6537A1-D6FC-4f65-9D91-7224C49458BB}">
                  <c15:layout>
                    <c:manualLayout>
                      <c:w val="0.26724168099677192"/>
                      <c:h val="0.24265666010498688"/>
                    </c:manualLayout>
                  </c15:layout>
                </c:ext>
              </c:extLst>
            </c:dLbl>
            <c:dLbl>
              <c:idx val="5"/>
              <c:layout>
                <c:manualLayout>
                  <c:x val="3.0168642712764353E-07"/>
                  <c:y val="-0.03581434284502738"/>
                </c:manualLayout>
              </c:layout>
              <c:spPr>
                <a:noFill/>
                <a:ln>
                  <a:noFill/>
                </a:ln>
                <a:effectLst/>
              </c:spPr>
              <c:txPr>
                <a:bodyPr rot="0" spcFirstLastPara="1" vertOverflow="ellipsis" vert="horz" wrap="square" lIns="38100" tIns="19050" rIns="38100" bIns="19050" anchor="ctr" anchorCtr="1"/>
                <a:lstStyle/>
                <a:p>
                  <a:pPr>
                    <a:defRPr sz="7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B-2A80-4186-AD15-EF7A2AC8B2AA}"/>
                </c:ext>
                <c:ext xmlns:c15="http://schemas.microsoft.com/office/drawing/2012/chart" uri="{CE6537A1-D6FC-4f65-9D91-7224C49458BB}">
                  <c15:layout>
                    <c:manualLayout>
                      <c:w val="0.30590038314176243"/>
                      <c:h val="0.2528414449586559"/>
                    </c:manualLayout>
                  </c15:layout>
                </c:ext>
              </c:extLst>
            </c:dLbl>
            <c:dLbl>
              <c:idx val="6"/>
              <c:layout>
                <c:manualLayout>
                  <c:x val="0.061253563830011716"/>
                  <c:y val="-0.10185112277631962"/>
                </c:manualLayout>
              </c:layout>
              <c:spPr>
                <a:noFill/>
                <a:ln>
                  <a:noFill/>
                </a:ln>
                <a:effectLst/>
              </c:spPr>
              <c:txPr>
                <a:bodyPr rot="0" spcFirstLastPara="1" vertOverflow="ellipsis" vert="horz" wrap="square" lIns="38100" tIns="19050" rIns="38100" bIns="19050" anchor="ctr" anchorCtr="1"/>
                <a:lstStyle/>
                <a:p>
                  <a:pPr>
                    <a:defRPr sz="7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D-2A80-4186-AD15-EF7A2AC8B2AA}"/>
                </c:ext>
                <c:ext xmlns:c15="http://schemas.microsoft.com/office/drawing/2012/chart" uri="{CE6537A1-D6FC-4f65-9D91-7224C49458BB}">
                  <c15:layout>
                    <c:manualLayout>
                      <c:w val="0.21118773946360153"/>
                      <c:h val="0.37562499999999993"/>
                    </c:manualLayout>
                  </c15:layout>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Candara" panose="020E0502030303020204" pitchFamily="34" charset="0"/>
                    <a:ea typeface="+mn-ea"/>
                    <a:cs typeface="+mn-cs"/>
                  </a:defRPr>
                </a:pPr>
                <a:endParaRPr lang="lv-LV"/>
              </a:p>
            </c:txPr>
            <c:dLblPos val="outEnd"/>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Sheet1!$A$2:$A$8</c:f>
              <c:strCache>
                <c:ptCount val="7"/>
                <c:pt idx="0">
                  <c:v>Krievija</c:v>
                </c:pt>
                <c:pt idx="1">
                  <c:v>Lietuva</c:v>
                </c:pt>
                <c:pt idx="2">
                  <c:v>Igaunija</c:v>
                </c:pt>
                <c:pt idx="3">
                  <c:v>Polija</c:v>
                </c:pt>
                <c:pt idx="4">
                  <c:v>Vācija</c:v>
                </c:pt>
                <c:pt idx="5">
                  <c:v>Nīderlande</c:v>
                </c:pt>
                <c:pt idx="6">
                  <c:v>Citas valstis</c:v>
                </c:pt>
              </c:strCache>
            </c:strRef>
          </c:cat>
          <c:val>
            <c:numRef>
              <c:f>Sheet1!$B$2:$B$8</c:f>
              <c:numCache>
                <c:formatCode>0</c:formatCode>
                <c:ptCount val="7"/>
                <c:pt idx="0">
                  <c:v>23.464507075762079</c:v>
                </c:pt>
                <c:pt idx="1">
                  <c:v>21.0208367511889</c:v>
                </c:pt>
                <c:pt idx="2">
                  <c:v>13.178072934849897</c:v>
                </c:pt>
                <c:pt idx="3">
                  <c:v>4.7368508882666962</c:v>
                </c:pt>
                <c:pt idx="4">
                  <c:v>3.9643730891215547</c:v>
                </c:pt>
                <c:pt idx="5">
                  <c:v>3.2984064535597311</c:v>
                </c:pt>
                <c:pt idx="6">
                  <c:v>30.336952807251137</c:v>
                </c:pt>
              </c:numCache>
            </c:numRef>
          </c:val>
          <c:extLst>
            <c:ext xmlns:c="http://schemas.openxmlformats.org/drawingml/2006/chart" xmlns:c16="http://schemas.microsoft.com/office/drawing/2014/chart" uri="{C3380CC4-5D6E-409C-BE32-E72D297353CC}">
              <c16:uniqueId val="{0000000E-2A80-4186-AD15-EF7A2AC8B2A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noFill/>
    <a:ln w="9525">
      <a:noFill/>
      <a:round/>
    </a:ln>
    <a:effectLst/>
  </c:spPr>
  <c:txPr>
    <a:bodyPr/>
    <a:lstStyle/>
    <a:p>
      <a:pPr>
        <a:defRPr sz="800">
          <a:latin typeface="Candara" panose="020E0502030303020204" pitchFamily="34" charset="0"/>
        </a:defRPr>
      </a:pPr>
      <a:endParaRPr lang="lv-LV"/>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98553601027233415"/>
          <c:y val="0.01722532963499513"/>
          <c:w val="0.34507319571774181"/>
          <c:h val="0.920462379795931"/>
        </c:manualLayout>
      </c:layout>
      <c:barChart>
        <c:barDir val="col"/>
        <c:grouping val="percentStacked"/>
        <c:varyColors val="0"/>
        <c:ser>
          <c:idx val="0"/>
          <c:order val="0"/>
          <c:tx>
            <c:strRef>
              <c:f>Sheet1!$A$2</c:f>
              <c:strCache>
                <c:ptCount val="1"/>
                <c:pt idx="0">
                  <c:v>dzērieni</c:v>
                </c:pt>
              </c:strCache>
            </c:strRef>
          </c:tx>
          <c:invertIfNegative val="0"/>
          <c:cat>
            <c:strRef>
              <c:f>Sheet1!$B$1:$F$1</c:f>
              <c:strCache>
                <c:ptCount val="5"/>
                <c:pt idx="0">
                  <c:v>2005</c:v>
                </c:pt>
                <c:pt idx="1">
                  <c:v>2010</c:v>
                </c:pt>
                <c:pt idx="2">
                  <c:v>2014</c:v>
                </c:pt>
                <c:pt idx="3">
                  <c:v>2015</c:v>
                </c:pt>
                <c:pt idx="4">
                  <c:v>2016</c:v>
                </c:pt>
              </c:strCache>
            </c:strRef>
          </c:cat>
          <c:val>
            <c:numRef>
              <c:f>Sheet1!$B$2:$F$2</c:f>
              <c:numCache>
                <c:formatCode>0</c:formatCode>
                <c:ptCount val="5"/>
                <c:pt idx="0">
                  <c:v>23.209471153118059</c:v>
                </c:pt>
                <c:pt idx="1">
                  <c:v>30.562120657274683</c:v>
                </c:pt>
                <c:pt idx="2">
                  <c:v>36.339081122745711</c:v>
                </c:pt>
                <c:pt idx="3">
                  <c:v>32.910607486951484</c:v>
                </c:pt>
                <c:pt idx="4">
                  <c:v>30.783702259254468</c:v>
                </c:pt>
              </c:numCache>
            </c:numRef>
          </c:val>
          <c:extLst>
            <c:ext xmlns:c="http://schemas.openxmlformats.org/drawingml/2006/chart" xmlns:c16="http://schemas.microsoft.com/office/drawing/2014/chart" uri="{C3380CC4-5D6E-409C-BE32-E72D297353CC}">
              <c16:uniqueId val="{00000000-2761-4D31-B4AE-366DDD2B982D}"/>
            </c:ext>
          </c:extLst>
        </c:ser>
        <c:ser>
          <c:idx val="1"/>
          <c:order val="1"/>
          <c:tx>
            <c:strRef>
              <c:f>Sheet1!$A$3</c:f>
              <c:strCache>
                <c:ptCount val="1"/>
                <c:pt idx="0">
                  <c:v>piena produkti</c:v>
                </c:pt>
              </c:strCache>
            </c:strRef>
          </c:tx>
          <c:invertIfNegative val="0"/>
          <c:cat>
            <c:strRef>
              <c:f>Sheet1!$B$1:$F$1</c:f>
              <c:strCache>
                <c:ptCount val="5"/>
                <c:pt idx="0">
                  <c:v>2005</c:v>
                </c:pt>
                <c:pt idx="1">
                  <c:v>2010</c:v>
                </c:pt>
                <c:pt idx="2">
                  <c:v>2014</c:v>
                </c:pt>
                <c:pt idx="3">
                  <c:v>2015</c:v>
                </c:pt>
                <c:pt idx="4">
                  <c:v>2016</c:v>
                </c:pt>
              </c:strCache>
            </c:strRef>
          </c:cat>
          <c:val>
            <c:numRef>
              <c:f>Sheet1!$B$3:$F$3</c:f>
              <c:numCache>
                <c:formatCode>0</c:formatCode>
                <c:ptCount val="5"/>
                <c:pt idx="0">
                  <c:v>16.804026749398904</c:v>
                </c:pt>
                <c:pt idx="1">
                  <c:v>18.509830624108726</c:v>
                </c:pt>
                <c:pt idx="2">
                  <c:v>17.030855793822923</c:v>
                </c:pt>
                <c:pt idx="3">
                  <c:v>16.053275632350626</c:v>
                </c:pt>
                <c:pt idx="4">
                  <c:v>15.083318550556116</c:v>
                </c:pt>
              </c:numCache>
            </c:numRef>
          </c:val>
          <c:extLst>
            <c:ext xmlns:c="http://schemas.openxmlformats.org/drawingml/2006/chart" xmlns:c16="http://schemas.microsoft.com/office/drawing/2014/chart" uri="{C3380CC4-5D6E-409C-BE32-E72D297353CC}">
              <c16:uniqueId val="{00000001-2761-4D31-B4AE-366DDD2B982D}"/>
            </c:ext>
          </c:extLst>
        </c:ser>
        <c:ser>
          <c:idx val="2"/>
          <c:order val="2"/>
          <c:tx>
            <c:strRef>
              <c:f>Sheet1!$A$4</c:f>
              <c:strCache>
                <c:ptCount val="1"/>
                <c:pt idx="0">
                  <c:v>gaļas un zivju izstrādājumi</c:v>
                </c:pt>
              </c:strCache>
            </c:strRef>
          </c:tx>
          <c:invertIfNegative val="0"/>
          <c:cat>
            <c:strRef>
              <c:f>Sheet1!$B$1:$F$1</c:f>
              <c:strCache>
                <c:ptCount val="5"/>
                <c:pt idx="0">
                  <c:v>2005</c:v>
                </c:pt>
                <c:pt idx="1">
                  <c:v>2010</c:v>
                </c:pt>
                <c:pt idx="2">
                  <c:v>2014</c:v>
                </c:pt>
                <c:pt idx="3">
                  <c:v>2015</c:v>
                </c:pt>
                <c:pt idx="4">
                  <c:v>2016</c:v>
                </c:pt>
              </c:strCache>
            </c:strRef>
          </c:cat>
          <c:val>
            <c:numRef>
              <c:f>Sheet1!$B$4:$F$4</c:f>
              <c:numCache>
                <c:formatCode>0</c:formatCode>
                <c:ptCount val="5"/>
                <c:pt idx="0">
                  <c:v>21.786702040428896</c:v>
                </c:pt>
                <c:pt idx="1">
                  <c:v>8.7240730817275285</c:v>
                </c:pt>
                <c:pt idx="2">
                  <c:v>8.1923626164155525</c:v>
                </c:pt>
                <c:pt idx="3">
                  <c:v>8.6783987114729175</c:v>
                </c:pt>
                <c:pt idx="4">
                  <c:v>7.5212731099103687</c:v>
                </c:pt>
              </c:numCache>
            </c:numRef>
          </c:val>
          <c:extLst>
            <c:ext xmlns:c="http://schemas.openxmlformats.org/drawingml/2006/chart" xmlns:c16="http://schemas.microsoft.com/office/drawing/2014/chart" uri="{C3380CC4-5D6E-409C-BE32-E72D297353CC}">
              <c16:uniqueId val="{00000002-2761-4D31-B4AE-366DDD2B982D}"/>
            </c:ext>
          </c:extLst>
        </c:ser>
        <c:ser>
          <c:idx val="3"/>
          <c:order val="3"/>
          <c:tx>
            <c:strRef>
              <c:f>Sheet1!$A$5</c:f>
              <c:strCache>
                <c:ptCount val="1"/>
                <c:pt idx="0">
                  <c:v>zivis un vēžveidīgie</c:v>
                </c:pt>
              </c:strCache>
            </c:strRef>
          </c:tx>
          <c:invertIfNegative val="0"/>
          <c:cat>
            <c:strRef>
              <c:f>Sheet1!$B$1:$F$1</c:f>
              <c:strCache>
                <c:ptCount val="5"/>
                <c:pt idx="0">
                  <c:v>2005</c:v>
                </c:pt>
                <c:pt idx="1">
                  <c:v>2010</c:v>
                </c:pt>
                <c:pt idx="2">
                  <c:v>2014</c:v>
                </c:pt>
                <c:pt idx="3">
                  <c:v>2015</c:v>
                </c:pt>
                <c:pt idx="4">
                  <c:v>2016</c:v>
                </c:pt>
              </c:strCache>
            </c:strRef>
          </c:cat>
          <c:val>
            <c:numRef>
              <c:f>Sheet1!$B$5:$F$5</c:f>
              <c:numCache>
                <c:formatCode>0</c:formatCode>
                <c:ptCount val="5"/>
                <c:pt idx="0">
                  <c:v>6.58517450486792</c:v>
                </c:pt>
                <c:pt idx="1">
                  <c:v>8.8119066576395237</c:v>
                </c:pt>
                <c:pt idx="2">
                  <c:v>6.256739578127231</c:v>
                </c:pt>
                <c:pt idx="3">
                  <c:v>7.0914325212937719</c:v>
                </c:pt>
                <c:pt idx="4">
                  <c:v>8.7532901660510163</c:v>
                </c:pt>
              </c:numCache>
            </c:numRef>
          </c:val>
          <c:extLst>
            <c:ext xmlns:c="http://schemas.openxmlformats.org/drawingml/2006/chart" xmlns:c16="http://schemas.microsoft.com/office/drawing/2014/chart" uri="{C3380CC4-5D6E-409C-BE32-E72D297353CC}">
              <c16:uniqueId val="{00000003-2761-4D31-B4AE-366DDD2B982D}"/>
            </c:ext>
          </c:extLst>
        </c:ser>
        <c:ser>
          <c:idx val="4"/>
          <c:order val="4"/>
          <c:tx>
            <c:strRef>
              <c:f>Sheet1!$A$6</c:f>
              <c:strCache>
                <c:ptCount val="1"/>
                <c:pt idx="0">
                  <c:v>labības un miltu izstrādājumi</c:v>
                </c:pt>
              </c:strCache>
            </c:strRef>
          </c:tx>
          <c:invertIfNegative val="0"/>
          <c:cat>
            <c:strRef>
              <c:f>Sheet1!$B$1:$F$1</c:f>
              <c:strCache>
                <c:ptCount val="5"/>
                <c:pt idx="0">
                  <c:v>2005</c:v>
                </c:pt>
                <c:pt idx="1">
                  <c:v>2010</c:v>
                </c:pt>
                <c:pt idx="2">
                  <c:v>2014</c:v>
                </c:pt>
                <c:pt idx="3">
                  <c:v>2015</c:v>
                </c:pt>
                <c:pt idx="4">
                  <c:v>2016</c:v>
                </c:pt>
              </c:strCache>
            </c:strRef>
          </c:cat>
          <c:val>
            <c:numRef>
              <c:f>Sheet1!$B$6:$F$6</c:f>
              <c:numCache>
                <c:formatCode>0</c:formatCode>
                <c:ptCount val="5"/>
                <c:pt idx="0">
                  <c:v>4.1203924470782827</c:v>
                </c:pt>
                <c:pt idx="1">
                  <c:v>4.7082264510460972</c:v>
                </c:pt>
                <c:pt idx="2">
                  <c:v>5.5872855495490388</c:v>
                </c:pt>
                <c:pt idx="3">
                  <c:v>6.9098675578819586</c:v>
                </c:pt>
                <c:pt idx="4">
                  <c:v>6.9041182645693517</c:v>
                </c:pt>
              </c:numCache>
            </c:numRef>
          </c:val>
          <c:extLst>
            <c:ext xmlns:c="http://schemas.openxmlformats.org/drawingml/2006/chart" xmlns:c16="http://schemas.microsoft.com/office/drawing/2014/chart" uri="{C3380CC4-5D6E-409C-BE32-E72D297353CC}">
              <c16:uniqueId val="{00000004-2761-4D31-B4AE-366DDD2B982D}"/>
            </c:ext>
          </c:extLst>
        </c:ser>
        <c:ser>
          <c:idx val="5"/>
          <c:order val="5"/>
          <c:tx>
            <c:strRef>
              <c:f>Sheet1!$A$7</c:f>
              <c:strCache>
                <c:ptCount val="1"/>
                <c:pt idx="0">
                  <c:v>citi pārtikas izstrādājumi</c:v>
                </c:pt>
              </c:strCache>
            </c:strRef>
          </c:tx>
          <c:invertIfNegative val="0"/>
          <c:cat>
            <c:strRef>
              <c:f>Sheet1!$B$1:$F$1</c:f>
              <c:strCache>
                <c:ptCount val="5"/>
                <c:pt idx="0">
                  <c:v>2005</c:v>
                </c:pt>
                <c:pt idx="1">
                  <c:v>2010</c:v>
                </c:pt>
                <c:pt idx="2">
                  <c:v>2014</c:v>
                </c:pt>
                <c:pt idx="3">
                  <c:v>2015</c:v>
                </c:pt>
                <c:pt idx="4">
                  <c:v>2016</c:v>
                </c:pt>
              </c:strCache>
            </c:strRef>
          </c:cat>
          <c:val>
            <c:numRef>
              <c:f>Sheet1!$B$7:$F$7</c:f>
              <c:numCache>
                <c:formatCode>0</c:formatCode>
                <c:ptCount val="5"/>
                <c:pt idx="0">
                  <c:v>31.614625552186226</c:v>
                </c:pt>
                <c:pt idx="1">
                  <c:v>33.392068979249551</c:v>
                </c:pt>
                <c:pt idx="2">
                  <c:v>32.180960888888592</c:v>
                </c:pt>
                <c:pt idx="3">
                  <c:v>35.2662856479312</c:v>
                </c:pt>
                <c:pt idx="4">
                  <c:v>37.858415914228019</c:v>
                </c:pt>
              </c:numCache>
            </c:numRef>
          </c:val>
          <c:extLst>
            <c:ext xmlns:c="http://schemas.openxmlformats.org/drawingml/2006/chart" xmlns:c16="http://schemas.microsoft.com/office/drawing/2014/chart" uri="{C3380CC4-5D6E-409C-BE32-E72D297353CC}">
              <c16:uniqueId val="{00000005-2761-4D31-B4AE-366DDD2B982D}"/>
            </c:ext>
          </c:extLst>
        </c:ser>
        <c:dLbls>
          <c:showLegendKey val="0"/>
          <c:showVal val="0"/>
          <c:showCatName val="0"/>
          <c:showSerName val="0"/>
          <c:showPercent val="0"/>
          <c:showBubbleSize val="0"/>
        </c:dLbls>
        <c:gapWidth val="20"/>
        <c:overlap val="100"/>
        <c:axId val="629889064"/>
        <c:axId val="629892200"/>
      </c:barChart>
      <c:catAx>
        <c:axId val="629889064"/>
        <c:scaling>
          <c:orientation val="minMax"/>
        </c:scaling>
        <c:delete val="0"/>
        <c:axPos val="b"/>
        <c:numFmt formatCode="General" sourceLinked="0"/>
        <c:majorTickMark val="out"/>
        <c:minorTickMark val="none"/>
        <c:tickLblPos val="nextTo"/>
        <c:txPr>
          <a:bodyPr/>
          <a:lstStyle/>
          <a:p>
            <a:pPr>
              <a:defRPr sz="700"/>
            </a:pPr>
            <a:endParaRPr lang="lv-LV"/>
          </a:p>
        </c:txPr>
        <c:crossAx val="629892200"/>
        <c:crosses val="autoZero"/>
        <c:auto val="1"/>
        <c:lblAlgn val="ctr"/>
        <c:lblOffset val="100"/>
        <c:noMultiLvlLbl val="0"/>
      </c:catAx>
      <c:valAx>
        <c:axId val="629892200"/>
        <c:scaling>
          <c:orientation val="minMax"/>
        </c:scaling>
        <c:delete val="0"/>
        <c:axPos val="l"/>
        <c:numFmt formatCode="0%" sourceLinked="1"/>
        <c:majorTickMark val="out"/>
        <c:minorTickMark val="none"/>
        <c:tickLblPos val="nextTo"/>
        <c:txPr>
          <a:bodyPr/>
          <a:lstStyle/>
          <a:p>
            <a:pPr>
              <a:defRPr sz="700"/>
            </a:pPr>
            <a:endParaRPr lang="lv-LV"/>
          </a:p>
        </c:txPr>
        <c:crossAx val="629889064"/>
        <c:crosses val="autoZero"/>
        <c:crossBetween val="between"/>
      </c:valAx>
    </c:plotArea>
    <c:legend>
      <c:legendPos val="r"/>
      <c:layout>
        <c:manualLayout>
          <c:xMode val="edge"/>
          <c:yMode val="edge"/>
          <c:x val="0.48187518226888304"/>
          <c:y val="0.018061189542134811"/>
          <c:w val="0.518124817731117"/>
          <c:h val="0.76389701415069666"/>
        </c:manualLayout>
      </c:layout>
      <c:overlay val="0"/>
      <c:txPr>
        <a:bodyPr/>
        <a:lstStyle/>
        <a:p>
          <a:pPr>
            <a:defRPr sz="600">
              <a:latin typeface="Arial Narrow" panose="020B0606020202030204" pitchFamily="34" charset="0"/>
            </a:defRPr>
          </a:pPr>
          <a:endParaRPr lang="lv-LV"/>
        </a:p>
      </c:txPr>
    </c:legend>
    <c:plotVisOnly val="1"/>
    <c:dispBlanksAs val="gap"/>
    <c:showDLblsOverMax val="0"/>
  </c:chart>
  <c:spPr>
    <a:ln w="9525">
      <a:noFill/>
    </a:ln>
  </c:spPr>
  <c:txPr>
    <a:bodyPr/>
    <a:lstStyle/>
    <a:p>
      <a:pPr>
        <a:defRPr sz="800"/>
      </a:pPr>
      <a:endParaRPr lang="lv-LV"/>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98553601027233415"/>
          <c:y val="0.01722532963499513"/>
          <c:w val="0.88592589806420907"/>
          <c:h val="0.920462379795931"/>
        </c:manualLayout>
      </c:layout>
      <c:barChart>
        <c:barDir val="col"/>
        <c:grouping val="percentStacked"/>
        <c:varyColors val="0"/>
        <c:ser>
          <c:idx val="0"/>
          <c:order val="0"/>
          <c:tx>
            <c:strRef>
              <c:f>Sheet1!$A$2</c:f>
              <c:strCache>
                <c:ptCount val="1"/>
                <c:pt idx="0">
                  <c:v>dzērieni</c:v>
                </c:pt>
              </c:strCache>
            </c:strRef>
          </c:tx>
          <c:invertIfNegative val="0"/>
          <c:cat>
            <c:strRef>
              <c:f>Sheet1!$B$1:$F$1</c:f>
              <c:strCache>
                <c:ptCount val="5"/>
                <c:pt idx="0">
                  <c:v>2005</c:v>
                </c:pt>
                <c:pt idx="1">
                  <c:v>2010</c:v>
                </c:pt>
                <c:pt idx="2">
                  <c:v>2014</c:v>
                </c:pt>
                <c:pt idx="3">
                  <c:v>2015</c:v>
                </c:pt>
                <c:pt idx="4">
                  <c:v>2016</c:v>
                </c:pt>
              </c:strCache>
            </c:strRef>
          </c:cat>
          <c:val>
            <c:numRef>
              <c:f>Sheet1!$B$2:$F$2</c:f>
              <c:numCache>
                <c:formatCode>0</c:formatCode>
                <c:ptCount val="5"/>
                <c:pt idx="0">
                  <c:v>17.03321929421978</c:v>
                </c:pt>
                <c:pt idx="1">
                  <c:v>16.327078512606079</c:v>
                </c:pt>
                <c:pt idx="2">
                  <c:v>15.976659053680415</c:v>
                </c:pt>
                <c:pt idx="3">
                  <c:v>16.499694297962556</c:v>
                </c:pt>
                <c:pt idx="4">
                  <c:v>16.129249351018522</c:v>
                </c:pt>
              </c:numCache>
            </c:numRef>
          </c:val>
          <c:extLst>
            <c:ext xmlns:c="http://schemas.openxmlformats.org/drawingml/2006/chart" xmlns:c16="http://schemas.microsoft.com/office/drawing/2014/chart" uri="{C3380CC4-5D6E-409C-BE32-E72D297353CC}">
              <c16:uniqueId val="{00000000-D904-4A2C-9714-007DC4707DF0}"/>
            </c:ext>
          </c:extLst>
        </c:ser>
        <c:ser>
          <c:idx val="1"/>
          <c:order val="1"/>
          <c:tx>
            <c:strRef>
              <c:f>Sheet1!$A$3</c:f>
              <c:strCache>
                <c:ptCount val="1"/>
                <c:pt idx="0">
                  <c:v>piena produkti</c:v>
                </c:pt>
              </c:strCache>
            </c:strRef>
          </c:tx>
          <c:invertIfNegative val="0"/>
          <c:cat>
            <c:strRef>
              <c:f>Sheet1!$B$1:$F$1</c:f>
              <c:strCache>
                <c:ptCount val="5"/>
                <c:pt idx="0">
                  <c:v>2005</c:v>
                </c:pt>
                <c:pt idx="1">
                  <c:v>2010</c:v>
                </c:pt>
                <c:pt idx="2">
                  <c:v>2014</c:v>
                </c:pt>
                <c:pt idx="3">
                  <c:v>2015</c:v>
                </c:pt>
                <c:pt idx="4">
                  <c:v>2016</c:v>
                </c:pt>
              </c:strCache>
            </c:strRef>
          </c:cat>
          <c:val>
            <c:numRef>
              <c:f>Sheet1!$B$3:$F$3</c:f>
              <c:numCache>
                <c:formatCode>0</c:formatCode>
                <c:ptCount val="5"/>
                <c:pt idx="0">
                  <c:v>13.083612901968159</c:v>
                </c:pt>
                <c:pt idx="1">
                  <c:v>13.006589315878896</c:v>
                </c:pt>
                <c:pt idx="2">
                  <c:v>13.110421886469572</c:v>
                </c:pt>
                <c:pt idx="3">
                  <c:v>11.726769822564435</c:v>
                </c:pt>
                <c:pt idx="4">
                  <c:v>11.219948875923983</c:v>
                </c:pt>
              </c:numCache>
            </c:numRef>
          </c:val>
          <c:extLst>
            <c:ext xmlns:c="http://schemas.openxmlformats.org/drawingml/2006/chart" xmlns:c16="http://schemas.microsoft.com/office/drawing/2014/chart" uri="{C3380CC4-5D6E-409C-BE32-E72D297353CC}">
              <c16:uniqueId val="{00000001-D904-4A2C-9714-007DC4707DF0}"/>
            </c:ext>
          </c:extLst>
        </c:ser>
        <c:ser>
          <c:idx val="2"/>
          <c:order val="2"/>
          <c:tx>
            <c:strRef>
              <c:f>Sheet1!$A$4</c:f>
              <c:strCache>
                <c:ptCount val="1"/>
                <c:pt idx="0">
                  <c:v>gaļas un zivju izstrādājumi</c:v>
                </c:pt>
              </c:strCache>
            </c:strRef>
          </c:tx>
          <c:invertIfNegative val="0"/>
          <c:cat>
            <c:strRef>
              <c:f>Sheet1!$B$1:$F$1</c:f>
              <c:strCache>
                <c:ptCount val="5"/>
                <c:pt idx="0">
                  <c:v>2005</c:v>
                </c:pt>
                <c:pt idx="1">
                  <c:v>2010</c:v>
                </c:pt>
                <c:pt idx="2">
                  <c:v>2014</c:v>
                </c:pt>
                <c:pt idx="3">
                  <c:v>2015</c:v>
                </c:pt>
                <c:pt idx="4">
                  <c:v>2016</c:v>
                </c:pt>
              </c:strCache>
            </c:strRef>
          </c:cat>
          <c:val>
            <c:numRef>
              <c:f>Sheet1!$B$4:$F$4</c:f>
              <c:numCache>
                <c:formatCode>0</c:formatCode>
                <c:ptCount val="5"/>
                <c:pt idx="0">
                  <c:v>4.0310341112472905</c:v>
                </c:pt>
                <c:pt idx="1">
                  <c:v>4.0078211109819639</c:v>
                </c:pt>
                <c:pt idx="2">
                  <c:v>3.9160219040961084</c:v>
                </c:pt>
                <c:pt idx="3">
                  <c:v>3.9474649560365811</c:v>
                </c:pt>
                <c:pt idx="4">
                  <c:v>3.95690641631921</c:v>
                </c:pt>
              </c:numCache>
            </c:numRef>
          </c:val>
          <c:extLst>
            <c:ext xmlns:c="http://schemas.openxmlformats.org/drawingml/2006/chart" xmlns:c16="http://schemas.microsoft.com/office/drawing/2014/chart" uri="{C3380CC4-5D6E-409C-BE32-E72D297353CC}">
              <c16:uniqueId val="{00000002-D904-4A2C-9714-007DC4707DF0}"/>
            </c:ext>
          </c:extLst>
        </c:ser>
        <c:ser>
          <c:idx val="3"/>
          <c:order val="3"/>
          <c:tx>
            <c:strRef>
              <c:f>Sheet1!$A$5</c:f>
              <c:strCache>
                <c:ptCount val="1"/>
                <c:pt idx="0">
                  <c:v>zivis un vēžveidīgie</c:v>
                </c:pt>
              </c:strCache>
            </c:strRef>
          </c:tx>
          <c:invertIfNegative val="0"/>
          <c:cat>
            <c:strRef>
              <c:f>Sheet1!$B$1:$F$1</c:f>
              <c:strCache>
                <c:ptCount val="5"/>
                <c:pt idx="0">
                  <c:v>2005</c:v>
                </c:pt>
                <c:pt idx="1">
                  <c:v>2010</c:v>
                </c:pt>
                <c:pt idx="2">
                  <c:v>2014</c:v>
                </c:pt>
                <c:pt idx="3">
                  <c:v>2015</c:v>
                </c:pt>
                <c:pt idx="4">
                  <c:v>2016</c:v>
                </c:pt>
              </c:strCache>
            </c:strRef>
          </c:cat>
          <c:val>
            <c:numRef>
              <c:f>Sheet1!$B$5:$F$5</c:f>
              <c:numCache>
                <c:formatCode>0</c:formatCode>
                <c:ptCount val="5"/>
                <c:pt idx="0">
                  <c:v>6.4356754688487445</c:v>
                </c:pt>
                <c:pt idx="1">
                  <c:v>5.8084906220802326</c:v>
                </c:pt>
                <c:pt idx="2">
                  <c:v>5.7159199358011472</c:v>
                </c:pt>
                <c:pt idx="3">
                  <c:v>5.9410816562790556</c:v>
                </c:pt>
                <c:pt idx="4">
                  <c:v>6.221759316089746</c:v>
                </c:pt>
              </c:numCache>
            </c:numRef>
          </c:val>
          <c:extLst>
            <c:ext xmlns:c="http://schemas.openxmlformats.org/drawingml/2006/chart" xmlns:c16="http://schemas.microsoft.com/office/drawing/2014/chart" uri="{C3380CC4-5D6E-409C-BE32-E72D297353CC}">
              <c16:uniqueId val="{00000003-D904-4A2C-9714-007DC4707DF0}"/>
            </c:ext>
          </c:extLst>
        </c:ser>
        <c:ser>
          <c:idx val="4"/>
          <c:order val="4"/>
          <c:tx>
            <c:strRef>
              <c:f>Sheet1!$A$6</c:f>
              <c:strCache>
                <c:ptCount val="1"/>
                <c:pt idx="0">
                  <c:v>labības un miltu izstrādājumi</c:v>
                </c:pt>
              </c:strCache>
            </c:strRef>
          </c:tx>
          <c:invertIfNegative val="0"/>
          <c:cat>
            <c:strRef>
              <c:f>Sheet1!$B$1:$F$1</c:f>
              <c:strCache>
                <c:ptCount val="5"/>
                <c:pt idx="0">
                  <c:v>2005</c:v>
                </c:pt>
                <c:pt idx="1">
                  <c:v>2010</c:v>
                </c:pt>
                <c:pt idx="2">
                  <c:v>2014</c:v>
                </c:pt>
                <c:pt idx="3">
                  <c:v>2015</c:v>
                </c:pt>
                <c:pt idx="4">
                  <c:v>2016</c:v>
                </c:pt>
              </c:strCache>
            </c:strRef>
          </c:cat>
          <c:val>
            <c:numRef>
              <c:f>Sheet1!$B$6:$F$6</c:f>
              <c:numCache>
                <c:formatCode>0</c:formatCode>
                <c:ptCount val="5"/>
                <c:pt idx="0">
                  <c:v>8.0712824604045821</c:v>
                </c:pt>
                <c:pt idx="1">
                  <c:v>8.0675596538350369</c:v>
                </c:pt>
                <c:pt idx="2">
                  <c:v>8.84520207205477</c:v>
                </c:pt>
                <c:pt idx="3">
                  <c:v>9.16017076441891</c:v>
                </c:pt>
                <c:pt idx="4">
                  <c:v>9.4353613422925733</c:v>
                </c:pt>
              </c:numCache>
            </c:numRef>
          </c:val>
          <c:extLst>
            <c:ext xmlns:c="http://schemas.openxmlformats.org/drawingml/2006/chart" xmlns:c16="http://schemas.microsoft.com/office/drawing/2014/chart" uri="{C3380CC4-5D6E-409C-BE32-E72D297353CC}">
              <c16:uniqueId val="{00000004-D904-4A2C-9714-007DC4707DF0}"/>
            </c:ext>
          </c:extLst>
        </c:ser>
        <c:ser>
          <c:idx val="5"/>
          <c:order val="5"/>
          <c:tx>
            <c:strRef>
              <c:f>Sheet1!$A$7</c:f>
              <c:strCache>
                <c:ptCount val="1"/>
                <c:pt idx="0">
                  <c:v>citi pārtikas izstrādājumi</c:v>
                </c:pt>
              </c:strCache>
            </c:strRef>
          </c:tx>
          <c:invertIfNegative val="0"/>
          <c:cat>
            <c:strRef>
              <c:f>Sheet1!$B$1:$F$1</c:f>
              <c:strCache>
                <c:ptCount val="5"/>
                <c:pt idx="0">
                  <c:v>2005</c:v>
                </c:pt>
                <c:pt idx="1">
                  <c:v>2010</c:v>
                </c:pt>
                <c:pt idx="2">
                  <c:v>2014</c:v>
                </c:pt>
                <c:pt idx="3">
                  <c:v>2015</c:v>
                </c:pt>
                <c:pt idx="4">
                  <c:v>2016</c:v>
                </c:pt>
              </c:strCache>
            </c:strRef>
          </c:cat>
          <c:val>
            <c:numRef>
              <c:f>Sheet1!$B$7:$F$7</c:f>
              <c:numCache>
                <c:formatCode>0</c:formatCode>
                <c:ptCount val="5"/>
                <c:pt idx="0">
                  <c:v>59.416458223716027</c:v>
                </c:pt>
                <c:pt idx="1">
                  <c:v>60.850020438452823</c:v>
                </c:pt>
                <c:pt idx="2">
                  <c:v>61.28097721995276</c:v>
                </c:pt>
                <c:pt idx="3">
                  <c:v>61.884989267157373</c:v>
                </c:pt>
                <c:pt idx="4">
                  <c:v>62.472136040648543</c:v>
                </c:pt>
              </c:numCache>
            </c:numRef>
          </c:val>
          <c:extLst>
            <c:ext xmlns:c="http://schemas.openxmlformats.org/drawingml/2006/chart" xmlns:c16="http://schemas.microsoft.com/office/drawing/2014/chart" uri="{C3380CC4-5D6E-409C-BE32-E72D297353CC}">
              <c16:uniqueId val="{00000005-D904-4A2C-9714-007DC4707DF0}"/>
            </c:ext>
          </c:extLst>
        </c:ser>
        <c:dLbls>
          <c:showLegendKey val="0"/>
          <c:showVal val="0"/>
          <c:showCatName val="0"/>
          <c:showSerName val="0"/>
          <c:showPercent val="0"/>
          <c:showBubbleSize val="0"/>
        </c:dLbls>
        <c:gapWidth val="20"/>
        <c:overlap val="100"/>
        <c:axId val="629886320"/>
        <c:axId val="629882008"/>
      </c:barChart>
      <c:catAx>
        <c:axId val="629886320"/>
        <c:scaling>
          <c:orientation val="minMax"/>
        </c:scaling>
        <c:delete val="0"/>
        <c:axPos val="b"/>
        <c:numFmt formatCode="General" sourceLinked="0"/>
        <c:majorTickMark val="out"/>
        <c:minorTickMark val="none"/>
        <c:tickLblPos val="nextTo"/>
        <c:txPr>
          <a:bodyPr/>
          <a:lstStyle/>
          <a:p>
            <a:pPr>
              <a:defRPr sz="700"/>
            </a:pPr>
            <a:endParaRPr lang="lv-LV"/>
          </a:p>
        </c:txPr>
        <c:crossAx val="629882008"/>
        <c:crosses val="autoZero"/>
        <c:auto val="1"/>
        <c:lblAlgn val="ctr"/>
        <c:lblOffset val="100"/>
        <c:noMultiLvlLbl val="0"/>
      </c:catAx>
      <c:valAx>
        <c:axId val="629882008"/>
        <c:scaling>
          <c:orientation val="minMax"/>
        </c:scaling>
        <c:delete val="0"/>
        <c:axPos val="l"/>
        <c:numFmt formatCode="0%" sourceLinked="1"/>
        <c:majorTickMark val="out"/>
        <c:minorTickMark val="none"/>
        <c:tickLblPos val="nextTo"/>
        <c:txPr>
          <a:bodyPr/>
          <a:lstStyle/>
          <a:p>
            <a:pPr>
              <a:defRPr sz="700"/>
            </a:pPr>
            <a:endParaRPr lang="lv-LV"/>
          </a:p>
        </c:txPr>
        <c:crossAx val="629886320"/>
        <c:crosses val="autoZero"/>
        <c:crossBetween val="between"/>
      </c:valAx>
    </c:plotArea>
    <c:plotVisOnly val="1"/>
    <c:dispBlanksAs val="gap"/>
    <c:showDLblsOverMax val="0"/>
  </c:chart>
  <c:spPr>
    <a:ln w="9525">
      <a:noFill/>
    </a:ln>
  </c:spPr>
  <c:txPr>
    <a:bodyPr/>
    <a:lstStyle/>
    <a:p>
      <a:pPr>
        <a:defRPr sz="800"/>
      </a:pPr>
      <a:endParaRPr lang="lv-LV"/>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8E67-420E-95C6-616B619C3C97}"/>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8E67-420E-95C6-616B619C3C97}"/>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Sheet1!$B$2:$M$2</c:f>
              <c:numCache>
                <c:formatCode>0</c:formatCode>
                <c:ptCount val="12"/>
                <c:pt idx="0">
                  <c:v>2004</c:v>
                </c:pt>
                <c:pt idx="1">
                  <c:v>2005</c:v>
                </c:pt>
                <c:pt idx="2">
                  <c:v>2006</c:v>
                </c:pt>
                <c:pt idx="3">
                  <c:v>2007</c:v>
                </c:pt>
                <c:pt idx="4">
                  <c:v>2008</c:v>
                </c:pt>
                <c:pt idx="5">
                  <c:v>2009</c:v>
                </c:pt>
                <c:pt idx="6">
                  <c:v>2010</c:v>
                </c:pt>
                <c:pt idx="7">
                  <c:v>2011</c:v>
                </c:pt>
                <c:pt idx="8">
                  <c:v>2012</c:v>
                </c:pt>
                <c:pt idx="9">
                  <c:v>2013</c:v>
                </c:pt>
                <c:pt idx="10" formatCode="General">
                  <c:v>2014</c:v>
                </c:pt>
                <c:pt idx="11">
                  <c:v>2015</c:v>
                </c:pt>
              </c:numCache>
            </c:numRef>
          </c:cat>
          <c:val>
            <c:numRef>
              <c:f>Sheet1!$B$3:$M$3</c:f>
              <c:numCache>
                <c:formatCode>0.0</c:formatCode>
                <c:ptCount val="12"/>
                <c:pt idx="0">
                  <c:v>4.4488863506567675</c:v>
                </c:pt>
                <c:pt idx="1">
                  <c:v>5.0891829689298049</c:v>
                </c:pt>
                <c:pt idx="2">
                  <c:v>6.3508360222939269</c:v>
                </c:pt>
                <c:pt idx="3">
                  <c:v>7.6880222841225621</c:v>
                </c:pt>
                <c:pt idx="4">
                  <c:v>10.085679314565484</c:v>
                </c:pt>
                <c:pt idx="5">
                  <c:v>8.8504960656859382</c:v>
                </c:pt>
                <c:pt idx="6">
                  <c:v>8.0129124820659978</c:v>
                </c:pt>
                <c:pt idx="7">
                  <c:v>8.217522658610271</c:v>
                </c:pt>
                <c:pt idx="8">
                  <c:v>9.1743798593113652</c:v>
                </c:pt>
                <c:pt idx="9">
                  <c:v>9.7281993204983017</c:v>
                </c:pt>
                <c:pt idx="10">
                  <c:v>10.677021107128635</c:v>
                </c:pt>
                <c:pt idx="11" formatCode="General">
                  <c:v>11.729452054794521</c:v>
                </c:pt>
              </c:numCache>
            </c:numRef>
          </c:val>
          <c:extLst>
            <c:ext xmlns:c="http://schemas.openxmlformats.org/drawingml/2006/chart" xmlns:c16="http://schemas.microsoft.com/office/drawing/2014/chart" uri="{C3380CC4-5D6E-409C-BE32-E72D297353CC}">
              <c16:uniqueId val="{00000004-8E67-420E-95C6-616B619C3C97}"/>
            </c:ext>
          </c:extLst>
        </c:ser>
        <c:dLbls>
          <c:showLegendKey val="0"/>
          <c:showVal val="0"/>
          <c:showCatName val="0"/>
          <c:showSerName val="0"/>
          <c:showPercent val="0"/>
          <c:showBubbleSize val="0"/>
        </c:dLbls>
        <c:gapWidth val="20"/>
        <c:axId val="629887496"/>
        <c:axId val="629889456"/>
      </c:barChart>
      <c:catAx>
        <c:axId val="629887496"/>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29889456"/>
        <c:crosses val="autoZero"/>
        <c:auto val="1"/>
        <c:lblAlgn val="ctr"/>
        <c:lblOffset val="100"/>
        <c:noMultiLvlLbl val="0"/>
      </c:catAx>
      <c:valAx>
        <c:axId val="629889456"/>
        <c:scaling>
          <c:orientation val="minMax"/>
          <c:max val="15"/>
          <c:min val="0"/>
        </c:scaling>
        <c:delete val="0"/>
        <c:axPos val="l"/>
        <c:numFmt formatCode="0" sourceLinked="0"/>
        <c:majorTickMark val="out"/>
        <c:minorTickMark val="none"/>
        <c:tickLblPos val="nextTo"/>
        <c:crossAx val="629887496"/>
        <c:crosses val="autoZero"/>
        <c:crossBetween val="between"/>
        <c:majorUnit val="3"/>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30307899251493849"/>
          <c:y val="0.011826561679790027"/>
          <c:w val="0.94252315784843266"/>
          <c:h val="0.97849826771653559"/>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Lbl>
              <c:idx val="20"/>
              <c:layout>
                <c:manualLayout>
                  <c:x val="-0.094117647058823639"/>
                  <c:y val="0"/>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lv-LV"/>
                </a:p>
              </c:txPr>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C806-4595-8C7E-AA15DB7A108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Vieglā rūpniecība</c:v>
                </c:pt>
                <c:pt idx="1">
                  <c:v>Lauksaimniecība</c:v>
                </c:pt>
                <c:pt idx="2">
                  <c:v>Izmitināšana un ēdināšanas pak.</c:v>
                </c:pt>
                <c:pt idx="3">
                  <c:v>Mašīnu un iekārtu ražošana</c:v>
                </c:pt>
                <c:pt idx="4">
                  <c:v>Sabiedriskie pakalpojumi</c:v>
                </c:pt>
                <c:pt idx="5">
                  <c:v>Būvniecība</c:v>
                </c:pt>
                <c:pt idx="6">
                  <c:v>Metālapstrāde</c:v>
                </c:pt>
                <c:pt idx="7">
                  <c:v>Papīra ražošana un poligrāfija</c:v>
                </c:pt>
                <c:pt idx="8">
                  <c:v>Transportlīdzekļu ražošana</c:v>
                </c:pt>
                <c:pt idx="9">
                  <c:v>Pārtikas rūpniecība</c:v>
                </c:pt>
                <c:pt idx="10">
                  <c:v>Tirdzniecība</c:v>
                </c:pt>
                <c:pt idx="11">
                  <c:v>Kokapstrāde</c:v>
                </c:pt>
                <c:pt idx="12">
                  <c:v>Ķīmiskā rūpniecība</c:v>
                </c:pt>
                <c:pt idx="13">
                  <c:v>Ūdens apgāde</c:v>
                </c:pt>
                <c:pt idx="14">
                  <c:v>Nemetālisko minerālu ražošana</c:v>
                </c:pt>
                <c:pt idx="15">
                  <c:v>Transports un uzglabāšana</c:v>
                </c:pt>
                <c:pt idx="16">
                  <c:v>IKT pakalpojumi</c:v>
                </c:pt>
                <c:pt idx="17">
                  <c:v>Ieguves rūpniecība</c:v>
                </c:pt>
                <c:pt idx="18">
                  <c:v>Finanšu un apdrošin. darbības</c:v>
                </c:pt>
                <c:pt idx="19">
                  <c:v>Elektroenerģija, gāzes apgāde</c:v>
                </c:pt>
                <c:pt idx="20">
                  <c:v>Elektrisko, optisko iekārtu raž.</c:v>
                </c:pt>
              </c:strCache>
            </c:strRef>
          </c:cat>
          <c:val>
            <c:numRef>
              <c:f>Sheet1!$B$2:$B$22</c:f>
              <c:numCache>
                <c:formatCode>0</c:formatCode>
                <c:ptCount val="21"/>
                <c:pt idx="0">
                  <c:v>9</c:v>
                </c:pt>
                <c:pt idx="1">
                  <c:v>13</c:v>
                </c:pt>
                <c:pt idx="2">
                  <c:v>13</c:v>
                </c:pt>
                <c:pt idx="3">
                  <c:v>16</c:v>
                </c:pt>
                <c:pt idx="4">
                  <c:v>16</c:v>
                </c:pt>
                <c:pt idx="5">
                  <c:v>16</c:v>
                </c:pt>
                <c:pt idx="6">
                  <c:v>17</c:v>
                </c:pt>
                <c:pt idx="7">
                  <c:v>18</c:v>
                </c:pt>
                <c:pt idx="8">
                  <c:v>19</c:v>
                </c:pt>
                <c:pt idx="9">
                  <c:v>19</c:v>
                </c:pt>
                <c:pt idx="10">
                  <c:v>21</c:v>
                </c:pt>
                <c:pt idx="11">
                  <c:v>22</c:v>
                </c:pt>
                <c:pt idx="12">
                  <c:v>22</c:v>
                </c:pt>
                <c:pt idx="13">
                  <c:v>24</c:v>
                </c:pt>
                <c:pt idx="14">
                  <c:v>27</c:v>
                </c:pt>
                <c:pt idx="15">
                  <c:v>27</c:v>
                </c:pt>
                <c:pt idx="16">
                  <c:v>29</c:v>
                </c:pt>
                <c:pt idx="17">
                  <c:v>32</c:v>
                </c:pt>
                <c:pt idx="18">
                  <c:v>37</c:v>
                </c:pt>
                <c:pt idx="19">
                  <c:v>38</c:v>
                </c:pt>
                <c:pt idx="20">
                  <c:v>45</c:v>
                </c:pt>
              </c:numCache>
            </c:numRef>
          </c:val>
          <c:extLst>
            <c:ext xmlns:c="http://schemas.openxmlformats.org/drawingml/2006/chart" xmlns:c16="http://schemas.microsoft.com/office/drawing/2014/chart" uri="{C3380CC4-5D6E-409C-BE32-E72D297353CC}">
              <c16:uniqueId val="{00000001-C806-4595-8C7E-AA15DB7A108E}"/>
            </c:ext>
          </c:extLst>
        </c:ser>
        <c:dLbls>
          <c:showLegendKey val="0"/>
          <c:showVal val="0"/>
          <c:showCatName val="0"/>
          <c:showSerName val="0"/>
          <c:showPercent val="0"/>
          <c:showBubbleSize val="0"/>
        </c:dLbls>
        <c:gapWidth val="40"/>
        <c:axId val="629810664"/>
        <c:axId val="629814976"/>
      </c:barChart>
      <c:catAx>
        <c:axId val="629810664"/>
        <c:scaling>
          <c:orientation val="minMax"/>
        </c:scaling>
        <c:delete val="1"/>
        <c:axPos val="l"/>
        <c:numFmt formatCode="General" sourceLinked="1"/>
        <c:majorTickMark val="none"/>
        <c:minorTickMark val="none"/>
        <c:tickLblPos val="low"/>
        <c:crossAx val="629814976"/>
        <c:crosses val="autoZero"/>
        <c:auto val="1"/>
        <c:lblAlgn val="ctr"/>
        <c:lblOffset val="100"/>
        <c:noMultiLvlLbl val="0"/>
      </c:catAx>
      <c:valAx>
        <c:axId val="629814976"/>
        <c:scaling>
          <c:orientation val="minMax"/>
          <c:max val="45"/>
          <c:min val="0"/>
        </c:scaling>
        <c:delete val="1"/>
        <c:axPos val="b"/>
        <c:numFmt formatCode="0" sourceLinked="1"/>
        <c:majorTickMark val="out"/>
        <c:minorTickMark val="none"/>
        <c:tickLblPos val="nextTo"/>
        <c:crossAx val="629810664"/>
        <c:crosses val="autoZero"/>
        <c:crossBetween val="between"/>
        <c:majorUnit val="15"/>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lv-LV"/>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76C0-4680-907E-6C8556FA24A4}"/>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76C0-4680-907E-6C8556FA24A4}"/>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Sheet1!$B$2:$M$2</c:f>
              <c:numCache>
                <c:formatCode>0</c:formatCode>
                <c:ptCount val="12"/>
                <c:pt idx="0">
                  <c:v>2004</c:v>
                </c:pt>
                <c:pt idx="1">
                  <c:v>2005</c:v>
                </c:pt>
                <c:pt idx="2">
                  <c:v>2006</c:v>
                </c:pt>
                <c:pt idx="3">
                  <c:v>2007</c:v>
                </c:pt>
                <c:pt idx="4">
                  <c:v>2008</c:v>
                </c:pt>
                <c:pt idx="5">
                  <c:v>2009</c:v>
                </c:pt>
                <c:pt idx="6">
                  <c:v>2010</c:v>
                </c:pt>
                <c:pt idx="7">
                  <c:v>2011</c:v>
                </c:pt>
                <c:pt idx="8">
                  <c:v>2012</c:v>
                </c:pt>
                <c:pt idx="9">
                  <c:v>2013</c:v>
                </c:pt>
                <c:pt idx="10" formatCode="General">
                  <c:v>2014</c:v>
                </c:pt>
                <c:pt idx="11">
                  <c:v>2015</c:v>
                </c:pt>
              </c:numCache>
            </c:numRef>
          </c:cat>
          <c:val>
            <c:numRef>
              <c:f>Sheet1!$B$3:$M$3</c:f>
              <c:numCache>
                <c:formatCode>General</c:formatCode>
                <c:ptCount val="12"/>
                <c:pt idx="0">
                  <c:v>21.123595505617974</c:v>
                </c:pt>
                <c:pt idx="1">
                  <c:v>21.9846069268829</c:v>
                </c:pt>
                <c:pt idx="2">
                  <c:v>23.476310625175216</c:v>
                </c:pt>
                <c:pt idx="3">
                  <c:v>22.997050147492626</c:v>
                </c:pt>
                <c:pt idx="4">
                  <c:v>21.322170900692839</c:v>
                </c:pt>
                <c:pt idx="5">
                  <c:v>16.656976744186046</c:v>
                </c:pt>
                <c:pt idx="6">
                  <c:v>17.6629517055049</c:v>
                </c:pt>
                <c:pt idx="7">
                  <c:v>16.184909670563229</c:v>
                </c:pt>
                <c:pt idx="8">
                  <c:v>16.554709141274241</c:v>
                </c:pt>
                <c:pt idx="9">
                  <c:v>18.380306814127721</c:v>
                </c:pt>
                <c:pt idx="10">
                  <c:v>19.175373134328357</c:v>
                </c:pt>
                <c:pt idx="11">
                  <c:v>19.395017793594306</c:v>
                </c:pt>
              </c:numCache>
            </c:numRef>
          </c:val>
          <c:extLst>
            <c:ext xmlns:c="http://schemas.openxmlformats.org/drawingml/2006/chart" xmlns:c16="http://schemas.microsoft.com/office/drawing/2014/chart" uri="{C3380CC4-5D6E-409C-BE32-E72D297353CC}">
              <c16:uniqueId val="{00000004-76C0-4680-907E-6C8556FA24A4}"/>
            </c:ext>
          </c:extLst>
        </c:ser>
        <c:dLbls>
          <c:showLegendKey val="0"/>
          <c:showVal val="0"/>
          <c:showCatName val="0"/>
          <c:showSerName val="0"/>
          <c:showPercent val="0"/>
          <c:showBubbleSize val="0"/>
        </c:dLbls>
        <c:gapWidth val="20"/>
        <c:axId val="629888672"/>
        <c:axId val="629885928"/>
      </c:barChart>
      <c:catAx>
        <c:axId val="629888672"/>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29885928"/>
        <c:crosses val="autoZero"/>
        <c:auto val="1"/>
        <c:lblAlgn val="ctr"/>
        <c:lblOffset val="100"/>
        <c:noMultiLvlLbl val="0"/>
      </c:catAx>
      <c:valAx>
        <c:axId val="629885928"/>
        <c:scaling>
          <c:orientation val="minMax"/>
        </c:scaling>
        <c:delete val="0"/>
        <c:axPos val="l"/>
        <c:numFmt formatCode="0" sourceLinked="0"/>
        <c:majorTickMark val="out"/>
        <c:minorTickMark val="none"/>
        <c:tickLblPos val="nextTo"/>
        <c:crossAx val="629888672"/>
        <c:crosses val="autoZero"/>
        <c:crossBetween val="between"/>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72841410287632"/>
          <c:y val="0.057971014492753624"/>
          <c:w val="0.69294856184214082"/>
          <c:h val="0.726718711443121"/>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marker>
              <c:spPr>
                <a:solidFill>
                  <a:srgbClr val="002060"/>
                </a:solidFill>
                <a:ln w="6350">
                  <a:solidFill>
                    <a:sysClr val="windowText" lastClr="000000"/>
                  </a:solidFill>
                </a:ln>
              </c:spPr>
            </c:marker>
            <c:extLst>
              <c:ext xmlns:c="http://schemas.openxmlformats.org/drawingml/2006/chart" xmlns:c16="http://schemas.microsoft.com/office/drawing/2014/chart" uri="{C3380CC4-5D6E-409C-BE32-E72D297353CC}">
                <c16:uniqueId val="{00000000-86C6-4CF9-98E8-E0C04B5903DA}"/>
              </c:ext>
            </c:extLst>
          </c:dPt>
          <c:dLbls>
            <c:dLbl>
              <c:idx val="0"/>
              <c:tx>
                <c:rich>
                  <a:bodyPr vertOverflow="clip"/>
                  <a:lstStyle/>
                  <a:p>
                    <a:fld id="{471941ef-2741-4a7d-bbf0-77a269cabc7b}" type="CELLRANGE">
                      <a:rPr lang="en-US"/>
                      <a:t>2005</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1-86C6-4CF9-98E8-E0C04B5903DA}"/>
                </c:ext>
                <c:ext xmlns:c15="http://schemas.microsoft.com/office/drawing/2012/chart" uri="{CE6537A1-D6FC-4f65-9D91-7224C49458BB}">
                  <c15:showDataLabelsRange val="1"/>
                </c:ext>
              </c:extLst>
            </c:dLbl>
            <c:dLbl>
              <c:idx val="1"/>
              <c:tx>
                <c:rich>
                  <a:bodyPr vertOverflow="clip"/>
                  <a:lstStyle/>
                  <a:p>
                    <a:fld id="{48b8788a-b500-4ee3-a4d6-6b0540e03335}" type="CELLRANGE">
                      <a:rPr lang="en-US"/>
                      <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2-86C6-4CF9-98E8-E0C04B5903DA}"/>
                </c:ext>
                <c:ext xmlns:c15="http://schemas.microsoft.com/office/drawing/2012/chart" uri="{CE6537A1-D6FC-4f65-9D91-7224C49458BB}">
                  <c15:showDataLabelsRange val="1"/>
                </c:ext>
              </c:extLst>
            </c:dLbl>
            <c:dLbl>
              <c:idx val="2"/>
              <c:tx>
                <c:rich>
                  <a:bodyPr vertOverflow="clip"/>
                  <a:lstStyle/>
                  <a:p>
                    <a:fld id="{0fb75c87-796f-4a2e-886a-6474a504bce0}" type="CELLRANGE">
                      <a:rPr lang="lv-LV"/>
                      <a:t>2007</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3"/>
              <c:tx>
                <c:rich>
                  <a:bodyPr vertOverflow="clip"/>
                  <a:lstStyle/>
                  <a:p>
                    <a:fld id="{600c966d-6e76-4419-a14c-e7ab362a9275}" type="CELLRANGE">
                      <a:rPr lang="en-US"/>
                      <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4-86C6-4CF9-98E8-E0C04B5903DA}"/>
                </c:ext>
                <c:ext xmlns:c15="http://schemas.microsoft.com/office/drawing/2012/chart" uri="{CE6537A1-D6FC-4f65-9D91-7224C49458BB}">
                  <c15:showDataLabelsRange val="1"/>
                </c:ext>
              </c:extLst>
            </c:dLbl>
            <c:dLbl>
              <c:idx val="4"/>
              <c:tx>
                <c:rich>
                  <a:bodyPr vertOverflow="clip"/>
                  <a:lstStyle/>
                  <a:p>
                    <a:fld id="{98c0770d-e758-49f2-8255-5c6ed7b23a02}" type="CELLRANGE">
                      <a:rPr lang="lv-LV"/>
                      <a:t>2009</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5"/>
              <c:tx>
                <c:rich>
                  <a:bodyPr vertOverflow="clip"/>
                  <a:lstStyle/>
                  <a:p>
                    <a:fld id="{d552ec14-716e-40e2-8870-43ab0247db94}" type="CELLRANGE">
                      <a:rPr lang="en-US"/>
                      <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0-86C6-4CF9-98E8-E0C04B5903DA}"/>
                </c:ext>
                <c:ext xmlns:c15="http://schemas.microsoft.com/office/drawing/2012/chart" uri="{CE6537A1-D6FC-4f65-9D91-7224C49458BB}">
                  <c15:showDataLabelsRange val="1"/>
                </c:ext>
              </c:extLst>
            </c:dLbl>
            <c:dLbl>
              <c:idx val="6"/>
              <c:tx>
                <c:rich>
                  <a:bodyPr vertOverflow="clip"/>
                  <a:lstStyle/>
                  <a:p>
                    <a:fld id="{efc12191-0773-4cad-9d73-7217ca18bce5}" type="CELLRANGE">
                      <a:rPr lang="en-US"/>
                      <a:t>2011</a:t>
                    </a:fld>
                    <a:endParaRPr lang="lv-LV"/>
                  </a:p>
                </c:rich>
              </c:tx>
              <c:dLblPos val="l"/>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6-86C6-4CF9-98E8-E0C04B5903DA}"/>
                </c:ext>
                <c:ext xmlns:c15="http://schemas.microsoft.com/office/drawing/2012/chart" uri="{CE6537A1-D6FC-4f65-9D91-7224C49458BB}">
                  <c15:showDataLabelsRange val="1"/>
                </c:ext>
              </c:extLst>
            </c:dLbl>
            <c:dLbl>
              <c:idx val="7"/>
              <c:tx>
                <c:rich>
                  <a:bodyPr vertOverflow="clip"/>
                  <a:lstStyle/>
                  <a:p>
                    <a:fld id="{115e5cdb-205b-4b6c-b1a3-9024feb2b709}" type="CELLRANGE">
                      <a:rPr lang="en-US"/>
                      <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7-86C6-4CF9-98E8-E0C04B5903DA}"/>
                </c:ext>
                <c:ext xmlns:c15="http://schemas.microsoft.com/office/drawing/2012/chart" uri="{CE6537A1-D6FC-4f65-9D91-7224C49458BB}">
                  <c15:showDataLabelsRange val="1"/>
                </c:ext>
              </c:extLst>
            </c:dLbl>
            <c:dLbl>
              <c:idx val="8"/>
              <c:tx>
                <c:rich>
                  <a:bodyPr vertOverflow="clip"/>
                  <a:lstStyle/>
                  <a:p>
                    <a:fld id="{0b0b0f57-a576-4d85-bd65-e099a1d13ec8}" type="CELLRANGE">
                      <a:rPr lang="en-US"/>
                      <a:t>2013</a:t>
                    </a:fld>
                    <a:endParaRPr lang="lv-LV"/>
                  </a:p>
                </c:rich>
              </c:tx>
              <c:dLblPos val="l"/>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8-86C6-4CF9-98E8-E0C04B5903DA}"/>
                </c:ext>
                <c:ext xmlns:c15="http://schemas.microsoft.com/office/drawing/2012/chart" uri="{CE6537A1-D6FC-4f65-9D91-7224C49458BB}">
                  <c15:showDataLabelsRange val="1"/>
                </c:ext>
              </c:extLst>
            </c:dLbl>
            <c:dLbl>
              <c:idx val="9"/>
              <c:tx>
                <c:rich>
                  <a:bodyPr vertOverflow="clip"/>
                  <a:lstStyle/>
                  <a:p>
                    <a:fld id="{844462a0-1e6e-4c68-b41f-be394612eeea}" type="CELLRANGE">
                      <a:rPr lang="en-US"/>
                      <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9-86C6-4CF9-98E8-E0C04B5903DA}"/>
                </c:ext>
                <c:ext xmlns:c15="http://schemas.microsoft.com/office/drawing/2012/chart" uri="{CE6537A1-D6FC-4f65-9D91-7224C49458BB}">
                  <c15:showDataLabelsRange val="1"/>
                </c:ext>
              </c:extLst>
            </c:dLbl>
            <c:dLbl>
              <c:idx val="10"/>
              <c:tx>
                <c:rich>
                  <a:bodyPr vertOverflow="clip"/>
                  <a:lstStyle/>
                  <a:p>
                    <a:fld id="{5177cd2c-46fd-48ea-bfc6-95521b9a41f3}" type="CELLRANGE">
                      <a:rPr lang="lv-LV"/>
                      <a:t>2015</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spPr>
              <a:noFill/>
              <a:ln>
                <a:noFill/>
              </a:ln>
              <a:effectLst/>
            </c:spPr>
            <c:txPr>
              <a:bodyPr wrap="square" lIns="38100" tIns="19050" rIns="38100" bIns="19050" anchor="ctr">
                <a:spAutoFit/>
              </a:bodyPr>
              <a:lstStyle/>
              <a:p>
                <a:pPr>
                  <a:defRPr b="0"/>
                </a:pPr>
                <a:endParaRPr lang="lv-LV"/>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Sheet1!$B$3:$B$13</c:f>
              <c:numCache>
                <c:formatCode>0.0</c:formatCode>
                <c:ptCount val="11"/>
                <c:pt idx="0">
                  <c:v>21.9846069268829</c:v>
                </c:pt>
                <c:pt idx="1">
                  <c:v>23.476310625175216</c:v>
                </c:pt>
                <c:pt idx="2">
                  <c:v>22.997050147492626</c:v>
                </c:pt>
                <c:pt idx="3">
                  <c:v>21.322170900692839</c:v>
                </c:pt>
                <c:pt idx="4">
                  <c:v>16.656976744186046</c:v>
                </c:pt>
                <c:pt idx="5">
                  <c:v>17.6629517055049</c:v>
                </c:pt>
                <c:pt idx="6">
                  <c:v>16.184909670563229</c:v>
                </c:pt>
                <c:pt idx="7">
                  <c:v>16.554709141274241</c:v>
                </c:pt>
                <c:pt idx="8">
                  <c:v>18.380306814127721</c:v>
                </c:pt>
                <c:pt idx="9">
                  <c:v>19.175373134328357</c:v>
                </c:pt>
                <c:pt idx="10">
                  <c:v>19.395017793594306</c:v>
                </c:pt>
              </c:numCache>
            </c:numRef>
          </c:xVal>
          <c:yVal>
            <c:numRef>
              <c:f>Sheet1!$C$3:$C$13</c:f>
              <c:numCache>
                <c:formatCode>0.0</c:formatCode>
                <c:ptCount val="11"/>
                <c:pt idx="0">
                  <c:v>0.23148846762899014</c:v>
                </c:pt>
                <c:pt idx="1">
                  <c:v>0.27052104241130209</c:v>
                </c:pt>
                <c:pt idx="2">
                  <c:v>0.33430471450969068</c:v>
                </c:pt>
                <c:pt idx="3">
                  <c:v>0.4730137171087847</c:v>
                </c:pt>
                <c:pt idx="4">
                  <c:v>0.53133868177940013</c:v>
                </c:pt>
                <c:pt idx="5">
                  <c:v>0.45365647914717816</c:v>
                </c:pt>
                <c:pt idx="6">
                  <c:v>0.50772743412687238</c:v>
                </c:pt>
                <c:pt idx="7">
                  <c:v>0.55418550582914072</c:v>
                </c:pt>
                <c:pt idx="8">
                  <c:v>0.529272956043415</c:v>
                </c:pt>
                <c:pt idx="9">
                  <c:v>0.55680904002928089</c:v>
                </c:pt>
                <c:pt idx="10">
                  <c:v>0.60476624355913033</c:v>
                </c:pt>
              </c:numCache>
            </c:numRef>
          </c:yVal>
          <c:smooth val="1"/>
          <c:extLst>
            <c:ext xmlns:c="http://schemas.openxmlformats.org/drawingml/2006/chart" xmlns:c16="http://schemas.microsoft.com/office/drawing/2014/chart" uri="{C3380CC4-5D6E-409C-BE32-E72D297353CC}">
              <c16:uniqueId val="{0000000E-86C6-4CF9-98E8-E0C04B5903DA}"/>
            </c:ext>
            <c:ext xmlns:c15="http://schemas.microsoft.com/office/drawing/2012/chart" uri="{02D57815-91ED-43cb-92C2-25804820EDAC}">
              <c15:datalabelsRange>
                <c15:f>Sheet1!$A$3:$A$13</c15:f>
                <c15:dlblRangeCache>
                  <c:ptCount val="11"/>
                  <c:pt idx="0">
                    <c:v>2005</c:v>
                  </c:pt>
                  <c:pt idx="2">
                    <c:v>2007</c:v>
                  </c:pt>
                  <c:pt idx="4">
                    <c:v>2009</c:v>
                  </c:pt>
                  <c:pt idx="6">
                    <c:v>2011</c:v>
                  </c:pt>
                  <c:pt idx="8">
                    <c:v>2013</c:v>
                  </c:pt>
                  <c:pt idx="10">
                    <c:v>2015</c:v>
                  </c:pt>
                </c15:dlblRangeCache>
              </c15:datalabelsRange>
            </c:ext>
          </c:extLst>
        </c:ser>
        <c:dLbls>
          <c:showLegendKey val="0"/>
          <c:showVal val="0"/>
          <c:showCatName val="0"/>
          <c:showSerName val="0"/>
          <c:showPercent val="0"/>
          <c:showBubbleSize val="0"/>
        </c:dLbls>
        <c:axId val="629883184"/>
        <c:axId val="629892592"/>
      </c:scatterChart>
      <c:valAx>
        <c:axId val="629883184"/>
        <c:scaling>
          <c:orientation val="minMax"/>
        </c:scaling>
        <c:delete val="0"/>
        <c:axPos val="b"/>
        <c:title>
          <c:tx>
            <c:rich>
              <a:bodyPr vertOverflow="clip"/>
              <a:lstStyle/>
              <a:p>
                <a:pPr>
                  <a:defRPr sz="700" b="0">
                    <a:latin typeface="Arial Narrow" pitchFamily="34" charset="0"/>
                  </a:defRPr>
                </a:pPr>
                <a:r>
                  <a:rPr lang="lv-LV" sz="700" b="0">
                    <a:latin typeface="Arial Narrow" pitchFamily="34" charset="0"/>
                  </a:rPr>
                  <a:t>Produktivitāte (pievienotā vērtība </a:t>
                </a:r>
                <a:br>
                  <a:rPr lang="lv-LV" sz="700" b="0">
                    <a:latin typeface="Arial Narrow" pitchFamily="34" charset="0"/>
                  </a:rPr>
                </a:br>
                <a:r>
                  <a:rPr lang="lv-LV" sz="700" b="0">
                    <a:latin typeface="Arial Narrow" pitchFamily="34" charset="0"/>
                  </a:rPr>
                  <a:t>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29892592"/>
        <c:crosses val="autoZero"/>
        <c:crossBetween val="midCat"/>
        <c:majorUnit val="10"/>
      </c:valAx>
      <c:valAx>
        <c:axId val="629892592"/>
        <c:scaling>
          <c:orientation val="minMax"/>
          <c:min val="0.2"/>
        </c:scaling>
        <c:delete val="0"/>
        <c:axPos val="l"/>
        <c:title>
          <c:tx>
            <c:rich>
              <a:bodyPr vertOverflow="clip"/>
              <a:lstStyle/>
              <a:p>
                <a:pPr>
                  <a:defRPr sz="700" b="0"/>
                </a:pPr>
                <a:r>
                  <a:rPr lang="lv-LV" sz="700" b="0">
                    <a:latin typeface="Arial Narrow" pitchFamily="34" charset="0"/>
                  </a:rPr>
                  <a:t>Darbaspēka izmaksas </a:t>
                </a:r>
                <a:br>
                  <a:rPr lang="lv-LV" sz="700" b="0">
                    <a:latin typeface="Arial Narrow" pitchFamily="34" charset="0"/>
                  </a:rPr>
                </a:br>
                <a:r>
                  <a:rPr lang="lv-LV" sz="700" b="0">
                    <a:latin typeface="Arial Narrow" pitchFamily="34" charset="0"/>
                  </a:rPr>
                  <a:t>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29883184"/>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8"/>
          <c:y val="0.046005165816941182"/>
          <c:w val="0.85762258292899962"/>
          <c:h val="0.831279863372076"/>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Sheet1!$B$1:$J$1</c:f>
              <c:strCache>
                <c:ptCount val="9"/>
                <c:pt idx="0">
                  <c:v>2007</c:v>
                </c:pt>
                <c:pt idx="1">
                  <c:v>2008</c:v>
                </c:pt>
                <c:pt idx="2">
                  <c:v>2009</c:v>
                </c:pt>
                <c:pt idx="3">
                  <c:v>2010</c:v>
                </c:pt>
                <c:pt idx="4">
                  <c:v>2011</c:v>
                </c:pt>
                <c:pt idx="5">
                  <c:v>2012</c:v>
                </c:pt>
                <c:pt idx="6">
                  <c:v>2013</c:v>
                </c:pt>
                <c:pt idx="7">
                  <c:v>2014</c:v>
                </c:pt>
                <c:pt idx="8">
                  <c:v>2015</c:v>
                </c:pt>
              </c:strCache>
            </c:strRef>
          </c:cat>
          <c:val>
            <c:numRef>
              <c:f>Sheet1!$B$2:$J$2</c:f>
              <c:numCache>
                <c:formatCode>0</c:formatCode>
                <c:ptCount val="9"/>
                <c:pt idx="0">
                  <c:v>33.733810364325855</c:v>
                </c:pt>
                <c:pt idx="1">
                  <c:v>39.366062694556014</c:v>
                </c:pt>
                <c:pt idx="2">
                  <c:v>35.265739314535836</c:v>
                </c:pt>
                <c:pt idx="3">
                  <c:v>31.598932010849889</c:v>
                </c:pt>
                <c:pt idx="4">
                  <c:v>31.869900214985641</c:v>
                </c:pt>
                <c:pt idx="5">
                  <c:v>33.801329812213076</c:v>
                </c:pt>
                <c:pt idx="6">
                  <c:v>35.118191713592282</c:v>
                </c:pt>
                <c:pt idx="7">
                  <c:v>37.375186420479331</c:v>
                </c:pt>
                <c:pt idx="8">
                  <c:v>39.02724647709001</c:v>
                </c:pt>
              </c:numCache>
            </c:numRef>
          </c:val>
          <c:extLst>
            <c:ext xmlns:c="http://schemas.openxmlformats.org/drawingml/2006/chart" xmlns:c16="http://schemas.microsoft.com/office/drawing/2014/chart" uri="{C3380CC4-5D6E-409C-BE32-E72D297353CC}">
              <c16:uniqueId val="{00000000-4CB0-4376-9330-7C0A60F06C2C}"/>
            </c:ext>
          </c:extLst>
        </c:ser>
        <c:ser>
          <c:idx val="1"/>
          <c:order val="1"/>
          <c:tx>
            <c:strRef>
              <c:f>Sheet1!$A$3</c:f>
              <c:strCache>
                <c:ptCount val="1"/>
                <c:pt idx="0">
                  <c:v>Pārtikas, dzērienu un tabakas izstr. raž.</c:v>
                </c:pt>
              </c:strCache>
            </c:strRef>
          </c:tx>
          <c:spPr>
            <a:ln>
              <a:solidFill>
                <a:sysClr val="windowText" lastClr="000000"/>
              </a:solidFill>
            </a:ln>
          </c:spPr>
          <c:invertIfNegative val="0"/>
          <c:dLbls>
            <c:numFmt formatCode="#,##0" sourceLinked="0"/>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2007</c:v>
                </c:pt>
                <c:pt idx="1">
                  <c:v>2008</c:v>
                </c:pt>
                <c:pt idx="2">
                  <c:v>2009</c:v>
                </c:pt>
                <c:pt idx="3">
                  <c:v>2010</c:v>
                </c:pt>
                <c:pt idx="4">
                  <c:v>2011</c:v>
                </c:pt>
                <c:pt idx="5">
                  <c:v>2012</c:v>
                </c:pt>
                <c:pt idx="6">
                  <c:v>2013</c:v>
                </c:pt>
                <c:pt idx="7">
                  <c:v>2014</c:v>
                </c:pt>
                <c:pt idx="8">
                  <c:v>2015</c:v>
                </c:pt>
              </c:strCache>
            </c:strRef>
          </c:cat>
          <c:val>
            <c:numRef>
              <c:f>Sheet1!$B$3:$J$3</c:f>
              <c:numCache>
                <c:formatCode>0</c:formatCode>
                <c:ptCount val="9"/>
                <c:pt idx="0">
                  <c:v>27.461778206955685</c:v>
                </c:pt>
                <c:pt idx="1">
                  <c:v>37.103106839231792</c:v>
                </c:pt>
                <c:pt idx="2">
                  <c:v>33.098528629036473</c:v>
                </c:pt>
                <c:pt idx="3">
                  <c:v>27.937850065143504</c:v>
                </c:pt>
                <c:pt idx="4">
                  <c:v>28.1439241323916</c:v>
                </c:pt>
                <c:pt idx="5">
                  <c:v>30.47678674803128</c:v>
                </c:pt>
                <c:pt idx="6">
                  <c:v>31.698058406980913</c:v>
                </c:pt>
                <c:pt idx="7">
                  <c:v>34.333180616376538</c:v>
                </c:pt>
                <c:pt idx="8">
                  <c:v>36.670098187554842</c:v>
                </c:pt>
              </c:numCache>
            </c:numRef>
          </c:val>
          <c:extLst>
            <c:ext xmlns:c="http://schemas.openxmlformats.org/drawingml/2006/chart" xmlns:c16="http://schemas.microsoft.com/office/drawing/2014/chart" uri="{C3380CC4-5D6E-409C-BE32-E72D297353CC}">
              <c16:uniqueId val="{00000001-4CB0-4376-9330-7C0A60F06C2C}"/>
            </c:ext>
          </c:extLst>
        </c:ser>
        <c:dLbls>
          <c:showLegendKey val="0"/>
          <c:showVal val="0"/>
          <c:showCatName val="0"/>
          <c:showSerName val="0"/>
          <c:showPercent val="0"/>
          <c:showBubbleSize val="0"/>
        </c:dLbls>
        <c:gapWidth val="50"/>
        <c:overlap val="52"/>
        <c:axId val="629889848"/>
        <c:axId val="629893376"/>
      </c:barChart>
      <c:catAx>
        <c:axId val="629889848"/>
        <c:scaling>
          <c:orientation val="minMax"/>
        </c:scaling>
        <c:delete val="0"/>
        <c:axPos val="b"/>
        <c:numFmt formatCode="General" sourceLinked="0"/>
        <c:majorTickMark val="out"/>
        <c:minorTickMark val="none"/>
        <c:tickLblPos val="nextTo"/>
        <c:txPr>
          <a:bodyPr/>
          <a:lstStyle/>
          <a:p>
            <a:pPr>
              <a:defRPr sz="700"/>
            </a:pPr>
            <a:endParaRPr lang="lv-LV"/>
          </a:p>
        </c:txPr>
        <c:crossAx val="629893376"/>
        <c:crosses val="autoZero"/>
        <c:auto val="1"/>
        <c:lblAlgn val="ctr"/>
        <c:lblOffset val="100"/>
        <c:noMultiLvlLbl val="0"/>
      </c:catAx>
      <c:valAx>
        <c:axId val="629893376"/>
        <c:scaling>
          <c:orientation val="minMax"/>
          <c:max val="80"/>
        </c:scaling>
        <c:delete val="0"/>
        <c:axPos val="l"/>
        <c:numFmt formatCode="0" sourceLinked="0"/>
        <c:majorTickMark val="out"/>
        <c:minorTickMark val="none"/>
        <c:tickLblPos val="nextTo"/>
        <c:txPr>
          <a:bodyPr/>
          <a:lstStyle/>
          <a:p>
            <a:pPr>
              <a:defRPr sz="800"/>
            </a:pPr>
            <a:endParaRPr lang="lv-LV"/>
          </a:p>
        </c:txPr>
        <c:crossAx val="629889848"/>
        <c:crosses val="autoZero"/>
        <c:crossBetween val="between"/>
        <c:majorUnit val="20"/>
      </c:valAx>
      <c:spPr>
        <a:ln>
          <a:noFill/>
        </a:ln>
      </c:spPr>
    </c:plotArea>
    <c:legend>
      <c:legendPos val="r"/>
      <c:layout>
        <c:manualLayout>
          <c:xMode val="edge"/>
          <c:yMode val="edge"/>
          <c:x val="0.10158586678907289"/>
          <c:y val="0.061540280437918232"/>
          <c:w val="0.89044078010428074"/>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738"/>
          <c:y val="0.046005165816941182"/>
          <c:w val="0.85762258292899962"/>
          <c:h val="0.83127986337207582"/>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Sheet1!$B$1:$I$1</c:f>
              <c:strCache>
                <c:ptCount val="8"/>
                <c:pt idx="0">
                  <c:v>2007</c:v>
                </c:pt>
                <c:pt idx="1">
                  <c:v>2008</c:v>
                </c:pt>
                <c:pt idx="2">
                  <c:v>2009</c:v>
                </c:pt>
                <c:pt idx="3">
                  <c:v>2010</c:v>
                </c:pt>
                <c:pt idx="4">
                  <c:v>2011</c:v>
                </c:pt>
                <c:pt idx="5">
                  <c:v>2012</c:v>
                </c:pt>
                <c:pt idx="6">
                  <c:v>2013</c:v>
                </c:pt>
                <c:pt idx="7">
                  <c:v>2014</c:v>
                </c:pt>
              </c:strCache>
            </c:strRef>
          </c:cat>
          <c:val>
            <c:numRef>
              <c:f>Sheet1!$B$2:$I$2</c:f>
              <c:numCache>
                <c:formatCode>0</c:formatCode>
                <c:ptCount val="8"/>
                <c:pt idx="0">
                  <c:v>37.543267740570116</c:v>
                </c:pt>
                <c:pt idx="1">
                  <c:v>40.842057643741676</c:v>
                </c:pt>
                <c:pt idx="2">
                  <c:v>38.288707041966028</c:v>
                </c:pt>
                <c:pt idx="3">
                  <c:v>37.097778599507883</c:v>
                </c:pt>
                <c:pt idx="4">
                  <c:v>40.389766440010831</c:v>
                </c:pt>
                <c:pt idx="5">
                  <c:v>42.46259667259212</c:v>
                </c:pt>
                <c:pt idx="6">
                  <c:v>42.568476309606638</c:v>
                </c:pt>
                <c:pt idx="7">
                  <c:v>43.635115226322327</c:v>
                </c:pt>
              </c:numCache>
            </c:numRef>
          </c:val>
          <c:extLst>
            <c:ext xmlns:c="http://schemas.openxmlformats.org/drawingml/2006/chart" xmlns:c16="http://schemas.microsoft.com/office/drawing/2014/chart" uri="{C3380CC4-5D6E-409C-BE32-E72D297353CC}">
              <c16:uniqueId val="{00000000-1812-4F98-B2B6-96B37CB7DE54}"/>
            </c:ext>
          </c:extLst>
        </c:ser>
        <c:ser>
          <c:idx val="1"/>
          <c:order val="1"/>
          <c:tx>
            <c:strRef>
              <c:f>Sheet1!$A$3</c:f>
              <c:strCache>
                <c:ptCount val="1"/>
                <c:pt idx="0">
                  <c:v>Pārtikas, dzērienu un tabakas izstr. raž.</c:v>
                </c:pt>
              </c:strCache>
            </c:strRef>
          </c:tx>
          <c:spPr>
            <a:ln>
              <a:solidFill>
                <a:sysClr val="windowText" lastClr="000000"/>
              </a:solidFill>
            </a:ln>
          </c:spPr>
          <c:invertIfNegative val="0"/>
          <c:dLbls>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2007</c:v>
                </c:pt>
                <c:pt idx="1">
                  <c:v>2008</c:v>
                </c:pt>
                <c:pt idx="2">
                  <c:v>2009</c:v>
                </c:pt>
                <c:pt idx="3">
                  <c:v>2010</c:v>
                </c:pt>
                <c:pt idx="4">
                  <c:v>2011</c:v>
                </c:pt>
                <c:pt idx="5">
                  <c:v>2012</c:v>
                </c:pt>
                <c:pt idx="6">
                  <c:v>2013</c:v>
                </c:pt>
                <c:pt idx="7">
                  <c:v>2014</c:v>
                </c:pt>
              </c:strCache>
            </c:strRef>
          </c:cat>
          <c:val>
            <c:numRef>
              <c:f>Sheet1!$B$3:$I$3</c:f>
              <c:numCache>
                <c:formatCode>0</c:formatCode>
                <c:ptCount val="8"/>
                <c:pt idx="0">
                  <c:v>34.493138386393547</c:v>
                </c:pt>
                <c:pt idx="1">
                  <c:v>37.410821651702911</c:v>
                </c:pt>
                <c:pt idx="2">
                  <c:v>36.870632242268123</c:v>
                </c:pt>
                <c:pt idx="3">
                  <c:v>36.85455657546283</c:v>
                </c:pt>
                <c:pt idx="4">
                  <c:v>36.050650378145576</c:v>
                </c:pt>
                <c:pt idx="5">
                  <c:v>36.898177653384451</c:v>
                </c:pt>
                <c:pt idx="6">
                  <c:v>40.224179180888306</c:v>
                </c:pt>
                <c:pt idx="7">
                  <c:v>40.812947760386784</c:v>
                </c:pt>
              </c:numCache>
            </c:numRef>
          </c:val>
          <c:extLst>
            <c:ext xmlns:c="http://schemas.openxmlformats.org/drawingml/2006/chart" xmlns:c16="http://schemas.microsoft.com/office/drawing/2014/chart" uri="{C3380CC4-5D6E-409C-BE32-E72D297353CC}">
              <c16:uniqueId val="{00000001-1812-4F98-B2B6-96B37CB7DE54}"/>
            </c:ext>
          </c:extLst>
        </c:ser>
        <c:dLbls>
          <c:showLegendKey val="0"/>
          <c:showVal val="0"/>
          <c:showCatName val="0"/>
          <c:showSerName val="0"/>
          <c:showPercent val="0"/>
          <c:showBubbleSize val="0"/>
        </c:dLbls>
        <c:gapWidth val="50"/>
        <c:overlap val="52"/>
        <c:axId val="629888280"/>
        <c:axId val="629890240"/>
      </c:barChart>
      <c:catAx>
        <c:axId val="629888280"/>
        <c:scaling>
          <c:orientation val="minMax"/>
        </c:scaling>
        <c:delete val="0"/>
        <c:axPos val="b"/>
        <c:numFmt formatCode="General" sourceLinked="0"/>
        <c:majorTickMark val="out"/>
        <c:minorTickMark val="none"/>
        <c:tickLblPos val="nextTo"/>
        <c:txPr>
          <a:bodyPr rot="-2700000"/>
          <a:lstStyle/>
          <a:p>
            <a:pPr>
              <a:defRPr sz="800"/>
            </a:pPr>
            <a:endParaRPr lang="lv-LV"/>
          </a:p>
        </c:txPr>
        <c:crossAx val="629890240"/>
        <c:crosses val="autoZero"/>
        <c:auto val="1"/>
        <c:lblAlgn val="ctr"/>
        <c:lblOffset val="100"/>
        <c:noMultiLvlLbl val="0"/>
      </c:catAx>
      <c:valAx>
        <c:axId val="629890240"/>
        <c:scaling>
          <c:orientation val="minMax"/>
          <c:max val="80"/>
        </c:scaling>
        <c:delete val="0"/>
        <c:axPos val="l"/>
        <c:numFmt formatCode="0" sourceLinked="1"/>
        <c:majorTickMark val="out"/>
        <c:minorTickMark val="none"/>
        <c:tickLblPos val="nextTo"/>
        <c:txPr>
          <a:bodyPr/>
          <a:lstStyle/>
          <a:p>
            <a:pPr>
              <a:defRPr sz="800"/>
            </a:pPr>
            <a:endParaRPr lang="lv-LV"/>
          </a:p>
        </c:txPr>
        <c:crossAx val="629888280"/>
        <c:crosses val="autoZero"/>
        <c:crossBetween val="between"/>
        <c:majorUnit val="20"/>
      </c:valAx>
      <c:spPr>
        <a:ln>
          <a:noFill/>
        </a:ln>
      </c:spPr>
    </c:plotArea>
    <c:legend>
      <c:legendPos val="r"/>
      <c:layout>
        <c:manualLayout>
          <c:xMode val="edge"/>
          <c:yMode val="edge"/>
          <c:x val="0.078538740651149019"/>
          <c:y val="0.04952826842590622"/>
          <c:w val="0.9138598116411919"/>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46717244654"/>
          <c:y val="0.044057617797775277"/>
          <c:w val="0.9310540474739486"/>
          <c:h val="0.5056995924289952"/>
        </c:manualLayout>
      </c:layout>
      <c:barChart>
        <c:barDir val="col"/>
        <c:grouping val="clustered"/>
        <c:varyColors val="0"/>
        <c:ser>
          <c:idx val="1"/>
          <c:order val="0"/>
          <c:tx>
            <c:strRef>
              <c:f>Sheet1!$B$3</c:f>
              <c:strCache>
                <c:ptCount val="1"/>
                <c:pt idx="0">
                  <c:v>Compensation per employees 1000 of euro</c:v>
                </c:pt>
              </c:strCache>
            </c:strRef>
          </c:tx>
          <c:spPr>
            <a:solidFill>
              <a:schemeClr val="accent3">
                <a:lumMod val="50000"/>
              </a:schemeClr>
            </a:solidFill>
            <a:ln w="19050"/>
          </c:spPr>
          <c:invertIfNegative val="0"/>
          <c:dPt>
            <c:idx val="13"/>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4-6AE5-4D84-BB09-452D1378364F}"/>
              </c:ext>
            </c:extLst>
          </c:dPt>
          <c:dPt>
            <c:idx val="20"/>
            <c:invertIfNegative val="0"/>
            <c:bubble3D val="0"/>
            <c:extLst>
              <c:ext xmlns:c="http://schemas.openxmlformats.org/drawingml/2006/chart" xmlns:c16="http://schemas.microsoft.com/office/drawing/2014/chart" uri="{C3380CC4-5D6E-409C-BE32-E72D297353CC}">
                <c16:uniqueId val="{00000000-71C2-448D-B827-CEC9DA431622}"/>
              </c:ext>
            </c:extLst>
          </c:dPt>
          <c:dPt>
            <c:idx val="24"/>
            <c:invertIfNegative val="0"/>
            <c:bubble3D val="0"/>
            <c:spPr>
              <a:solidFill>
                <a:srgbClr val="C00000"/>
              </a:solidFill>
              <a:ln w="19050"/>
            </c:spPr>
            <c:extLst>
              <c:ext xmlns:c="http://schemas.openxmlformats.org/drawingml/2006/chart" xmlns:c16="http://schemas.microsoft.com/office/drawing/2014/chart" uri="{C3380CC4-5D6E-409C-BE32-E72D297353CC}">
                <c16:uniqueId val="{00000002-71C2-448D-B827-CEC9DA431622}"/>
              </c:ext>
            </c:extLst>
          </c:dPt>
          <c:dPt>
            <c:idx val="25"/>
            <c:invertIfNegative val="0"/>
            <c:bubble3D val="0"/>
            <c:extLst>
              <c:ext xmlns:c="http://schemas.openxmlformats.org/drawingml/2006/chart" xmlns:c16="http://schemas.microsoft.com/office/drawing/2014/chart" uri="{C3380CC4-5D6E-409C-BE32-E72D297353CC}">
                <c16:uniqueId val="{00000003-71C2-448D-B827-CEC9DA431622}"/>
              </c:ext>
            </c:extLst>
          </c:dPt>
          <c:dLbls>
            <c:dLbl>
              <c:idx val="24"/>
              <c:layout>
                <c:manualLayout>
                  <c:x val="0"/>
                  <c:y val="-3.6702729232016727E-05"/>
                </c:manualLayout>
              </c:layout>
              <c:numFmt formatCode="#,##0" sourceLinked="0"/>
              <c:spPr>
                <a:noFill/>
                <a:ln>
                  <a:noFill/>
                </a:ln>
                <a:effectLst/>
              </c:spPr>
              <c:txPr>
                <a:bodyPr/>
                <a:lstStyle/>
                <a:p>
                  <a:pPr>
                    <a:defRPr sz="600" b="1"/>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71C2-448D-B827-CEC9DA431622}"/>
                </c:ext>
                <c:ext xmlns:c15="http://schemas.microsoft.com/office/drawing/2012/chart" uri="{CE6537A1-D6FC-4f65-9D91-7224C49458BB}"/>
              </c:extLst>
            </c:dLbl>
            <c:dLbl>
              <c:idx val="25"/>
              <c:layout>
                <c:manualLayout>
                  <c:x val="0"/>
                  <c:y val="0.0047350290403144375"/>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71C2-448D-B827-CEC9DA431622}"/>
                </c:ext>
                <c:ext xmlns:c15="http://schemas.microsoft.com/office/drawing/2012/chart" uri="{CE6537A1-D6FC-4f65-9D91-7224C49458BB}"/>
              </c:extLst>
            </c:dLbl>
            <c:numFmt formatCode="#,##0" sourceLinked="0"/>
            <c:spPr>
              <a:noFill/>
              <a:ln>
                <a:noFill/>
              </a:ln>
              <a:effectLst/>
            </c:spPr>
            <c:txPr>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Sheet1!$A$4:$A$32</c:f>
              <c:strCache>
                <c:ptCount val="29"/>
                <c:pt idx="0">
                  <c:v>Apv. Karaliste</c:v>
                </c:pt>
                <c:pt idx="1">
                  <c:v>Beļģija</c:v>
                </c:pt>
                <c:pt idx="2">
                  <c:v>Dānija</c:v>
                </c:pt>
                <c:pt idx="3">
                  <c:v>Nīderlande</c:v>
                </c:pt>
                <c:pt idx="4">
                  <c:v>Īrija</c:v>
                </c:pt>
                <c:pt idx="5">
                  <c:v>Somija</c:v>
                </c:pt>
                <c:pt idx="6">
                  <c:v>Zviedrija</c:v>
                </c:pt>
                <c:pt idx="7">
                  <c:v>Francija</c:v>
                </c:pt>
                <c:pt idx="8">
                  <c:v>Austrija</c:v>
                </c:pt>
                <c:pt idx="9">
                  <c:v>Luksemburga</c:v>
                </c:pt>
                <c:pt idx="10">
                  <c:v>Itālija</c:v>
                </c:pt>
                <c:pt idx="11">
                  <c:v>Vācija</c:v>
                </c:pt>
                <c:pt idx="12">
                  <c:v>Spānija</c:v>
                </c:pt>
                <c:pt idx="13">
                  <c:v>ES-28</c:v>
                </c:pt>
                <c:pt idx="14">
                  <c:v>Slovēnija</c:v>
                </c:pt>
                <c:pt idx="15">
                  <c:v>Grieķija</c:v>
                </c:pt>
                <c:pt idx="16">
                  <c:v>Malta</c:v>
                </c:pt>
                <c:pt idx="17">
                  <c:v>Kipra</c:v>
                </c:pt>
                <c:pt idx="18">
                  <c:v>Portugāle</c:v>
                </c:pt>
                <c:pt idx="19">
                  <c:v>Igaunija</c:v>
                </c:pt>
                <c:pt idx="20">
                  <c:v>Horvātija</c:v>
                </c:pt>
                <c:pt idx="21">
                  <c:v>Lietuva</c:v>
                </c:pt>
                <c:pt idx="22">
                  <c:v>Čehija</c:v>
                </c:pt>
                <c:pt idx="23">
                  <c:v>Slovākija</c:v>
                </c:pt>
                <c:pt idx="24">
                  <c:v>Latvija</c:v>
                </c:pt>
                <c:pt idx="25">
                  <c:v>Polija</c:v>
                </c:pt>
                <c:pt idx="26">
                  <c:v>Ungārija</c:v>
                </c:pt>
                <c:pt idx="27">
                  <c:v>Rumānija</c:v>
                </c:pt>
                <c:pt idx="28">
                  <c:v>Bulgārija</c:v>
                </c:pt>
              </c:strCache>
            </c:strRef>
          </c:cat>
          <c:val>
            <c:numRef>
              <c:f>Sheet1!$B$4:$B$32</c:f>
              <c:numCache>
                <c:formatCode>#,##0.0</c:formatCode>
                <c:ptCount val="29"/>
                <c:pt idx="0">
                  <c:v>62.501331980210587</c:v>
                </c:pt>
                <c:pt idx="1">
                  <c:v>53.030337078651684</c:v>
                </c:pt>
                <c:pt idx="2">
                  <c:v>52.547916666666673</c:v>
                </c:pt>
                <c:pt idx="3">
                  <c:v>50.066115702479337</c:v>
                </c:pt>
                <c:pt idx="4">
                  <c:v>47.398425866836838</c:v>
                </c:pt>
                <c:pt idx="5">
                  <c:v>45.88397790055248</c:v>
                </c:pt>
                <c:pt idx="6">
                  <c:v>43.932727272727277</c:v>
                </c:pt>
                <c:pt idx="7">
                  <c:v>39.266222961730449</c:v>
                </c:pt>
                <c:pt idx="8">
                  <c:v>37.620177300536895</c:v>
                </c:pt>
                <c:pt idx="9">
                  <c:v>37.373188405797109</c:v>
                </c:pt>
                <c:pt idx="10">
                  <c:v>36.58917025862069</c:v>
                </c:pt>
                <c:pt idx="11">
                  <c:v>35.849035187287171</c:v>
                </c:pt>
                <c:pt idx="12">
                  <c:v>32.743209876543212</c:v>
                </c:pt>
                <c:pt idx="13">
                  <c:v>31.986421183827868</c:v>
                </c:pt>
                <c:pt idx="14">
                  <c:v>21.203007518796991</c:v>
                </c:pt>
                <c:pt idx="15">
                  <c:v>21.060898985016916</c:v>
                </c:pt>
                <c:pt idx="16">
                  <c:v>20.723270440251572</c:v>
                </c:pt>
                <c:pt idx="17">
                  <c:v>19.262510974539069</c:v>
                </c:pt>
                <c:pt idx="18">
                  <c:v>16.47396593673966</c:v>
                </c:pt>
                <c:pt idx="19">
                  <c:v>16.154362416107382</c:v>
                </c:pt>
                <c:pt idx="20">
                  <c:v>15.053398881166299</c:v>
                </c:pt>
                <c:pt idx="21">
                  <c:v>12.973036896877955</c:v>
                </c:pt>
                <c:pt idx="22">
                  <c:v>12.641794807159062</c:v>
                </c:pt>
                <c:pt idx="23">
                  <c:v>12.510160172125268</c:v>
                </c:pt>
                <c:pt idx="24">
                  <c:v>11.729452054794521</c:v>
                </c:pt>
                <c:pt idx="25">
                  <c:v>10.381357571069424</c:v>
                </c:pt>
                <c:pt idx="26">
                  <c:v>10.124989443459169</c:v>
                </c:pt>
                <c:pt idx="27">
                  <c:v>5.7388831437435366</c:v>
                </c:pt>
                <c:pt idx="28">
                  <c:v>5.5017086051568809</c:v>
                </c:pt>
              </c:numCache>
            </c:numRef>
          </c:val>
          <c:extLst>
            <c:ext xmlns:c="http://schemas.openxmlformats.org/drawingml/2006/chart" xmlns:c16="http://schemas.microsoft.com/office/drawing/2014/chart" uri="{C3380CC4-5D6E-409C-BE32-E72D297353CC}">
              <c16:uniqueId val="{00000004-71C2-448D-B827-CEC9DA431622}"/>
            </c:ext>
          </c:extLst>
        </c:ser>
        <c:dLbls>
          <c:showLegendKey val="0"/>
          <c:showVal val="0"/>
          <c:showCatName val="0"/>
          <c:showSerName val="0"/>
          <c:showPercent val="0"/>
          <c:showBubbleSize val="0"/>
        </c:dLbls>
        <c:gapWidth val="20"/>
        <c:axId val="629890632"/>
        <c:axId val="629885536"/>
      </c:barChart>
      <c:catAx>
        <c:axId val="629890632"/>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29885536"/>
        <c:crosses val="autoZero"/>
        <c:auto val="1"/>
        <c:lblAlgn val="ctr"/>
        <c:lblOffset val="100"/>
        <c:tickLblSkip val="1"/>
        <c:noMultiLvlLbl val="0"/>
      </c:catAx>
      <c:valAx>
        <c:axId val="629885536"/>
        <c:scaling>
          <c:orientation val="minMax"/>
        </c:scaling>
        <c:delete val="0"/>
        <c:axPos val="l"/>
        <c:numFmt formatCode="0" sourceLinked="0"/>
        <c:majorTickMark val="out"/>
        <c:minorTickMark val="none"/>
        <c:tickLblPos val="nextTo"/>
        <c:txPr>
          <a:bodyPr/>
          <a:lstStyle/>
          <a:p>
            <a:pPr>
              <a:defRPr sz="600"/>
            </a:pPr>
            <a:endParaRPr lang="lv-LV"/>
          </a:p>
        </c:txPr>
        <c:crossAx val="629890632"/>
        <c:crosses val="autoZero"/>
        <c:crossBetween val="between"/>
      </c:valAx>
    </c:plotArea>
    <c:plotVisOnly val="1"/>
    <c:dispBlanksAs val="gap"/>
    <c:showDLblsOverMax val="0"/>
  </c:chart>
  <c:spPr>
    <a:ln w="9525">
      <a:noFill/>
    </a:ln>
  </c:sp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46717244654"/>
          <c:y val="0.044057617797775277"/>
          <c:w val="0.9310540474739486"/>
          <c:h val="0.61410067643983524"/>
        </c:manualLayout>
      </c:layout>
      <c:barChart>
        <c:barDir val="col"/>
        <c:grouping val="clustered"/>
        <c:varyColors val="0"/>
        <c:ser>
          <c:idx val="1"/>
          <c:order val="0"/>
          <c:tx>
            <c:strRef>
              <c:f>Sheet1!$B$3</c:f>
              <c:strCache>
                <c:ptCount val="1"/>
                <c:pt idx="0">
                  <c:v>Productivity</c:v>
                </c:pt>
              </c:strCache>
            </c:strRef>
          </c:tx>
          <c:spPr>
            <a:solidFill>
              <a:schemeClr val="accent3">
                <a:lumMod val="50000"/>
              </a:schemeClr>
            </a:solidFill>
            <a:ln w="19050"/>
          </c:spPr>
          <c:invertIfNegative val="0"/>
          <c:dPt>
            <c:idx val="5"/>
            <c:invertIfNegative val="0"/>
            <c:bubble3D val="0"/>
            <c:extLst>
              <c:ext xmlns:c="http://schemas.openxmlformats.org/drawingml/2006/chart" xmlns:c16="http://schemas.microsoft.com/office/drawing/2014/chart" uri="{C3380CC4-5D6E-409C-BE32-E72D297353CC}">
                <c16:uniqueId val="{00000004-9977-4945-A394-4B15690F5E66}"/>
              </c:ext>
            </c:extLst>
          </c:dPt>
          <c:dPt>
            <c:idx val="12"/>
            <c:invertIfNegative val="0"/>
            <c:bubble3D val="0"/>
            <c:extLst>
              <c:ext xmlns:c="http://schemas.openxmlformats.org/drawingml/2006/chart" xmlns:c16="http://schemas.microsoft.com/office/drawing/2014/chart" uri="{C3380CC4-5D6E-409C-BE32-E72D297353CC}">
                <c16:uniqueId val="{00000006-8D07-4295-9AD3-22881D6AC0E4}"/>
              </c:ext>
            </c:extLst>
          </c:dPt>
          <c:dPt>
            <c:idx val="20"/>
            <c:invertIfNegative val="0"/>
            <c:bubble3D val="0"/>
            <c:extLst>
              <c:ext xmlns:c="http://schemas.openxmlformats.org/drawingml/2006/chart" xmlns:c16="http://schemas.microsoft.com/office/drawing/2014/chart" uri="{C3380CC4-5D6E-409C-BE32-E72D297353CC}">
                <c16:uniqueId val="{00000000-C847-4E49-A84D-1C4F946D2EF8}"/>
              </c:ext>
            </c:extLst>
          </c:dPt>
          <c:dPt>
            <c:idx val="22"/>
            <c:invertIfNegative val="0"/>
            <c:bubble3D val="0"/>
            <c:spPr>
              <a:solidFill>
                <a:srgbClr val="C00000"/>
              </a:solidFill>
              <a:ln w="19050"/>
            </c:spPr>
            <c:extLst>
              <c:ext xmlns:c="http://schemas.openxmlformats.org/drawingml/2006/chart" xmlns:c16="http://schemas.microsoft.com/office/drawing/2014/chart" uri="{C3380CC4-5D6E-409C-BE32-E72D297353CC}">
                <c16:uniqueId val="{00000007-8D07-4295-9AD3-22881D6AC0E4}"/>
              </c:ext>
            </c:extLst>
          </c:dPt>
          <c:dPt>
            <c:idx val="24"/>
            <c:invertIfNegative val="0"/>
            <c:bubble3D val="0"/>
            <c:extLst>
              <c:ext xmlns:c="http://schemas.openxmlformats.org/drawingml/2006/chart" xmlns:c16="http://schemas.microsoft.com/office/drawing/2014/chart" uri="{C3380CC4-5D6E-409C-BE32-E72D297353CC}">
                <c16:uniqueId val="{00000002-C847-4E49-A84D-1C4F946D2EF8}"/>
              </c:ext>
            </c:extLst>
          </c:dPt>
          <c:dPt>
            <c:idx val="25"/>
            <c:invertIfNegative val="0"/>
            <c:bubble3D val="0"/>
            <c:extLst>
              <c:ext xmlns:c="http://schemas.openxmlformats.org/drawingml/2006/chart" xmlns:c16="http://schemas.microsoft.com/office/drawing/2014/chart" uri="{C3380CC4-5D6E-409C-BE32-E72D297353CC}">
                <c16:uniqueId val="{00000003-C847-4E49-A84D-1C4F946D2EF8}"/>
              </c:ext>
            </c:extLst>
          </c:dPt>
          <c:dLbls>
            <c:dLbl>
              <c:idx val="12"/>
              <c:numFmt formatCode="#,##0" sourceLinked="0"/>
              <c:spPr>
                <a:noFill/>
                <a:ln>
                  <a:noFill/>
                </a:ln>
                <a:effectLst/>
              </c:spPr>
              <c:txPr>
                <a:bodyPr/>
                <a:lstStyle/>
                <a:p>
                  <a:pPr>
                    <a:defRPr sz="600" b="0"/>
                  </a:pPr>
                  <a:endParaRPr lang="lv-LV"/>
                </a:p>
              </c:txPr>
              <c:showLegendKey val="0"/>
              <c:showVal val="1"/>
              <c:showCatName val="0"/>
              <c:showSerName val="0"/>
              <c:showPercent val="0"/>
              <c:showBubbleSize val="0"/>
            </c:dLbl>
            <c:dLbl>
              <c:idx val="22"/>
              <c:numFmt formatCode="#,##0" sourceLinked="0"/>
              <c:spPr>
                <a:noFill/>
                <a:ln>
                  <a:noFill/>
                </a:ln>
                <a:effectLst/>
              </c:spPr>
              <c:txPr>
                <a:bodyPr/>
                <a:lstStyle/>
                <a:p>
                  <a:pPr>
                    <a:defRPr sz="600" b="1"/>
                  </a:pPr>
                  <a:endParaRPr lang="lv-LV"/>
                </a:p>
              </c:txPr>
              <c:showLegendKey val="0"/>
              <c:showVal val="1"/>
              <c:showCatName val="0"/>
              <c:showSerName val="0"/>
              <c:showPercent val="0"/>
              <c:showBubbleSize val="0"/>
            </c:dLbl>
            <c:dLbl>
              <c:idx val="24"/>
              <c:layout>
                <c:manualLayout>
                  <c:x val="0"/>
                  <c:y val="-3.6702729231967043E-05"/>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C847-4E49-A84D-1C4F946D2EF8}"/>
                </c:ext>
                <c:ext xmlns:c15="http://schemas.microsoft.com/office/drawing/2012/chart" uri="{CE6537A1-D6FC-4f65-9D91-7224C49458BB}"/>
              </c:extLst>
            </c:dLbl>
            <c:dLbl>
              <c:idx val="25"/>
              <c:layout>
                <c:manualLayout>
                  <c:x val="0"/>
                  <c:y val="0.0047350290403144375"/>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C847-4E49-A84D-1C4F946D2EF8}"/>
                </c:ext>
                <c:ext xmlns:c15="http://schemas.microsoft.com/office/drawing/2012/chart" uri="{CE6537A1-D6FC-4f65-9D91-7224C49458BB}"/>
              </c:extLst>
            </c:dLbl>
            <c:numFmt formatCode="#,##0" sourceLinked="0"/>
            <c:spPr>
              <a:noFill/>
              <a:ln>
                <a:noFill/>
              </a:ln>
              <a:effectLst/>
            </c:spPr>
            <c:txPr>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Sheet1!$A$4:$A$31</c:f>
              <c:strCache>
                <c:ptCount val="27"/>
                <c:pt idx="0">
                  <c:v>Īrija</c:v>
                </c:pt>
                <c:pt idx="1">
                  <c:v>Nīderlande</c:v>
                </c:pt>
                <c:pt idx="2">
                  <c:v>Beļģija</c:v>
                </c:pt>
                <c:pt idx="3">
                  <c:v>Dānija</c:v>
                </c:pt>
                <c:pt idx="4">
                  <c:v>Apv. Karaliste</c:v>
                </c:pt>
                <c:pt idx="5">
                  <c:v>Austrija</c:v>
                </c:pt>
                <c:pt idx="6">
                  <c:v>Zviedrija</c:v>
                </c:pt>
                <c:pt idx="7">
                  <c:v>Francija</c:v>
                </c:pt>
                <c:pt idx="8">
                  <c:v>Itālija</c:v>
                </c:pt>
                <c:pt idx="9">
                  <c:v>Somija</c:v>
                </c:pt>
                <c:pt idx="10">
                  <c:v>Spānija</c:v>
                </c:pt>
                <c:pt idx="11">
                  <c:v>Vācija</c:v>
                </c:pt>
                <c:pt idx="12">
                  <c:v>Grieķija</c:v>
                </c:pt>
                <c:pt idx="13">
                  <c:v>Luksemburga</c:v>
                </c:pt>
                <c:pt idx="14">
                  <c:v>Rumānija</c:v>
                </c:pt>
                <c:pt idx="15">
                  <c:v>Portugāle</c:v>
                </c:pt>
                <c:pt idx="16">
                  <c:v>Lietuva</c:v>
                </c:pt>
                <c:pt idx="17">
                  <c:v>Slovēnija</c:v>
                </c:pt>
                <c:pt idx="18">
                  <c:v>Čehija</c:v>
                </c:pt>
                <c:pt idx="19">
                  <c:v>Polija</c:v>
                </c:pt>
                <c:pt idx="20">
                  <c:v>Horvātija</c:v>
                </c:pt>
                <c:pt idx="21">
                  <c:v>Kipra</c:v>
                </c:pt>
                <c:pt idx="22">
                  <c:v>Latvija</c:v>
                </c:pt>
                <c:pt idx="23">
                  <c:v>Igaunija</c:v>
                </c:pt>
                <c:pt idx="24">
                  <c:v>Slovākija</c:v>
                </c:pt>
                <c:pt idx="25">
                  <c:v>Ungārija</c:v>
                </c:pt>
                <c:pt idx="26">
                  <c:v>Bulgārija</c:v>
                </c:pt>
              </c:strCache>
            </c:strRef>
          </c:cat>
          <c:val>
            <c:numRef>
              <c:f>Sheet1!$B$4:$B$31</c:f>
              <c:numCache>
                <c:formatCode>#,##0.0</c:formatCode>
                <c:ptCount val="28"/>
                <c:pt idx="0">
                  <c:v>186.33225020308691</c:v>
                </c:pt>
                <c:pt idx="1">
                  <c:v>106.08661417322834</c:v>
                </c:pt>
                <c:pt idx="2">
                  <c:v>87.5379746835443</c:v>
                </c:pt>
                <c:pt idx="3">
                  <c:v>78.16875</c:v>
                </c:pt>
                <c:pt idx="4">
                  <c:v>67.74002131369889</c:v>
                </c:pt>
                <c:pt idx="5">
                  <c:v>66.655027092113187</c:v>
                </c:pt>
                <c:pt idx="6">
                  <c:v>66.314545454545453</c:v>
                </c:pt>
                <c:pt idx="7">
                  <c:v>64.7891472868217</c:v>
                </c:pt>
                <c:pt idx="8">
                  <c:v>59.639849290780141</c:v>
                </c:pt>
                <c:pt idx="9">
                  <c:v>57.207446808510639</c:v>
                </c:pt>
                <c:pt idx="10">
                  <c:v>54.16007445323406</c:v>
                </c:pt>
                <c:pt idx="11">
                  <c:v>51.800967741935487</c:v>
                </c:pt>
                <c:pt idx="12">
                  <c:v>41.696531791907518</c:v>
                </c:pt>
                <c:pt idx="13">
                  <c:v>37.464539007092206</c:v>
                </c:pt>
                <c:pt idx="14">
                  <c:v>37.416368286445014</c:v>
                </c:pt>
                <c:pt idx="15">
                  <c:v>35.652012268798217</c:v>
                </c:pt>
                <c:pt idx="16">
                  <c:v>31.293624941833414</c:v>
                </c:pt>
                <c:pt idx="17">
                  <c:v>31.057457212713938</c:v>
                </c:pt>
                <c:pt idx="18">
                  <c:v>25.706492089470814</c:v>
                </c:pt>
                <c:pt idx="19">
                  <c:v>24.610872407995519</c:v>
                </c:pt>
                <c:pt idx="20">
                  <c:v>23.8986819120216</c:v>
                </c:pt>
                <c:pt idx="21">
                  <c:v>21.006018916595014</c:v>
                </c:pt>
                <c:pt idx="22">
                  <c:v>19.395017793594306</c:v>
                </c:pt>
                <c:pt idx="23">
                  <c:v>17.549019607843135</c:v>
                </c:pt>
                <c:pt idx="24">
                  <c:v>17.356533763539986</c:v>
                </c:pt>
                <c:pt idx="25">
                  <c:v>15.078672048768434</c:v>
                </c:pt>
                <c:pt idx="26">
                  <c:v>9.4809283915077369</c:v>
                </c:pt>
              </c:numCache>
            </c:numRef>
          </c:val>
          <c:extLst>
            <c:ext xmlns:c="http://schemas.openxmlformats.org/drawingml/2006/chart" xmlns:c16="http://schemas.microsoft.com/office/drawing/2014/chart" uri="{C3380CC4-5D6E-409C-BE32-E72D297353CC}">
              <c16:uniqueId val="{00000004-C847-4E49-A84D-1C4F946D2EF8}"/>
            </c:ext>
          </c:extLst>
        </c:ser>
        <c:dLbls>
          <c:showLegendKey val="0"/>
          <c:showVal val="0"/>
          <c:showCatName val="0"/>
          <c:showSerName val="0"/>
          <c:showPercent val="0"/>
          <c:showBubbleSize val="0"/>
        </c:dLbls>
        <c:gapWidth val="20"/>
        <c:axId val="629891416"/>
        <c:axId val="629884360"/>
      </c:barChart>
      <c:catAx>
        <c:axId val="629891416"/>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29884360"/>
        <c:crosses val="autoZero"/>
        <c:auto val="1"/>
        <c:lblAlgn val="ctr"/>
        <c:lblOffset val="100"/>
        <c:tickLblSkip val="1"/>
        <c:noMultiLvlLbl val="0"/>
      </c:catAx>
      <c:valAx>
        <c:axId val="629884360"/>
        <c:scaling>
          <c:orientation val="minMax"/>
        </c:scaling>
        <c:delete val="0"/>
        <c:axPos val="l"/>
        <c:numFmt formatCode="0" sourceLinked="0"/>
        <c:majorTickMark val="out"/>
        <c:minorTickMark val="none"/>
        <c:tickLblPos val="nextTo"/>
        <c:txPr>
          <a:bodyPr/>
          <a:lstStyle/>
          <a:p>
            <a:pPr>
              <a:defRPr sz="600"/>
            </a:pPr>
            <a:endParaRPr lang="lv-LV"/>
          </a:p>
        </c:txPr>
        <c:crossAx val="629891416"/>
        <c:crosses val="autoZero"/>
        <c:crossBetween val="between"/>
      </c:valAx>
    </c:plotArea>
    <c:plotVisOnly val="1"/>
    <c:dispBlanksAs val="gap"/>
    <c:showDLblsOverMax val="0"/>
  </c:chart>
  <c:spPr>
    <a:ln w="9525">
      <a:noFill/>
    </a:ln>
  </c:sp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1619797525309326"/>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522D-413F-A450-46DD3C83950A}"/>
              </c:ext>
            </c:extLst>
          </c:dPt>
          <c:dPt>
            <c:idx val="5"/>
            <c:bubble3D val="0"/>
            <c:extLst>
              <c:ext xmlns:c="http://schemas.openxmlformats.org/drawingml/2006/chart" xmlns:c16="http://schemas.microsoft.com/office/drawing/2014/chart" uri="{C3380CC4-5D6E-409C-BE32-E72D297353CC}">
                <c16:uniqueId val="{00000001-522D-413F-A450-46DD3C83950A}"/>
              </c:ext>
            </c:extLst>
          </c:dPt>
          <c:dPt>
            <c:idx val="11"/>
            <c:bubble3D val="0"/>
            <c:extLst>
              <c:ext xmlns:c="http://schemas.openxmlformats.org/drawingml/2006/chart" xmlns:c16="http://schemas.microsoft.com/office/drawing/2014/chart" uri="{C3380CC4-5D6E-409C-BE32-E72D297353CC}">
                <c16:uniqueId val="{00000002-522D-413F-A450-46DD3C83950A}"/>
              </c:ext>
            </c:extLst>
          </c:dPt>
          <c:dPt>
            <c:idx val="12"/>
            <c:bubble3D val="0"/>
            <c:extLst>
              <c:ext xmlns:c="http://schemas.openxmlformats.org/drawingml/2006/chart" xmlns:c16="http://schemas.microsoft.com/office/drawing/2014/chart" uri="{C3380CC4-5D6E-409C-BE32-E72D297353CC}">
                <c16:uniqueId val="{00000003-522D-413F-A450-46DD3C83950A}"/>
              </c:ext>
            </c:extLst>
          </c:dPt>
          <c:dPt>
            <c:idx val="14"/>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4-522D-413F-A450-46DD3C83950A}"/>
              </c:ext>
            </c:extLst>
          </c:dPt>
          <c:dLbls>
            <c:dLbl>
              <c:idx val="0"/>
              <c:layout>
                <c:manualLayout>
                  <c:x val="-0.070612995805430859"/>
                  <c:y val="0.085714285714285715"/>
                </c:manualLayout>
              </c:layout>
              <c:tx>
                <c:rich>
                  <a:bodyPr vertOverflow="clip"/>
                  <a:lstStyle/>
                  <a:p>
                    <a:r>
                      <a:rPr lang="en-US"/>
                      <a:t>EU-28</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522D-413F-A450-46DD3C83950A}"/>
                </c:ext>
                <c:ext xmlns:c15="http://schemas.microsoft.com/office/drawing/2012/chart" uri="{CE6537A1-D6FC-4f65-9D91-7224C49458BB}"/>
              </c:extLst>
            </c:dLbl>
            <c:dLbl>
              <c:idx val="1"/>
              <c:layout>
                <c:manualLayout>
                  <c:x val="-0.016614745586708203"/>
                  <c:y val="-0.019047619047619049"/>
                </c:manualLayout>
              </c:layout>
              <c:tx>
                <c:rich>
                  <a:bodyPr vertOverflow="clip"/>
                  <a:lstStyle/>
                  <a:p>
                    <a:r>
                      <a:rPr lang="en-US"/>
                      <a:t>BE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522D-413F-A450-46DD3C83950A}"/>
                </c:ext>
                <c:ext xmlns:c15="http://schemas.microsoft.com/office/drawing/2012/chart" uri="{CE6537A1-D6FC-4f65-9D91-7224C49458BB}"/>
              </c:extLst>
            </c:dLbl>
            <c:dLbl>
              <c:idx val="2"/>
              <c:layout>
                <c:manualLayout>
                  <c:x val="-0.078920041536863966"/>
                  <c:y val="0.066666666666666707"/>
                </c:manualLayout>
              </c:layout>
              <c:tx>
                <c:rich>
                  <a:bodyPr vertOverflow="clip"/>
                  <a:lstStyle/>
                  <a:p>
                    <a:r>
                      <a:rPr lang="en-US"/>
                      <a:t>BG</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522D-413F-A450-46DD3C83950A}"/>
                </c:ext>
                <c:ext xmlns:c15="http://schemas.microsoft.com/office/drawing/2012/chart" uri="{CE6537A1-D6FC-4f65-9D91-7224C49458BB}"/>
              </c:extLst>
            </c:dLbl>
            <c:dLbl>
              <c:idx val="3"/>
              <c:layout>
                <c:manualLayout>
                  <c:x val="0.029075804776739357"/>
                  <c:y val="0.019047619047619049"/>
                </c:manualLayout>
              </c:layout>
              <c:tx>
                <c:rich>
                  <a:bodyPr vertOverflow="clip"/>
                  <a:lstStyle/>
                  <a:p>
                    <a:r>
                      <a:rPr lang="en-US"/>
                      <a:t>PT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522D-413F-A450-46DD3C83950A}"/>
                </c:ext>
                <c:ext xmlns:c15="http://schemas.microsoft.com/office/drawing/2012/chart" uri="{CE6537A1-D6FC-4f65-9D91-7224C49458BB}"/>
              </c:extLst>
            </c:dLbl>
            <c:dLbl>
              <c:idx val="4"/>
              <c:layout>
                <c:manualLayout>
                  <c:x val="-0.053997923156801658"/>
                  <c:y val="-0.085714285714285715"/>
                </c:manualLayout>
              </c:layout>
              <c:tx>
                <c:rich>
                  <a:bodyPr vertOverflow="clip"/>
                  <a:lstStyle/>
                  <a:p>
                    <a:r>
                      <a:rPr lang="en-US"/>
                      <a:t>DK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522D-413F-A450-46DD3C83950A}"/>
                </c:ext>
                <c:ext xmlns:c15="http://schemas.microsoft.com/office/drawing/2012/chart" uri="{CE6537A1-D6FC-4f65-9D91-7224C49458BB}"/>
              </c:extLst>
            </c:dLbl>
            <c:dLbl>
              <c:idx val="5"/>
              <c:layout>
                <c:manualLayout>
                  <c:x val="-0.053997923156801658"/>
                  <c:y val="-0.085714285714285715"/>
                </c:manualLayout>
              </c:layout>
              <c:tx>
                <c:rich>
                  <a:bodyPr vertOverflow="clip"/>
                  <a:lstStyle/>
                  <a:p>
                    <a:r>
                      <a:rPr lang="en-US"/>
                      <a:t>DE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522D-413F-A450-46DD3C83950A}"/>
                </c:ext>
                <c:ext xmlns:c15="http://schemas.microsoft.com/office/drawing/2012/chart" uri="{CE6537A1-D6FC-4f65-9D91-7224C49458BB}"/>
              </c:extLst>
            </c:dLbl>
            <c:dLbl>
              <c:idx val="6"/>
              <c:layout>
                <c:manualLayout>
                  <c:x val="-0.078920041536863925"/>
                  <c:y val="-0.0380952380952381"/>
                </c:manualLayout>
              </c:layout>
              <c:tx>
                <c:rich>
                  <a:bodyPr vertOverflow="clip"/>
                  <a:lstStyle/>
                  <a:p>
                    <a:r>
                      <a:rPr lang="en-US"/>
                      <a:t>EE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522D-413F-A450-46DD3C83950A}"/>
                </c:ext>
                <c:ext xmlns:c15="http://schemas.microsoft.com/office/drawing/2012/chart" uri="{CE6537A1-D6FC-4f65-9D91-7224C49458BB}"/>
              </c:extLst>
            </c:dLbl>
            <c:dLbl>
              <c:idx val="8"/>
              <c:layout>
                <c:manualLayout>
                  <c:x val="-0.024922118380062305"/>
                  <c:y val="-0.047619047619047616"/>
                </c:manualLayout>
              </c:layout>
              <c:tx>
                <c:rich>
                  <a:bodyPr vertOverflow="clip"/>
                  <a:lstStyle/>
                  <a:p>
                    <a:r>
                      <a:rPr lang="en-US"/>
                      <a:t>EL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522D-413F-A450-46DD3C83950A}"/>
                </c:ext>
                <c:ext xmlns:c15="http://schemas.microsoft.com/office/drawing/2012/chart" uri="{CE6537A1-D6FC-4f65-9D91-7224C49458BB}"/>
              </c:extLst>
            </c:dLbl>
            <c:dLbl>
              <c:idx val="9"/>
              <c:layout>
                <c:manualLayout>
                  <c:x val="-0.062305623012076761"/>
                  <c:y val="0.085714285714285715"/>
                </c:manualLayout>
              </c:layout>
              <c:tx>
                <c:rich>
                  <a:bodyPr vertOverflow="clip"/>
                  <a:lstStyle/>
                  <a:p>
                    <a:r>
                      <a:rPr lang="en-US"/>
                      <a:t>ES</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522D-413F-A450-46DD3C83950A}"/>
                </c:ext>
                <c:ext xmlns:c15="http://schemas.microsoft.com/office/drawing/2012/chart" uri="{CE6537A1-D6FC-4f65-9D91-7224C49458BB}"/>
              </c:extLst>
            </c:dLbl>
            <c:dLbl>
              <c:idx val="10"/>
              <c:layout>
                <c:manualLayout>
                  <c:x val="-0.041536863966770435"/>
                  <c:y val="-0.057142857142857141"/>
                </c:manualLayout>
              </c:layout>
              <c:tx>
                <c:rich>
                  <a:bodyPr vertOverflow="clip"/>
                  <a:lstStyle/>
                  <a:p>
                    <a:r>
                      <a:rPr lang="en-US"/>
                      <a:t>FR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522D-413F-A450-46DD3C83950A}"/>
                </c:ext>
                <c:ext xmlns:c15="http://schemas.microsoft.com/office/drawing/2012/chart" uri="{CE6537A1-D6FC-4f65-9D91-7224C49458BB}"/>
              </c:extLst>
            </c:dLbl>
            <c:dLbl>
              <c:idx val="11"/>
              <c:layout>
                <c:manualLayout>
                  <c:x val="-0.070612668743509868"/>
                  <c:y val="-0.0761904761904762"/>
                </c:manualLayout>
              </c:layout>
              <c:tx>
                <c:rich>
                  <a:bodyPr vertOverflow="clip"/>
                  <a:lstStyle/>
                  <a:p>
                    <a:r>
                      <a:rPr lang="en-US"/>
                      <a:t>HR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522D-413F-A450-46DD3C83950A}"/>
                </c:ext>
                <c:ext xmlns:c15="http://schemas.microsoft.com/office/drawing/2012/chart" uri="{CE6537A1-D6FC-4f65-9D91-7224C49458BB}"/>
              </c:extLst>
            </c:dLbl>
            <c:dLbl>
              <c:idx val="12"/>
              <c:layout>
                <c:manualLayout>
                  <c:x val="-0.04569055036344756"/>
                  <c:y val="-0.066666666666666666"/>
                </c:manualLayout>
              </c:layout>
              <c:tx>
                <c:rich>
                  <a:bodyPr vertOverflow="clip"/>
                  <a:lstStyle/>
                  <a:p>
                    <a:r>
                      <a:rPr lang="en-US"/>
                      <a:t>IT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522D-413F-A450-46DD3C83950A}"/>
                </c:ext>
                <c:ext xmlns:c15="http://schemas.microsoft.com/office/drawing/2012/chart" uri="{CE6537A1-D6FC-4f65-9D91-7224C49458BB}"/>
              </c:extLst>
            </c:dLbl>
            <c:dLbl>
              <c:idx val="13"/>
              <c:layout>
                <c:manualLayout>
                  <c:x val="-0.053997923156801658"/>
                  <c:y val="-0.057142857142857141"/>
                </c:manualLayout>
              </c:layout>
              <c:tx>
                <c:rich>
                  <a:bodyPr vertOverflow="clip"/>
                  <a:lstStyle/>
                  <a:p>
                    <a:r>
                      <a:rPr lang="en-US"/>
                      <a:t>CY</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522D-413F-A450-46DD3C83950A}"/>
                </c:ext>
                <c:ext xmlns:c15="http://schemas.microsoft.com/office/drawing/2012/chart" uri="{CE6537A1-D6FC-4f65-9D91-7224C49458BB}"/>
              </c:extLst>
            </c:dLbl>
            <c:dLbl>
              <c:idx val="14"/>
              <c:layout>
                <c:manualLayout>
                  <c:x val="-0.10384215991692623"/>
                  <c:y val="0.0380952380952381"/>
                </c:manualLayout>
              </c:layout>
              <c:tx>
                <c:rich>
                  <a:bodyPr vertOverflow="clip"/>
                  <a:lstStyle/>
                  <a:p>
                    <a:r>
                      <a:rPr lang="en-US"/>
                      <a:t>LV</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522D-413F-A450-46DD3C83950A}"/>
                </c:ext>
                <c:ext xmlns:c15="http://schemas.microsoft.com/office/drawing/2012/chart" uri="{CE6537A1-D6FC-4f65-9D91-7224C49458BB}"/>
              </c:extLst>
            </c:dLbl>
            <c:dLbl>
              <c:idx val="15"/>
              <c:layout>
                <c:manualLayout>
                  <c:x val="-0.020768431983385256"/>
                  <c:y val="0.047619047619047616"/>
                </c:manualLayout>
              </c:layout>
              <c:tx>
                <c:rich>
                  <a:bodyPr vertOverflow="clip"/>
                  <a:lstStyle/>
                  <a:p>
                    <a:r>
                      <a:rPr lang="en-US"/>
                      <a:t>LT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E-522D-413F-A450-46DD3C83950A}"/>
                </c:ext>
                <c:ext xmlns:c15="http://schemas.microsoft.com/office/drawing/2012/chart" uri="{CE6537A1-D6FC-4f65-9D91-7224C49458BB}"/>
              </c:extLst>
            </c:dLbl>
            <c:dLbl>
              <c:idx val="16"/>
              <c:layout>
                <c:manualLayout>
                  <c:x val="-0.049844236760124533"/>
                  <c:y val="-0.095238095238095233"/>
                </c:manualLayout>
              </c:layout>
              <c:tx>
                <c:rich>
                  <a:bodyPr vertOverflow="clip"/>
                  <a:lstStyle/>
                  <a:p>
                    <a:r>
                      <a:rPr lang="en-US"/>
                      <a:t>LU</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F-522D-413F-A450-46DD3C83950A}"/>
                </c:ext>
                <c:ext xmlns:c15="http://schemas.microsoft.com/office/drawing/2012/chart" uri="{CE6537A1-D6FC-4f65-9D91-7224C49458BB}"/>
              </c:extLst>
            </c:dLbl>
            <c:dLbl>
              <c:idx val="17"/>
              <c:layout>
                <c:manualLayout>
                  <c:x val="-0.087227414330218064"/>
                  <c:y val="-0.047619047619047616"/>
                </c:manualLayout>
              </c:layout>
              <c:tx>
                <c:rich>
                  <a:bodyPr vertOverflow="clip"/>
                  <a:lstStyle/>
                  <a:p>
                    <a:r>
                      <a:rPr lang="en-US"/>
                      <a:t>HU</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0-522D-413F-A450-46DD3C83950A}"/>
                </c:ext>
                <c:ext xmlns:c15="http://schemas.microsoft.com/office/drawing/2012/chart" uri="{CE6537A1-D6FC-4f65-9D91-7224C49458BB}"/>
              </c:extLst>
            </c:dLbl>
            <c:dLbl>
              <c:idx val="18"/>
              <c:layout>
                <c:manualLayout>
                  <c:x val="-0.041536863966770511"/>
                  <c:y val="-0.0761904761904762"/>
                </c:manualLayout>
              </c:layout>
              <c:tx>
                <c:rich>
                  <a:bodyPr vertOverflow="clip"/>
                  <a:lstStyle/>
                  <a:p>
                    <a:r>
                      <a:rPr lang="en-US"/>
                      <a:t>NL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1-522D-413F-A450-46DD3C83950A}"/>
                </c:ext>
                <c:ext xmlns:c15="http://schemas.microsoft.com/office/drawing/2012/chart" uri="{CE6537A1-D6FC-4f65-9D91-7224C49458BB}"/>
              </c:extLst>
            </c:dLbl>
            <c:dLbl>
              <c:idx val="19"/>
              <c:layout>
                <c:manualLayout>
                  <c:x val="-0.0166150726486292"/>
                  <c:y val="0.057142857142857141"/>
                </c:manualLayout>
              </c:layout>
              <c:tx>
                <c:rich>
                  <a:bodyPr vertOverflow="clip"/>
                  <a:lstStyle/>
                  <a:p>
                    <a:r>
                      <a:rPr lang="en-US"/>
                      <a:t>AT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2-522D-413F-A450-46DD3C83950A}"/>
                </c:ext>
                <c:ext xmlns:c15="http://schemas.microsoft.com/office/drawing/2012/chart" uri="{CE6537A1-D6FC-4f65-9D91-7224C49458BB}"/>
              </c:extLst>
            </c:dLbl>
            <c:dLbl>
              <c:idx val="20"/>
              <c:layout>
                <c:manualLayout>
                  <c:x val="-0.04569055036344756"/>
                  <c:y val="0.0761904761904762"/>
                </c:manualLayout>
              </c:layout>
              <c:tx>
                <c:rich>
                  <a:bodyPr vertOverflow="clip"/>
                  <a:lstStyle/>
                  <a:p>
                    <a:r>
                      <a:rPr lang="en-US"/>
                      <a:t>PL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3-522D-413F-A450-46DD3C83950A}"/>
                </c:ext>
                <c:ext xmlns:c15="http://schemas.microsoft.com/office/drawing/2012/chart" uri="{CE6537A1-D6FC-4f65-9D91-7224C49458BB}"/>
              </c:extLst>
            </c:dLbl>
            <c:dLbl>
              <c:idx val="21"/>
              <c:layout>
                <c:manualLayout>
                  <c:x val="-0.070612668743509868"/>
                  <c:y val="-0.038095988001499811"/>
                </c:manualLayout>
              </c:layout>
              <c:tx>
                <c:rich>
                  <a:bodyPr vertOverflow="clip"/>
                  <a:lstStyle/>
                  <a:p>
                    <a:r>
                      <a:rPr lang="en-US"/>
                      <a:t>CZ</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4-522D-413F-A450-46DD3C83950A}"/>
                </c:ext>
                <c:ext xmlns:c15="http://schemas.microsoft.com/office/drawing/2012/chart" uri="{CE6537A1-D6FC-4f65-9D91-7224C49458BB}"/>
              </c:extLst>
            </c:dLbl>
            <c:dLbl>
              <c:idx val="22"/>
              <c:layout>
                <c:manualLayout>
                  <c:x val="-0.012461059190031152"/>
                  <c:y val="-0.028571428571428484"/>
                </c:manualLayout>
              </c:layout>
              <c:tx>
                <c:rich>
                  <a:bodyPr vertOverflow="clip"/>
                  <a:lstStyle/>
                  <a:p>
                    <a:r>
                      <a:rPr lang="en-US"/>
                      <a:t>RO</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5-522D-413F-A450-46DD3C83950A}"/>
                </c:ext>
                <c:ext xmlns:c15="http://schemas.microsoft.com/office/drawing/2012/chart" uri="{CE6537A1-D6FC-4f65-9D91-7224C49458BB}"/>
              </c:extLst>
            </c:dLbl>
            <c:dLbl>
              <c:idx val="23"/>
              <c:layout>
                <c:manualLayout>
                  <c:x val="-0.016614745586708203"/>
                  <c:y val="-0.019047619047619049"/>
                </c:manualLayout>
              </c:layout>
              <c:tx>
                <c:rich>
                  <a:bodyPr vertOverflow="clip"/>
                  <a:lstStyle/>
                  <a:p>
                    <a:r>
                      <a:rPr lang="en-US"/>
                      <a:t>SI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6-522D-413F-A450-46DD3C83950A}"/>
                </c:ext>
                <c:ext xmlns:c15="http://schemas.microsoft.com/office/drawing/2012/chart" uri="{CE6537A1-D6FC-4f65-9D91-7224C49458BB}"/>
              </c:extLst>
            </c:dLbl>
            <c:dLbl>
              <c:idx val="24"/>
              <c:layout>
                <c:manualLayout>
                  <c:x val="-0.070612668743509827"/>
                  <c:y val="-0.0095238095238095247"/>
                </c:manualLayout>
              </c:layout>
              <c:tx>
                <c:rich>
                  <a:bodyPr vertOverflow="clip"/>
                  <a:lstStyle/>
                  <a:p>
                    <a:r>
                      <a:rPr lang="en-US"/>
                      <a:t>SK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7-522D-413F-A450-46DD3C83950A}"/>
                </c:ext>
                <c:ext xmlns:c15="http://schemas.microsoft.com/office/drawing/2012/chart" uri="{CE6537A1-D6FC-4f65-9D91-7224C49458BB}"/>
              </c:extLst>
            </c:dLbl>
            <c:dLbl>
              <c:idx val="25"/>
              <c:layout>
                <c:manualLayout>
                  <c:x val="-0.0083073727933541015"/>
                  <c:y val="0.019047619047619049"/>
                </c:manualLayout>
              </c:layout>
              <c:tx>
                <c:rich>
                  <a:bodyPr vertOverflow="clip"/>
                  <a:lstStyle/>
                  <a:p>
                    <a:r>
                      <a:rPr lang="en-US"/>
                      <a:t>FI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8-522D-413F-A450-46DD3C83950A}"/>
                </c:ext>
                <c:ext xmlns:c15="http://schemas.microsoft.com/office/drawing/2012/chart" uri="{CE6537A1-D6FC-4f65-9D91-7224C49458BB}"/>
              </c:extLst>
            </c:dLbl>
            <c:dLbl>
              <c:idx val="26"/>
              <c:layout>
                <c:manualLayout>
                  <c:x val="-0.033229491173416406"/>
                  <c:y val="0.0761904761904762"/>
                </c:manualLayout>
              </c:layout>
              <c:tx>
                <c:rich>
                  <a:bodyPr vertOverflow="clip"/>
                  <a:lstStyle/>
                  <a:p>
                    <a:r>
                      <a:rPr lang="en-US"/>
                      <a:t>SE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9-522D-413F-A450-46DD3C83950A}"/>
                </c:ext>
                <c:ext xmlns:c15="http://schemas.microsoft.com/office/drawing/2012/chart" uri="{CE6537A1-D6FC-4f65-9D91-7224C49458BB}"/>
              </c:extLst>
            </c:dLbl>
            <c:dLbl>
              <c:idx val="27"/>
              <c:layout>
                <c:manualLayout>
                  <c:x val="-0.04569055036344756"/>
                  <c:y val="-0.085714285714285687"/>
                </c:manualLayout>
              </c:layout>
              <c:tx>
                <c:rich>
                  <a:bodyPr vertOverflow="clip"/>
                  <a:lstStyle/>
                  <a:p>
                    <a:r>
                      <a:rPr lang="en-US"/>
                      <a:t>UK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A-522D-413F-A450-46DD3C83950A}"/>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Sheet1!$B$3:$B$30</c:f>
              <c:numCache>
                <c:formatCode>0.0</c:formatCode>
                <c:ptCount val="28"/>
                <c:pt idx="0">
                  <c:v>47.781553775247723</c:v>
                </c:pt>
                <c:pt idx="1">
                  <c:v>71.4282765737874</c:v>
                </c:pt>
                <c:pt idx="2">
                  <c:v>7.1359375</c:v>
                </c:pt>
                <c:pt idx="3">
                  <c:v>25.887982428616251</c:v>
                </c:pt>
                <c:pt idx="4">
                  <c:v>71.810909090909092</c:v>
                </c:pt>
                <c:pt idx="5">
                  <c:v>41.334056399132322</c:v>
                </c:pt>
                <c:pt idx="6">
                  <c:v>22.165289256198346</c:v>
                </c:pt>
                <c:pt idx="7">
                  <c:v>142.29960578186598</c:v>
                </c:pt>
                <c:pt idx="8">
                  <c:v>42.292009508136772</c:v>
                </c:pt>
                <c:pt idx="9">
                  <c:v>60.535230352303522</c:v>
                </c:pt>
                <c:pt idx="10">
                  <c:v>63.13247172859451</c:v>
                </c:pt>
                <c:pt idx="11">
                  <c:v>26.423533459487356</c:v>
                </c:pt>
                <c:pt idx="12">
                  <c:v>55.95803249097473</c:v>
                </c:pt>
                <c:pt idx="13">
                  <c:v>24.714179658500367</c:v>
                </c:pt>
                <c:pt idx="14">
                  <c:v>17.6629517055049</c:v>
                </c:pt>
                <c:pt idx="15">
                  <c:v>26.974469100453355</c:v>
                </c:pt>
                <c:pt idx="16">
                  <c:v>55.380116959064331</c:v>
                </c:pt>
                <c:pt idx="17">
                  <c:v>15.964129199805226</c:v>
                </c:pt>
                <c:pt idx="18">
                  <c:v>89.2015503875969</c:v>
                </c:pt>
                <c:pt idx="19">
                  <c:v>63.249535603715167</c:v>
                </c:pt>
                <c:pt idx="20">
                  <c:v>21.250877192982458</c:v>
                </c:pt>
                <c:pt idx="21">
                  <c:v>31.824101329051825</c:v>
                </c:pt>
                <c:pt idx="22">
                  <c:v>31.779010633379563</c:v>
                </c:pt>
                <c:pt idx="23">
                  <c:v>29.299242424242426</c:v>
                </c:pt>
                <c:pt idx="24">
                  <c:v>21.534761696545694</c:v>
                </c:pt>
                <c:pt idx="25">
                  <c:v>72.093663911845738</c:v>
                </c:pt>
                <c:pt idx="26">
                  <c:v>73.671428571428578</c:v>
                </c:pt>
                <c:pt idx="27">
                  <c:v>65.461273923444978</c:v>
                </c:pt>
              </c:numCache>
            </c:numRef>
          </c:xVal>
          <c:yVal>
            <c:numRef>
              <c:f>Sheet1!$C$3:$C$30</c:f>
              <c:numCache>
                <c:formatCode>0.0</c:formatCode>
                <c:ptCount val="28"/>
                <c:pt idx="0">
                  <c:v>0.59732388933872094</c:v>
                </c:pt>
                <c:pt idx="1">
                  <c:v>0.627687385745386</c:v>
                </c:pt>
                <c:pt idx="2">
                  <c:v>0.61428369757235757</c:v>
                </c:pt>
                <c:pt idx="3">
                  <c:v>0.50495095505236576</c:v>
                </c:pt>
                <c:pt idx="4">
                  <c:v>0.69442475187360742</c:v>
                </c:pt>
                <c:pt idx="5">
                  <c:v>0.78026284814634317</c:v>
                </c:pt>
                <c:pt idx="6">
                  <c:v>0.63503029847285675</c:v>
                </c:pt>
                <c:pt idx="7">
                  <c:v>0.29259499860199</c:v>
                </c:pt>
                <c:pt idx="8">
                  <c:v>0.63284219646689244</c:v>
                </c:pt>
                <c:pt idx="9">
                  <c:v>0.51200074171448628</c:v>
                </c:pt>
                <c:pt idx="10" formatCode="0.00">
                  <c:v>0.567337066388375</c:v>
                </c:pt>
                <c:pt idx="11">
                  <c:v>0.6221704655089243</c:v>
                </c:pt>
                <c:pt idx="12">
                  <c:v>0.61691612703366983</c:v>
                </c:pt>
                <c:pt idx="13">
                  <c:v>0.86955686623379636</c:v>
                </c:pt>
                <c:pt idx="14">
                  <c:v>0.45365647914717816</c:v>
                </c:pt>
                <c:pt idx="15">
                  <c:v>0.40907444997769349</c:v>
                </c:pt>
                <c:pt idx="16">
                  <c:v>0.65170085985819881</c:v>
                </c:pt>
                <c:pt idx="17">
                  <c:v>0.593975268585737</c:v>
                </c:pt>
                <c:pt idx="18" formatCode="0.00">
                  <c:v>0.50778357293564713</c:v>
                </c:pt>
                <c:pt idx="19">
                  <c:v>0.52756568836663542</c:v>
                </c:pt>
                <c:pt idx="20">
                  <c:v>0.45430188126210064</c:v>
                </c:pt>
                <c:pt idx="21">
                  <c:v>0.49979660497184514</c:v>
                </c:pt>
                <c:pt idx="22">
                  <c:v>0.18553852645218596</c:v>
                </c:pt>
                <c:pt idx="23">
                  <c:v>0.69724532800739525</c:v>
                </c:pt>
                <c:pt idx="24">
                  <c:v>0.5143349001297739</c:v>
                </c:pt>
                <c:pt idx="25">
                  <c:v>0.59287952399148414</c:v>
                </c:pt>
                <c:pt idx="26">
                  <c:v>0.52353597052549927</c:v>
                </c:pt>
                <c:pt idx="27">
                  <c:v>0.7607856504240702</c:v>
                </c:pt>
              </c:numCache>
            </c:numRef>
          </c:yVal>
          <c:smooth val="0"/>
          <c:extLst>
            <c:ext xmlns:c="http://schemas.openxmlformats.org/drawingml/2006/chart" xmlns:c16="http://schemas.microsoft.com/office/drawing/2014/chart" uri="{C3380CC4-5D6E-409C-BE32-E72D297353CC}">
              <c16:uniqueId val="{0000001B-522D-413F-A450-46DD3C83950A}"/>
            </c:ext>
          </c:extLst>
        </c:ser>
        <c:dLbls>
          <c:showLegendKey val="0"/>
          <c:showVal val="0"/>
          <c:showCatName val="0"/>
          <c:showSerName val="0"/>
          <c:showPercent val="0"/>
          <c:showBubbleSize val="0"/>
        </c:dLbls>
        <c:axId val="629881616"/>
        <c:axId val="629882400"/>
      </c:scatterChart>
      <c:valAx>
        <c:axId val="629881616"/>
        <c:scaling>
          <c:orientation val="minMax"/>
          <c:max val="100"/>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29882400"/>
        <c:crosses val="autoZero"/>
        <c:crossBetween val="midCat"/>
        <c:majorUnit val="10"/>
      </c:valAx>
      <c:valAx>
        <c:axId val="629882400"/>
        <c:scaling>
          <c:orientation val="minMax"/>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29881616"/>
        <c:crosses val="autoZero"/>
        <c:crossBetween val="midCat"/>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0667416572928377"/>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B10C-41AB-9535-A675135FA6E7}"/>
              </c:ext>
            </c:extLst>
          </c:dPt>
          <c:dPt>
            <c:idx val="5"/>
            <c:bubble3D val="0"/>
            <c:extLst>
              <c:ext xmlns:c="http://schemas.openxmlformats.org/drawingml/2006/chart" xmlns:c16="http://schemas.microsoft.com/office/drawing/2014/chart" uri="{C3380CC4-5D6E-409C-BE32-E72D297353CC}">
                <c16:uniqueId val="{00000001-B10C-41AB-9535-A675135FA6E7}"/>
              </c:ext>
            </c:extLst>
          </c:dPt>
          <c:dPt>
            <c:idx val="11"/>
            <c:bubble3D val="0"/>
            <c:extLst>
              <c:ext xmlns:c="http://schemas.openxmlformats.org/drawingml/2006/chart" xmlns:c16="http://schemas.microsoft.com/office/drawing/2014/chart" uri="{C3380CC4-5D6E-409C-BE32-E72D297353CC}">
                <c16:uniqueId val="{00000002-B10C-41AB-9535-A675135FA6E7}"/>
              </c:ext>
            </c:extLst>
          </c:dPt>
          <c:dPt>
            <c:idx val="12"/>
            <c:bubble3D val="0"/>
            <c:extLst>
              <c:ext xmlns:c="http://schemas.openxmlformats.org/drawingml/2006/chart" xmlns:c16="http://schemas.microsoft.com/office/drawing/2014/chart" uri="{C3380CC4-5D6E-409C-BE32-E72D297353CC}">
                <c16:uniqueId val="{00000003-B10C-41AB-9535-A675135FA6E7}"/>
              </c:ext>
            </c:extLst>
          </c:dPt>
          <c:dPt>
            <c:idx val="13"/>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D-B10C-41AB-9535-A675135FA6E7}"/>
              </c:ext>
            </c:extLst>
          </c:dPt>
          <c:dPt>
            <c:idx val="14"/>
            <c:bubble3D val="0"/>
            <c:marker>
              <c:symbol val="triangle"/>
              <c:size val="6"/>
            </c:marker>
            <c:extLst>
              <c:ext xmlns:c="http://schemas.openxmlformats.org/drawingml/2006/chart" xmlns:c16="http://schemas.microsoft.com/office/drawing/2014/chart" uri="{C3380CC4-5D6E-409C-BE32-E72D297353CC}">
                <c16:uniqueId val="{00000004-B10C-41AB-9535-A675135FA6E7}"/>
              </c:ext>
            </c:extLst>
          </c:dPt>
          <c:dLbls>
            <c:dLbl>
              <c:idx val="0"/>
              <c:tx>
                <c:rich>
                  <a:bodyPr vertOverflow="clip"/>
                  <a:lstStyle/>
                  <a:p>
                    <a:fld id="{2e295dd0-5db8-483e-b97d-e0e32a98ca19}" type="CELLRANGE">
                      <a:rPr lang="lv-LV"/>
                      <a:t>BE</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
              <c:layout>
                <c:manualLayout>
                  <c:x val="-0.091858611131552484"/>
                  <c:y val="0.0380952380952381"/>
                </c:manualLayout>
              </c:layout>
              <c:tx>
                <c:rich>
                  <a:bodyPr vertOverflow="clip"/>
                  <a:lstStyle/>
                  <a:p>
                    <a:fld id="{f4b32d9e-5cb5-475f-a258-7d7f436b122b}" type="CELLRANGE">
                      <a:rPr lang="en-US"/>
                      <a:t>BG</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5-B10C-41AB-9535-A675135FA6E7}"/>
                </c:ext>
                <c:ext xmlns:c15="http://schemas.microsoft.com/office/drawing/2012/chart" uri="{CE6537A1-D6FC-4f65-9D91-7224C49458BB}">
                  <c15:showDataLabelsRange val="1"/>
                </c:ext>
              </c:extLst>
            </c:dLbl>
            <c:dLbl>
              <c:idx val="2"/>
              <c:tx>
                <c:rich>
                  <a:bodyPr vertOverflow="clip"/>
                  <a:lstStyle/>
                  <a:p>
                    <a:fld id="{c56edb11-ff98-4841-ab29-f369190df91e}" type="CELLRANGE">
                      <a:rPr lang="lv-LV"/>
                      <a:t>CZ</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3"/>
              <c:tx>
                <c:rich>
                  <a:bodyPr vertOverflow="clip"/>
                  <a:lstStyle/>
                  <a:p>
                    <a:fld id="{3e51ac99-254a-4f14-9070-700b1f1d7572}" type="CELLRANGE">
                      <a:rPr lang="lv-LV"/>
                      <a:t>DK</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4"/>
              <c:layout>
                <c:manualLayout>
                  <c:x val="-0.090239000498769428"/>
                  <c:y val="0"/>
                </c:manualLayout>
              </c:layout>
              <c:tx>
                <c:rich>
                  <a:bodyPr vertOverflow="clip"/>
                  <a:lstStyle/>
                  <a:p>
                    <a:fld id="{437877bd-595a-4561-ba8f-1485ad867efc}" type="CELLRANGE">
                      <a:rPr lang="en-US"/>
                      <a:t>DE</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8-B10C-41AB-9535-A675135FA6E7}"/>
                </c:ext>
                <c:ext xmlns:c15="http://schemas.microsoft.com/office/drawing/2012/chart" uri="{CE6537A1-D6FC-4f65-9D91-7224C49458BB}">
                  <c15:showDataLabelsRange val="1"/>
                </c:ext>
              </c:extLst>
            </c:dLbl>
            <c:dLbl>
              <c:idx val="5"/>
              <c:tx>
                <c:rich>
                  <a:bodyPr vertOverflow="clip"/>
                  <a:lstStyle/>
                  <a:p>
                    <a:fld id="{68bf0673-47db-49b9-979c-3d232e5da227}" type="CELLRANGE">
                      <a:rPr lang="en-US"/>
                      <a:t>EE</a:t>
                    </a:fld>
                    <a:endParaRPr lang="lv-LV"/>
                  </a:p>
                </c:rich>
              </c:tx>
              <c:dLblPos val="l"/>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1-B10C-41AB-9535-A675135FA6E7}"/>
                </c:ext>
                <c:ext xmlns:c15="http://schemas.microsoft.com/office/drawing/2012/chart" uri="{CE6537A1-D6FC-4f65-9D91-7224C49458BB}">
                  <c15:showDataLabelsRange val="1"/>
                </c:ext>
              </c:extLst>
            </c:dLbl>
            <c:dLbl>
              <c:idx val="6"/>
              <c:tx>
                <c:rich>
                  <a:bodyPr/>
                  <a:lstStyle/>
                  <a:p>
                    <a:fld id="{0158b651-a2df-4b0e-8071-4df7bebcfc1f}" type="CELLRANGE">
                      <a:rPr lang="lv-LV"/>
                      <a:t>IE</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7"/>
              <c:tx>
                <c:rich>
                  <a:bodyPr vertOverflow="clip"/>
                  <a:lstStyle/>
                  <a:p>
                    <a:fld id="{8a62c461-572c-4c10-9d6e-3d20a56a5e2d}" type="CELLRANGE">
                      <a:rPr lang="en-US"/>
                      <a:t>EL</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5-B29F-471A-AC04-84F1E09E29F5}"/>
                </c:ext>
                <c:ext xmlns:c15="http://schemas.microsoft.com/office/drawing/2012/chart" uri="{CE6537A1-D6FC-4f65-9D91-7224C49458BB}">
                  <c15:showDataLabelsRange val="1"/>
                </c:ext>
              </c:extLst>
            </c:dLbl>
            <c:dLbl>
              <c:idx val="8"/>
              <c:tx>
                <c:rich>
                  <a:bodyPr vertOverflow="clip"/>
                  <a:lstStyle/>
                  <a:p>
                    <a:fld id="{f5ffbd67-eb95-47ee-ae60-b1a4b6c6dcb8}" type="CELLRANGE">
                      <a:rPr lang="en-US"/>
                      <a:t>ES</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A-B10C-41AB-9535-A675135FA6E7}"/>
                </c:ext>
                <c:ext xmlns:c15="http://schemas.microsoft.com/office/drawing/2012/chart" uri="{CE6537A1-D6FC-4f65-9D91-7224C49458BB}">
                  <c15:showDataLabelsRange val="1"/>
                </c:ext>
              </c:extLst>
            </c:dLbl>
            <c:dLbl>
              <c:idx val="9"/>
              <c:layout>
                <c:manualLayout>
                  <c:x val="-0.0083073727933541015"/>
                  <c:y val="-4.365028939892569E-17"/>
                </c:manualLayout>
              </c:layout>
              <c:tx>
                <c:rich>
                  <a:bodyPr vertOverflow="clip"/>
                  <a:lstStyle/>
                  <a:p>
                    <a:fld id="{f5325288-6e5d-4a97-ae82-1ec17ea5dc85}" type="CELLRANGE">
                      <a:rPr lang="en-US"/>
                      <a:t>FR</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B-B10C-41AB-9535-A675135FA6E7}"/>
                </c:ext>
                <c:ext xmlns:c15="http://schemas.microsoft.com/office/drawing/2012/chart" uri="{CE6537A1-D6FC-4f65-9D91-7224C49458BB}">
                  <c15:showDataLabelsRange val="1"/>
                </c:ext>
              </c:extLst>
            </c:dLbl>
            <c:dLbl>
              <c:idx val="10"/>
              <c:layout>
                <c:manualLayout>
                  <c:x val="0.0083073727933541015"/>
                  <c:y val="0.00952380952380948"/>
                </c:manualLayout>
              </c:layout>
              <c:tx>
                <c:rich>
                  <a:bodyPr vertOverflow="clip"/>
                  <a:lstStyle/>
                  <a:p>
                    <a:fld id="{6965f996-9ba9-49a7-8163-402e318a1968}" type="CELLRANGE">
                      <a:rPr lang="en-US"/>
                      <a:t>HR</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C-B10C-41AB-9535-A675135FA6E7}"/>
                </c:ext>
                <c:ext xmlns:c15="http://schemas.microsoft.com/office/drawing/2012/chart" uri="{CE6537A1-D6FC-4f65-9D91-7224C49458BB}">
                  <c15:showDataLabelsRange val="1"/>
                </c:ext>
              </c:extLst>
            </c:dLbl>
            <c:dLbl>
              <c:idx val="11"/>
              <c:layout>
                <c:manualLayout>
                  <c:x val="-0.048224299065420563"/>
                  <c:y val="0.076428946381702292"/>
                </c:manualLayout>
              </c:layout>
              <c:tx>
                <c:rich>
                  <a:bodyPr vertOverflow="clip"/>
                  <a:lstStyle/>
                  <a:p>
                    <a:fld id="{208a7c01-c24c-4040-b519-21bddeb1fc9a}" type="CELLRANGE">
                      <a:rPr lang="en-US"/>
                      <a:t>IT</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2-B10C-41AB-9535-A675135FA6E7}"/>
                </c:ext>
                <c:ext xmlns:c15="http://schemas.microsoft.com/office/drawing/2012/chart" uri="{CE6537A1-D6FC-4f65-9D91-7224C49458BB}">
                  <c15:showDataLabelsRange val="1"/>
                </c:ext>
              </c:extLst>
            </c:dLbl>
            <c:dLbl>
              <c:idx val="12"/>
              <c:tx>
                <c:rich>
                  <a:bodyPr vertOverflow="clip"/>
                  <a:lstStyle/>
                  <a:p>
                    <a:fld id="{1cd9b857-a112-44ac-a711-076516b1eb0c}" type="CELLRANGE">
                      <a:rPr lang="lv-LV"/>
                      <a:t>CY</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3"/>
              <c:layout>
                <c:manualLayout>
                  <c:x val="-0.053094578131004655"/>
                  <c:y val="0.076428946381702292"/>
                </c:manualLayout>
              </c:layout>
              <c:tx>
                <c:rich>
                  <a:bodyPr vertOverflow="clip"/>
                  <a:lstStyle/>
                  <a:p>
                    <a:fld id="{adbb9f18-6bd0-4dd4-b4b7-4b0d16d7f561}" type="CELLRANGE">
                      <a:rPr lang="en-US"/>
                      <a:t>LV</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D-B10C-41AB-9535-A675135FA6E7}"/>
                </c:ext>
                <c:ext xmlns:c15="http://schemas.microsoft.com/office/drawing/2012/chart" uri="{CE6537A1-D6FC-4f65-9D91-7224C49458BB}">
                  <c15:showDataLabelsRange val="1"/>
                </c:ext>
              </c:extLst>
            </c:dLbl>
            <c:dLbl>
              <c:idx val="14"/>
              <c:layout>
                <c:manualLayout>
                  <c:x val="-0.0626585228248338"/>
                  <c:y val="0.090714660667416569"/>
                </c:manualLayout>
              </c:layout>
              <c:tx>
                <c:rich>
                  <a:bodyPr vertOverflow="clip"/>
                  <a:lstStyle/>
                  <a:p>
                    <a:fld id="{79bd18e0-96d8-4b7d-a0b7-150ad9fa8f5b}" type="CELLRANGE">
                      <a:rPr lang="en-US"/>
                      <a:t>LT</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4-B10C-41AB-9535-A675135FA6E7}"/>
                </c:ext>
                <c:ext xmlns:c15="http://schemas.microsoft.com/office/drawing/2012/chart" uri="{CE6537A1-D6FC-4f65-9D91-7224C49458BB}">
                  <c15:showDataLabelsRange val="1"/>
                </c:ext>
              </c:extLst>
            </c:dLbl>
            <c:dLbl>
              <c:idx val="15"/>
              <c:tx>
                <c:rich>
                  <a:bodyPr vertOverflow="clip"/>
                  <a:lstStyle/>
                  <a:p>
                    <a:fld id="{b493a874-18e8-44cb-97dc-8802638bc0a0}" type="CELLRANGE">
                      <a:rPr lang="lv-LV"/>
                      <a:t>LU</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6"/>
              <c:layout>
                <c:manualLayout>
                  <c:x val="0"/>
                  <c:y val="-0.0380952380952381"/>
                </c:manualLayout>
              </c:layout>
              <c:tx>
                <c:rich>
                  <a:bodyPr vertOverflow="clip"/>
                  <a:lstStyle/>
                  <a:p>
                    <a:fld id="{9d77234a-c063-4680-a3e6-2659b4f3cd98}" type="CELLRANGE">
                      <a:rPr lang="en-US"/>
                      <a:t>HU</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F-B10C-41AB-9535-A675135FA6E7}"/>
                </c:ext>
                <c:ext xmlns:c15="http://schemas.microsoft.com/office/drawing/2012/chart" uri="{CE6537A1-D6FC-4f65-9D91-7224C49458BB}">
                  <c15:showDataLabelsRange val="1"/>
                </c:ext>
              </c:extLst>
            </c:dLbl>
            <c:dLbl>
              <c:idx val="17"/>
              <c:tx>
                <c:rich>
                  <a:bodyPr vertOverflow="clip"/>
                  <a:lstStyle/>
                  <a:p>
                    <a:fld id="{84dc1234-6d04-4d9d-b5e4-7f78bc6c8717}" type="CELLRANGE">
                      <a:rPr lang="lv-LV"/>
                      <a:t>NL</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8"/>
              <c:layout>
                <c:manualLayout>
                  <c:x val="-0.05388377854637337"/>
                  <c:y val="0.0764289463817022"/>
                </c:manualLayout>
              </c:layout>
              <c:tx>
                <c:rich>
                  <a:bodyPr vertOverflow="clip"/>
                  <a:lstStyle/>
                  <a:p>
                    <a:fld id="{a7b17bca-45fa-47db-857a-02ee911a358a}" type="CELLRANGE">
                      <a:rPr lang="en-US"/>
                      <a:t>AT</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1-B10C-41AB-9535-A675135FA6E7}"/>
                </c:ext>
                <c:ext xmlns:c15="http://schemas.microsoft.com/office/drawing/2012/chart" uri="{CE6537A1-D6FC-4f65-9D91-7224C49458BB}">
                  <c15:showDataLabelsRange val="1"/>
                </c:ext>
              </c:extLst>
            </c:dLbl>
            <c:dLbl>
              <c:idx val="19"/>
              <c:layout>
                <c:manualLayout>
                  <c:x val="-0.09788178346865524"/>
                  <c:y val="0.057142857142857141"/>
                </c:manualLayout>
              </c:layout>
              <c:tx>
                <c:rich>
                  <a:bodyPr vertOverflow="clip"/>
                  <a:lstStyle/>
                  <a:p>
                    <a:fld id="{eea488e4-cb75-47b1-83a1-50c244bc2fa3}" type="CELLRANGE">
                      <a:rPr lang="en-US"/>
                      <a:t>PL</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2-B10C-41AB-9535-A675135FA6E7}"/>
                </c:ext>
                <c:ext xmlns:c15="http://schemas.microsoft.com/office/drawing/2012/chart" uri="{CE6537A1-D6FC-4f65-9D91-7224C49458BB}">
                  <c15:showDataLabelsRange val="1"/>
                </c:ext>
              </c:extLst>
            </c:dLbl>
            <c:dLbl>
              <c:idx val="20"/>
              <c:tx>
                <c:rich>
                  <a:bodyPr vertOverflow="clip"/>
                  <a:lstStyle/>
                  <a:p>
                    <a:fld id="{ee7fe48e-4150-4e29-a4eb-69ea45a0a981}" type="CELLRANGE">
                      <a:rPr lang="en-US"/>
                      <a:t>PT</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3-B10C-41AB-9535-A675135FA6E7}"/>
                </c:ext>
                <c:ext xmlns:c15="http://schemas.microsoft.com/office/drawing/2012/chart" uri="{CE6537A1-D6FC-4f65-9D91-7224C49458BB}">
                  <c15:showDataLabelsRange val="1"/>
                </c:ext>
              </c:extLst>
            </c:dLbl>
            <c:dLbl>
              <c:idx val="21"/>
              <c:tx>
                <c:rich>
                  <a:bodyPr vertOverflow="clip"/>
                  <a:lstStyle/>
                  <a:p>
                    <a:fld id="{27d4fe08-70ae-42d8-b7bd-ada7097b5ed7}" type="CELLRANGE">
                      <a:rPr lang="lv-LV"/>
                      <a:t>RO</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22"/>
              <c:layout>
                <c:manualLayout>
                  <c:x val="0.0041536863966770508"/>
                  <c:y val="-0.028571428571428571"/>
                </c:manualLayout>
              </c:layout>
              <c:tx>
                <c:rich>
                  <a:bodyPr vertOverflow="clip"/>
                  <a:lstStyle/>
                  <a:p>
                    <a:fld id="{d5d58a28-164e-4838-a2fb-49eb241a74fc}" type="CELLRANGE">
                      <a:rPr lang="en-US"/>
                      <a:t>SI</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5-B10C-41AB-9535-A675135FA6E7}"/>
                </c:ext>
                <c:ext xmlns:c15="http://schemas.microsoft.com/office/drawing/2012/chart" uri="{CE6537A1-D6FC-4f65-9D91-7224C49458BB}">
                  <c15:showDataLabelsRange val="1"/>
                </c:ext>
              </c:extLst>
            </c:dLbl>
            <c:dLbl>
              <c:idx val="23"/>
              <c:tx>
                <c:rich>
                  <a:bodyPr vertOverflow="clip"/>
                  <a:lstStyle/>
                  <a:p>
                    <a:fld id="{f17685fd-a420-47a7-bcb7-eedc991b8799}" type="CELLRANGE">
                      <a:rPr lang="en-US"/>
                      <a:t>SK</a:t>
                    </a:fld>
                    <a:endParaRPr lang="lv-LV"/>
                  </a:p>
                </c:rich>
              </c:tx>
              <c:dLblPos val="l"/>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6-B10C-41AB-9535-A675135FA6E7}"/>
                </c:ext>
                <c:ext xmlns:c15="http://schemas.microsoft.com/office/drawing/2012/chart" uri="{CE6537A1-D6FC-4f65-9D91-7224C49458BB}">
                  <c15:showDataLabelsRange val="1"/>
                </c:ext>
              </c:extLst>
            </c:dLbl>
            <c:dLbl>
              <c:idx val="24"/>
              <c:layout>
                <c:manualLayout>
                  <c:x val="-0.049844236760124609"/>
                  <c:y val="-0.057142857142857162"/>
                </c:manualLayout>
              </c:layout>
              <c:tx>
                <c:rich>
                  <a:bodyPr vertOverflow="clip"/>
                  <a:lstStyle/>
                  <a:p>
                    <a:fld id="{79521f5f-37d3-4a60-80cd-e236bc1e7c5e}" type="CELLRANGE">
                      <a:rPr lang="en-US"/>
                      <a:t>FI</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7-B10C-41AB-9535-A675135FA6E7}"/>
                </c:ext>
                <c:ext xmlns:c15="http://schemas.microsoft.com/office/drawing/2012/chart" uri="{CE6537A1-D6FC-4f65-9D91-7224C49458BB}">
                  <c15:showDataLabelsRange val="1"/>
                </c:ext>
              </c:extLst>
            </c:dLbl>
            <c:dLbl>
              <c:idx val="25"/>
              <c:layout>
                <c:manualLayout>
                  <c:x val="-0.054704049844236838"/>
                  <c:y val="-0.076428196475440566"/>
                </c:manualLayout>
              </c:layout>
              <c:tx>
                <c:rich>
                  <a:bodyPr vertOverflow="clip"/>
                  <a:lstStyle/>
                  <a:p>
                    <a:fld id="{5d5229de-7d0a-4d7e-a792-15cdc97af9df}" type="CELLRANGE">
                      <a:rPr lang="en-US"/>
                      <a:t>SE</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8-B10C-41AB-9535-A675135FA6E7}"/>
                </c:ext>
                <c:ext xmlns:c15="http://schemas.microsoft.com/office/drawing/2012/chart" uri="{CE6537A1-D6FC-4f65-9D91-7224C49458BB}">
                  <c15:showDataLabelsRange val="1"/>
                </c:ext>
              </c:extLst>
            </c:dLbl>
            <c:dLbl>
              <c:idx val="26"/>
              <c:tx>
                <c:rich>
                  <a:bodyPr vertOverflow="clip"/>
                  <a:lstStyle/>
                  <a:p>
                    <a:fld id="{f95e9599-91c1-4cf4-95b7-972150266027}" type="CELLRANGE">
                      <a:rPr lang="lv-LV"/>
                      <a:t>UK</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Sheet1!$B$3:$B$29</c:f>
              <c:numCache>
                <c:formatCode>#,##0.0</c:formatCode>
                <c:ptCount val="27"/>
                <c:pt idx="0">
                  <c:v>87.5379746835443</c:v>
                </c:pt>
                <c:pt idx="1">
                  <c:v>9.4809283915077369</c:v>
                </c:pt>
                <c:pt idx="2">
                  <c:v>25.706492089470814</c:v>
                </c:pt>
                <c:pt idx="3">
                  <c:v>78.16875</c:v>
                </c:pt>
                <c:pt idx="4">
                  <c:v>51.800967741935487</c:v>
                </c:pt>
                <c:pt idx="5">
                  <c:v>17.549019607843135</c:v>
                </c:pt>
                <c:pt idx="6">
                  <c:v>186.33225020308691</c:v>
                </c:pt>
                <c:pt idx="7">
                  <c:v>41.696531791907518</c:v>
                </c:pt>
                <c:pt idx="8">
                  <c:v>54.16007445323406</c:v>
                </c:pt>
                <c:pt idx="9">
                  <c:v>64.7891472868217</c:v>
                </c:pt>
                <c:pt idx="10">
                  <c:v>23.8986819120216</c:v>
                </c:pt>
                <c:pt idx="11">
                  <c:v>59.639849290780141</c:v>
                </c:pt>
                <c:pt idx="12">
                  <c:v>21.006018916595014</c:v>
                </c:pt>
                <c:pt idx="13">
                  <c:v>19.395017793594306</c:v>
                </c:pt>
                <c:pt idx="14">
                  <c:v>31.293624941833414</c:v>
                </c:pt>
                <c:pt idx="15">
                  <c:v>37.464539007092206</c:v>
                </c:pt>
                <c:pt idx="16">
                  <c:v>15.078672048768434</c:v>
                </c:pt>
                <c:pt idx="17">
                  <c:v>106.08661417322834</c:v>
                </c:pt>
                <c:pt idx="18">
                  <c:v>66.655027092113187</c:v>
                </c:pt>
                <c:pt idx="19">
                  <c:v>24.610872407995519</c:v>
                </c:pt>
                <c:pt idx="20">
                  <c:v>35.652012268798217</c:v>
                </c:pt>
                <c:pt idx="21">
                  <c:v>37.416368286445014</c:v>
                </c:pt>
                <c:pt idx="22">
                  <c:v>31.057457212713938</c:v>
                </c:pt>
                <c:pt idx="23">
                  <c:v>17.356533763539986</c:v>
                </c:pt>
                <c:pt idx="24">
                  <c:v>57.207446808510639</c:v>
                </c:pt>
                <c:pt idx="25">
                  <c:v>66.314545454545453</c:v>
                </c:pt>
                <c:pt idx="26">
                  <c:v>67.74002131369889</c:v>
                </c:pt>
              </c:numCache>
            </c:numRef>
          </c:xVal>
          <c:yVal>
            <c:numRef>
              <c:f>Sheet1!$C$3:$C$29</c:f>
              <c:numCache>
                <c:formatCode>#,##0.0</c:formatCode>
                <c:ptCount val="27"/>
                <c:pt idx="0">
                  <c:v>0.6057980810083845</c:v>
                </c:pt>
                <c:pt idx="1">
                  <c:v>0.58029218004482286</c:v>
                </c:pt>
                <c:pt idx="2">
                  <c:v>0.49177440325811883</c:v>
                </c:pt>
                <c:pt idx="3">
                  <c:v>0.67223688068015253</c:v>
                </c:pt>
                <c:pt idx="4">
                  <c:v>0.69205338722399146</c:v>
                </c:pt>
                <c:pt idx="5">
                  <c:v>0.92052791421394031</c:v>
                </c:pt>
                <c:pt idx="6">
                  <c:v>0.25437585718616307</c:v>
                </c:pt>
                <c:pt idx="7">
                  <c:v>0.50509953897663074</c:v>
                </c:pt>
                <c:pt idx="8">
                  <c:v>0.60456360533285824</c:v>
                </c:pt>
                <c:pt idx="9">
                  <c:v>0.606061734195988</c:v>
                </c:pt>
                <c:pt idx="10">
                  <c:v>0.62988406375642347</c:v>
                </c:pt>
                <c:pt idx="11">
                  <c:v>0.61350205766326593</c:v>
                </c:pt>
                <c:pt idx="12">
                  <c:v>0.91699960144858517</c:v>
                </c:pt>
                <c:pt idx="13">
                  <c:v>0.60476624355913033</c:v>
                </c:pt>
                <c:pt idx="14">
                  <c:v>0.41455845786454609</c:v>
                </c:pt>
                <c:pt idx="15">
                  <c:v>0.99756167822383179</c:v>
                </c:pt>
                <c:pt idx="16">
                  <c:v>0.67147752870493249</c:v>
                </c:pt>
                <c:pt idx="17">
                  <c:v>0.47193622015994036</c:v>
                </c:pt>
                <c:pt idx="18">
                  <c:v>0.56440120035579766</c:v>
                </c:pt>
                <c:pt idx="19">
                  <c:v>0.42181997447992758</c:v>
                </c:pt>
                <c:pt idx="20">
                  <c:v>0.46207674934402732</c:v>
                </c:pt>
                <c:pt idx="21">
                  <c:v>0.15337894634265148</c:v>
                </c:pt>
                <c:pt idx="22">
                  <c:v>0.68270262351410893</c:v>
                </c:pt>
                <c:pt idx="23">
                  <c:v>0.720775262074778</c:v>
                </c:pt>
                <c:pt idx="24">
                  <c:v>0.80206302606265611</c:v>
                </c:pt>
                <c:pt idx="25">
                  <c:v>0.66249006114111819</c:v>
                </c:pt>
                <c:pt idx="26">
                  <c:v>0.92266478173621569</c:v>
                </c:pt>
              </c:numCache>
            </c:numRef>
          </c:yVal>
          <c:smooth val="0"/>
          <c:extLst>
            <c:ext xmlns:c="http://schemas.openxmlformats.org/drawingml/2006/chart" xmlns:c16="http://schemas.microsoft.com/office/drawing/2014/chart" uri="{C3380CC4-5D6E-409C-BE32-E72D297353CC}">
              <c16:uniqueId val="{0000001B-B10C-41AB-9535-A675135FA6E7}"/>
            </c:ext>
            <c:ext xmlns:c15="http://schemas.microsoft.com/office/drawing/2012/chart" uri="{02D57815-91ED-43cb-92C2-25804820EDAC}">
              <c15:datalabelsRange>
                <c15:f>Sheet1!$A$3:$A$29</c15:f>
                <c15:dlblRangeCache>
                  <c:ptCount val="27"/>
                  <c:pt idx="0">
                    <c:v>BE</c:v>
                  </c:pt>
                  <c:pt idx="1">
                    <c:v>BG</c:v>
                  </c:pt>
                  <c:pt idx="2">
                    <c:v>CZ</c:v>
                  </c:pt>
                  <c:pt idx="3">
                    <c:v>DK</c:v>
                  </c:pt>
                  <c:pt idx="4">
                    <c:v>DE</c:v>
                  </c:pt>
                  <c:pt idx="5">
                    <c:v>EE</c:v>
                  </c:pt>
                  <c:pt idx="6">
                    <c:v>IE</c:v>
                  </c:pt>
                  <c:pt idx="7">
                    <c:v>EL</c:v>
                  </c:pt>
                  <c:pt idx="8">
                    <c:v>ES</c:v>
                  </c:pt>
                  <c:pt idx="9">
                    <c:v>FR</c:v>
                  </c:pt>
                  <c:pt idx="10">
                    <c:v>HR</c:v>
                  </c:pt>
                  <c:pt idx="11">
                    <c:v>IT</c:v>
                  </c:pt>
                  <c:pt idx="12">
                    <c:v>CY</c:v>
                  </c:pt>
                  <c:pt idx="13">
                    <c:v>LV</c:v>
                  </c:pt>
                  <c:pt idx="14">
                    <c:v>LT</c:v>
                  </c:pt>
                  <c:pt idx="15">
                    <c:v>LU</c:v>
                  </c:pt>
                  <c:pt idx="16">
                    <c:v>HU</c:v>
                  </c:pt>
                  <c:pt idx="17">
                    <c:v>NL</c:v>
                  </c:pt>
                  <c:pt idx="18">
                    <c:v>AT</c:v>
                  </c:pt>
                  <c:pt idx="19">
                    <c:v>PL</c:v>
                  </c:pt>
                  <c:pt idx="20">
                    <c:v>PT</c:v>
                  </c:pt>
                  <c:pt idx="21">
                    <c:v>RO</c:v>
                  </c:pt>
                  <c:pt idx="22">
                    <c:v>SI</c:v>
                  </c:pt>
                  <c:pt idx="23">
                    <c:v>SK</c:v>
                  </c:pt>
                  <c:pt idx="24">
                    <c:v>FI</c:v>
                  </c:pt>
                  <c:pt idx="25">
                    <c:v>SE</c:v>
                  </c:pt>
                  <c:pt idx="26">
                    <c:v>UK</c:v>
                  </c:pt>
                </c15:dlblRangeCache>
              </c15:datalabelsRange>
            </c:ext>
          </c:extLst>
        </c:ser>
        <c:dLbls>
          <c:showLegendKey val="0"/>
          <c:showVal val="0"/>
          <c:showCatName val="0"/>
          <c:showSerName val="0"/>
          <c:showPercent val="0"/>
          <c:showBubbleSize val="0"/>
        </c:dLbls>
        <c:axId val="629885144"/>
        <c:axId val="629899256"/>
      </c:scatterChart>
      <c:valAx>
        <c:axId val="629885144"/>
        <c:scaling>
          <c:orientation val="minMax"/>
          <c:max val="120"/>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29899256"/>
        <c:crosses val="autoZero"/>
        <c:crossBetween val="midCat"/>
        <c:majorUnit val="10"/>
      </c:valAx>
      <c:valAx>
        <c:axId val="629899256"/>
        <c:scaling>
          <c:orientation val="minMax"/>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29885144"/>
        <c:crosses val="autoZero"/>
        <c:crossBetween val="midCat"/>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59412201441466"/>
          <c:y val="0.098301682877875565"/>
          <c:w val="0.77357359176256812"/>
          <c:h val="0.715539658152487"/>
        </c:manualLayout>
      </c:layout>
      <c:barChart>
        <c:barDir val="col"/>
        <c:grouping val="clustered"/>
        <c:varyColors val="0"/>
        <c:ser>
          <c:idx val="4"/>
          <c:order val="0"/>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0304-4CFF-B4C1-5557B1B7B2AB}"/>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0304-4CFF-B4C1-5557B1B7B2AB}"/>
              </c:ext>
            </c:extLst>
          </c:dPt>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Sheet1!$A$3:$A$5</c:f>
              <c:strCache>
                <c:ptCount val="3"/>
                <c:pt idx="0">
                  <c:v>2005</c:v>
                </c:pt>
                <c:pt idx="1">
                  <c:v>2010</c:v>
                </c:pt>
                <c:pt idx="2">
                  <c:v>2015</c:v>
                </c:pt>
              </c:strCache>
            </c:strRef>
          </c:cat>
          <c:val>
            <c:numRef>
              <c:f>Sheet1!$B$3:$B$5</c:f>
              <c:numCache>
                <c:formatCode>0.0</c:formatCode>
                <c:ptCount val="3"/>
                <c:pt idx="0">
                  <c:v>1.3320436418483028</c:v>
                </c:pt>
                <c:pt idx="1">
                  <c:v>0.79043885165043637</c:v>
                </c:pt>
                <c:pt idx="2">
                  <c:v>0.53881731705490221</c:v>
                </c:pt>
              </c:numCache>
            </c:numRef>
          </c:val>
          <c:extLst>
            <c:ext xmlns:c="http://schemas.openxmlformats.org/drawingml/2006/chart" xmlns:c16="http://schemas.microsoft.com/office/drawing/2014/chart" uri="{C3380CC4-5D6E-409C-BE32-E72D297353CC}">
              <c16:uniqueId val="{00000004-0304-4CFF-B4C1-5557B1B7B2AB}"/>
            </c:ext>
          </c:extLst>
        </c:ser>
        <c:dLbls>
          <c:showLegendKey val="0"/>
          <c:showVal val="0"/>
          <c:showCatName val="0"/>
          <c:showSerName val="0"/>
          <c:showPercent val="0"/>
          <c:showBubbleSize val="0"/>
        </c:dLbls>
        <c:gapWidth val="20"/>
        <c:axId val="629902784"/>
        <c:axId val="629899648"/>
      </c:barChart>
      <c:catAx>
        <c:axId val="629902784"/>
        <c:scaling>
          <c:orientation val="minMax"/>
        </c:scaling>
        <c:delete val="0"/>
        <c:axPos val="b"/>
        <c:numFmt formatCode="General" sourceLinked="0"/>
        <c:majorTickMark val="out"/>
        <c:minorTickMark val="none"/>
        <c:tickLblPos val="nextTo"/>
        <c:crossAx val="629899648"/>
        <c:crosses val="autoZero"/>
        <c:auto val="1"/>
        <c:lblAlgn val="ctr"/>
        <c:lblOffset val="100"/>
        <c:noMultiLvlLbl val="0"/>
      </c:catAx>
      <c:valAx>
        <c:axId val="629899648"/>
        <c:scaling>
          <c:orientation val="minMax"/>
          <c:min val="0"/>
        </c:scaling>
        <c:delete val="0"/>
        <c:axPos val="l"/>
        <c:numFmt formatCode="0.0" sourceLinked="0"/>
        <c:majorTickMark val="out"/>
        <c:minorTickMark val="none"/>
        <c:tickLblPos val="nextTo"/>
        <c:crossAx val="629902784"/>
        <c:crosses val="autoZero"/>
        <c:crossBetween val="between"/>
        <c:majorUnit val="1"/>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mbria Math" panose="02040503050406030204" pitchFamily="18" charset="0"/>
          <a:ea typeface="Cambria Math" panose="02040503050406030204" pitchFamily="18" charset="0"/>
          <a:cs typeface="Arial"/>
        </a:defRPr>
      </a:pPr>
      <a:endParaRPr lang="lv-LV"/>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73546128124922"/>
          <c:y val="0.048706240487062395"/>
          <c:w val="0.84631315184653555"/>
          <c:h val="0.73779794474843186"/>
        </c:manualLayout>
      </c:layout>
      <c:lineChart>
        <c:grouping val="standard"/>
        <c:varyColors val="0"/>
        <c:ser>
          <c:idx val="0"/>
          <c:order val="0"/>
          <c:tx>
            <c:strRef>
              <c:f>Sheet1!$A$2</c:f>
              <c:strCache>
                <c:ptCount val="1"/>
                <c:pt idx="0">
                  <c:v>Nodarbinātie</c:v>
                </c:pt>
              </c:strCache>
            </c:strRef>
          </c:tx>
          <c:spPr>
            <a:ln w="19050">
              <a:solidFill>
                <a:srgbClr val="0070C0"/>
              </a:solidFill>
              <a:prstDash val="dash"/>
            </a:ln>
          </c:spPr>
          <c:marker>
            <c:symbol val="none"/>
          </c:marker>
          <c:cat>
            <c:numRef>
              <c:f>Sheet1!$B$1:$K$1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Sheet1!$B$2:$K$2</c:f>
              <c:numCache>
                <c:formatCode>0.0</c:formatCode>
                <c:ptCount val="10"/>
                <c:pt idx="0">
                  <c:v>94.315100514259</c:v>
                </c:pt>
                <c:pt idx="1">
                  <c:v>90.289855072463766</c:v>
                </c:pt>
                <c:pt idx="2">
                  <c:v>76.643291257597014</c:v>
                </c:pt>
                <c:pt idx="3">
                  <c:v>53.973819541841983</c:v>
                </c:pt>
                <c:pt idx="4">
                  <c:v>55.245441795231422</c:v>
                </c:pt>
                <c:pt idx="5">
                  <c:v>60.3973819541842</c:v>
                </c:pt>
                <c:pt idx="6">
                  <c:v>59.761570827489479</c:v>
                </c:pt>
                <c:pt idx="7">
                  <c:v>61.136044880785406</c:v>
                </c:pt>
                <c:pt idx="8">
                  <c:v>56.806919121084611</c:v>
                </c:pt>
                <c:pt idx="9">
                  <c:v>52.505843852267411</c:v>
                </c:pt>
              </c:numCache>
            </c:numRef>
          </c:val>
          <c:smooth val="0"/>
          <c:extLst>
            <c:ext xmlns:c="http://schemas.openxmlformats.org/drawingml/2006/chart" xmlns:c16="http://schemas.microsoft.com/office/drawing/2014/chart" uri="{C3380CC4-5D6E-409C-BE32-E72D297353CC}">
              <c16:uniqueId val="{00000000-6215-45AE-8471-EA6C4014DE3A}"/>
            </c:ext>
          </c:extLst>
        </c:ser>
        <c:ser>
          <c:idx val="1"/>
          <c:order val="1"/>
          <c:tx>
            <c:strRef>
              <c:f>Sheet1!$A$3</c:f>
              <c:strCache>
                <c:ptCount val="1"/>
                <c:pt idx="0">
                  <c:v>Ražošanas apjomi</c:v>
                </c:pt>
              </c:strCache>
            </c:strRef>
          </c:tx>
          <c:marker>
            <c:symbol val="none"/>
          </c:marker>
          <c:cat>
            <c:numRef>
              <c:f>Sheet1!$B$1:$K$1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Sheet1!$B$3:$K$3</c:f>
              <c:numCache>
                <c:formatCode>0.0</c:formatCode>
                <c:ptCount val="10"/>
                <c:pt idx="0">
                  <c:v>100.33195020746888</c:v>
                </c:pt>
                <c:pt idx="1">
                  <c:v>69.875518672199178</c:v>
                </c:pt>
                <c:pt idx="2">
                  <c:v>63.3195020746888</c:v>
                </c:pt>
                <c:pt idx="3">
                  <c:v>43.402489626556012</c:v>
                </c:pt>
                <c:pt idx="4">
                  <c:v>51.867219917012441</c:v>
                </c:pt>
                <c:pt idx="5">
                  <c:v>57.468879668049787</c:v>
                </c:pt>
                <c:pt idx="6">
                  <c:v>50.954356846473019</c:v>
                </c:pt>
                <c:pt idx="7">
                  <c:v>51.535269709543556</c:v>
                </c:pt>
                <c:pt idx="8">
                  <c:v>48.423236514522806</c:v>
                </c:pt>
                <c:pt idx="9">
                  <c:v>43.029045643153509</c:v>
                </c:pt>
              </c:numCache>
            </c:numRef>
          </c:val>
          <c:smooth val="0"/>
          <c:extLst>
            <c:ext xmlns:c="http://schemas.openxmlformats.org/drawingml/2006/chart" xmlns:c16="http://schemas.microsoft.com/office/drawing/2014/chart" uri="{C3380CC4-5D6E-409C-BE32-E72D297353CC}">
              <c16:uniqueId val="{00000001-6215-45AE-8471-EA6C4014DE3A}"/>
            </c:ext>
          </c:extLst>
        </c:ser>
        <c:dLbls>
          <c:showLegendKey val="0"/>
          <c:showVal val="0"/>
          <c:showCatName val="0"/>
          <c:showSerName val="0"/>
          <c:showPercent val="0"/>
          <c:showBubbleSize val="0"/>
        </c:dLbls>
        <c:smooth val="0"/>
        <c:axId val="629896120"/>
        <c:axId val="629893768"/>
      </c:lineChart>
      <c:catAx>
        <c:axId val="629896120"/>
        <c:scaling>
          <c:orientation val="minMax"/>
        </c:scaling>
        <c:delete val="0"/>
        <c:axPos val="b"/>
        <c:numFmt formatCode="General" sourceLinked="1"/>
        <c:majorTickMark val="cross"/>
        <c:minorTickMark val="none"/>
        <c:tickLblPos val="nextTo"/>
        <c:spPr>
          <a:ln w="6350">
            <a:solidFill>
              <a:srgbClr val="000000"/>
            </a:solidFill>
          </a:ln>
        </c:spPr>
        <c:txPr>
          <a:bodyPr rot="-5400000" vert="horz"/>
          <a:lstStyle/>
          <a:p>
            <a:pPr>
              <a:defRPr sz="700" b="0" i="0" u="none" strike="noStrike" baseline="0">
                <a:solidFill>
                  <a:srgbClr val="000000"/>
                </a:solidFill>
                <a:latin typeface="Arial Narrow" pitchFamily="34" charset="0"/>
                <a:ea typeface="Times New Roman"/>
                <a:cs typeface="Times New Roman" pitchFamily="18" charset="0"/>
              </a:defRPr>
            </a:pPr>
            <a:endParaRPr lang="lv-LV"/>
          </a:p>
        </c:txPr>
        <c:crossAx val="629893768"/>
        <c:crosses val="autoZero"/>
        <c:auto val="1"/>
        <c:lblAlgn val="ctr"/>
        <c:lblOffset val="0"/>
        <c:noMultiLvlLbl val="0"/>
      </c:catAx>
      <c:valAx>
        <c:axId val="629893768"/>
        <c:scaling>
          <c:orientation val="minMax"/>
          <c:min val="25"/>
        </c:scaling>
        <c:delete val="0"/>
        <c:axPos val="l"/>
        <c:numFmt formatCode="0" sourceLinked="0"/>
        <c:majorTickMark val="cross"/>
        <c:minorTickMark val="none"/>
        <c:tickLblPos val="nextTo"/>
        <c:spPr>
          <a:ln w="6350">
            <a:solidFill>
              <a:sysClr val="windowText" lastClr="000000"/>
            </a:solidFill>
          </a:ln>
        </c:spPr>
        <c:txPr>
          <a:bodyPr rot="0" vert="horz"/>
          <a:lstStyle/>
          <a:p>
            <a:pPr>
              <a:defRPr sz="700" b="0" i="0" u="none" strike="noStrike" baseline="0">
                <a:solidFill>
                  <a:srgbClr val="000000"/>
                </a:solidFill>
                <a:latin typeface="Arial Narrow" pitchFamily="34" charset="0"/>
                <a:ea typeface="Times New Roman"/>
                <a:cs typeface="Times New Roman"/>
              </a:defRPr>
            </a:pPr>
            <a:endParaRPr lang="lv-LV"/>
          </a:p>
        </c:txPr>
        <c:crossAx val="629896120"/>
        <c:crosses val="autoZero"/>
        <c:crossBetween val="between"/>
        <c:majorUnit val="25"/>
      </c:valAx>
      <c:spPr>
        <a:solidFill>
          <a:sysClr val="window" lastClr="FFFFFF"/>
        </a:solidFill>
        <a:ln w="6350">
          <a:noFill/>
        </a:ln>
      </c:spPr>
    </c:plotArea>
    <c:legend>
      <c:legendPos val="t"/>
      <c:layout>
        <c:manualLayout>
          <c:xMode val="edge"/>
          <c:yMode val="edge"/>
          <c:x val="0.14280650412978177"/>
          <c:y val="0.031201248049921998"/>
          <c:w val="0.65805884790716951"/>
          <c:h val="0.19964223582144541"/>
        </c:manualLayout>
      </c:layout>
      <c:overlay val="0"/>
      <c:txPr>
        <a:bodyPr/>
        <a:lstStyle/>
        <a:p>
          <a:pPr>
            <a:defRPr sz="700" b="0">
              <a:latin typeface="Arial Narrow" pitchFamily="34" charset="0"/>
            </a:defRPr>
          </a:pPr>
          <a:endParaRPr lang="lv-LV"/>
        </a:p>
      </c:txPr>
    </c:legend>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30307899251493849"/>
          <c:y val="0.011826561679790027"/>
          <c:w val="0.94252315784843266"/>
          <c:h val="0.97849826771653559"/>
        </c:manualLayout>
      </c:layout>
      <c:barChart>
        <c:barDir val="bar"/>
        <c:grouping val="clustered"/>
        <c:varyColors val="0"/>
        <c:ser>
          <c:idx val="0"/>
          <c:order val="0"/>
          <c:tx>
            <c:strRef>
              <c:f>Sheet1!$B$1</c:f>
              <c:strCache>
                <c:ptCount val="1"/>
                <c:pt idx="0">
                  <c:v>Series 1</c:v>
                </c:pt>
              </c:strCache>
            </c:strRef>
          </c:tx>
          <c:spPr>
            <a:solidFill>
              <a:schemeClr val="accent2">
                <a:lumMod val="75000"/>
              </a:schemeClr>
            </a:solidFill>
            <a:ln>
              <a:noFill/>
            </a:ln>
            <a:effectLst/>
          </c:spPr>
          <c:invertIfNegative val="0"/>
          <c:dPt>
            <c:idx val="0"/>
            <c:invertIfNegative val="0"/>
            <c:bubble3D val="0"/>
            <c:extLst>
              <c:ext xmlns:c="http://schemas.openxmlformats.org/drawingml/2006/chart" xmlns:c16="http://schemas.microsoft.com/office/drawing/2014/chart" uri="{C3380CC4-5D6E-409C-BE32-E72D297353CC}">
                <c16:uniqueId val="{00000000-CC2D-4E98-9DF2-053BE3DBB8DF}"/>
              </c:ext>
            </c:extLst>
          </c:dPt>
          <c:dPt>
            <c:idx val="1"/>
            <c:invertIfNegative val="0"/>
            <c:bubble3D val="0"/>
            <c:extLst>
              <c:ext xmlns:c="http://schemas.openxmlformats.org/drawingml/2006/chart" xmlns:c16="http://schemas.microsoft.com/office/drawing/2014/chart" uri="{C3380CC4-5D6E-409C-BE32-E72D297353CC}">
                <c16:uniqueId val="{00000001-CC2D-4E98-9DF2-053BE3DBB8DF}"/>
              </c:ext>
            </c:extLst>
          </c:dPt>
          <c:dPt>
            <c:idx val="2"/>
            <c:invertIfNegative val="0"/>
            <c:bubble3D val="0"/>
            <c:extLst>
              <c:ext xmlns:c="http://schemas.openxmlformats.org/drawingml/2006/chart" xmlns:c16="http://schemas.microsoft.com/office/drawing/2014/chart" uri="{C3380CC4-5D6E-409C-BE32-E72D297353CC}">
                <c16:uniqueId val="{00000002-CC2D-4E98-9DF2-053BE3DBB8DF}"/>
              </c:ext>
            </c:extLst>
          </c:dPt>
          <c:dPt>
            <c:idx val="3"/>
            <c:invertIfNegative val="0"/>
            <c:bubble3D val="0"/>
            <c:extLst>
              <c:ext xmlns:c="http://schemas.openxmlformats.org/drawingml/2006/chart" xmlns:c16="http://schemas.microsoft.com/office/drawing/2014/chart" uri="{C3380CC4-5D6E-409C-BE32-E72D297353CC}">
                <c16:uniqueId val="{00000003-CC2D-4E98-9DF2-053BE3DBB8DF}"/>
              </c:ext>
            </c:extLst>
          </c:dPt>
          <c:dPt>
            <c:idx val="4"/>
            <c:invertIfNegative val="0"/>
            <c:bubble3D val="0"/>
            <c:extLst>
              <c:ext xmlns:c="http://schemas.openxmlformats.org/drawingml/2006/chart" xmlns:c16="http://schemas.microsoft.com/office/drawing/2014/chart" uri="{C3380CC4-5D6E-409C-BE32-E72D297353CC}">
                <c16:uniqueId val="{00000004-CC2D-4E98-9DF2-053BE3DBB8DF}"/>
              </c:ext>
            </c:extLst>
          </c:dPt>
          <c:dPt>
            <c:idx val="5"/>
            <c:invertIfNegative val="0"/>
            <c:bubble3D val="0"/>
            <c:extLst>
              <c:ext xmlns:c="http://schemas.openxmlformats.org/drawingml/2006/chart" xmlns:c16="http://schemas.microsoft.com/office/drawing/2014/chart" uri="{C3380CC4-5D6E-409C-BE32-E72D297353CC}">
                <c16:uniqueId val="{00000005-CC2D-4E98-9DF2-053BE3DBB8DF}"/>
              </c:ext>
            </c:extLst>
          </c:dPt>
          <c:dPt>
            <c:idx val="6"/>
            <c:invertIfNegative val="0"/>
            <c:bubble3D val="0"/>
            <c:extLst>
              <c:ext xmlns:c="http://schemas.openxmlformats.org/drawingml/2006/chart" xmlns:c16="http://schemas.microsoft.com/office/drawing/2014/chart" uri="{C3380CC4-5D6E-409C-BE32-E72D297353CC}">
                <c16:uniqueId val="{00000006-CC2D-4E98-9DF2-053BE3DBB8DF}"/>
              </c:ext>
            </c:extLst>
          </c:dPt>
          <c:dPt>
            <c:idx val="10"/>
            <c:invertIfNegative val="0"/>
            <c:bubble3D val="0"/>
            <c:spPr>
              <a:solidFill>
                <a:schemeClr val="accent1"/>
              </a:solidFill>
              <a:ln>
                <a:noFill/>
              </a:ln>
              <a:effectLst/>
            </c:spPr>
            <c:extLst>
              <c:ext xmlns:c="http://schemas.openxmlformats.org/drawingml/2006/chart" xmlns:c16="http://schemas.microsoft.com/office/drawing/2014/chart" uri="{C3380CC4-5D6E-409C-BE32-E72D297353CC}">
                <c16:uniqueId val="{00000008-CC2D-4E98-9DF2-053BE3DBB8DF}"/>
              </c:ext>
            </c:extLst>
          </c:dPt>
          <c:dPt>
            <c:idx val="11"/>
            <c:invertIfNegative val="0"/>
            <c:bubble3D val="0"/>
            <c:spPr>
              <a:solidFill>
                <a:schemeClr val="accent1"/>
              </a:solidFill>
              <a:ln>
                <a:noFill/>
              </a:ln>
              <a:effectLst/>
            </c:spPr>
            <c:extLst>
              <c:ext xmlns:c="http://schemas.openxmlformats.org/drawingml/2006/chart" xmlns:c16="http://schemas.microsoft.com/office/drawing/2014/chart" uri="{C3380CC4-5D6E-409C-BE32-E72D297353CC}">
                <c16:uniqueId val="{0000000A-CC2D-4E98-9DF2-053BE3DBB8DF}"/>
              </c:ext>
            </c:extLst>
          </c:dPt>
          <c:dPt>
            <c:idx val="12"/>
            <c:invertIfNegative val="0"/>
            <c:bubble3D val="0"/>
            <c:spPr>
              <a:solidFill>
                <a:schemeClr val="accent1"/>
              </a:solidFill>
              <a:ln>
                <a:noFill/>
              </a:ln>
              <a:effectLst/>
            </c:spPr>
            <c:extLst>
              <c:ext xmlns:c="http://schemas.openxmlformats.org/drawingml/2006/chart" xmlns:c16="http://schemas.microsoft.com/office/drawing/2014/chart" uri="{C3380CC4-5D6E-409C-BE32-E72D297353CC}">
                <c16:uniqueId val="{0000000C-CC2D-4E98-9DF2-053BE3DBB8DF}"/>
              </c:ext>
            </c:extLst>
          </c:dPt>
          <c:dPt>
            <c:idx val="13"/>
            <c:invertIfNegative val="0"/>
            <c:bubble3D val="0"/>
            <c:spPr>
              <a:solidFill>
                <a:schemeClr val="accent1"/>
              </a:solidFill>
              <a:ln>
                <a:noFill/>
              </a:ln>
              <a:effectLst/>
            </c:spPr>
            <c:extLst>
              <c:ext xmlns:c="http://schemas.openxmlformats.org/drawingml/2006/chart" xmlns:c16="http://schemas.microsoft.com/office/drawing/2014/chart" uri="{C3380CC4-5D6E-409C-BE32-E72D297353CC}">
                <c16:uniqueId val="{0000000E-CC2D-4E98-9DF2-053BE3DBB8DF}"/>
              </c:ext>
            </c:extLst>
          </c:dPt>
          <c:dPt>
            <c:idx val="14"/>
            <c:invertIfNegative val="0"/>
            <c:bubble3D val="0"/>
            <c:spPr>
              <a:solidFill>
                <a:schemeClr val="accent1"/>
              </a:solidFill>
              <a:ln>
                <a:noFill/>
              </a:ln>
              <a:effectLst/>
            </c:spPr>
            <c:extLst>
              <c:ext xmlns:c="http://schemas.openxmlformats.org/drawingml/2006/chart" xmlns:c16="http://schemas.microsoft.com/office/drawing/2014/chart" uri="{C3380CC4-5D6E-409C-BE32-E72D297353CC}">
                <c16:uniqueId val="{00000010-CC2D-4E98-9DF2-053BE3DBB8DF}"/>
              </c:ext>
            </c:extLst>
          </c:dPt>
          <c:dPt>
            <c:idx val="15"/>
            <c:invertIfNegative val="0"/>
            <c:bubble3D val="0"/>
            <c:spPr>
              <a:solidFill>
                <a:schemeClr val="accent1"/>
              </a:solidFill>
              <a:ln>
                <a:noFill/>
              </a:ln>
              <a:effectLst/>
            </c:spPr>
            <c:extLst>
              <c:ext xmlns:c="http://schemas.openxmlformats.org/drawingml/2006/chart" xmlns:c16="http://schemas.microsoft.com/office/drawing/2014/chart" uri="{C3380CC4-5D6E-409C-BE32-E72D297353CC}">
                <c16:uniqueId val="{00000012-CC2D-4E98-9DF2-053BE3DBB8DF}"/>
              </c:ext>
            </c:extLst>
          </c:dPt>
          <c:dPt>
            <c:idx val="16"/>
            <c:invertIfNegative val="0"/>
            <c:bubble3D val="0"/>
            <c:spPr>
              <a:solidFill>
                <a:schemeClr val="accent1"/>
              </a:solidFill>
              <a:ln>
                <a:noFill/>
              </a:ln>
              <a:effectLst/>
            </c:spPr>
            <c:extLst>
              <c:ext xmlns:c="http://schemas.openxmlformats.org/drawingml/2006/chart" xmlns:c16="http://schemas.microsoft.com/office/drawing/2014/chart" uri="{C3380CC4-5D6E-409C-BE32-E72D297353CC}">
                <c16:uniqueId val="{00000014-CC2D-4E98-9DF2-053BE3DBB8DF}"/>
              </c:ext>
            </c:extLst>
          </c:dPt>
          <c:dPt>
            <c:idx val="17"/>
            <c:invertIfNegative val="0"/>
            <c:bubble3D val="0"/>
            <c:spPr>
              <a:solidFill>
                <a:schemeClr val="accent1"/>
              </a:solidFill>
              <a:ln>
                <a:noFill/>
              </a:ln>
              <a:effectLst/>
            </c:spPr>
            <c:extLst>
              <c:ext xmlns:c="http://schemas.openxmlformats.org/drawingml/2006/chart" xmlns:c16="http://schemas.microsoft.com/office/drawing/2014/chart" uri="{C3380CC4-5D6E-409C-BE32-E72D297353CC}">
                <c16:uniqueId val="{00000016-CC2D-4E98-9DF2-053BE3DBB8DF}"/>
              </c:ext>
            </c:extLst>
          </c:dPt>
          <c:dPt>
            <c:idx val="18"/>
            <c:invertIfNegative val="0"/>
            <c:bubble3D val="0"/>
            <c:spPr>
              <a:solidFill>
                <a:schemeClr val="accent1"/>
              </a:solidFill>
              <a:ln>
                <a:noFill/>
              </a:ln>
              <a:effectLst/>
            </c:spPr>
            <c:extLst>
              <c:ext xmlns:c="http://schemas.openxmlformats.org/drawingml/2006/chart" xmlns:c16="http://schemas.microsoft.com/office/drawing/2014/chart" uri="{C3380CC4-5D6E-409C-BE32-E72D297353CC}">
                <c16:uniqueId val="{00000018-CC2D-4E98-9DF2-053BE3DBB8DF}"/>
              </c:ext>
            </c:extLst>
          </c:dPt>
          <c:dPt>
            <c:idx val="19"/>
            <c:invertIfNegative val="0"/>
            <c:bubble3D val="0"/>
            <c:spPr>
              <a:solidFill>
                <a:schemeClr val="accent1"/>
              </a:solidFill>
              <a:ln>
                <a:noFill/>
              </a:ln>
              <a:effectLst/>
            </c:spPr>
            <c:extLst>
              <c:ext xmlns:c="http://schemas.openxmlformats.org/drawingml/2006/chart" xmlns:c16="http://schemas.microsoft.com/office/drawing/2014/chart" uri="{C3380CC4-5D6E-409C-BE32-E72D297353CC}">
                <c16:uniqueId val="{0000001A-CC2D-4E98-9DF2-053BE3DBB8DF}"/>
              </c:ext>
            </c:extLst>
          </c:dPt>
          <c:dPt>
            <c:idx val="20"/>
            <c:invertIfNegative val="0"/>
            <c:bubble3D val="0"/>
            <c:spPr>
              <a:solidFill>
                <a:schemeClr val="accent1"/>
              </a:solidFill>
              <a:ln>
                <a:noFill/>
              </a:ln>
              <a:effectLst/>
            </c:spPr>
            <c:extLst>
              <c:ext xmlns:c="http://schemas.openxmlformats.org/drawingml/2006/chart" xmlns:c16="http://schemas.microsoft.com/office/drawing/2014/chart" uri="{C3380CC4-5D6E-409C-BE32-E72D297353CC}">
                <c16:uniqueId val="{0000001C-CC2D-4E98-9DF2-053BE3DBB8DF}"/>
              </c:ext>
            </c:extLst>
          </c:dPt>
          <c:dLbls>
            <c:dLbl>
              <c:idx val="0"/>
              <c:layout>
                <c:manualLayout>
                  <c:x val="-0.058822603056970825"/>
                  <c:y val="0"/>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lv-LV"/>
                </a:p>
              </c:txPr>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CC2D-4E98-9DF2-053BE3DBB8DF}"/>
                </c:ext>
                <c:ext xmlns:c15="http://schemas.microsoft.com/office/drawing/2012/chart" uri="{CE6537A1-D6FC-4f65-9D91-7224C49458BB}"/>
              </c:extLst>
            </c:dLbl>
            <c:dLbl>
              <c:idx val="7"/>
              <c:layout>
                <c:manualLayout>
                  <c:x val="-0.18823529411764706"/>
                  <c:y val="0"/>
                </c:manualLayout>
              </c:layout>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D-CC2D-4E98-9DF2-053BE3DBB8DF}"/>
                </c:ext>
                <c:ext xmlns:c15="http://schemas.microsoft.com/office/drawing/2012/chart" uri="{CE6537A1-D6FC-4f65-9D91-7224C49458BB}"/>
              </c:extLst>
            </c:dLbl>
            <c:dLbl>
              <c:idx val="20"/>
              <c:layout>
                <c:manualLayout>
                  <c:x val="-0.070588235294117757"/>
                  <c:y val="0"/>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lv-LV"/>
                </a:p>
              </c:txPr>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C-CC2D-4E98-9DF2-053BE3DBB8D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Nemetālisko minerālu ražošana</c:v>
                </c:pt>
                <c:pt idx="1">
                  <c:v>Būvniecība</c:v>
                </c:pt>
                <c:pt idx="2">
                  <c:v>Transportlīdzekļu ražošana</c:v>
                </c:pt>
                <c:pt idx="3">
                  <c:v>Vieglā rūpniecība</c:v>
                </c:pt>
                <c:pt idx="4">
                  <c:v>Mašīnu un iekārtu ražošana</c:v>
                </c:pt>
                <c:pt idx="5">
                  <c:v>IKT pakalpojumi</c:v>
                </c:pt>
                <c:pt idx="6">
                  <c:v>Papīra ražošana un poligrāfija</c:v>
                </c:pt>
                <c:pt idx="7">
                  <c:v>Finanšu un apdrošin. darbības</c:v>
                </c:pt>
                <c:pt idx="8">
                  <c:v>Kokapstrāde</c:v>
                </c:pt>
                <c:pt idx="9">
                  <c:v>Ķīmiskā rūpniecība</c:v>
                </c:pt>
                <c:pt idx="10">
                  <c:v>Ūdens apgāde</c:v>
                </c:pt>
                <c:pt idx="11">
                  <c:v>Pārtikas rūpniecība</c:v>
                </c:pt>
                <c:pt idx="12">
                  <c:v>Sabiedriskie pakalpojumi</c:v>
                </c:pt>
                <c:pt idx="13">
                  <c:v>Transports un uzglabāšana</c:v>
                </c:pt>
                <c:pt idx="14">
                  <c:v>Lauksaimniecība, mežsaimniecība</c:v>
                </c:pt>
                <c:pt idx="15">
                  <c:v>Tirdzniecība</c:v>
                </c:pt>
                <c:pt idx="16">
                  <c:v>Ieguves rūpniecība</c:v>
                </c:pt>
                <c:pt idx="17">
                  <c:v>Elektroenerģija un gāzes apgāde</c:v>
                </c:pt>
                <c:pt idx="18">
                  <c:v>Izmitināšana un ēdināšanas pak.</c:v>
                </c:pt>
                <c:pt idx="19">
                  <c:v>Metālapstrāde</c:v>
                </c:pt>
                <c:pt idx="20">
                  <c:v>Elektrisko un optisko iekārtu raž.</c:v>
                </c:pt>
              </c:strCache>
            </c:strRef>
          </c:cat>
          <c:val>
            <c:numRef>
              <c:f>Sheet1!$B$2:$B$22</c:f>
              <c:numCache>
                <c:formatCode>0</c:formatCode>
                <c:ptCount val="21"/>
                <c:pt idx="0">
                  <c:v>-16</c:v>
                </c:pt>
                <c:pt idx="1">
                  <c:v>-11</c:v>
                </c:pt>
                <c:pt idx="2">
                  <c:v>-6</c:v>
                </c:pt>
                <c:pt idx="3">
                  <c:v>-6</c:v>
                </c:pt>
                <c:pt idx="4">
                  <c:v>-5</c:v>
                </c:pt>
                <c:pt idx="5">
                  <c:v>-3</c:v>
                </c:pt>
                <c:pt idx="6">
                  <c:v>-2</c:v>
                </c:pt>
                <c:pt idx="7">
                  <c:v>0.001</c:v>
                </c:pt>
                <c:pt idx="8">
                  <c:v>-0.001</c:v>
                </c:pt>
                <c:pt idx="9">
                  <c:v>-0.0001</c:v>
                </c:pt>
                <c:pt idx="10">
                  <c:v>1</c:v>
                </c:pt>
                <c:pt idx="11">
                  <c:v>1</c:v>
                </c:pt>
                <c:pt idx="12">
                  <c:v>1</c:v>
                </c:pt>
                <c:pt idx="13">
                  <c:v>3</c:v>
                </c:pt>
                <c:pt idx="14">
                  <c:v>3</c:v>
                </c:pt>
                <c:pt idx="15">
                  <c:v>4</c:v>
                </c:pt>
                <c:pt idx="16">
                  <c:v>6</c:v>
                </c:pt>
                <c:pt idx="17">
                  <c:v>7</c:v>
                </c:pt>
                <c:pt idx="18">
                  <c:v>8</c:v>
                </c:pt>
                <c:pt idx="19">
                  <c:v>9</c:v>
                </c:pt>
                <c:pt idx="20">
                  <c:v>51</c:v>
                </c:pt>
              </c:numCache>
            </c:numRef>
          </c:val>
          <c:extLst>
            <c:ext xmlns:c="http://schemas.openxmlformats.org/drawingml/2006/chart" xmlns:c16="http://schemas.microsoft.com/office/drawing/2014/chart" uri="{C3380CC4-5D6E-409C-BE32-E72D297353CC}">
              <c16:uniqueId val="{0000001E-CC2D-4E98-9DF2-053BE3DBB8DF}"/>
            </c:ext>
          </c:extLst>
        </c:ser>
        <c:dLbls>
          <c:showLegendKey val="0"/>
          <c:showVal val="0"/>
          <c:showCatName val="0"/>
          <c:showSerName val="0"/>
          <c:showPercent val="0"/>
          <c:showBubbleSize val="0"/>
        </c:dLbls>
        <c:gapWidth val="40"/>
        <c:axId val="629811056"/>
        <c:axId val="629811448"/>
      </c:barChart>
      <c:catAx>
        <c:axId val="629811056"/>
        <c:scaling>
          <c:orientation val="minMax"/>
        </c:scaling>
        <c:delete val="1"/>
        <c:axPos val="l"/>
        <c:numFmt formatCode="General" sourceLinked="1"/>
        <c:majorTickMark val="none"/>
        <c:minorTickMark val="none"/>
        <c:tickLblPos val="low"/>
        <c:crossAx val="629811448"/>
        <c:crosses val="autoZero"/>
        <c:auto val="1"/>
        <c:lblAlgn val="ctr"/>
        <c:lblOffset val="100"/>
        <c:noMultiLvlLbl val="0"/>
      </c:catAx>
      <c:valAx>
        <c:axId val="629811448"/>
        <c:scaling>
          <c:orientation val="minMax"/>
          <c:max val="55"/>
        </c:scaling>
        <c:delete val="1"/>
        <c:axPos val="b"/>
        <c:numFmt formatCode="0" sourceLinked="1"/>
        <c:majorTickMark val="out"/>
        <c:minorTickMark val="none"/>
        <c:tickLblPos val="nextTo"/>
        <c:crossAx val="629811056"/>
        <c:crosses val="autoZero"/>
        <c:crossBetween val="between"/>
        <c:majorUnit val="5"/>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lv-LV"/>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7354822834645707"/>
          <c:y val="0.054187037037040774"/>
          <c:w val="0.8789631193571017"/>
          <c:h val="0.61215295849212881"/>
        </c:manualLayout>
      </c:layout>
      <c:lineChart>
        <c:grouping val="standard"/>
        <c:varyColors val="0"/>
        <c:ser>
          <c:idx val="9"/>
          <c:order val="0"/>
          <c:tx>
            <c:strRef>
              <c:f>Sheet1!$A$3</c:f>
              <c:strCache>
                <c:ptCount val="1"/>
                <c:pt idx="0">
                  <c:v>Eksports, kopā</c:v>
                </c:pt>
              </c:strCache>
            </c:strRef>
          </c:tx>
          <c:spPr>
            <a:ln w="25400">
              <a:solidFill>
                <a:schemeClr val="accent5">
                  <a:lumMod val="75000"/>
                </a:schemeClr>
              </a:solidFill>
            </a:ln>
            <a:effectLst/>
          </c:spPr>
          <c:marker>
            <c:symbol val="none"/>
          </c:marker>
          <c:cat>
            <c:numRef>
              <c:f>Sheet1!$B$2:$M$2</c:f>
              <c:numCache>
                <c:formatCode>0</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Sheet1!$B$3:$M$3</c:f>
              <c:numCache>
                <c:formatCode>0.0</c:formatCode>
                <c:ptCount val="12"/>
                <c:pt idx="0">
                  <c:v>383.909336</c:v>
                </c:pt>
                <c:pt idx="1">
                  <c:v>413.80403399999994</c:v>
                </c:pt>
                <c:pt idx="2">
                  <c:v>418.479494</c:v>
                </c:pt>
                <c:pt idx="3">
                  <c:v>382.76356400000003</c:v>
                </c:pt>
                <c:pt idx="4">
                  <c:v>289.791458</c:v>
                </c:pt>
                <c:pt idx="5">
                  <c:v>332.56879000000009</c:v>
                </c:pt>
                <c:pt idx="6">
                  <c:v>397.03033399999993</c:v>
                </c:pt>
                <c:pt idx="7">
                  <c:v>462.39388799999995</c:v>
                </c:pt>
                <c:pt idx="8">
                  <c:v>494.52409200000005</c:v>
                </c:pt>
                <c:pt idx="9">
                  <c:v>483.741405</c:v>
                </c:pt>
                <c:pt idx="10">
                  <c:v>438.05796799999996</c:v>
                </c:pt>
                <c:pt idx="11" formatCode="0">
                  <c:v>372.54741199999995</c:v>
                </c:pt>
              </c:numCache>
            </c:numRef>
          </c:val>
          <c:smooth val="0"/>
          <c:extLst>
            <c:ext xmlns:c="http://schemas.openxmlformats.org/drawingml/2006/chart" xmlns:c16="http://schemas.microsoft.com/office/drawing/2014/chart" uri="{C3380CC4-5D6E-409C-BE32-E72D297353CC}">
              <c16:uniqueId val="{00000000-A006-456F-8D31-6BAFAD76E360}"/>
            </c:ext>
          </c:extLst>
        </c:ser>
        <c:dLbls>
          <c:showLegendKey val="0"/>
          <c:showVal val="0"/>
          <c:showCatName val="0"/>
          <c:showSerName val="0"/>
          <c:showPercent val="0"/>
          <c:showBubbleSize val="0"/>
        </c:dLbls>
        <c:smooth val="0"/>
        <c:axId val="629895728"/>
        <c:axId val="629905528"/>
      </c:lineChart>
      <c:catAx>
        <c:axId val="629895728"/>
        <c:scaling>
          <c:orientation val="minMax"/>
        </c:scaling>
        <c:delete val="0"/>
        <c:axPos val="b"/>
        <c:numFmt formatCode="0" sourceLinked="1"/>
        <c:majorTickMark val="out"/>
        <c:minorTickMark val="none"/>
        <c:tickLblPos val="low"/>
        <c:spPr>
          <a:noFill/>
          <a:ln w="3175">
            <a:solidFill>
              <a:sysClr val="window" lastClr="FFFFFF">
                <a:lumMod val="50000"/>
              </a:sysClr>
            </a:solidFill>
            <a:round/>
          </a:ln>
          <a:effectLst/>
        </c:spPr>
        <c:txPr>
          <a:bodyPr rot="-5400000" vert="horz"/>
          <a:lstStyle/>
          <a:p>
            <a:pPr>
              <a:defRPr sz="700"/>
            </a:pPr>
            <a:endParaRPr lang="lv-LV"/>
          </a:p>
        </c:txPr>
        <c:crossAx val="629905528"/>
        <c:crosses val="autoZero"/>
        <c:lblAlgn val="ctr"/>
        <c:lblOffset val="100"/>
        <c:noMultiLvlLbl val="0"/>
      </c:catAx>
      <c:valAx>
        <c:axId val="629905528"/>
        <c:scaling>
          <c:orientation val="minMax"/>
          <c:max val="500"/>
          <c:min val="200"/>
        </c:scaling>
        <c:delete val="0"/>
        <c:axPos val="l"/>
        <c:numFmt formatCode="0" sourceLinked="0"/>
        <c:majorTickMark val="out"/>
        <c:minorTickMark val="none"/>
        <c:tickLblPos val="nextTo"/>
        <c:spPr>
          <a:noFill/>
          <a:ln w="3175">
            <a:solidFill>
              <a:sysClr val="window" lastClr="FFFFFF">
                <a:lumMod val="50000"/>
              </a:sysClr>
            </a:solidFill>
            <a:round/>
          </a:ln>
          <a:effectLst/>
        </c:spPr>
        <c:txPr>
          <a:bodyPr rot="0"/>
          <a:lstStyle/>
          <a:p>
            <a:pPr>
              <a:defRPr/>
            </a:pPr>
            <a:endParaRPr lang="lv-LV"/>
          </a:p>
        </c:txPr>
        <c:crossAx val="629895728"/>
        <c:crosses val="autoZero"/>
        <c:crossBetween val="between"/>
      </c:valAx>
      <c:spPr>
        <a:noFill/>
        <a:ln w="24631">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Arial Narrow" panose="020B0606020202030204" pitchFamily="34" charset="0"/>
          <a:ea typeface="Arial"/>
          <a:cs typeface="Arial"/>
        </a:defRPr>
      </a:pPr>
      <a:endParaRPr lang="lv-LV"/>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5939056398438"/>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CED9-4CA4-B47A-6715CB426C99}"/>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CED9-4CA4-B47A-6715CB426C99}"/>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Sheet1!$B$2:$L$2</c:f>
              <c:numCache>
                <c:formatCode>0</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Sheet1!$B$3:$L$3</c:f>
              <c:numCache>
                <c:formatCode>0</c:formatCode>
                <c:ptCount val="11"/>
                <c:pt idx="0">
                  <c:v>17.699831074227752</c:v>
                </c:pt>
                <c:pt idx="1">
                  <c:v>20.495494502228823</c:v>
                </c:pt>
                <c:pt idx="2">
                  <c:v>21.383724782830864</c:v>
                </c:pt>
                <c:pt idx="3">
                  <c:v>21.909763251287924</c:v>
                </c:pt>
                <c:pt idx="4">
                  <c:v>23.257741412520062</c:v>
                </c:pt>
                <c:pt idx="5">
                  <c:v>26.563002396166141</c:v>
                </c:pt>
                <c:pt idx="6">
                  <c:v>29.941955806938154</c:v>
                </c:pt>
                <c:pt idx="7">
                  <c:v>34.792617607223477</c:v>
                </c:pt>
                <c:pt idx="8">
                  <c:v>37.37899410430839</c:v>
                </c:pt>
                <c:pt idx="9">
                  <c:v>40.412815789473683</c:v>
                </c:pt>
                <c:pt idx="10">
                  <c:v>39.51</c:v>
                </c:pt>
              </c:numCache>
            </c:numRef>
          </c:val>
          <c:extLst>
            <c:ext xmlns:c="http://schemas.openxmlformats.org/drawingml/2006/chart" xmlns:c16="http://schemas.microsoft.com/office/drawing/2014/chart" uri="{C3380CC4-5D6E-409C-BE32-E72D297353CC}">
              <c16:uniqueId val="{00000004-CED9-4CA4-B47A-6715CB426C99}"/>
            </c:ext>
          </c:extLst>
        </c:ser>
        <c:dLbls>
          <c:showLegendKey val="0"/>
          <c:showVal val="0"/>
          <c:showCatName val="0"/>
          <c:showSerName val="0"/>
          <c:showPercent val="0"/>
          <c:showBubbleSize val="0"/>
        </c:dLbls>
        <c:gapWidth val="20"/>
        <c:axId val="629903960"/>
        <c:axId val="629905920"/>
      </c:barChart>
      <c:catAx>
        <c:axId val="629903960"/>
        <c:scaling>
          <c:orientation val="minMax"/>
        </c:scaling>
        <c:delete val="0"/>
        <c:axPos val="b"/>
        <c:numFmt formatCode="0" sourceLinked="1"/>
        <c:majorTickMark val="out"/>
        <c:minorTickMark val="none"/>
        <c:tickLblPos val="low"/>
        <c:txPr>
          <a:bodyPr rot="-5400000" vert="horz"/>
          <a:lstStyle/>
          <a:p>
            <a:pPr>
              <a:defRPr/>
            </a:pPr>
            <a:endParaRPr lang="lv-LV"/>
          </a:p>
        </c:txPr>
        <c:crossAx val="629905920"/>
        <c:crosses val="autoZero"/>
        <c:auto val="1"/>
        <c:lblAlgn val="ctr"/>
        <c:lblOffset val="100"/>
        <c:noMultiLvlLbl val="0"/>
      </c:catAx>
      <c:valAx>
        <c:axId val="629905920"/>
        <c:scaling>
          <c:orientation val="minMax"/>
          <c:min val="0"/>
        </c:scaling>
        <c:delete val="0"/>
        <c:axPos val="l"/>
        <c:numFmt formatCode="0" sourceLinked="0"/>
        <c:majorTickMark val="out"/>
        <c:minorTickMark val="none"/>
        <c:tickLblPos val="nextTo"/>
        <c:crossAx val="629903960"/>
        <c:crosses val="autoZero"/>
        <c:crossBetween val="between"/>
        <c:majorUnit val="10"/>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572372897835"/>
          <c:y val="0.044057785459744363"/>
          <c:w val="0.9310540474739486"/>
          <c:h val="0.72250176045067538"/>
        </c:manualLayout>
      </c:layout>
      <c:barChart>
        <c:barDir val="col"/>
        <c:grouping val="clustered"/>
        <c:varyColors val="0"/>
        <c:ser>
          <c:idx val="1"/>
          <c:order val="0"/>
          <c:tx>
            <c:strRef>
              <c:f>Sheet1!$B$3</c:f>
              <c:strCache>
                <c:ptCount val="1"/>
              </c:strCache>
            </c:strRef>
          </c:tx>
          <c:spPr>
            <a:solidFill>
              <a:schemeClr val="accent3">
                <a:lumMod val="50000"/>
              </a:schemeClr>
            </a:solidFill>
            <a:ln w="19050"/>
          </c:spPr>
          <c:invertIfNegative val="0"/>
          <c:dPt>
            <c:idx val="9"/>
            <c:invertIfNegative val="0"/>
            <c:bubble3D val="0"/>
            <c:extLst>
              <c:ext xmlns:c="http://schemas.openxmlformats.org/drawingml/2006/chart" xmlns:c16="http://schemas.microsoft.com/office/drawing/2014/chart" uri="{C3380CC4-5D6E-409C-BE32-E72D297353CC}">
                <c16:uniqueId val="{00000000-C0E3-451C-A5DF-984253E95766}"/>
              </c:ext>
            </c:extLst>
          </c:dPt>
          <c:dPt>
            <c:idx val="13"/>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2-C0E3-451C-A5DF-984253E95766}"/>
              </c:ext>
            </c:extLst>
          </c:dPt>
          <c:dPt>
            <c:idx val="14"/>
            <c:invertIfNegative val="0"/>
            <c:bubble3D val="0"/>
            <c:extLst>
              <c:ext xmlns:c="http://schemas.openxmlformats.org/drawingml/2006/chart" xmlns:c16="http://schemas.microsoft.com/office/drawing/2014/chart" uri="{C3380CC4-5D6E-409C-BE32-E72D297353CC}">
                <c16:uniqueId val="{00000003-C0E3-451C-A5DF-984253E95766}"/>
              </c:ext>
            </c:extLst>
          </c:dPt>
          <c:dPt>
            <c:idx val="20"/>
            <c:invertIfNegative val="0"/>
            <c:bubble3D val="0"/>
            <c:extLst>
              <c:ext xmlns:c="http://schemas.openxmlformats.org/drawingml/2006/chart" xmlns:c16="http://schemas.microsoft.com/office/drawing/2014/chart" uri="{C3380CC4-5D6E-409C-BE32-E72D297353CC}">
                <c16:uniqueId val="{00000004-C0E3-451C-A5DF-984253E95766}"/>
              </c:ext>
            </c:extLst>
          </c:dPt>
          <c:dPt>
            <c:idx val="21"/>
            <c:invertIfNegative val="0"/>
            <c:bubble3D val="0"/>
            <c:spPr>
              <a:ln w="19050"/>
            </c:spPr>
            <c:extLst>
              <c:ext xmlns:c="http://schemas.openxmlformats.org/drawingml/2006/chart" xmlns:c16="http://schemas.microsoft.com/office/drawing/2014/chart" uri="{C3380CC4-5D6E-409C-BE32-E72D297353CC}">
                <c16:uniqueId val="{00000006-C0E3-451C-A5DF-984253E95766}"/>
              </c:ext>
            </c:extLst>
          </c:dPt>
          <c:dPt>
            <c:idx val="25"/>
            <c:invertIfNegative val="0"/>
            <c:bubble3D val="0"/>
            <c:extLst>
              <c:ext xmlns:c="http://schemas.openxmlformats.org/drawingml/2006/chart" xmlns:c16="http://schemas.microsoft.com/office/drawing/2014/chart" uri="{C3380CC4-5D6E-409C-BE32-E72D297353CC}">
                <c16:uniqueId val="{00000007-C0E3-451C-A5DF-984253E95766}"/>
              </c:ext>
            </c:extLst>
          </c:dPt>
          <c:dLbls>
            <c:dLbl>
              <c:idx val="13"/>
              <c:spPr>
                <a:noFill/>
                <a:ln>
                  <a:noFill/>
                </a:ln>
                <a:effectLst/>
              </c:spPr>
              <c:txPr>
                <a:bodyPr wrap="square" lIns="38100" tIns="19050" rIns="38100" bIns="19050" anchor="ctr">
                  <a:spAutoFit/>
                </a:bodyPr>
                <a:lstStyle/>
                <a:p>
                  <a:pPr>
                    <a:defRPr sz="600" b="0"/>
                  </a:pPr>
                  <a:endParaRPr lang="lv-LV"/>
                </a:p>
              </c:txPr>
              <c:showLegendKey val="0"/>
              <c:showVal val="1"/>
              <c:showCatName val="0"/>
              <c:showSerName val="0"/>
              <c:showPercent val="0"/>
              <c:showBubbleSize val="0"/>
            </c:dLbl>
            <c:dLbl>
              <c:idx val="20"/>
              <c:spPr>
                <a:noFill/>
                <a:ln>
                  <a:noFill/>
                </a:ln>
                <a:effectLst/>
              </c:spPr>
              <c:txPr>
                <a:bodyPr wrap="square" lIns="38100" tIns="19050" rIns="38100" bIns="19050" anchor="ctr">
                  <a:spAutoFit/>
                </a:bodyPr>
                <a:lstStyle/>
                <a:p>
                  <a:pPr>
                    <a:defRPr sz="600" b="0"/>
                  </a:pPr>
                  <a:endParaRPr lang="lv-LV"/>
                </a:p>
              </c:txPr>
              <c:showLegendKey val="0"/>
              <c:showVal val="1"/>
              <c:showCatName val="0"/>
              <c:showSerName val="0"/>
              <c:showPercent val="0"/>
              <c:showBubbleSize val="0"/>
            </c:dLbl>
            <c:dLbl>
              <c:idx val="21"/>
              <c:spPr>
                <a:noFill/>
                <a:ln>
                  <a:noFill/>
                </a:ln>
                <a:effectLst/>
              </c:spPr>
              <c:txPr>
                <a:bodyPr wrap="square" lIns="38100" tIns="19050" rIns="38100" bIns="19050" anchor="ctr">
                  <a:spAutoFit/>
                </a:bodyPr>
                <a:lstStyle/>
                <a:p>
                  <a:pPr>
                    <a:defRPr sz="600" b="1"/>
                  </a:pPr>
                  <a:endParaRPr lang="lv-LV"/>
                </a:p>
              </c:txPr>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Sheet1!$A$4:$A$32</c:f>
              <c:strCache>
                <c:ptCount val="29"/>
                <c:pt idx="0">
                  <c:v>DK</c:v>
                </c:pt>
                <c:pt idx="1">
                  <c:v>NL</c:v>
                </c:pt>
                <c:pt idx="2">
                  <c:v>BE</c:v>
                </c:pt>
                <c:pt idx="3">
                  <c:v>LU</c:v>
                </c:pt>
                <c:pt idx="4">
                  <c:v>SE</c:v>
                </c:pt>
                <c:pt idx="5">
                  <c:v>AT</c:v>
                </c:pt>
                <c:pt idx="6">
                  <c:v>DE</c:v>
                </c:pt>
                <c:pt idx="7">
                  <c:v>FR</c:v>
                </c:pt>
                <c:pt idx="8">
                  <c:v>IE</c:v>
                </c:pt>
                <c:pt idx="9">
                  <c:v>UK</c:v>
                </c:pt>
                <c:pt idx="10">
                  <c:v>FI</c:v>
                </c:pt>
                <c:pt idx="11">
                  <c:v>ES</c:v>
                </c:pt>
                <c:pt idx="12">
                  <c:v>SI</c:v>
                </c:pt>
                <c:pt idx="13">
                  <c:v>EU-28</c:v>
                </c:pt>
                <c:pt idx="14">
                  <c:v>IT</c:v>
                </c:pt>
                <c:pt idx="15">
                  <c:v>MT</c:v>
                </c:pt>
                <c:pt idx="16">
                  <c:v>SK</c:v>
                </c:pt>
                <c:pt idx="17">
                  <c:v>CZ</c:v>
                </c:pt>
                <c:pt idx="18">
                  <c:v>EL</c:v>
                </c:pt>
                <c:pt idx="19">
                  <c:v>LT</c:v>
                </c:pt>
                <c:pt idx="20">
                  <c:v>HU</c:v>
                </c:pt>
                <c:pt idx="21">
                  <c:v>LV</c:v>
                </c:pt>
                <c:pt idx="22">
                  <c:v>PL</c:v>
                </c:pt>
                <c:pt idx="23">
                  <c:v>HR</c:v>
                </c:pt>
                <c:pt idx="24">
                  <c:v>PT</c:v>
                </c:pt>
                <c:pt idx="25">
                  <c:v>EE</c:v>
                </c:pt>
                <c:pt idx="26">
                  <c:v>CY</c:v>
                </c:pt>
                <c:pt idx="27">
                  <c:v>RO</c:v>
                </c:pt>
                <c:pt idx="28">
                  <c:v>BG</c:v>
                </c:pt>
              </c:strCache>
            </c:strRef>
          </c:cat>
          <c:val>
            <c:numRef>
              <c:f>Sheet1!$B$4:$B$32</c:f>
              <c:numCache>
                <c:formatCode>0</c:formatCode>
                <c:ptCount val="29"/>
                <c:pt idx="0">
                  <c:v>1307.3811856</c:v>
                </c:pt>
                <c:pt idx="1">
                  <c:v>1085.5725884117646</c:v>
                </c:pt>
                <c:pt idx="2">
                  <c:v>806.97009194092834</c:v>
                </c:pt>
                <c:pt idx="3">
                  <c:v>567.15772561983476</c:v>
                </c:pt>
                <c:pt idx="4">
                  <c:v>387.5090095</c:v>
                </c:pt>
                <c:pt idx="5">
                  <c:v>332.47274875904856</c:v>
                </c:pt>
                <c:pt idx="6">
                  <c:v>238.67493962580645</c:v>
                </c:pt>
                <c:pt idx="7">
                  <c:v>220.48959641509435</c:v>
                </c:pt>
                <c:pt idx="8">
                  <c:v>188.16466855895197</c:v>
                </c:pt>
                <c:pt idx="9">
                  <c:v>142.61490668295892</c:v>
                </c:pt>
                <c:pt idx="10">
                  <c:v>135.41306039603961</c:v>
                </c:pt>
                <c:pt idx="11">
                  <c:v>122.31134148244472</c:v>
                </c:pt>
                <c:pt idx="12">
                  <c:v>114.06807592407593</c:v>
                </c:pt>
                <c:pt idx="13">
                  <c:v>104.2305620198525</c:v>
                </c:pt>
                <c:pt idx="14">
                  <c:v>100.72024955283739</c:v>
                </c:pt>
                <c:pt idx="15">
                  <c:v>82.636659375</c:v>
                </c:pt>
                <c:pt idx="16">
                  <c:v>81.4776260565206</c:v>
                </c:pt>
                <c:pt idx="17">
                  <c:v>79.000255517241385</c:v>
                </c:pt>
                <c:pt idx="18">
                  <c:v>51.32518409529942</c:v>
                </c:pt>
                <c:pt idx="19">
                  <c:v>46.709628038628033</c:v>
                </c:pt>
                <c:pt idx="20">
                  <c:v>41.018824140550805</c:v>
                </c:pt>
                <c:pt idx="21">
                  <c:v>40</c:v>
                </c:pt>
                <c:pt idx="22">
                  <c:v>38.80699187129165</c:v>
                </c:pt>
                <c:pt idx="23">
                  <c:v>36.580101470147014</c:v>
                </c:pt>
                <c:pt idx="24">
                  <c:v>33.292864699479409</c:v>
                </c:pt>
                <c:pt idx="25">
                  <c:v>32.266512537313432</c:v>
                </c:pt>
                <c:pt idx="26">
                  <c:v>23.492145555555556</c:v>
                </c:pt>
                <c:pt idx="27">
                  <c:v>16.644517134864543</c:v>
                </c:pt>
                <c:pt idx="28">
                  <c:v>14.601766688820948</c:v>
                </c:pt>
              </c:numCache>
            </c:numRef>
          </c:val>
          <c:extLst>
            <c:ext xmlns:c="http://schemas.openxmlformats.org/drawingml/2006/chart" xmlns:c16="http://schemas.microsoft.com/office/drawing/2014/chart" uri="{C3380CC4-5D6E-409C-BE32-E72D297353CC}">
              <c16:uniqueId val="{00000008-C0E3-451C-A5DF-984253E95766}"/>
            </c:ext>
          </c:extLst>
        </c:ser>
        <c:dLbls>
          <c:showLegendKey val="0"/>
          <c:showVal val="0"/>
          <c:showCatName val="0"/>
          <c:showSerName val="0"/>
          <c:showPercent val="0"/>
          <c:showBubbleSize val="0"/>
        </c:dLbls>
        <c:gapWidth val="20"/>
        <c:axId val="629896512"/>
        <c:axId val="629894160"/>
      </c:barChart>
      <c:catAx>
        <c:axId val="629896512"/>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29894160"/>
        <c:crosses val="autoZero"/>
        <c:auto val="1"/>
        <c:lblAlgn val="ctr"/>
        <c:lblOffset val="100"/>
        <c:tickLblSkip val="1"/>
        <c:noMultiLvlLbl val="0"/>
      </c:catAx>
      <c:valAx>
        <c:axId val="629894160"/>
        <c:scaling>
          <c:orientation val="minMax"/>
        </c:scaling>
        <c:delete val="0"/>
        <c:axPos val="l"/>
        <c:numFmt formatCode="0" sourceLinked="0"/>
        <c:majorTickMark val="out"/>
        <c:minorTickMark val="none"/>
        <c:tickLblPos val="nextTo"/>
        <c:txPr>
          <a:bodyPr/>
          <a:lstStyle/>
          <a:p>
            <a:pPr>
              <a:defRPr sz="600"/>
            </a:pPr>
            <a:endParaRPr lang="lv-LV"/>
          </a:p>
        </c:txPr>
        <c:crossAx val="629896512"/>
        <c:crosses val="autoZero"/>
        <c:crossBetween val="between"/>
      </c:valAx>
    </c:plotArea>
    <c:plotVisOnly val="1"/>
    <c:dispBlanksAs val="gap"/>
    <c:showDLblsOverMax val="0"/>
  </c:chart>
  <c:spPr>
    <a:ln w="9525">
      <a:noFill/>
    </a:ln>
  </c:sp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449061330451076"/>
          <c:y val="0.15218914041994749"/>
          <c:w val="0.52181675566416263"/>
          <c:h val="0.709344652230971"/>
        </c:manualLayout>
      </c:layout>
      <c:pieChart>
        <c:varyColors val="1"/>
        <c:ser>
          <c:idx val="0"/>
          <c:order val="0"/>
          <c:tx>
            <c:strRef>
              <c:f>Sheet1!$B$1</c:f>
              <c:strCache>
                <c:ptCount val="1"/>
                <c:pt idx="0">
                  <c:v>Column1</c:v>
                </c:pt>
              </c:strCache>
            </c:strRef>
          </c:tx>
          <c:dPt>
            <c:idx val="0"/>
            <c:bubble3D val="0"/>
            <c:spPr>
              <a:solidFill>
                <a:schemeClr val="accent1"/>
              </a:solidFill>
              <a:ln>
                <a:noFill/>
              </a:ln>
              <a:effectLst/>
            </c:spPr>
            <c:extLst>
              <c:ext xmlns:c="http://schemas.openxmlformats.org/drawingml/2006/chart" xmlns:c16="http://schemas.microsoft.com/office/drawing/2014/chart" uri="{C3380CC4-5D6E-409C-BE32-E72D297353CC}">
                <c16:uniqueId val="{00000001-FF2E-484C-919D-7FC8783586CF}"/>
              </c:ext>
            </c:extLst>
          </c:dPt>
          <c:dPt>
            <c:idx val="1"/>
            <c:bubble3D val="0"/>
            <c:spPr>
              <a:solidFill>
                <a:schemeClr val="accent2"/>
              </a:solidFill>
              <a:ln>
                <a:noFill/>
              </a:ln>
              <a:effectLst/>
            </c:spPr>
            <c:extLst>
              <c:ext xmlns:c="http://schemas.openxmlformats.org/drawingml/2006/chart" xmlns:c16="http://schemas.microsoft.com/office/drawing/2014/chart" uri="{C3380CC4-5D6E-409C-BE32-E72D297353CC}">
                <c16:uniqueId val="{00000003-FF2E-484C-919D-7FC8783586CF}"/>
              </c:ext>
            </c:extLst>
          </c:dPt>
          <c:dPt>
            <c:idx val="2"/>
            <c:bubble3D val="0"/>
            <c:spPr>
              <a:solidFill>
                <a:schemeClr val="accent3"/>
              </a:solidFill>
              <a:ln>
                <a:noFill/>
              </a:ln>
              <a:effectLst/>
            </c:spPr>
            <c:extLst>
              <c:ext xmlns:c="http://schemas.openxmlformats.org/drawingml/2006/chart" xmlns:c16="http://schemas.microsoft.com/office/drawing/2014/chart" uri="{C3380CC4-5D6E-409C-BE32-E72D297353CC}">
                <c16:uniqueId val="{00000005-FF2E-484C-919D-7FC8783586CF}"/>
              </c:ext>
            </c:extLst>
          </c:dPt>
          <c:dPt>
            <c:idx val="3"/>
            <c:bubble3D val="0"/>
            <c:spPr>
              <a:solidFill>
                <a:schemeClr val="accent4"/>
              </a:solidFill>
              <a:ln>
                <a:noFill/>
              </a:ln>
              <a:effectLst/>
            </c:spPr>
            <c:extLst>
              <c:ext xmlns:c="http://schemas.openxmlformats.org/drawingml/2006/chart" xmlns:c16="http://schemas.microsoft.com/office/drawing/2014/chart" uri="{C3380CC4-5D6E-409C-BE32-E72D297353CC}">
                <c16:uniqueId val="{00000007-FF2E-484C-919D-7FC8783586CF}"/>
              </c:ext>
            </c:extLst>
          </c:dPt>
          <c:dPt>
            <c:idx val="4"/>
            <c:bubble3D val="0"/>
            <c:spPr>
              <a:solidFill>
                <a:schemeClr val="accent5"/>
              </a:solidFill>
              <a:ln>
                <a:noFill/>
              </a:ln>
              <a:effectLst/>
            </c:spPr>
            <c:extLst>
              <c:ext xmlns:c="http://schemas.openxmlformats.org/drawingml/2006/chart" xmlns:c16="http://schemas.microsoft.com/office/drawing/2014/chart" uri="{C3380CC4-5D6E-409C-BE32-E72D297353CC}">
                <c16:uniqueId val="{00000009-FF2E-484C-919D-7FC8783586CF}"/>
              </c:ext>
            </c:extLst>
          </c:dPt>
          <c:dPt>
            <c:idx val="5"/>
            <c:bubble3D val="0"/>
            <c:spPr>
              <a:solidFill>
                <a:schemeClr val="accent6"/>
              </a:solidFill>
              <a:ln>
                <a:noFill/>
              </a:ln>
              <a:effectLst/>
            </c:spPr>
            <c:extLst>
              <c:ext xmlns:c="http://schemas.openxmlformats.org/drawingml/2006/chart" xmlns:c16="http://schemas.microsoft.com/office/drawing/2014/chart" uri="{C3380CC4-5D6E-409C-BE32-E72D297353CC}">
                <c16:uniqueId val="{0000000B-FF2E-484C-919D-7FC8783586CF}"/>
              </c:ext>
            </c:extLst>
          </c:dPt>
          <c:dPt>
            <c:idx val="6"/>
            <c:bubble3D val="0"/>
            <c:spPr>
              <a:solidFill>
                <a:schemeClr val="accent1">
                  <a:lumMod val="60000"/>
                </a:schemeClr>
              </a:solidFill>
              <a:ln>
                <a:noFill/>
              </a:ln>
              <a:effectLst/>
            </c:spPr>
            <c:extLst>
              <c:ext xmlns:c="http://schemas.openxmlformats.org/drawingml/2006/chart" xmlns:c16="http://schemas.microsoft.com/office/drawing/2014/chart" uri="{C3380CC4-5D6E-409C-BE32-E72D297353CC}">
                <c16:uniqueId val="{0000000D-FF2E-484C-919D-7FC8783586CF}"/>
              </c:ext>
            </c:extLst>
          </c:dPt>
          <c:dLbls>
            <c:dLbl>
              <c:idx val="0"/>
              <c:layout>
                <c:manualLayout>
                  <c:x val="0.019138685250550579"/>
                  <c:y val="0.046425255338904362"/>
                </c:manualLayout>
              </c:layout>
              <c:spPr>
                <a:noFill/>
                <a:ln>
                  <a:noFill/>
                </a:ln>
                <a:effectLst/>
              </c:spPr>
              <c:txPr>
                <a:bodyPr rot="0" spcFirstLastPara="1" vertOverflow="ellipsis" vert="horz" wrap="square" lIns="38100" tIns="19050" rIns="38100" bIns="19050" anchor="ctr" anchorCtr="1"/>
                <a:lstStyle/>
                <a:p>
                  <a:pPr>
                    <a:defRPr sz="7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extLst>
                <c:ext xmlns:c="http://schemas.openxmlformats.org/drawingml/2006/chart" xmlns:c16="http://schemas.microsoft.com/office/drawing/2014/chart" uri="{C3380CC4-5D6E-409C-BE32-E72D297353CC}">
                  <c16:uniqueId val="{00000001-FF2E-484C-919D-7FC8783586CF}"/>
                </c:ext>
                <c:ext xmlns:c15="http://schemas.microsoft.com/office/drawing/2012/chart" uri="{CE6537A1-D6FC-4f65-9D91-7224C49458BB}">
                  <c15:layout>
                    <c:manualLayout>
                      <c:w val="0.26616888406190603"/>
                      <c:h val="0.26587780287909696"/>
                    </c:manualLayout>
                  </c15:layout>
                </c:ext>
              </c:extLst>
            </c:dLbl>
            <c:dLbl>
              <c:idx val="1"/>
              <c:layout>
                <c:manualLayout>
                  <c:x val="-0.0078851905642984572"/>
                  <c:y val="0.01734835228929717"/>
                </c:manualLayout>
              </c:layout>
              <c:spPr>
                <a:noFill/>
                <a:ln>
                  <a:noFill/>
                </a:ln>
                <a:effectLst/>
              </c:spPr>
              <c:txPr>
                <a:bodyPr rot="0" spcFirstLastPara="1" vertOverflow="ellipsis" vert="horz" wrap="square" lIns="38100" tIns="19050" rIns="38100" bIns="19050" anchor="ctr" anchorCtr="1"/>
                <a:lstStyle/>
                <a:p>
                  <a:pPr>
                    <a:defRPr sz="7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3-FF2E-484C-919D-7FC8783586CF}"/>
                </c:ext>
                <c:ext xmlns:c15="http://schemas.microsoft.com/office/drawing/2012/chart" uri="{CE6537A1-D6FC-4f65-9D91-7224C49458BB}">
                  <c15:layout>
                    <c:manualLayout>
                      <c:w val="0.26091893685703083"/>
                      <c:h val="0.23486573231270882"/>
                    </c:manualLayout>
                  </c15:layout>
                </c:ext>
              </c:extLst>
            </c:dLbl>
            <c:dLbl>
              <c:idx val="2"/>
              <c:layout>
                <c:manualLayout>
                  <c:x val="0.030651340996168581"/>
                  <c:y val="-0.023096381754509013"/>
                </c:manualLayout>
              </c:layout>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5-FF2E-484C-919D-7FC8783586CF}"/>
                </c:ext>
                <c:ext xmlns:c15="http://schemas.microsoft.com/office/drawing/2012/chart" uri="{CE6537A1-D6FC-4f65-9D91-7224C49458BB}"/>
              </c:extLst>
            </c:dLbl>
            <c:dLbl>
              <c:idx val="3"/>
              <c:layout>
                <c:manualLayout>
                  <c:x val="-0.022926678398894541"/>
                  <c:y val="-0.0069648585593467486"/>
                </c:manualLayout>
              </c:layout>
              <c:spPr>
                <a:noFill/>
                <a:ln>
                  <a:noFill/>
                </a:ln>
                <a:effectLst/>
              </c:spPr>
              <c:txPr>
                <a:bodyPr rot="0" spcFirstLastPara="1" vertOverflow="ellipsis" vert="horz" wrap="square" lIns="38100" tIns="19050" rIns="38100" bIns="19050" anchor="ctr" anchorCtr="1"/>
                <a:lstStyle/>
                <a:p>
                  <a:pPr>
                    <a:defRPr sz="7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7-FF2E-484C-919D-7FC8783586CF}"/>
                </c:ext>
                <c:ext xmlns:c15="http://schemas.microsoft.com/office/drawing/2012/chart" uri="{CE6537A1-D6FC-4f65-9D91-7224C49458BB}">
                  <c15:layout>
                    <c:manualLayout>
                      <c:w val="0.28536398467432944"/>
                      <c:h val="0.24140913444315282"/>
                    </c:manualLayout>
                  </c15:layout>
                </c:ext>
              </c:extLst>
            </c:dLbl>
            <c:dLbl>
              <c:idx val="4"/>
              <c:layout>
                <c:manualLayout>
                  <c:x val="0.11483120644402202"/>
                  <c:y val="-0.0052091329809400566"/>
                </c:manualLayout>
              </c:layout>
              <c:spPr>
                <a:noFill/>
                <a:ln>
                  <a:noFill/>
                </a:ln>
                <a:effectLst/>
              </c:spPr>
              <c:txPr>
                <a:bodyPr rot="0" spcFirstLastPara="1" vertOverflow="ellipsis" vert="horz" wrap="square" lIns="38100" tIns="19050" rIns="38100" bIns="19050" anchor="ctr" anchorCtr="1"/>
                <a:lstStyle/>
                <a:p>
                  <a:pPr>
                    <a:defRPr sz="7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9-FF2E-484C-919D-7FC8783586CF}"/>
                </c:ext>
                <c:ext xmlns:c15="http://schemas.microsoft.com/office/drawing/2012/chart" uri="{CE6537A1-D6FC-4f65-9D91-7224C49458BB}">
                  <c15:layout>
                    <c:manualLayout>
                      <c:w val="0.26724168099677192"/>
                      <c:h val="0.18694609552636005"/>
                    </c:manualLayout>
                  </c15:layout>
                </c:ext>
              </c:extLst>
            </c:dLbl>
            <c:dLbl>
              <c:idx val="5"/>
              <c:layout>
                <c:manualLayout>
                  <c:x val="0.041725948049597249"/>
                  <c:y val="0.010610912493876985"/>
                </c:manualLayout>
              </c:layout>
              <c:spPr>
                <a:noFill/>
                <a:ln>
                  <a:noFill/>
                </a:ln>
                <a:effectLst/>
              </c:spPr>
              <c:txPr>
                <a:bodyPr rot="0" spcFirstLastPara="1" vertOverflow="ellipsis" vert="horz" wrap="square" lIns="38100" tIns="19050" rIns="38100" bIns="19050" anchor="ctr" anchorCtr="1"/>
                <a:lstStyle/>
                <a:p>
                  <a:pPr>
                    <a:defRPr sz="7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B-FF2E-484C-919D-7FC8783586CF}"/>
                </c:ext>
                <c:ext xmlns:c15="http://schemas.microsoft.com/office/drawing/2012/chart" uri="{CE6537A1-D6FC-4f65-9D91-7224C49458BB}">
                  <c15:layout>
                    <c:manualLayout>
                      <c:w val="0.25226053639846741"/>
                      <c:h val="0.21570124068753241"/>
                    </c:manualLayout>
                  </c15:layout>
                </c:ext>
              </c:extLst>
            </c:dLbl>
            <c:dLbl>
              <c:idx val="6"/>
              <c:layout>
                <c:manualLayout>
                  <c:x val="-0.023037680634748248"/>
                  <c:y val="-0.0693534826252568"/>
                </c:manualLayout>
              </c:layout>
              <c:spPr>
                <a:noFill/>
                <a:ln>
                  <a:noFill/>
                </a:ln>
                <a:effectLst/>
              </c:spPr>
              <c:txPr>
                <a:bodyPr rot="0" spcFirstLastPara="1" vertOverflow="ellipsis" vert="horz" wrap="square" lIns="38100" tIns="19050" rIns="38100" bIns="19050" anchor="ctr" anchorCtr="1"/>
                <a:lstStyle/>
                <a:p>
                  <a:pPr>
                    <a:defRPr sz="700" b="0" i="0" u="none" strike="noStrike" kern="1200" baseline="0">
                      <a:solidFill>
                        <a:schemeClr val="tx1"/>
                      </a:solidFill>
                      <a:latin typeface="Candara" panose="020E0502030303020204" pitchFamily="34" charset="0"/>
                      <a:ea typeface="+mn-ea"/>
                      <a:cs typeface="+mn-cs"/>
                    </a:defRPr>
                  </a:pPr>
                  <a:endParaRPr lang="lv-LV"/>
                </a:p>
              </c:txPr>
              <c:dLblPos val="bestFit"/>
              <c:showLegendKey val="0"/>
              <c:showVal val="0"/>
              <c:showCatName val="1"/>
              <c:showSerName val="0"/>
              <c:showPercent val="1"/>
              <c:showBubbleSize val="0"/>
              <c:separator>
</c:separator>
              <c:extLst>
                <c:ext xmlns:c="http://schemas.openxmlformats.org/drawingml/2006/chart" xmlns:c16="http://schemas.microsoft.com/office/drawing/2014/chart" uri="{C3380CC4-5D6E-409C-BE32-E72D297353CC}">
                  <c16:uniqueId val="{0000000D-FF2E-484C-919D-7FC8783586CF}"/>
                </c:ext>
                <c:ext xmlns:c15="http://schemas.microsoft.com/office/drawing/2012/chart" uri="{CE6537A1-D6FC-4f65-9D91-7224C49458BB}">
                  <c15:layout>
                    <c:manualLayout>
                      <c:w val="0.24183908045977007"/>
                      <c:h val="0.25491924929996562"/>
                    </c:manualLayout>
                  </c15:layout>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Candara" panose="020E0502030303020204" pitchFamily="34" charset="0"/>
                    <a:ea typeface="+mn-ea"/>
                    <a:cs typeface="+mn-cs"/>
                  </a:defRPr>
                </a:pPr>
                <a:endParaRPr lang="lv-LV"/>
              </a:p>
            </c:txPr>
            <c:dLblPos val="outEnd"/>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Sheet1!$A$2:$A$9</c:f>
              <c:strCache>
                <c:ptCount val="8"/>
                <c:pt idx="0">
                  <c:v>Igaunija</c:v>
                </c:pt>
                <c:pt idx="1">
                  <c:v>Lietuva</c:v>
                </c:pt>
                <c:pt idx="2">
                  <c:v>Dānija</c:v>
                </c:pt>
                <c:pt idx="3">
                  <c:v>Polija</c:v>
                </c:pt>
                <c:pt idx="4">
                  <c:v>Zviedrija</c:v>
                </c:pt>
                <c:pt idx="5">
                  <c:v>Vācija</c:v>
                </c:pt>
                <c:pt idx="6">
                  <c:v>Krievija</c:v>
                </c:pt>
                <c:pt idx="7">
                  <c:v>Citas valstis</c:v>
                </c:pt>
              </c:strCache>
            </c:strRef>
          </c:cat>
          <c:val>
            <c:numRef>
              <c:f>Sheet1!$B$2:$B$9</c:f>
              <c:numCache>
                <c:formatCode>0</c:formatCode>
                <c:ptCount val="8"/>
                <c:pt idx="0">
                  <c:v>0.22934536371679468</c:v>
                </c:pt>
                <c:pt idx="1">
                  <c:v>0.10543959332797709</c:v>
                </c:pt>
                <c:pt idx="2">
                  <c:v>0.095859751602555027</c:v>
                </c:pt>
                <c:pt idx="3">
                  <c:v>0.090220621212396254</c:v>
                </c:pt>
                <c:pt idx="4">
                  <c:v>0.084906785669973242</c:v>
                </c:pt>
                <c:pt idx="5">
                  <c:v>0.056362339698384389</c:v>
                </c:pt>
                <c:pt idx="6">
                  <c:v>0.05293450569080848</c:v>
                </c:pt>
                <c:pt idx="7" formatCode="0.00">
                  <c:v>0.33786554477191943</c:v>
                </c:pt>
              </c:numCache>
            </c:numRef>
          </c:val>
          <c:extLst>
            <c:ext xmlns:c="http://schemas.openxmlformats.org/drawingml/2006/chart" xmlns:c16="http://schemas.microsoft.com/office/drawing/2014/chart" uri="{C3380CC4-5D6E-409C-BE32-E72D297353CC}">
              <c16:uniqueId val="{0000000E-FF2E-484C-919D-7FC8783586C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noFill/>
    <a:ln w="9525">
      <a:noFill/>
      <a:round/>
    </a:ln>
    <a:effectLst/>
  </c:spPr>
  <c:txPr>
    <a:bodyPr/>
    <a:lstStyle/>
    <a:p>
      <a:pPr>
        <a:defRPr sz="800">
          <a:latin typeface="Candara" panose="020E0502030303020204" pitchFamily="34" charset="0"/>
        </a:defRPr>
      </a:pPr>
      <a:endParaRPr lang="lv-LV"/>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98553601027233415"/>
          <c:y val="0.01722532963499513"/>
          <c:w val="0.34507319571774181"/>
          <c:h val="0.920462379795931"/>
        </c:manualLayout>
      </c:layout>
      <c:barChart>
        <c:barDir val="col"/>
        <c:grouping val="percentStacked"/>
        <c:varyColors val="0"/>
        <c:ser>
          <c:idx val="0"/>
          <c:order val="0"/>
          <c:tx>
            <c:strRef>
              <c:f>Sheet1!$A$2</c:f>
              <c:strCache>
                <c:ptCount val="1"/>
                <c:pt idx="0">
                  <c:v>tekstila apģērbs, tā piederumi</c:v>
                </c:pt>
              </c:strCache>
            </c:strRef>
          </c:tx>
          <c:invertIfNegative val="0"/>
          <c:cat>
            <c:strRef>
              <c:f>Sheet1!$B$1:$F$1</c:f>
              <c:strCache>
                <c:ptCount val="5"/>
                <c:pt idx="0">
                  <c:v>2005</c:v>
                </c:pt>
                <c:pt idx="1">
                  <c:v>2010</c:v>
                </c:pt>
                <c:pt idx="2">
                  <c:v>2014</c:v>
                </c:pt>
                <c:pt idx="3">
                  <c:v>2015</c:v>
                </c:pt>
                <c:pt idx="4">
                  <c:v>2016</c:v>
                </c:pt>
              </c:strCache>
            </c:strRef>
          </c:cat>
          <c:val>
            <c:numRef>
              <c:f>Sheet1!$B$2:$F$2</c:f>
              <c:numCache>
                <c:formatCode>0</c:formatCode>
                <c:ptCount val="5"/>
                <c:pt idx="0">
                  <c:v>142.452278</c:v>
                </c:pt>
                <c:pt idx="1">
                  <c:v>93.514893</c:v>
                </c:pt>
                <c:pt idx="2">
                  <c:v>148.535919</c:v>
                </c:pt>
                <c:pt idx="3">
                  <c:v>111.616128</c:v>
                </c:pt>
                <c:pt idx="4">
                  <c:v>99.037406</c:v>
                </c:pt>
              </c:numCache>
            </c:numRef>
          </c:val>
          <c:extLst>
            <c:ext xmlns:c="http://schemas.openxmlformats.org/drawingml/2006/chart" xmlns:c16="http://schemas.microsoft.com/office/drawing/2014/chart" uri="{C3380CC4-5D6E-409C-BE32-E72D297353CC}">
              <c16:uniqueId val="{00000000-9303-485D-BFA9-F06936BAF00D}"/>
            </c:ext>
          </c:extLst>
        </c:ser>
        <c:ser>
          <c:idx val="1"/>
          <c:order val="1"/>
          <c:tx>
            <c:strRef>
              <c:f>Sheet1!$A$3</c:f>
              <c:strCache>
                <c:ptCount val="1"/>
                <c:pt idx="0">
                  <c:v>trikotāžas apģērbs, tā piederumi</c:v>
                </c:pt>
              </c:strCache>
            </c:strRef>
          </c:tx>
          <c:invertIfNegative val="0"/>
          <c:cat>
            <c:strRef>
              <c:f>Sheet1!$B$1:$F$1</c:f>
              <c:strCache>
                <c:ptCount val="5"/>
                <c:pt idx="0">
                  <c:v>2005</c:v>
                </c:pt>
                <c:pt idx="1">
                  <c:v>2010</c:v>
                </c:pt>
                <c:pt idx="2">
                  <c:v>2014</c:v>
                </c:pt>
                <c:pt idx="3">
                  <c:v>2015</c:v>
                </c:pt>
                <c:pt idx="4">
                  <c:v>2016</c:v>
                </c:pt>
              </c:strCache>
            </c:strRef>
          </c:cat>
          <c:val>
            <c:numRef>
              <c:f>Sheet1!$B$3:$F$3</c:f>
              <c:numCache>
                <c:formatCode>0</c:formatCode>
                <c:ptCount val="5"/>
                <c:pt idx="0">
                  <c:v>85.887134</c:v>
                </c:pt>
                <c:pt idx="1">
                  <c:v>81.599106</c:v>
                </c:pt>
                <c:pt idx="2">
                  <c:v>87.403459</c:v>
                </c:pt>
                <c:pt idx="3">
                  <c:v>91.300871</c:v>
                </c:pt>
                <c:pt idx="4">
                  <c:v>71.841067</c:v>
                </c:pt>
              </c:numCache>
            </c:numRef>
          </c:val>
          <c:extLst>
            <c:ext xmlns:c="http://schemas.openxmlformats.org/drawingml/2006/chart" xmlns:c16="http://schemas.microsoft.com/office/drawing/2014/chart" uri="{C3380CC4-5D6E-409C-BE32-E72D297353CC}">
              <c16:uniqueId val="{00000001-9303-485D-BFA9-F06936BAF00D}"/>
            </c:ext>
          </c:extLst>
        </c:ser>
        <c:ser>
          <c:idx val="2"/>
          <c:order val="2"/>
          <c:tx>
            <c:strRef>
              <c:f>Sheet1!$A$4</c:f>
              <c:strCache>
                <c:ptCount val="1"/>
                <c:pt idx="0">
                  <c:v>valkāts apģērbs</c:v>
                </c:pt>
              </c:strCache>
            </c:strRef>
          </c:tx>
          <c:invertIfNegative val="0"/>
          <c:cat>
            <c:strRef>
              <c:f>Sheet1!$B$1:$F$1</c:f>
              <c:strCache>
                <c:ptCount val="5"/>
                <c:pt idx="0">
                  <c:v>2005</c:v>
                </c:pt>
                <c:pt idx="1">
                  <c:v>2010</c:v>
                </c:pt>
                <c:pt idx="2">
                  <c:v>2014</c:v>
                </c:pt>
                <c:pt idx="3">
                  <c:v>2015</c:v>
                </c:pt>
                <c:pt idx="4">
                  <c:v>2016</c:v>
                </c:pt>
              </c:strCache>
            </c:strRef>
          </c:cat>
          <c:val>
            <c:numRef>
              <c:f>Sheet1!$B$4:$F$4</c:f>
              <c:numCache>
                <c:formatCode>0</c:formatCode>
                <c:ptCount val="5"/>
                <c:pt idx="0">
                  <c:v>26.431233</c:v>
                </c:pt>
                <c:pt idx="1">
                  <c:v>32.537176</c:v>
                </c:pt>
                <c:pt idx="2">
                  <c:v>42.634302</c:v>
                </c:pt>
                <c:pt idx="3">
                  <c:v>37.617902</c:v>
                </c:pt>
                <c:pt idx="4">
                  <c:v>37.813835</c:v>
                </c:pt>
              </c:numCache>
            </c:numRef>
          </c:val>
          <c:extLst>
            <c:ext xmlns:c="http://schemas.openxmlformats.org/drawingml/2006/chart" xmlns:c16="http://schemas.microsoft.com/office/drawing/2014/chart" uri="{C3380CC4-5D6E-409C-BE32-E72D297353CC}">
              <c16:uniqueId val="{00000002-9303-485D-BFA9-F06936BAF00D}"/>
            </c:ext>
          </c:extLst>
        </c:ser>
        <c:ser>
          <c:idx val="3"/>
          <c:order val="3"/>
          <c:tx>
            <c:strRef>
              <c:f>Sheet1!$A$5</c:f>
              <c:strCache>
                <c:ptCount val="1"/>
                <c:pt idx="0">
                  <c:v>apavi</c:v>
                </c:pt>
              </c:strCache>
            </c:strRef>
          </c:tx>
          <c:invertIfNegative val="0"/>
          <c:cat>
            <c:strRef>
              <c:f>Sheet1!$B$1:$F$1</c:f>
              <c:strCache>
                <c:ptCount val="5"/>
                <c:pt idx="0">
                  <c:v>2005</c:v>
                </c:pt>
                <c:pt idx="1">
                  <c:v>2010</c:v>
                </c:pt>
                <c:pt idx="2">
                  <c:v>2014</c:v>
                </c:pt>
                <c:pt idx="3">
                  <c:v>2015</c:v>
                </c:pt>
                <c:pt idx="4">
                  <c:v>2016</c:v>
                </c:pt>
              </c:strCache>
            </c:strRef>
          </c:cat>
          <c:val>
            <c:numRef>
              <c:f>Sheet1!$B$5:$F$5</c:f>
              <c:numCache>
                <c:formatCode>0</c:formatCode>
                <c:ptCount val="5"/>
                <c:pt idx="0">
                  <c:v>10.111609</c:v>
                </c:pt>
                <c:pt idx="1">
                  <c:v>11.577016</c:v>
                </c:pt>
                <c:pt idx="2">
                  <c:v>25.422186</c:v>
                </c:pt>
                <c:pt idx="3">
                  <c:v>16.648321</c:v>
                </c:pt>
                <c:pt idx="4">
                  <c:v>23.023377</c:v>
                </c:pt>
              </c:numCache>
            </c:numRef>
          </c:val>
          <c:extLst>
            <c:ext xmlns:c="http://schemas.openxmlformats.org/drawingml/2006/chart" xmlns:c16="http://schemas.microsoft.com/office/drawing/2014/chart" uri="{C3380CC4-5D6E-409C-BE32-E72D297353CC}">
              <c16:uniqueId val="{00000003-9303-485D-BFA9-F06936BAF00D}"/>
            </c:ext>
          </c:extLst>
        </c:ser>
        <c:ser>
          <c:idx val="4"/>
          <c:order val="4"/>
          <c:tx>
            <c:strRef>
              <c:f>Sheet1!$A$6</c:f>
              <c:strCache>
                <c:ptCount val="1"/>
                <c:pt idx="0">
                  <c:v>ķīmiskās šķiedras un pavedieni</c:v>
                </c:pt>
              </c:strCache>
            </c:strRef>
          </c:tx>
          <c:invertIfNegative val="0"/>
          <c:cat>
            <c:strRef>
              <c:f>Sheet1!$B$1:$F$1</c:f>
              <c:strCache>
                <c:ptCount val="5"/>
                <c:pt idx="0">
                  <c:v>2005</c:v>
                </c:pt>
                <c:pt idx="1">
                  <c:v>2010</c:v>
                </c:pt>
                <c:pt idx="2">
                  <c:v>2014</c:v>
                </c:pt>
                <c:pt idx="3">
                  <c:v>2015</c:v>
                </c:pt>
                <c:pt idx="4">
                  <c:v>2016</c:v>
                </c:pt>
              </c:strCache>
            </c:strRef>
          </c:cat>
          <c:val>
            <c:numRef>
              <c:f>Sheet1!$B$6:$F$6</c:f>
              <c:numCache>
                <c:formatCode>0</c:formatCode>
                <c:ptCount val="5"/>
                <c:pt idx="0">
                  <c:v>31.123985</c:v>
                </c:pt>
                <c:pt idx="1">
                  <c:v>17.332061</c:v>
                </c:pt>
                <c:pt idx="2">
                  <c:v>29.472651</c:v>
                </c:pt>
                <c:pt idx="3">
                  <c:v>33.82613</c:v>
                </c:pt>
                <c:pt idx="4">
                  <c:v>22.494611</c:v>
                </c:pt>
              </c:numCache>
            </c:numRef>
          </c:val>
          <c:extLst>
            <c:ext xmlns:c="http://schemas.openxmlformats.org/drawingml/2006/chart" xmlns:c16="http://schemas.microsoft.com/office/drawing/2014/chart" uri="{C3380CC4-5D6E-409C-BE32-E72D297353CC}">
              <c16:uniqueId val="{00000004-9303-485D-BFA9-F06936BAF00D}"/>
            </c:ext>
          </c:extLst>
        </c:ser>
        <c:ser>
          <c:idx val="5"/>
          <c:order val="5"/>
          <c:tx>
            <c:strRef>
              <c:f>Sheet1!$A$7</c:f>
              <c:strCache>
                <c:ptCount val="1"/>
                <c:pt idx="0">
                  <c:v>citi vieglās rūpniecības izstrādājumi</c:v>
                </c:pt>
              </c:strCache>
            </c:strRef>
          </c:tx>
          <c:invertIfNegative val="0"/>
          <c:cat>
            <c:strRef>
              <c:f>Sheet1!$B$1:$F$1</c:f>
              <c:strCache>
                <c:ptCount val="5"/>
                <c:pt idx="0">
                  <c:v>2005</c:v>
                </c:pt>
                <c:pt idx="1">
                  <c:v>2010</c:v>
                </c:pt>
                <c:pt idx="2">
                  <c:v>2014</c:v>
                </c:pt>
                <c:pt idx="3">
                  <c:v>2015</c:v>
                </c:pt>
                <c:pt idx="4">
                  <c:v>2016</c:v>
                </c:pt>
              </c:strCache>
            </c:strRef>
          </c:cat>
          <c:val>
            <c:numRef>
              <c:f>Sheet1!$B$7:$F$7</c:f>
              <c:numCache>
                <c:formatCode>0</c:formatCode>
                <c:ptCount val="5"/>
                <c:pt idx="0">
                  <c:v>87.903231999999946</c:v>
                </c:pt>
                <c:pt idx="1">
                  <c:v>96.008805999999936</c:v>
                </c:pt>
                <c:pt idx="2">
                  <c:v>150.27288799999991</c:v>
                </c:pt>
                <c:pt idx="3">
                  <c:v>147.04861599999992</c:v>
                </c:pt>
                <c:pt idx="4">
                  <c:v>93.125368999999978</c:v>
                </c:pt>
              </c:numCache>
            </c:numRef>
          </c:val>
          <c:extLst>
            <c:ext xmlns:c="http://schemas.openxmlformats.org/drawingml/2006/chart" xmlns:c16="http://schemas.microsoft.com/office/drawing/2014/chart" uri="{C3380CC4-5D6E-409C-BE32-E72D297353CC}">
              <c16:uniqueId val="{00000005-9303-485D-BFA9-F06936BAF00D}"/>
            </c:ext>
          </c:extLst>
        </c:ser>
        <c:dLbls>
          <c:showLegendKey val="0"/>
          <c:showVal val="0"/>
          <c:showCatName val="0"/>
          <c:showSerName val="0"/>
          <c:showPercent val="0"/>
          <c:showBubbleSize val="0"/>
        </c:dLbls>
        <c:gapWidth val="20"/>
        <c:overlap val="100"/>
        <c:axId val="629904744"/>
        <c:axId val="629900824"/>
      </c:barChart>
      <c:catAx>
        <c:axId val="629904744"/>
        <c:scaling>
          <c:orientation val="minMax"/>
        </c:scaling>
        <c:delete val="0"/>
        <c:axPos val="b"/>
        <c:numFmt formatCode="General" sourceLinked="0"/>
        <c:majorTickMark val="out"/>
        <c:minorTickMark val="none"/>
        <c:tickLblPos val="nextTo"/>
        <c:txPr>
          <a:bodyPr/>
          <a:lstStyle/>
          <a:p>
            <a:pPr>
              <a:defRPr sz="700"/>
            </a:pPr>
            <a:endParaRPr lang="lv-LV"/>
          </a:p>
        </c:txPr>
        <c:crossAx val="629900824"/>
        <c:crosses val="autoZero"/>
        <c:auto val="1"/>
        <c:lblAlgn val="ctr"/>
        <c:lblOffset val="100"/>
        <c:noMultiLvlLbl val="0"/>
      </c:catAx>
      <c:valAx>
        <c:axId val="629900824"/>
        <c:scaling>
          <c:orientation val="minMax"/>
        </c:scaling>
        <c:delete val="0"/>
        <c:axPos val="l"/>
        <c:numFmt formatCode="0%" sourceLinked="1"/>
        <c:majorTickMark val="out"/>
        <c:minorTickMark val="none"/>
        <c:tickLblPos val="nextTo"/>
        <c:txPr>
          <a:bodyPr/>
          <a:lstStyle/>
          <a:p>
            <a:pPr>
              <a:defRPr sz="700"/>
            </a:pPr>
            <a:endParaRPr lang="lv-LV"/>
          </a:p>
        </c:txPr>
        <c:crossAx val="629904744"/>
        <c:crosses val="autoZero"/>
        <c:crossBetween val="between"/>
      </c:valAx>
    </c:plotArea>
    <c:legend>
      <c:legendPos val="r"/>
      <c:layout>
        <c:manualLayout>
          <c:xMode val="edge"/>
          <c:yMode val="edge"/>
          <c:x val="0.52555396117829367"/>
          <c:y val="0.018061189542134811"/>
          <c:w val="0.42041282694552773"/>
          <c:h val="0.7645995195924985"/>
        </c:manualLayout>
      </c:layout>
      <c:overlay val="0"/>
      <c:txPr>
        <a:bodyPr/>
        <a:lstStyle/>
        <a:p>
          <a:pPr>
            <a:defRPr sz="600">
              <a:latin typeface="Arial Narrow" panose="020B0606020202030204" pitchFamily="34" charset="0"/>
            </a:defRPr>
          </a:pPr>
          <a:endParaRPr lang="lv-LV"/>
        </a:p>
      </c:txPr>
    </c:legend>
    <c:plotVisOnly val="1"/>
    <c:dispBlanksAs val="gap"/>
    <c:showDLblsOverMax val="0"/>
  </c:chart>
  <c:spPr>
    <a:ln w="9525">
      <a:noFill/>
    </a:ln>
  </c:spPr>
  <c:txPr>
    <a:bodyPr/>
    <a:lstStyle/>
    <a:p>
      <a:pPr>
        <a:defRPr sz="800"/>
      </a:pPr>
      <a:endParaRPr lang="lv-LV"/>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98553601027233415"/>
          <c:y val="0.01722532963499513"/>
          <c:w val="0.88592589806420907"/>
          <c:h val="0.920462379795931"/>
        </c:manualLayout>
      </c:layout>
      <c:barChart>
        <c:barDir val="col"/>
        <c:grouping val="percentStacked"/>
        <c:varyColors val="0"/>
        <c:ser>
          <c:idx val="0"/>
          <c:order val="0"/>
          <c:tx>
            <c:strRef>
              <c:f>Sheet1!$A$2</c:f>
              <c:strCache>
                <c:ptCount val="1"/>
                <c:pt idx="0">
                  <c:v>zāģēti kokmateriāli</c:v>
                </c:pt>
              </c:strCache>
            </c:strRef>
          </c:tx>
          <c:invertIfNegative val="0"/>
          <c:cat>
            <c:strRef>
              <c:f>Sheet1!$B$1:$F$1</c:f>
              <c:strCache>
                <c:ptCount val="5"/>
                <c:pt idx="0">
                  <c:v>2005</c:v>
                </c:pt>
                <c:pt idx="1">
                  <c:v>2010</c:v>
                </c:pt>
                <c:pt idx="2">
                  <c:v>2014</c:v>
                </c:pt>
                <c:pt idx="3">
                  <c:v>2015</c:v>
                </c:pt>
                <c:pt idx="4">
                  <c:v>2016</c:v>
                </c:pt>
              </c:strCache>
            </c:strRef>
          </c:cat>
          <c:val>
            <c:numRef>
              <c:f>Sheet1!$B$2:$F$2</c:f>
              <c:numCache>
                <c:formatCode>0</c:formatCode>
                <c:ptCount val="5"/>
                <c:pt idx="0">
                  <c:v>70.195605940947232</c:v>
                </c:pt>
                <c:pt idx="1">
                  <c:v>83.580074321833465</c:v>
                </c:pt>
                <c:pt idx="2">
                  <c:v>81.616545498403227</c:v>
                </c:pt>
                <c:pt idx="3">
                  <c:v>82.080789606100168</c:v>
                </c:pt>
                <c:pt idx="4">
                  <c:v>82.528510448090458</c:v>
                </c:pt>
              </c:numCache>
            </c:numRef>
          </c:val>
          <c:extLst>
            <c:ext xmlns:c="http://schemas.openxmlformats.org/drawingml/2006/chart" xmlns:c16="http://schemas.microsoft.com/office/drawing/2014/chart" uri="{C3380CC4-5D6E-409C-BE32-E72D297353CC}">
              <c16:uniqueId val="{00000000-094E-4EB4-905D-BB035EE08CEE}"/>
            </c:ext>
          </c:extLst>
        </c:ser>
        <c:ser>
          <c:idx val="1"/>
          <c:order val="1"/>
          <c:tx>
            <c:strRef>
              <c:f>Sheet1!$A$3</c:f>
              <c:strCache>
                <c:ptCount val="1"/>
                <c:pt idx="0">
                  <c:v>malka, šķelda, skaidas</c:v>
                </c:pt>
              </c:strCache>
            </c:strRef>
          </c:tx>
          <c:invertIfNegative val="0"/>
          <c:cat>
            <c:strRef>
              <c:f>Sheet1!$B$1:$F$1</c:f>
              <c:strCache>
                <c:ptCount val="5"/>
                <c:pt idx="0">
                  <c:v>2005</c:v>
                </c:pt>
                <c:pt idx="1">
                  <c:v>2010</c:v>
                </c:pt>
                <c:pt idx="2">
                  <c:v>2014</c:v>
                </c:pt>
                <c:pt idx="3">
                  <c:v>2015</c:v>
                </c:pt>
                <c:pt idx="4">
                  <c:v>2016</c:v>
                </c:pt>
              </c:strCache>
            </c:strRef>
          </c:cat>
          <c:val>
            <c:numRef>
              <c:f>Sheet1!$B$3:$F$3</c:f>
              <c:numCache>
                <c:formatCode>0</c:formatCode>
                <c:ptCount val="5"/>
                <c:pt idx="0">
                  <c:v>18.552853110241404</c:v>
                </c:pt>
                <c:pt idx="1">
                  <c:v>21.258272624428294</c:v>
                </c:pt>
                <c:pt idx="2">
                  <c:v>21.070540021409894</c:v>
                </c:pt>
                <c:pt idx="3">
                  <c:v>21.3145383507907</c:v>
                </c:pt>
                <c:pt idx="4">
                  <c:v>21.140881764865863</c:v>
                </c:pt>
              </c:numCache>
            </c:numRef>
          </c:val>
          <c:extLst>
            <c:ext xmlns:c="http://schemas.openxmlformats.org/drawingml/2006/chart" xmlns:c16="http://schemas.microsoft.com/office/drawing/2014/chart" uri="{C3380CC4-5D6E-409C-BE32-E72D297353CC}">
              <c16:uniqueId val="{00000001-094E-4EB4-905D-BB035EE08CEE}"/>
            </c:ext>
          </c:extLst>
        </c:ser>
        <c:ser>
          <c:idx val="2"/>
          <c:order val="2"/>
          <c:tx>
            <c:strRef>
              <c:f>Sheet1!$A$4</c:f>
              <c:strCache>
                <c:ptCount val="1"/>
                <c:pt idx="0">
                  <c:v>saplāksnis</c:v>
                </c:pt>
              </c:strCache>
            </c:strRef>
          </c:tx>
          <c:invertIfNegative val="0"/>
          <c:cat>
            <c:strRef>
              <c:f>Sheet1!$B$1:$F$1</c:f>
              <c:strCache>
                <c:ptCount val="5"/>
                <c:pt idx="0">
                  <c:v>2005</c:v>
                </c:pt>
                <c:pt idx="1">
                  <c:v>2010</c:v>
                </c:pt>
                <c:pt idx="2">
                  <c:v>2014</c:v>
                </c:pt>
                <c:pt idx="3">
                  <c:v>2015</c:v>
                </c:pt>
                <c:pt idx="4">
                  <c:v>2016</c:v>
                </c:pt>
              </c:strCache>
            </c:strRef>
          </c:cat>
          <c:val>
            <c:numRef>
              <c:f>Sheet1!$B$4:$F$4</c:f>
              <c:numCache>
                <c:formatCode>0</c:formatCode>
                <c:ptCount val="5"/>
                <c:pt idx="0">
                  <c:v>57.828445368168687</c:v>
                </c:pt>
                <c:pt idx="1">
                  <c:v>66.821919096245821</c:v>
                </c:pt>
                <c:pt idx="2">
                  <c:v>71.435449244386874</c:v>
                </c:pt>
                <c:pt idx="3">
                  <c:v>71.5235154997511</c:v>
                </c:pt>
                <c:pt idx="4">
                  <c:v>75.729793337583644</c:v>
                </c:pt>
              </c:numCache>
            </c:numRef>
          </c:val>
          <c:extLst>
            <c:ext xmlns:c="http://schemas.openxmlformats.org/drawingml/2006/chart" xmlns:c16="http://schemas.microsoft.com/office/drawing/2014/chart" uri="{C3380CC4-5D6E-409C-BE32-E72D297353CC}">
              <c16:uniqueId val="{00000002-094E-4EB4-905D-BB035EE08CEE}"/>
            </c:ext>
          </c:extLst>
        </c:ser>
        <c:ser>
          <c:idx val="3"/>
          <c:order val="3"/>
          <c:tx>
            <c:strRef>
              <c:f>Sheet1!$A$5</c:f>
              <c:strCache>
                <c:ptCount val="1"/>
                <c:pt idx="0">
                  <c:v>kokskaidu plāksnes</c:v>
                </c:pt>
              </c:strCache>
            </c:strRef>
          </c:tx>
          <c:invertIfNegative val="0"/>
          <c:cat>
            <c:strRef>
              <c:f>Sheet1!$B$1:$F$1</c:f>
              <c:strCache>
                <c:ptCount val="5"/>
                <c:pt idx="0">
                  <c:v>2005</c:v>
                </c:pt>
                <c:pt idx="1">
                  <c:v>2010</c:v>
                </c:pt>
                <c:pt idx="2">
                  <c:v>2014</c:v>
                </c:pt>
                <c:pt idx="3">
                  <c:v>2015</c:v>
                </c:pt>
                <c:pt idx="4">
                  <c:v>2016</c:v>
                </c:pt>
              </c:strCache>
            </c:strRef>
          </c:cat>
          <c:val>
            <c:numRef>
              <c:f>Sheet1!$B$5:$F$5</c:f>
              <c:numCache>
                <c:formatCode>0</c:formatCode>
                <c:ptCount val="5"/>
                <c:pt idx="0">
                  <c:v>24.780601343336027</c:v>
                </c:pt>
                <c:pt idx="1">
                  <c:v>19.740362115252751</c:v>
                </c:pt>
                <c:pt idx="2">
                  <c:v>16.620963657140734</c:v>
                </c:pt>
                <c:pt idx="3">
                  <c:v>16.139894204629631</c:v>
                </c:pt>
                <c:pt idx="4">
                  <c:v>15.568345718903801</c:v>
                </c:pt>
              </c:numCache>
            </c:numRef>
          </c:val>
          <c:extLst>
            <c:ext xmlns:c="http://schemas.openxmlformats.org/drawingml/2006/chart" xmlns:c16="http://schemas.microsoft.com/office/drawing/2014/chart" uri="{C3380CC4-5D6E-409C-BE32-E72D297353CC}">
              <c16:uniqueId val="{00000003-094E-4EB4-905D-BB035EE08CEE}"/>
            </c:ext>
          </c:extLst>
        </c:ser>
        <c:ser>
          <c:idx val="4"/>
          <c:order val="4"/>
          <c:tx>
            <c:strRef>
              <c:f>Sheet1!$A$6</c:f>
              <c:strCache>
                <c:ptCount val="1"/>
                <c:pt idx="0">
                  <c:v>neapstrādāti kokmateriāli</c:v>
                </c:pt>
              </c:strCache>
            </c:strRef>
          </c:tx>
          <c:invertIfNegative val="0"/>
          <c:cat>
            <c:strRef>
              <c:f>Sheet1!$B$1:$F$1</c:f>
              <c:strCache>
                <c:ptCount val="5"/>
                <c:pt idx="0">
                  <c:v>2005</c:v>
                </c:pt>
                <c:pt idx="1">
                  <c:v>2010</c:v>
                </c:pt>
                <c:pt idx="2">
                  <c:v>2014</c:v>
                </c:pt>
                <c:pt idx="3">
                  <c:v>2015</c:v>
                </c:pt>
                <c:pt idx="4">
                  <c:v>2016</c:v>
                </c:pt>
              </c:strCache>
            </c:strRef>
          </c:cat>
          <c:val>
            <c:numRef>
              <c:f>Sheet1!$B$6:$F$6</c:f>
              <c:numCache>
                <c:formatCode>0</c:formatCode>
                <c:ptCount val="5"/>
                <c:pt idx="0">
                  <c:v>8.8511621624467658</c:v>
                </c:pt>
                <c:pt idx="1">
                  <c:v>8.5543756784060836</c:v>
                </c:pt>
                <c:pt idx="2">
                  <c:v>7.52150611026059</c:v>
                </c:pt>
                <c:pt idx="3">
                  <c:v>7.2789670125562411</c:v>
                </c:pt>
                <c:pt idx="4">
                  <c:v>7.1280331568445057</c:v>
                </c:pt>
              </c:numCache>
            </c:numRef>
          </c:val>
          <c:extLst>
            <c:ext xmlns:c="http://schemas.openxmlformats.org/drawingml/2006/chart" xmlns:c16="http://schemas.microsoft.com/office/drawing/2014/chart" uri="{C3380CC4-5D6E-409C-BE32-E72D297353CC}">
              <c16:uniqueId val="{00000004-094E-4EB4-905D-BB035EE08CEE}"/>
            </c:ext>
          </c:extLst>
        </c:ser>
        <c:ser>
          <c:idx val="5"/>
          <c:order val="5"/>
          <c:tx>
            <c:strRef>
              <c:f>Sheet1!$A$7</c:f>
              <c:strCache>
                <c:ptCount val="1"/>
                <c:pt idx="0">
                  <c:v>citi koka izstrādājumi</c:v>
                </c:pt>
              </c:strCache>
            </c:strRef>
          </c:tx>
          <c:invertIfNegative val="0"/>
          <c:cat>
            <c:strRef>
              <c:f>Sheet1!$B$1:$F$1</c:f>
              <c:strCache>
                <c:ptCount val="5"/>
                <c:pt idx="0">
                  <c:v>2005</c:v>
                </c:pt>
                <c:pt idx="1">
                  <c:v>2010</c:v>
                </c:pt>
                <c:pt idx="2">
                  <c:v>2014</c:v>
                </c:pt>
                <c:pt idx="3">
                  <c:v>2015</c:v>
                </c:pt>
                <c:pt idx="4">
                  <c:v>2016</c:v>
                </c:pt>
              </c:strCache>
            </c:strRef>
          </c:cat>
          <c:val>
            <c:numRef>
              <c:f>Sheet1!$B$7:$F$7</c:f>
              <c:numCache>
                <c:formatCode>0</c:formatCode>
                <c:ptCount val="5"/>
                <c:pt idx="0">
                  <c:v>161.58296345924958</c:v>
                </c:pt>
                <c:pt idx="1">
                  <c:v>161.03789452313922</c:v>
                </c:pt>
                <c:pt idx="2">
                  <c:v>153.27590584689221</c:v>
                </c:pt>
                <c:pt idx="3">
                  <c:v>152.2379012386325</c:v>
                </c:pt>
                <c:pt idx="4">
                  <c:v>144.24605294511963</c:v>
                </c:pt>
              </c:numCache>
            </c:numRef>
          </c:val>
          <c:extLst>
            <c:ext xmlns:c="http://schemas.openxmlformats.org/drawingml/2006/chart" xmlns:c16="http://schemas.microsoft.com/office/drawing/2014/chart" uri="{C3380CC4-5D6E-409C-BE32-E72D297353CC}">
              <c16:uniqueId val="{00000005-094E-4EB4-905D-BB035EE08CEE}"/>
            </c:ext>
          </c:extLst>
        </c:ser>
        <c:dLbls>
          <c:showLegendKey val="0"/>
          <c:showVal val="0"/>
          <c:showCatName val="0"/>
          <c:showSerName val="0"/>
          <c:showPercent val="0"/>
          <c:showBubbleSize val="0"/>
        </c:dLbls>
        <c:gapWidth val="20"/>
        <c:overlap val="100"/>
        <c:axId val="629898472"/>
        <c:axId val="629903568"/>
      </c:barChart>
      <c:catAx>
        <c:axId val="629898472"/>
        <c:scaling>
          <c:orientation val="minMax"/>
        </c:scaling>
        <c:delete val="0"/>
        <c:axPos val="b"/>
        <c:numFmt formatCode="General" sourceLinked="0"/>
        <c:majorTickMark val="out"/>
        <c:minorTickMark val="none"/>
        <c:tickLblPos val="nextTo"/>
        <c:txPr>
          <a:bodyPr/>
          <a:lstStyle/>
          <a:p>
            <a:pPr>
              <a:defRPr sz="700"/>
            </a:pPr>
            <a:endParaRPr lang="lv-LV"/>
          </a:p>
        </c:txPr>
        <c:crossAx val="629903568"/>
        <c:crosses val="autoZero"/>
        <c:auto val="1"/>
        <c:lblAlgn val="ctr"/>
        <c:lblOffset val="100"/>
        <c:noMultiLvlLbl val="0"/>
      </c:catAx>
      <c:valAx>
        <c:axId val="629903568"/>
        <c:scaling>
          <c:orientation val="minMax"/>
        </c:scaling>
        <c:delete val="0"/>
        <c:axPos val="l"/>
        <c:numFmt formatCode="0%" sourceLinked="1"/>
        <c:majorTickMark val="out"/>
        <c:minorTickMark val="none"/>
        <c:tickLblPos val="nextTo"/>
        <c:txPr>
          <a:bodyPr/>
          <a:lstStyle/>
          <a:p>
            <a:pPr>
              <a:defRPr sz="700"/>
            </a:pPr>
            <a:endParaRPr lang="lv-LV"/>
          </a:p>
        </c:txPr>
        <c:crossAx val="629898472"/>
        <c:crosses val="autoZero"/>
        <c:crossBetween val="between"/>
      </c:valAx>
    </c:plotArea>
    <c:plotVisOnly val="1"/>
    <c:dispBlanksAs val="gap"/>
    <c:showDLblsOverMax val="0"/>
  </c:chart>
  <c:spPr>
    <a:ln w="9525">
      <a:noFill/>
    </a:ln>
  </c:spPr>
  <c:txPr>
    <a:bodyPr/>
    <a:lstStyle/>
    <a:p>
      <a:pPr>
        <a:defRPr sz="800"/>
      </a:pPr>
      <a:endParaRPr lang="lv-LV"/>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A22D-4F6A-ACB3-400DC17A0B5C}"/>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A22D-4F6A-ACB3-400DC17A0B5C}"/>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Sheet1!$B$2:$M$2</c:f>
              <c:numCache>
                <c:formatCode>0</c:formatCode>
                <c:ptCount val="12"/>
                <c:pt idx="0">
                  <c:v>2004</c:v>
                </c:pt>
                <c:pt idx="1">
                  <c:v>2005</c:v>
                </c:pt>
                <c:pt idx="2">
                  <c:v>2006</c:v>
                </c:pt>
                <c:pt idx="3">
                  <c:v>2007</c:v>
                </c:pt>
                <c:pt idx="4">
                  <c:v>2008</c:v>
                </c:pt>
                <c:pt idx="5">
                  <c:v>2009</c:v>
                </c:pt>
                <c:pt idx="6">
                  <c:v>2010</c:v>
                </c:pt>
                <c:pt idx="7">
                  <c:v>2011</c:v>
                </c:pt>
                <c:pt idx="8">
                  <c:v>2012</c:v>
                </c:pt>
                <c:pt idx="9">
                  <c:v>2013</c:v>
                </c:pt>
                <c:pt idx="10" formatCode="General">
                  <c:v>2014</c:v>
                </c:pt>
                <c:pt idx="11">
                  <c:v>2015</c:v>
                </c:pt>
              </c:numCache>
            </c:numRef>
          </c:cat>
          <c:val>
            <c:numRef>
              <c:f>Sheet1!$B$3:$M$3</c:f>
              <c:numCache>
                <c:formatCode>0.0</c:formatCode>
                <c:ptCount val="12"/>
                <c:pt idx="0">
                  <c:v>3.7185307470078413</c:v>
                </c:pt>
                <c:pt idx="1">
                  <c:v>4.6332046332046337</c:v>
                </c:pt>
                <c:pt idx="2">
                  <c:v>5.0907205806117162</c:v>
                </c:pt>
                <c:pt idx="3">
                  <c:v>5.9173819742489266</c:v>
                </c:pt>
                <c:pt idx="4">
                  <c:v>7.553126897389193</c:v>
                </c:pt>
                <c:pt idx="5">
                  <c:v>6.73469387755102</c:v>
                </c:pt>
                <c:pt idx="6">
                  <c:v>6.7062818336162993</c:v>
                </c:pt>
                <c:pt idx="7">
                  <c:v>6.6345381526104417</c:v>
                </c:pt>
                <c:pt idx="8">
                  <c:v>6.4682220434432827</c:v>
                </c:pt>
                <c:pt idx="9">
                  <c:v>6.6560000000000006</c:v>
                </c:pt>
                <c:pt idx="10">
                  <c:v>7.0944741532976821</c:v>
                </c:pt>
                <c:pt idx="11" formatCode="General">
                  <c:v>7.64367816091954</c:v>
                </c:pt>
              </c:numCache>
            </c:numRef>
          </c:val>
          <c:extLst>
            <c:ext xmlns:c="http://schemas.openxmlformats.org/drawingml/2006/chart" xmlns:c16="http://schemas.microsoft.com/office/drawing/2014/chart" uri="{C3380CC4-5D6E-409C-BE32-E72D297353CC}">
              <c16:uniqueId val="{00000004-A22D-4F6A-ACB3-400DC17A0B5C}"/>
            </c:ext>
          </c:extLst>
        </c:ser>
        <c:dLbls>
          <c:showLegendKey val="0"/>
          <c:showVal val="0"/>
          <c:showCatName val="0"/>
          <c:showSerName val="0"/>
          <c:showPercent val="0"/>
          <c:showBubbleSize val="0"/>
        </c:dLbls>
        <c:gapWidth val="20"/>
        <c:axId val="629904352"/>
        <c:axId val="629901216"/>
      </c:barChart>
      <c:catAx>
        <c:axId val="629904352"/>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29901216"/>
        <c:crosses val="autoZero"/>
        <c:auto val="1"/>
        <c:lblAlgn val="ctr"/>
        <c:lblOffset val="100"/>
        <c:noMultiLvlLbl val="0"/>
      </c:catAx>
      <c:valAx>
        <c:axId val="629901216"/>
        <c:scaling>
          <c:orientation val="minMax"/>
          <c:max val="15"/>
          <c:min val="0"/>
        </c:scaling>
        <c:delete val="0"/>
        <c:axPos val="l"/>
        <c:numFmt formatCode="0" sourceLinked="0"/>
        <c:majorTickMark val="out"/>
        <c:minorTickMark val="none"/>
        <c:tickLblPos val="nextTo"/>
        <c:crossAx val="629904352"/>
        <c:crosses val="autoZero"/>
        <c:crossBetween val="between"/>
        <c:majorUnit val="3"/>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64810632713464011"/>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0202-4BBD-BF9E-31D03F0FC67F}"/>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0202-4BBD-BF9E-31D03F0FC67F}"/>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Sheet1!$B$2:$M$2</c:f>
              <c:numCache>
                <c:formatCode>0</c:formatCode>
                <c:ptCount val="12"/>
                <c:pt idx="0">
                  <c:v>2004</c:v>
                </c:pt>
                <c:pt idx="1">
                  <c:v>2005</c:v>
                </c:pt>
                <c:pt idx="2">
                  <c:v>2006</c:v>
                </c:pt>
                <c:pt idx="3">
                  <c:v>2007</c:v>
                </c:pt>
                <c:pt idx="4">
                  <c:v>2008</c:v>
                </c:pt>
                <c:pt idx="5">
                  <c:v>2009</c:v>
                </c:pt>
                <c:pt idx="6">
                  <c:v>2010</c:v>
                </c:pt>
                <c:pt idx="7">
                  <c:v>2011</c:v>
                </c:pt>
                <c:pt idx="8">
                  <c:v>2012</c:v>
                </c:pt>
                <c:pt idx="9">
                  <c:v>2013</c:v>
                </c:pt>
                <c:pt idx="10" formatCode="General">
                  <c:v>2014</c:v>
                </c:pt>
                <c:pt idx="11">
                  <c:v>2015</c:v>
                </c:pt>
              </c:numCache>
            </c:numRef>
          </c:cat>
          <c:val>
            <c:numRef>
              <c:f>Sheet1!$B$3:$M$3</c:f>
              <c:numCache>
                <c:formatCode>0.0</c:formatCode>
                <c:ptCount val="12"/>
                <c:pt idx="0">
                  <c:v>8.9425742574257434</c:v>
                </c:pt>
                <c:pt idx="1">
                  <c:v>11.111111111111111</c:v>
                </c:pt>
                <c:pt idx="2">
                  <c:v>11.976225854383358</c:v>
                </c:pt>
                <c:pt idx="3">
                  <c:v>8.6050076647930513</c:v>
                </c:pt>
                <c:pt idx="4">
                  <c:v>8.7349742415569551</c:v>
                </c:pt>
                <c:pt idx="5">
                  <c:v>8.3948635634028879</c:v>
                </c:pt>
                <c:pt idx="6">
                  <c:v>9.9840255591054312</c:v>
                </c:pt>
                <c:pt idx="7">
                  <c:v>10.444947209653092</c:v>
                </c:pt>
                <c:pt idx="8">
                  <c:v>9.24003009781791</c:v>
                </c:pt>
                <c:pt idx="9">
                  <c:v>9.387755102040817</c:v>
                </c:pt>
                <c:pt idx="10">
                  <c:v>9.74937343358396</c:v>
                </c:pt>
                <c:pt idx="11" formatCode="General">
                  <c:v>9.1769911504424773</c:v>
                </c:pt>
              </c:numCache>
            </c:numRef>
          </c:val>
          <c:extLst>
            <c:ext xmlns:c="http://schemas.openxmlformats.org/drawingml/2006/chart" xmlns:c16="http://schemas.microsoft.com/office/drawing/2014/chart" uri="{C3380CC4-5D6E-409C-BE32-E72D297353CC}">
              <c16:uniqueId val="{00000004-0202-4BBD-BF9E-31D03F0FC67F}"/>
            </c:ext>
          </c:extLst>
        </c:ser>
        <c:dLbls>
          <c:showLegendKey val="0"/>
          <c:showVal val="0"/>
          <c:showCatName val="0"/>
          <c:showSerName val="0"/>
          <c:showPercent val="0"/>
          <c:showBubbleSize val="0"/>
        </c:dLbls>
        <c:gapWidth val="20"/>
        <c:axId val="629894944"/>
        <c:axId val="629896904"/>
      </c:barChart>
      <c:catAx>
        <c:axId val="629894944"/>
        <c:scaling>
          <c:orientation val="minMax"/>
        </c:scaling>
        <c:delete val="0"/>
        <c:axPos val="b"/>
        <c:numFmt formatCode="0" sourceLinked="1"/>
        <c:majorTickMark val="out"/>
        <c:minorTickMark val="none"/>
        <c:tickLblPos val="nextTo"/>
        <c:txPr>
          <a:bodyPr rot="-5400000" vert="horz"/>
          <a:lstStyle/>
          <a:p>
            <a:pPr>
              <a:defRPr sz="700"/>
            </a:pPr>
            <a:endParaRPr lang="lv-LV"/>
          </a:p>
        </c:txPr>
        <c:crossAx val="629896904"/>
        <c:crosses val="autoZero"/>
        <c:auto val="1"/>
        <c:lblAlgn val="ctr"/>
        <c:lblOffset val="100"/>
        <c:noMultiLvlLbl val="0"/>
      </c:catAx>
      <c:valAx>
        <c:axId val="629896904"/>
        <c:scaling>
          <c:orientation val="minMax"/>
        </c:scaling>
        <c:delete val="0"/>
        <c:axPos val="l"/>
        <c:numFmt formatCode="0" sourceLinked="0"/>
        <c:majorTickMark val="out"/>
        <c:minorTickMark val="none"/>
        <c:tickLblPos val="nextTo"/>
        <c:crossAx val="629894944"/>
        <c:crosses val="autoZero"/>
        <c:crossBetween val="between"/>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72841410287632"/>
          <c:y val="0.057971014492753624"/>
          <c:w val="0.69294856184214082"/>
          <c:h val="0.726718711443121"/>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marker>
              <c:spPr>
                <a:solidFill>
                  <a:srgbClr val="002060"/>
                </a:solidFill>
                <a:ln w="6350">
                  <a:solidFill>
                    <a:sysClr val="windowText" lastClr="000000"/>
                  </a:solidFill>
                </a:ln>
              </c:spPr>
            </c:marker>
            <c:extLst>
              <c:ext xmlns:c="http://schemas.openxmlformats.org/drawingml/2006/chart" xmlns:c16="http://schemas.microsoft.com/office/drawing/2014/chart" uri="{C3380CC4-5D6E-409C-BE32-E72D297353CC}">
                <c16:uniqueId val="{00000000-F10B-491B-9E73-FCE78ADA94CF}"/>
              </c:ext>
            </c:extLst>
          </c:dPt>
          <c:dLbls>
            <c:dLbl>
              <c:idx val="0"/>
              <c:layout>
                <c:manualLayout>
                  <c:x val="-0.24335361190012242"/>
                  <c:y val="-0.01173260744066853"/>
                </c:manualLayout>
              </c:layout>
              <c:tx>
                <c:rich>
                  <a:bodyPr vertOverflow="clip"/>
                  <a:lstStyle/>
                  <a:p>
                    <a:r>
                      <a:rPr lang="en-US"/>
                      <a:t>2005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F10B-491B-9E73-FCE78ADA94CF}"/>
                </c:ext>
                <c:ext xmlns:c15="http://schemas.microsoft.com/office/drawing/2012/chart" uri="{CE6537A1-D6FC-4f65-9D91-7224C49458BB}"/>
              </c:extLst>
            </c:dLbl>
            <c:dLbl>
              <c:idx val="1"/>
              <c:layout>
                <c:manualLayout>
                  <c:x val="-0.3572189301079633"/>
                  <c:y val="-0.279443210624313"/>
                </c:manualLayout>
              </c:layout>
              <c:tx>
                <c:rich>
                  <a:bodyPr vertOverflow="clip"/>
                  <a:lstStyle/>
                  <a:p>
                    <a:r>
                      <a:rPr lang="en-US"/>
                      <a:t>2007</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F10B-491B-9E73-FCE78ADA94CF}"/>
                </c:ext>
                <c:ext xmlns:c15="http://schemas.microsoft.com/office/drawing/2012/chart" uri="{CE6537A1-D6FC-4f65-9D91-7224C49458BB}"/>
              </c:extLst>
            </c:dLbl>
            <c:dLbl>
              <c:idx val="2"/>
              <c:layout>
                <c:manualLayout>
                  <c:x val="0.048025002029385505"/>
                  <c:y val="0.086836709513874871"/>
                </c:manualLayout>
              </c:layout>
              <c:tx>
                <c:rich>
                  <a:bodyPr vertOverflow="clip"/>
                  <a:lstStyle/>
                  <a:p>
                    <a:r>
                      <a:rPr lang="en-US"/>
                      <a:t>2011</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F10B-491B-9E73-FCE78ADA94CF}"/>
                </c:ext>
                <c:ext xmlns:c15="http://schemas.microsoft.com/office/drawing/2012/chart" uri="{CE6537A1-D6FC-4f65-9D91-7224C49458BB}"/>
              </c:extLst>
            </c:dLbl>
            <c:dLbl>
              <c:idx val="3"/>
              <c:layout>
                <c:manualLayout>
                  <c:x val="-0.13084233027572584"/>
                  <c:y val="-0.0592287502523723"/>
                </c:manualLayout>
              </c:layout>
              <c:tx>
                <c:rich>
                  <a:bodyPr vertOverflow="clip"/>
                  <a:lstStyle/>
                  <a:p>
                    <a:r>
                      <a:rPr lang="en-US"/>
                      <a:t>2008</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F10B-491B-9E73-FCE78ADA94CF}"/>
                </c:ext>
                <c:ext xmlns:c15="http://schemas.microsoft.com/office/drawing/2012/chart" uri="{CE6537A1-D6FC-4f65-9D91-7224C49458BB}"/>
              </c:extLst>
            </c:dLbl>
            <c:dLbl>
              <c:idx val="4"/>
              <c:delete val="1"/>
              <c:extLst>
                <c:ext xmlns:c="http://schemas.openxmlformats.org/drawingml/2006/chart" xmlns:c16="http://schemas.microsoft.com/office/drawing/2014/chart" uri="{C3380CC4-5D6E-409C-BE32-E72D297353CC}">
                  <c16:uniqueId val="{00000005-F10B-491B-9E73-FCE78ADA94CF}"/>
                </c:ext>
                <c:ext xmlns:c15="http://schemas.microsoft.com/office/drawing/2012/chart" uri="{CE6537A1-D6FC-4f65-9D91-7224C49458BB}"/>
              </c:extLst>
            </c:dLbl>
            <c:dLbl>
              <c:idx val="5"/>
              <c:delete val="1"/>
              <c:extLst>
                <c:ext xmlns:c="http://schemas.openxmlformats.org/drawingml/2006/chart" xmlns:c16="http://schemas.microsoft.com/office/drawing/2014/chart" uri="{C3380CC4-5D6E-409C-BE32-E72D297353CC}">
                  <c16:uniqueId val="{00000000-F10B-491B-9E73-FCE78ADA94CF}"/>
                </c:ext>
                <c:ext xmlns:c15="http://schemas.microsoft.com/office/drawing/2012/chart" uri="{CE6537A1-D6FC-4f65-9D91-7224C49458BB}"/>
              </c:extLst>
            </c:dLbl>
            <c:dLbl>
              <c:idx val="6"/>
              <c:delete val="1"/>
              <c:extLst>
                <c:ext xmlns:c="http://schemas.openxmlformats.org/drawingml/2006/chart" xmlns:c16="http://schemas.microsoft.com/office/drawing/2014/chart" uri="{C3380CC4-5D6E-409C-BE32-E72D297353CC}">
                  <c16:uniqueId val="{00000006-F10B-491B-9E73-FCE78ADA94CF}"/>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7-F10B-491B-9E73-FCE78ADA94CF}"/>
                </c:ext>
                <c:ext xmlns:c15="http://schemas.microsoft.com/office/drawing/2012/chart" uri="{CE6537A1-D6FC-4f65-9D91-7224C49458BB}"/>
              </c:extLst>
            </c:dLbl>
            <c:dLbl>
              <c:idx val="8"/>
              <c:delete val="1"/>
              <c:extLst>
                <c:ext xmlns:c="http://schemas.openxmlformats.org/drawingml/2006/chart" xmlns:c16="http://schemas.microsoft.com/office/drawing/2014/chart" uri="{C3380CC4-5D6E-409C-BE32-E72D297353CC}">
                  <c16:uniqueId val="{00000008-F10B-491B-9E73-FCE78ADA94CF}"/>
                </c:ext>
                <c:ext xmlns:c15="http://schemas.microsoft.com/office/drawing/2012/chart" uri="{CE6537A1-D6FC-4f65-9D91-7224C49458BB}"/>
              </c:extLst>
            </c:dLbl>
            <c:dLbl>
              <c:idx val="9"/>
              <c:layout>
                <c:manualLayout>
                  <c:x val="-0.014125605433341451"/>
                  <c:y val="-0.030727953877560176"/>
                </c:manualLayout>
              </c:layout>
              <c:tx>
                <c:rich>
                  <a:bodyPr vertOverflow="clip"/>
                  <a:lstStyle/>
                  <a:p>
                    <a:r>
                      <a:rPr lang="en-US"/>
                      <a:t>2014</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F10B-491B-9E73-FCE78ADA94CF}"/>
                </c:ext>
                <c:ext xmlns:c15="http://schemas.microsoft.com/office/drawing/2012/chart" uri="{CE6537A1-D6FC-4f65-9D91-7224C49458BB}"/>
              </c:extLst>
            </c:dLbl>
            <c:dLbl>
              <c:idx val="10"/>
              <c:layout>
                <c:manualLayout>
                  <c:x val="-0.048682691305879967"/>
                  <c:y val="-0.05288250515989211"/>
                </c:manualLayout>
              </c:layout>
              <c:tx>
                <c:rich>
                  <a:bodyPr vertOverflow="clip"/>
                  <a:lstStyle/>
                  <a:p>
                    <a:r>
                      <a:rPr lang="en-US"/>
                      <a:t>2015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F10B-491B-9E73-FCE78ADA94CF}"/>
                </c:ext>
                <c:ext xmlns:c15="http://schemas.microsoft.com/office/drawing/2012/chart" uri="{CE6537A1-D6FC-4f65-9D91-7224C49458BB}"/>
              </c:extLst>
            </c:dLbl>
            <c:dLbl>
              <c:idx val="11"/>
              <c:layout>
                <c:manualLayout>
                  <c:x val="-0.045473776802943768"/>
                  <c:y val="-0.029435967255112244"/>
                </c:manualLayout>
              </c:layout>
              <c:tx>
                <c:rich>
                  <a:bodyPr/>
                  <a:lstStyle/>
                  <a:p>
                    <a:r>
                      <a:rPr lang="lv-LV"/>
                      <a:t>SK</a:t>
                    </a:r>
                    <a:endParaRPr lang="en-US"/>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F10B-491B-9E73-FCE78ADA94CF}"/>
                </c:ext>
                <c:ext xmlns:c15="http://schemas.microsoft.com/office/drawing/2012/chart" uri="{CE6537A1-D6FC-4f65-9D91-7224C49458BB}"/>
              </c:extLst>
            </c:dLbl>
            <c:dLbl>
              <c:idx val="12"/>
              <c:tx>
                <c:rich>
                  <a:bodyPr/>
                  <a:lstStyle/>
                  <a:p>
                    <a:r>
                      <a:rPr lang="lv-LV"/>
                      <a:t>FI</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F10B-491B-9E73-FCE78ADA94CF}"/>
                </c:ext>
                <c:ext xmlns:c15="http://schemas.microsoft.com/office/drawing/2012/chart" uri="{CE6537A1-D6FC-4f65-9D91-7224C49458BB}"/>
              </c:extLst>
            </c:dLbl>
            <c:dLbl>
              <c:idx val="13"/>
              <c:tx>
                <c:rich>
                  <a:bodyPr/>
                  <a:lstStyle/>
                  <a:p>
                    <a:r>
                      <a:rPr lang="lv-LV" b="0"/>
                      <a:t>SE</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F10B-491B-9E73-FCE78ADA94CF}"/>
                </c:ext>
                <c:ext xmlns:c15="http://schemas.microsoft.com/office/drawing/2012/chart" uri="{CE6537A1-D6FC-4f65-9D91-7224C49458BB}"/>
              </c:extLst>
            </c:dLbl>
            <c:spPr>
              <a:noFill/>
              <a:ln>
                <a:noFill/>
              </a:ln>
              <a:effectLst/>
            </c:spPr>
            <c:txPr>
              <a:bodyPr/>
              <a:lstStyle/>
              <a:p>
                <a:pPr>
                  <a:defRPr b="0"/>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Sheet1!$B$3:$B$13</c:f>
              <c:numCache>
                <c:formatCode>0.0</c:formatCode>
                <c:ptCount val="11"/>
                <c:pt idx="0">
                  <c:v>11.111111111111111</c:v>
                </c:pt>
                <c:pt idx="1">
                  <c:v>11.976225854383358</c:v>
                </c:pt>
                <c:pt idx="2">
                  <c:v>8.6050076647930513</c:v>
                </c:pt>
                <c:pt idx="3">
                  <c:v>8.7349742415569551</c:v>
                </c:pt>
                <c:pt idx="4">
                  <c:v>8.3948635634028879</c:v>
                </c:pt>
                <c:pt idx="5">
                  <c:v>9.9840255591054312</c:v>
                </c:pt>
                <c:pt idx="6">
                  <c:v>10.444947209653092</c:v>
                </c:pt>
                <c:pt idx="7">
                  <c:v>9.24003009781791</c:v>
                </c:pt>
                <c:pt idx="8">
                  <c:v>9.387755102040817</c:v>
                </c:pt>
                <c:pt idx="9">
                  <c:v>9.74937343358396</c:v>
                </c:pt>
                <c:pt idx="10">
                  <c:v>9.1769911504424773</c:v>
                </c:pt>
              </c:numCache>
            </c:numRef>
          </c:xVal>
          <c:yVal>
            <c:numRef>
              <c:f>Sheet1!$C$3:$C$13</c:f>
              <c:numCache>
                <c:formatCode>0.0</c:formatCode>
                <c:ptCount val="11"/>
                <c:pt idx="0">
                  <c:v>0.41698841698841704</c:v>
                </c:pt>
                <c:pt idx="1">
                  <c:v>0.42506885245058124</c:v>
                </c:pt>
                <c:pt idx="2">
                  <c:v>0.68766725199555512</c:v>
                </c:pt>
                <c:pt idx="3">
                  <c:v>0.864699389891148</c:v>
                </c:pt>
                <c:pt idx="4">
                  <c:v>0.802239825184376</c:v>
                </c:pt>
                <c:pt idx="5">
                  <c:v>0.67170118845500859</c:v>
                </c:pt>
                <c:pt idx="6">
                  <c:v>0.63519116175894919</c:v>
                </c:pt>
                <c:pt idx="7">
                  <c:v>0.7000217504671109</c:v>
                </c:pt>
                <c:pt idx="8">
                  <c:v>0.709008695652174</c:v>
                </c:pt>
                <c:pt idx="9">
                  <c:v>0.72768513808888824</c:v>
                </c:pt>
                <c:pt idx="10">
                  <c:v>0.83291767809441475</c:v>
                </c:pt>
              </c:numCache>
            </c:numRef>
          </c:yVal>
          <c:smooth val="1"/>
          <c:extLst>
            <c:ext xmlns:c="http://schemas.openxmlformats.org/drawingml/2006/chart" xmlns:c16="http://schemas.microsoft.com/office/drawing/2014/chart" uri="{C3380CC4-5D6E-409C-BE32-E72D297353CC}">
              <c16:uniqueId val="{0000000E-F10B-491B-9E73-FCE78ADA94CF}"/>
            </c:ext>
          </c:extLst>
        </c:ser>
        <c:dLbls>
          <c:showLegendKey val="0"/>
          <c:showVal val="0"/>
          <c:showCatName val="0"/>
          <c:showSerName val="0"/>
          <c:showPercent val="0"/>
          <c:showBubbleSize val="0"/>
        </c:dLbls>
        <c:axId val="629898080"/>
        <c:axId val="629901608"/>
      </c:scatterChart>
      <c:valAx>
        <c:axId val="629898080"/>
        <c:scaling>
          <c:orientation val="minMax"/>
        </c:scaling>
        <c:delete val="0"/>
        <c:axPos val="b"/>
        <c:title>
          <c:tx>
            <c:rich>
              <a:bodyPr vertOverflow="clip"/>
              <a:lstStyle/>
              <a:p>
                <a:pPr>
                  <a:defRPr sz="700" b="0">
                    <a:latin typeface="Arial Narrow" pitchFamily="34" charset="0"/>
                  </a:defRPr>
                </a:pPr>
                <a:r>
                  <a:rPr lang="lv-LV" sz="700" b="0">
                    <a:latin typeface="Arial Narrow" pitchFamily="34" charset="0"/>
                  </a:rPr>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pitchFamily="18" charset="0"/>
              </a:defRPr>
            </a:pPr>
            <a:endParaRPr lang="lv-LV"/>
          </a:p>
        </c:txPr>
        <c:crossAx val="629901608"/>
        <c:crosses val="autoZero"/>
        <c:crossBetween val="midCat"/>
        <c:majorUnit val="10"/>
      </c:valAx>
      <c:valAx>
        <c:axId val="629901608"/>
        <c:scaling>
          <c:orientation val="minMax"/>
          <c:min val="0.30000000000000004"/>
        </c:scaling>
        <c:delete val="0"/>
        <c:axPos val="l"/>
        <c:title>
          <c:tx>
            <c:rich>
              <a:bodyPr vertOverflow="clip"/>
              <a:lstStyle/>
              <a:p>
                <a:pPr>
                  <a:defRPr sz="700" b="0"/>
                </a:pPr>
                <a:r>
                  <a:rPr lang="lv-LV" sz="700" b="0">
                    <a:latin typeface="Arial Narrow" pitchFamily="34" charset="0"/>
                  </a:rPr>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sz="800" b="0" i="0" u="none" strike="noStrike" baseline="0">
                <a:solidFill>
                  <a:srgbClr val="000000"/>
                </a:solidFill>
                <a:latin typeface="Arial Narrow" pitchFamily="34" charset="0"/>
                <a:ea typeface="Times New Roman"/>
                <a:cs typeface="Times New Roman"/>
              </a:defRPr>
            </a:pPr>
            <a:endParaRPr lang="lv-LV"/>
          </a:p>
        </c:txPr>
        <c:crossAx val="629898080"/>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8"/>
          <c:y val="0.046005165816941182"/>
          <c:w val="0.85762258292899962"/>
          <c:h val="0.831279863372076"/>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Sheet1!$B$1:$J$1</c:f>
              <c:strCache>
                <c:ptCount val="9"/>
                <c:pt idx="0">
                  <c:v>2007</c:v>
                </c:pt>
                <c:pt idx="1">
                  <c:v>2008</c:v>
                </c:pt>
                <c:pt idx="2">
                  <c:v>2009</c:v>
                </c:pt>
                <c:pt idx="3">
                  <c:v>2010</c:v>
                </c:pt>
                <c:pt idx="4">
                  <c:v>2011</c:v>
                </c:pt>
                <c:pt idx="5">
                  <c:v>2012</c:v>
                </c:pt>
                <c:pt idx="6">
                  <c:v>2013</c:v>
                </c:pt>
                <c:pt idx="7">
                  <c:v>2014</c:v>
                </c:pt>
                <c:pt idx="8">
                  <c:v>2015</c:v>
                </c:pt>
              </c:strCache>
            </c:strRef>
          </c:cat>
          <c:val>
            <c:numRef>
              <c:f>Sheet1!$B$2:$J$2</c:f>
              <c:numCache>
                <c:formatCode>0</c:formatCode>
                <c:ptCount val="9"/>
                <c:pt idx="0">
                  <c:v>33.733810364325855</c:v>
                </c:pt>
                <c:pt idx="1">
                  <c:v>39.366062694556014</c:v>
                </c:pt>
                <c:pt idx="2">
                  <c:v>35.265739314535836</c:v>
                </c:pt>
                <c:pt idx="3">
                  <c:v>31.598932010849889</c:v>
                </c:pt>
                <c:pt idx="4">
                  <c:v>31.869900214985641</c:v>
                </c:pt>
                <c:pt idx="5">
                  <c:v>33.801329812213076</c:v>
                </c:pt>
                <c:pt idx="6">
                  <c:v>35.118191713592282</c:v>
                </c:pt>
                <c:pt idx="7">
                  <c:v>37.375186420479331</c:v>
                </c:pt>
                <c:pt idx="8">
                  <c:v>39.02724647709001</c:v>
                </c:pt>
              </c:numCache>
            </c:numRef>
          </c:val>
          <c:extLst>
            <c:ext xmlns:c="http://schemas.openxmlformats.org/drawingml/2006/chart" xmlns:c16="http://schemas.microsoft.com/office/drawing/2014/chart" uri="{C3380CC4-5D6E-409C-BE32-E72D297353CC}">
              <c16:uniqueId val="{00000000-FB6E-47FC-B818-C992F5AADF50}"/>
            </c:ext>
          </c:extLst>
        </c:ser>
        <c:ser>
          <c:idx val="1"/>
          <c:order val="1"/>
          <c:tx>
            <c:strRef>
              <c:f>Sheet1!$A$3</c:f>
              <c:strCache>
                <c:ptCount val="1"/>
                <c:pt idx="0">
                  <c:v>Vieglā rūpniecība</c:v>
                </c:pt>
              </c:strCache>
            </c:strRef>
          </c:tx>
          <c:spPr>
            <a:ln>
              <a:solidFill>
                <a:sysClr val="windowText" lastClr="000000"/>
              </a:solidFill>
            </a:ln>
          </c:spPr>
          <c:invertIfNegative val="0"/>
          <c:dLbls>
            <c:numFmt formatCode="#,##0" sourceLinked="0"/>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2007</c:v>
                </c:pt>
                <c:pt idx="1">
                  <c:v>2008</c:v>
                </c:pt>
                <c:pt idx="2">
                  <c:v>2009</c:v>
                </c:pt>
                <c:pt idx="3">
                  <c:v>2010</c:v>
                </c:pt>
                <c:pt idx="4">
                  <c:v>2011</c:v>
                </c:pt>
                <c:pt idx="5">
                  <c:v>2012</c:v>
                </c:pt>
                <c:pt idx="6">
                  <c:v>2013</c:v>
                </c:pt>
                <c:pt idx="7">
                  <c:v>2014</c:v>
                </c:pt>
                <c:pt idx="8">
                  <c:v>2015</c:v>
                </c:pt>
              </c:strCache>
            </c:strRef>
          </c:cat>
          <c:val>
            <c:numRef>
              <c:f>Sheet1!$B$3:$J$3</c:f>
              <c:numCache>
                <c:formatCode>0</c:formatCode>
                <c:ptCount val="9"/>
                <c:pt idx="0">
                  <c:v>37.190240396790394</c:v>
                </c:pt>
                <c:pt idx="1">
                  <c:v>44.66803375847261</c:v>
                </c:pt>
                <c:pt idx="2">
                  <c:v>40.408129217911217</c:v>
                </c:pt>
                <c:pt idx="3">
                  <c:v>39.391770358022335</c:v>
                </c:pt>
                <c:pt idx="4">
                  <c:v>37.603030689426106</c:v>
                </c:pt>
                <c:pt idx="5">
                  <c:v>35.534378607697</c:v>
                </c:pt>
                <c:pt idx="6">
                  <c:v>35.664645119498651</c:v>
                </c:pt>
                <c:pt idx="7">
                  <c:v>37.335103578254937</c:v>
                </c:pt>
                <c:pt idx="8">
                  <c:v>37.594861701816569</c:v>
                </c:pt>
              </c:numCache>
            </c:numRef>
          </c:val>
          <c:extLst>
            <c:ext xmlns:c="http://schemas.openxmlformats.org/drawingml/2006/chart" xmlns:c16="http://schemas.microsoft.com/office/drawing/2014/chart" uri="{C3380CC4-5D6E-409C-BE32-E72D297353CC}">
              <c16:uniqueId val="{00000001-FB6E-47FC-B818-C992F5AADF50}"/>
            </c:ext>
          </c:extLst>
        </c:ser>
        <c:dLbls>
          <c:showLegendKey val="0"/>
          <c:showVal val="0"/>
          <c:showCatName val="0"/>
          <c:showSerName val="0"/>
          <c:showPercent val="0"/>
          <c:showBubbleSize val="0"/>
        </c:dLbls>
        <c:gapWidth val="50"/>
        <c:overlap val="52"/>
        <c:axId val="629908664"/>
        <c:axId val="629906704"/>
      </c:barChart>
      <c:catAx>
        <c:axId val="629908664"/>
        <c:scaling>
          <c:orientation val="minMax"/>
        </c:scaling>
        <c:delete val="0"/>
        <c:axPos val="b"/>
        <c:numFmt formatCode="General" sourceLinked="0"/>
        <c:majorTickMark val="out"/>
        <c:minorTickMark val="none"/>
        <c:tickLblPos val="nextTo"/>
        <c:txPr>
          <a:bodyPr/>
          <a:lstStyle/>
          <a:p>
            <a:pPr>
              <a:defRPr sz="700"/>
            </a:pPr>
            <a:endParaRPr lang="lv-LV"/>
          </a:p>
        </c:txPr>
        <c:crossAx val="629906704"/>
        <c:crosses val="autoZero"/>
        <c:auto val="1"/>
        <c:lblAlgn val="ctr"/>
        <c:lblOffset val="100"/>
        <c:noMultiLvlLbl val="0"/>
      </c:catAx>
      <c:valAx>
        <c:axId val="629906704"/>
        <c:scaling>
          <c:orientation val="minMax"/>
          <c:max val="80"/>
        </c:scaling>
        <c:delete val="0"/>
        <c:axPos val="l"/>
        <c:numFmt formatCode="0" sourceLinked="0"/>
        <c:majorTickMark val="out"/>
        <c:minorTickMark val="none"/>
        <c:tickLblPos val="nextTo"/>
        <c:txPr>
          <a:bodyPr/>
          <a:lstStyle/>
          <a:p>
            <a:pPr>
              <a:defRPr sz="800"/>
            </a:pPr>
            <a:endParaRPr lang="lv-LV"/>
          </a:p>
        </c:txPr>
        <c:crossAx val="629908664"/>
        <c:crosses val="autoZero"/>
        <c:crossBetween val="between"/>
        <c:majorUnit val="20"/>
      </c:valAx>
      <c:spPr>
        <a:ln>
          <a:noFill/>
        </a:ln>
      </c:spPr>
    </c:plotArea>
    <c:legend>
      <c:legendPos val="r"/>
      <c:layout>
        <c:manualLayout>
          <c:xMode val="edge"/>
          <c:yMode val="edge"/>
          <c:x val="0.1972511805244323"/>
          <c:y val="0.049528317790409886"/>
          <c:w val="0.53767545872909384"/>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30307899251493849"/>
          <c:y val="0.011826561679790027"/>
          <c:w val="0.94252315784843266"/>
          <c:h val="0.97849826771653559"/>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Lbl>
              <c:idx val="19"/>
              <c:layout>
                <c:manualLayout>
                  <c:x val="-1.0784189145616935E-16"/>
                  <c:y val="-1.3476272822367531E-17"/>
                </c:manualLayout>
              </c:layout>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4F21-44F4-9646-3729539C38A6}"/>
                </c:ext>
                <c:ext xmlns:c15="http://schemas.microsoft.com/office/drawing/2012/chart" uri="{CE6537A1-D6FC-4f65-9D91-7224C49458BB}"/>
              </c:extLst>
            </c:dLbl>
            <c:dLbl>
              <c:idx val="20"/>
              <c:layout>
                <c:manualLayout>
                  <c:x val="-0.10588235294117658"/>
                  <c:y val="0"/>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lv-LV"/>
                </a:p>
              </c:txPr>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4F21-44F4-9646-3729539C38A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Elektroenerģija un gāzes apgāde</c:v>
                </c:pt>
                <c:pt idx="1">
                  <c:v>Transportlīdzekļu ražošana</c:v>
                </c:pt>
                <c:pt idx="2">
                  <c:v>Ķīmiskā rūpniecība</c:v>
                </c:pt>
                <c:pt idx="3">
                  <c:v>Ieguves rūpniecība</c:v>
                </c:pt>
                <c:pt idx="4">
                  <c:v>Mašīnu un iekārtu ražošana</c:v>
                </c:pt>
                <c:pt idx="5">
                  <c:v>IKT pakalpojumi</c:v>
                </c:pt>
                <c:pt idx="6">
                  <c:v>Metālapstrāde</c:v>
                </c:pt>
                <c:pt idx="7">
                  <c:v>Papīra ražošana un poligrāfija</c:v>
                </c:pt>
                <c:pt idx="8">
                  <c:v>Finanšu un apdrošin. darbības</c:v>
                </c:pt>
                <c:pt idx="9">
                  <c:v>Ūdens apgāde</c:v>
                </c:pt>
                <c:pt idx="10">
                  <c:v>Vieglā rūpniecība</c:v>
                </c:pt>
                <c:pt idx="11">
                  <c:v>Sabiedriskie pakalpojumi</c:v>
                </c:pt>
                <c:pt idx="12">
                  <c:v>Būvniecība</c:v>
                </c:pt>
                <c:pt idx="13">
                  <c:v>Pārtikas rūpniecība</c:v>
                </c:pt>
                <c:pt idx="14">
                  <c:v>Izmitināšana un ēdināšanas pak.</c:v>
                </c:pt>
                <c:pt idx="15">
                  <c:v>Tirdzniecība</c:v>
                </c:pt>
                <c:pt idx="16">
                  <c:v>Transports un uzglabāšana</c:v>
                </c:pt>
                <c:pt idx="17">
                  <c:v>Elektrisko un optisko iekārtu raž.</c:v>
                </c:pt>
                <c:pt idx="18">
                  <c:v>Nemetālisko minerālu ražošana</c:v>
                </c:pt>
                <c:pt idx="19">
                  <c:v>Lauksaimniecība, mežsaimniecība</c:v>
                </c:pt>
                <c:pt idx="20">
                  <c:v>Kokapstrāde</c:v>
                </c:pt>
              </c:strCache>
            </c:strRef>
          </c:cat>
          <c:val>
            <c:numRef>
              <c:f>Sheet1!$B$2:$B$22</c:f>
              <c:numCache>
                <c:formatCode>0</c:formatCode>
                <c:ptCount val="21"/>
                <c:pt idx="0">
                  <c:v>20.643527610074713</c:v>
                </c:pt>
                <c:pt idx="1">
                  <c:v>22.526576890152196</c:v>
                </c:pt>
                <c:pt idx="2">
                  <c:v>22.661926526998208</c:v>
                </c:pt>
                <c:pt idx="3">
                  <c:v>24.086939922557075</c:v>
                </c:pt>
                <c:pt idx="4">
                  <c:v>24.348387673948537</c:v>
                </c:pt>
                <c:pt idx="5">
                  <c:v>28.182628120610982</c:v>
                </c:pt>
                <c:pt idx="6">
                  <c:v>31.278436858735287</c:v>
                </c:pt>
                <c:pt idx="7">
                  <c:v>33.009526021963218</c:v>
                </c:pt>
                <c:pt idx="8">
                  <c:v>34.536517934757534</c:v>
                </c:pt>
                <c:pt idx="9">
                  <c:v>35.153338333922285</c:v>
                </c:pt>
                <c:pt idx="10">
                  <c:v>36.9896144127083</c:v>
                </c:pt>
                <c:pt idx="11">
                  <c:v>37.270646449571124</c:v>
                </c:pt>
                <c:pt idx="12">
                  <c:v>38.04989850905153</c:v>
                </c:pt>
                <c:pt idx="13">
                  <c:v>39.092346839797472</c:v>
                </c:pt>
                <c:pt idx="14">
                  <c:v>41.921733931534192</c:v>
                </c:pt>
                <c:pt idx="15">
                  <c:v>48.342587799757872</c:v>
                </c:pt>
                <c:pt idx="16">
                  <c:v>52.794888772804029</c:v>
                </c:pt>
                <c:pt idx="17">
                  <c:v>61.966651666182571</c:v>
                </c:pt>
                <c:pt idx="18">
                  <c:v>62.534279263058465</c:v>
                </c:pt>
                <c:pt idx="19">
                  <c:v>68.830668332673554</c:v>
                </c:pt>
                <c:pt idx="20">
                  <c:v>72.858650966688216</c:v>
                </c:pt>
              </c:numCache>
            </c:numRef>
          </c:val>
          <c:extLst>
            <c:ext xmlns:c="http://schemas.openxmlformats.org/drawingml/2006/chart" xmlns:c16="http://schemas.microsoft.com/office/drawing/2014/chart" uri="{C3380CC4-5D6E-409C-BE32-E72D297353CC}">
              <c16:uniqueId val="{00000002-4F21-44F4-9646-3729539C38A6}"/>
            </c:ext>
          </c:extLst>
        </c:ser>
        <c:dLbls>
          <c:showLegendKey val="0"/>
          <c:showVal val="0"/>
          <c:showCatName val="0"/>
          <c:showSerName val="0"/>
          <c:showPercent val="0"/>
          <c:showBubbleSize val="0"/>
        </c:dLbls>
        <c:gapWidth val="40"/>
        <c:axId val="629815760"/>
        <c:axId val="629816152"/>
      </c:barChart>
      <c:catAx>
        <c:axId val="629815760"/>
        <c:scaling>
          <c:orientation val="minMax"/>
        </c:scaling>
        <c:delete val="1"/>
        <c:axPos val="l"/>
        <c:numFmt formatCode="General" sourceLinked="1"/>
        <c:majorTickMark val="none"/>
        <c:minorTickMark val="none"/>
        <c:tickLblPos val="low"/>
        <c:crossAx val="629816152"/>
        <c:crosses val="autoZero"/>
        <c:auto val="1"/>
        <c:lblAlgn val="ctr"/>
        <c:lblOffset val="100"/>
        <c:noMultiLvlLbl val="0"/>
      </c:catAx>
      <c:valAx>
        <c:axId val="629816152"/>
        <c:scaling>
          <c:orientation val="minMax"/>
          <c:max val="80"/>
          <c:min val="0"/>
        </c:scaling>
        <c:delete val="1"/>
        <c:axPos val="b"/>
        <c:numFmt formatCode="0" sourceLinked="1"/>
        <c:majorTickMark val="out"/>
        <c:minorTickMark val="none"/>
        <c:tickLblPos val="nextTo"/>
        <c:crossAx val="629815760"/>
        <c:crosses val="autoZero"/>
        <c:crossBetween val="between"/>
        <c:majorUnit val="15"/>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lv-LV"/>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36391330046738"/>
          <c:y val="0.046005165816941182"/>
          <c:w val="0.85762258292899962"/>
          <c:h val="0.83127986337207582"/>
        </c:manualLayout>
      </c:layout>
      <c:barChart>
        <c:barDir val="col"/>
        <c:grouping val="clustered"/>
        <c:varyColors val="0"/>
        <c:ser>
          <c:idx val="0"/>
          <c:order val="0"/>
          <c:tx>
            <c:strRef>
              <c:f>Sheet1!$A$2</c:f>
              <c:strCache>
                <c:ptCount val="1"/>
                <c:pt idx="0">
                  <c:v>Tautsaimniecībā kopā</c:v>
                </c:pt>
              </c:strCache>
            </c:strRef>
          </c:tx>
          <c:spPr>
            <a:solidFill>
              <a:schemeClr val="accent5">
                <a:lumMod val="75000"/>
              </a:schemeClr>
            </a:solidFill>
            <a:ln>
              <a:solidFill>
                <a:sysClr val="windowText" lastClr="000000"/>
              </a:solidFill>
            </a:ln>
          </c:spPr>
          <c:invertIfNegative val="0"/>
          <c:cat>
            <c:strRef>
              <c:f>Sheet1!$B$1:$I$1</c:f>
              <c:strCache>
                <c:ptCount val="8"/>
                <c:pt idx="0">
                  <c:v>2007</c:v>
                </c:pt>
                <c:pt idx="1">
                  <c:v>2008</c:v>
                </c:pt>
                <c:pt idx="2">
                  <c:v>2009</c:v>
                </c:pt>
                <c:pt idx="3">
                  <c:v>2010</c:v>
                </c:pt>
                <c:pt idx="4">
                  <c:v>2011</c:v>
                </c:pt>
                <c:pt idx="5">
                  <c:v>2012</c:v>
                </c:pt>
                <c:pt idx="6">
                  <c:v>2013</c:v>
                </c:pt>
                <c:pt idx="7">
                  <c:v>2014</c:v>
                </c:pt>
              </c:strCache>
            </c:strRef>
          </c:cat>
          <c:val>
            <c:numRef>
              <c:f>Sheet1!$B$2:$I$2</c:f>
              <c:numCache>
                <c:formatCode>0</c:formatCode>
                <c:ptCount val="8"/>
                <c:pt idx="0">
                  <c:v>37.543267740570116</c:v>
                </c:pt>
                <c:pt idx="1">
                  <c:v>40.842057643741676</c:v>
                </c:pt>
                <c:pt idx="2">
                  <c:v>38.288707041966028</c:v>
                </c:pt>
                <c:pt idx="3">
                  <c:v>37.097778599507883</c:v>
                </c:pt>
                <c:pt idx="4">
                  <c:v>40.389766440010831</c:v>
                </c:pt>
                <c:pt idx="5">
                  <c:v>42.46259667259212</c:v>
                </c:pt>
                <c:pt idx="6">
                  <c:v>42.568476309606638</c:v>
                </c:pt>
                <c:pt idx="7">
                  <c:v>43.635115226322327</c:v>
                </c:pt>
              </c:numCache>
            </c:numRef>
          </c:val>
          <c:extLst>
            <c:ext xmlns:c="http://schemas.openxmlformats.org/drawingml/2006/chart" xmlns:c16="http://schemas.microsoft.com/office/drawing/2014/chart" uri="{C3380CC4-5D6E-409C-BE32-E72D297353CC}">
              <c16:uniqueId val="{00000000-84B1-4752-AF01-EA27C74B904A}"/>
            </c:ext>
          </c:extLst>
        </c:ser>
        <c:ser>
          <c:idx val="1"/>
          <c:order val="1"/>
          <c:tx>
            <c:strRef>
              <c:f>Sheet1!$A$3</c:f>
              <c:strCache>
                <c:ptCount val="1"/>
                <c:pt idx="0">
                  <c:v>Vieglā rūpniecība</c:v>
                </c:pt>
              </c:strCache>
            </c:strRef>
          </c:tx>
          <c:spPr>
            <a:ln>
              <a:solidFill>
                <a:sysClr val="windowText" lastClr="000000"/>
              </a:solidFill>
            </a:ln>
          </c:spPr>
          <c:invertIfNegative val="0"/>
          <c:dLbls>
            <c:spPr>
              <a:noFill/>
              <a:ln>
                <a:noFill/>
              </a:ln>
              <a:effectLst/>
            </c:spPr>
            <c:txPr>
              <a:bodyPr/>
              <a:lstStyle/>
              <a:p>
                <a:pPr>
                  <a:defRPr>
                    <a:solidFill>
                      <a:schemeClr val="bg1"/>
                    </a:solidFill>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2007</c:v>
                </c:pt>
                <c:pt idx="1">
                  <c:v>2008</c:v>
                </c:pt>
                <c:pt idx="2">
                  <c:v>2009</c:v>
                </c:pt>
                <c:pt idx="3">
                  <c:v>2010</c:v>
                </c:pt>
                <c:pt idx="4">
                  <c:v>2011</c:v>
                </c:pt>
                <c:pt idx="5">
                  <c:v>2012</c:v>
                </c:pt>
                <c:pt idx="6">
                  <c:v>2013</c:v>
                </c:pt>
                <c:pt idx="7">
                  <c:v>2014</c:v>
                </c:pt>
              </c:strCache>
            </c:strRef>
          </c:cat>
          <c:val>
            <c:numRef>
              <c:f>Sheet1!$B$3:$I$3</c:f>
              <c:numCache>
                <c:formatCode>0</c:formatCode>
                <c:ptCount val="8"/>
                <c:pt idx="0">
                  <c:v>35.064591914653995</c:v>
                </c:pt>
                <c:pt idx="1">
                  <c:v>37.465078168279611</c:v>
                </c:pt>
                <c:pt idx="2">
                  <c:v>37.849682388966</c:v>
                </c:pt>
                <c:pt idx="3">
                  <c:v>40.381426787313124</c:v>
                </c:pt>
                <c:pt idx="4">
                  <c:v>40.801753270427348</c:v>
                </c:pt>
                <c:pt idx="5">
                  <c:v>37.636609574978927</c:v>
                </c:pt>
                <c:pt idx="6">
                  <c:v>35.969559341265651</c:v>
                </c:pt>
                <c:pt idx="7">
                  <c:v>36.845773829000905</c:v>
                </c:pt>
              </c:numCache>
            </c:numRef>
          </c:val>
          <c:extLst>
            <c:ext xmlns:c="http://schemas.openxmlformats.org/drawingml/2006/chart" xmlns:c16="http://schemas.microsoft.com/office/drawing/2014/chart" uri="{C3380CC4-5D6E-409C-BE32-E72D297353CC}">
              <c16:uniqueId val="{00000001-84B1-4752-AF01-EA27C74B904A}"/>
            </c:ext>
          </c:extLst>
        </c:ser>
        <c:dLbls>
          <c:showLegendKey val="0"/>
          <c:showVal val="0"/>
          <c:showCatName val="0"/>
          <c:showSerName val="0"/>
          <c:showPercent val="0"/>
          <c:showBubbleSize val="0"/>
        </c:dLbls>
        <c:gapWidth val="50"/>
        <c:overlap val="52"/>
        <c:axId val="629917680"/>
        <c:axId val="629914152"/>
      </c:barChart>
      <c:catAx>
        <c:axId val="629917680"/>
        <c:scaling>
          <c:orientation val="minMax"/>
        </c:scaling>
        <c:delete val="0"/>
        <c:axPos val="b"/>
        <c:numFmt formatCode="General" sourceLinked="0"/>
        <c:majorTickMark val="out"/>
        <c:minorTickMark val="none"/>
        <c:tickLblPos val="nextTo"/>
        <c:txPr>
          <a:bodyPr/>
          <a:lstStyle/>
          <a:p>
            <a:pPr>
              <a:defRPr sz="700"/>
            </a:pPr>
            <a:endParaRPr lang="lv-LV"/>
          </a:p>
        </c:txPr>
        <c:crossAx val="629914152"/>
        <c:crosses val="autoZero"/>
        <c:auto val="1"/>
        <c:lblAlgn val="ctr"/>
        <c:lblOffset val="100"/>
        <c:noMultiLvlLbl val="0"/>
      </c:catAx>
      <c:valAx>
        <c:axId val="629914152"/>
        <c:scaling>
          <c:orientation val="minMax"/>
          <c:max val="80"/>
        </c:scaling>
        <c:delete val="0"/>
        <c:axPos val="l"/>
        <c:numFmt formatCode="0" sourceLinked="1"/>
        <c:majorTickMark val="out"/>
        <c:minorTickMark val="none"/>
        <c:tickLblPos val="nextTo"/>
        <c:txPr>
          <a:bodyPr/>
          <a:lstStyle/>
          <a:p>
            <a:pPr>
              <a:defRPr sz="800"/>
            </a:pPr>
            <a:endParaRPr lang="lv-LV"/>
          </a:p>
        </c:txPr>
        <c:crossAx val="629917680"/>
        <c:crosses val="autoZero"/>
        <c:crossBetween val="between"/>
        <c:majorUnit val="20"/>
      </c:valAx>
      <c:spPr>
        <a:ln>
          <a:noFill/>
        </a:ln>
      </c:spPr>
    </c:plotArea>
    <c:legend>
      <c:legendPos val="r"/>
      <c:layout>
        <c:manualLayout>
          <c:xMode val="edge"/>
          <c:yMode val="edge"/>
          <c:x val="0.19725118052443219"/>
          <c:y val="0.0495283177904099"/>
          <c:w val="0.58747156605424322"/>
          <c:h val="0.24408673141301143"/>
        </c:manualLayout>
      </c:layout>
      <c:overlay val="0"/>
    </c:legend>
    <c:plotVisOnly val="1"/>
    <c:dispBlanksAs val="gap"/>
    <c:showDLblsOverMax val="0"/>
  </c:chart>
  <c:spPr>
    <a:ln w="9525">
      <a:noFill/>
    </a:ln>
  </c:spPr>
  <c:txPr>
    <a:bodyPr/>
    <a:lstStyle/>
    <a:p>
      <a:pPr>
        <a:defRPr sz="900">
          <a:latin typeface="Arial Narrow" pitchFamily="34" charset="0"/>
        </a:defRPr>
      </a:pPr>
      <a:endParaRPr lang="lv-LV"/>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46717244654"/>
          <c:y val="0.044057617797775277"/>
          <c:w val="0.9310540474739486"/>
          <c:h val="0.51653970083007916"/>
        </c:manualLayout>
      </c:layout>
      <c:barChart>
        <c:barDir val="col"/>
        <c:grouping val="clustered"/>
        <c:varyColors val="0"/>
        <c:ser>
          <c:idx val="1"/>
          <c:order val="0"/>
          <c:tx>
            <c:strRef>
              <c:f>Sheet1!$B$3</c:f>
              <c:strCache>
                <c:ptCount val="1"/>
                <c:pt idx="0">
                  <c:v>Compensation per employees 1000 of euro</c:v>
                </c:pt>
              </c:strCache>
            </c:strRef>
          </c:tx>
          <c:spPr>
            <a:solidFill>
              <a:schemeClr val="accent3">
                <a:lumMod val="50000"/>
              </a:schemeClr>
            </a:solidFill>
            <a:ln w="19050"/>
          </c:spPr>
          <c:invertIfNegative val="0"/>
          <c:dPt>
            <c:idx val="13"/>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4-D237-476C-8ECA-B3B6BB89C097}"/>
              </c:ext>
            </c:extLst>
          </c:dPt>
          <c:dPt>
            <c:idx val="20"/>
            <c:invertIfNegative val="0"/>
            <c:bubble3D val="0"/>
            <c:extLst>
              <c:ext xmlns:c="http://schemas.openxmlformats.org/drawingml/2006/chart" xmlns:c16="http://schemas.microsoft.com/office/drawing/2014/chart" uri="{C3380CC4-5D6E-409C-BE32-E72D297353CC}">
                <c16:uniqueId val="{00000000-E8FF-4033-BF5B-00777064CC52}"/>
              </c:ext>
            </c:extLst>
          </c:dPt>
          <c:dPt>
            <c:idx val="24"/>
            <c:invertIfNegative val="0"/>
            <c:bubble3D val="0"/>
            <c:spPr>
              <a:solidFill>
                <a:srgbClr val="C00000"/>
              </a:solidFill>
              <a:ln w="19050"/>
            </c:spPr>
            <c:extLst>
              <c:ext xmlns:c="http://schemas.openxmlformats.org/drawingml/2006/chart" xmlns:c16="http://schemas.microsoft.com/office/drawing/2014/chart" uri="{C3380CC4-5D6E-409C-BE32-E72D297353CC}">
                <c16:uniqueId val="{00000002-E8FF-4033-BF5B-00777064CC52}"/>
              </c:ext>
            </c:extLst>
          </c:dPt>
          <c:dPt>
            <c:idx val="25"/>
            <c:invertIfNegative val="0"/>
            <c:bubble3D val="0"/>
            <c:extLst>
              <c:ext xmlns:c="http://schemas.openxmlformats.org/drawingml/2006/chart" xmlns:c16="http://schemas.microsoft.com/office/drawing/2014/chart" uri="{C3380CC4-5D6E-409C-BE32-E72D297353CC}">
                <c16:uniqueId val="{00000003-E8FF-4033-BF5B-00777064CC52}"/>
              </c:ext>
            </c:extLst>
          </c:dPt>
          <c:dLbls>
            <c:dLbl>
              <c:idx val="13"/>
              <c:numFmt formatCode="#,##0" sourceLinked="0"/>
              <c:spPr>
                <a:noFill/>
                <a:ln>
                  <a:noFill/>
                </a:ln>
                <a:effectLst/>
              </c:spPr>
              <c:txPr>
                <a:bodyPr/>
                <a:lstStyle/>
                <a:p>
                  <a:pPr>
                    <a:defRPr sz="600" b="0"/>
                  </a:pPr>
                  <a:endParaRPr lang="lv-LV"/>
                </a:p>
              </c:txPr>
              <c:showLegendKey val="0"/>
              <c:showVal val="1"/>
              <c:showCatName val="0"/>
              <c:showSerName val="0"/>
              <c:showPercent val="0"/>
              <c:showBubbleSize val="0"/>
            </c:dLbl>
            <c:dLbl>
              <c:idx val="24"/>
              <c:layout>
                <c:manualLayout>
                  <c:x val="-1.4769886443141018E-16"/>
                  <c:y val="-0.010876811130316027"/>
                </c:manualLayout>
              </c:layout>
              <c:numFmt formatCode="#,##0" sourceLinked="0"/>
              <c:spPr>
                <a:noFill/>
                <a:ln>
                  <a:noFill/>
                </a:ln>
                <a:effectLst/>
              </c:spPr>
              <c:txPr>
                <a:bodyPr/>
                <a:lstStyle/>
                <a:p>
                  <a:pPr>
                    <a:defRPr sz="600" b="1"/>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E8FF-4033-BF5B-00777064CC52}"/>
                </c:ext>
                <c:ext xmlns:c15="http://schemas.microsoft.com/office/drawing/2012/chart" uri="{CE6537A1-D6FC-4f65-9D91-7224C49458BB}"/>
              </c:extLst>
            </c:dLbl>
            <c:dLbl>
              <c:idx val="25"/>
              <c:layout>
                <c:manualLayout>
                  <c:x val="0"/>
                  <c:y val="0.0047350290403144375"/>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E8FF-4033-BF5B-00777064CC52}"/>
                </c:ext>
                <c:ext xmlns:c15="http://schemas.microsoft.com/office/drawing/2012/chart" uri="{CE6537A1-D6FC-4f65-9D91-7224C49458BB}"/>
              </c:extLst>
            </c:dLbl>
            <c:numFmt formatCode="#,##0" sourceLinked="0"/>
            <c:spPr>
              <a:noFill/>
              <a:ln>
                <a:noFill/>
              </a:ln>
              <a:effectLst/>
            </c:spPr>
            <c:txPr>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Sheet1!$A$4:$A$32</c:f>
              <c:strCache>
                <c:ptCount val="29"/>
                <c:pt idx="0">
                  <c:v>Luksemburga</c:v>
                </c:pt>
                <c:pt idx="1">
                  <c:v>Apv. Karaliste</c:v>
                </c:pt>
                <c:pt idx="2">
                  <c:v>Dānija</c:v>
                </c:pt>
                <c:pt idx="3">
                  <c:v>Nīderlande</c:v>
                </c:pt>
                <c:pt idx="4">
                  <c:v>Beļģija</c:v>
                </c:pt>
                <c:pt idx="5">
                  <c:v>Zviedrija</c:v>
                </c:pt>
                <c:pt idx="6">
                  <c:v>Vācija</c:v>
                </c:pt>
                <c:pt idx="7">
                  <c:v>Somija</c:v>
                </c:pt>
                <c:pt idx="8">
                  <c:v>Austrija</c:v>
                </c:pt>
                <c:pt idx="9">
                  <c:v>Francija</c:v>
                </c:pt>
                <c:pt idx="10">
                  <c:v>Īrija</c:v>
                </c:pt>
                <c:pt idx="11">
                  <c:v>Itālija</c:v>
                </c:pt>
                <c:pt idx="12">
                  <c:v>Spānija</c:v>
                </c:pt>
                <c:pt idx="13">
                  <c:v>ES-28</c:v>
                </c:pt>
                <c:pt idx="14">
                  <c:v>Slovēnija</c:v>
                </c:pt>
                <c:pt idx="15">
                  <c:v>Malta</c:v>
                </c:pt>
                <c:pt idx="16">
                  <c:v>Grieķija</c:v>
                </c:pt>
                <c:pt idx="17">
                  <c:v>Kipra</c:v>
                </c:pt>
                <c:pt idx="18">
                  <c:v>Portugāle</c:v>
                </c:pt>
                <c:pt idx="19">
                  <c:v>Igaunija</c:v>
                </c:pt>
                <c:pt idx="20">
                  <c:v>Slovākija</c:v>
                </c:pt>
                <c:pt idx="21">
                  <c:v>Čehija</c:v>
                </c:pt>
                <c:pt idx="22">
                  <c:v>Lietuva</c:v>
                </c:pt>
                <c:pt idx="23">
                  <c:v>Horvātija</c:v>
                </c:pt>
                <c:pt idx="24">
                  <c:v>Latvija</c:v>
                </c:pt>
                <c:pt idx="25">
                  <c:v>Polija</c:v>
                </c:pt>
                <c:pt idx="26">
                  <c:v>Ungārija</c:v>
                </c:pt>
                <c:pt idx="27">
                  <c:v>Rumānija</c:v>
                </c:pt>
                <c:pt idx="28">
                  <c:v>Bulgārija</c:v>
                </c:pt>
              </c:strCache>
            </c:strRef>
          </c:cat>
          <c:val>
            <c:numRef>
              <c:f>Sheet1!$B$4:$B$32</c:f>
              <c:numCache>
                <c:formatCode>#,##0.0</c:formatCode>
                <c:ptCount val="29"/>
                <c:pt idx="0">
                  <c:v>68.82352941176471</c:v>
                </c:pt>
                <c:pt idx="1">
                  <c:v>64.26996243790137</c:v>
                </c:pt>
                <c:pt idx="2">
                  <c:v>48.7</c:v>
                </c:pt>
                <c:pt idx="3">
                  <c:v>45.214285714285715</c:v>
                </c:pt>
                <c:pt idx="4">
                  <c:v>45.064516129032256</c:v>
                </c:pt>
                <c:pt idx="5">
                  <c:v>41.51428571428572</c:v>
                </c:pt>
                <c:pt idx="6">
                  <c:v>38.489510489510486</c:v>
                </c:pt>
                <c:pt idx="7">
                  <c:v>37.611940298507463</c:v>
                </c:pt>
                <c:pt idx="8">
                  <c:v>37.383177570093459</c:v>
                </c:pt>
                <c:pt idx="9">
                  <c:v>35.042553191489361</c:v>
                </c:pt>
                <c:pt idx="10">
                  <c:v>30.47058823529412</c:v>
                </c:pt>
                <c:pt idx="11">
                  <c:v>30.217821782178216</c:v>
                </c:pt>
                <c:pt idx="12">
                  <c:v>25.495867768595044</c:v>
                </c:pt>
                <c:pt idx="13">
                  <c:v>20.331709746787553</c:v>
                </c:pt>
                <c:pt idx="14">
                  <c:v>18.196721311475407</c:v>
                </c:pt>
                <c:pt idx="15">
                  <c:v>15.762711864406782</c:v>
                </c:pt>
                <c:pt idx="16">
                  <c:v>15.546806649168854</c:v>
                </c:pt>
                <c:pt idx="17">
                  <c:v>14.225352112676056</c:v>
                </c:pt>
                <c:pt idx="18">
                  <c:v>12.114682437644639</c:v>
                </c:pt>
                <c:pt idx="19">
                  <c:v>10.625</c:v>
                </c:pt>
                <c:pt idx="20">
                  <c:v>10.557642299913319</c:v>
                </c:pt>
                <c:pt idx="21">
                  <c:v>10.202140309155766</c:v>
                </c:pt>
                <c:pt idx="22">
                  <c:v>9.7391925687745644</c:v>
                </c:pt>
                <c:pt idx="23">
                  <c:v>8.8871763255240452</c:v>
                </c:pt>
                <c:pt idx="24">
                  <c:v>7.64367816091954</c:v>
                </c:pt>
                <c:pt idx="25">
                  <c:v>6.8890020366598774</c:v>
                </c:pt>
                <c:pt idx="26">
                  <c:v>6.1166180758017488</c:v>
                </c:pt>
                <c:pt idx="27">
                  <c:v>5.4437164979154256</c:v>
                </c:pt>
                <c:pt idx="28">
                  <c:v>3.4610294629797314</c:v>
                </c:pt>
              </c:numCache>
            </c:numRef>
          </c:val>
          <c:extLst>
            <c:ext xmlns:c="http://schemas.openxmlformats.org/drawingml/2006/chart" xmlns:c16="http://schemas.microsoft.com/office/drawing/2014/chart" uri="{C3380CC4-5D6E-409C-BE32-E72D297353CC}">
              <c16:uniqueId val="{00000004-E8FF-4033-BF5B-00777064CC52}"/>
            </c:ext>
          </c:extLst>
        </c:ser>
        <c:dLbls>
          <c:showLegendKey val="0"/>
          <c:showVal val="0"/>
          <c:showCatName val="0"/>
          <c:showSerName val="0"/>
          <c:showPercent val="0"/>
          <c:showBubbleSize val="0"/>
        </c:dLbls>
        <c:gapWidth val="20"/>
        <c:axId val="629907096"/>
        <c:axId val="629912192"/>
      </c:barChart>
      <c:catAx>
        <c:axId val="629907096"/>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29912192"/>
        <c:crosses val="autoZero"/>
        <c:auto val="1"/>
        <c:lblAlgn val="ctr"/>
        <c:lblOffset val="100"/>
        <c:tickLblSkip val="1"/>
        <c:noMultiLvlLbl val="0"/>
      </c:catAx>
      <c:valAx>
        <c:axId val="629912192"/>
        <c:scaling>
          <c:orientation val="minMax"/>
        </c:scaling>
        <c:delete val="0"/>
        <c:axPos val="l"/>
        <c:numFmt formatCode="0" sourceLinked="0"/>
        <c:majorTickMark val="out"/>
        <c:minorTickMark val="none"/>
        <c:tickLblPos val="nextTo"/>
        <c:txPr>
          <a:bodyPr/>
          <a:lstStyle/>
          <a:p>
            <a:pPr>
              <a:defRPr sz="600"/>
            </a:pPr>
            <a:endParaRPr lang="lv-LV"/>
          </a:p>
        </c:txPr>
        <c:crossAx val="629907096"/>
        <c:crosses val="autoZero"/>
        <c:crossBetween val="between"/>
      </c:valAx>
    </c:plotArea>
    <c:plotVisOnly val="1"/>
    <c:dispBlanksAs val="gap"/>
    <c:showDLblsOverMax val="0"/>
  </c:chart>
  <c:spPr>
    <a:ln w="9525">
      <a:noFill/>
    </a:ln>
  </c:sp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5206365820586629"/>
          <c:y val="0.098667178797772245"/>
          <c:w val="0.92848141716424415"/>
          <c:h val="0.44729274694321747"/>
        </c:manualLayout>
      </c:layout>
      <c:barChart>
        <c:barDir val="col"/>
        <c:grouping val="clustered"/>
        <c:varyColors val="0"/>
        <c:ser>
          <c:idx val="1"/>
          <c:order val="0"/>
          <c:tx>
            <c:strRef>
              <c:f>Sheet1!$B$3</c:f>
              <c:strCache>
                <c:ptCount val="1"/>
                <c:pt idx="0">
                  <c:v>Productivity</c:v>
                </c:pt>
              </c:strCache>
            </c:strRef>
          </c:tx>
          <c:spPr>
            <a:solidFill>
              <a:schemeClr val="accent3">
                <a:lumMod val="50000"/>
              </a:schemeClr>
            </a:solidFill>
            <a:ln w="19050"/>
          </c:spPr>
          <c:invertIfNegative val="0"/>
          <c:dPt>
            <c:idx val="13"/>
            <c:invertIfNegative val="0"/>
            <c:bubble3D val="0"/>
            <c:extLst>
              <c:ext xmlns:c="http://schemas.openxmlformats.org/drawingml/2006/chart" xmlns:c16="http://schemas.microsoft.com/office/drawing/2014/chart" uri="{C3380CC4-5D6E-409C-BE32-E72D297353CC}">
                <c16:uniqueId val="{00000004-2D51-4F1D-BA9D-4938080F56D0}"/>
              </c:ext>
            </c:extLst>
          </c:dPt>
          <c:dPt>
            <c:idx val="20"/>
            <c:invertIfNegative val="0"/>
            <c:bubble3D val="0"/>
            <c:extLst>
              <c:ext xmlns:c="http://schemas.openxmlformats.org/drawingml/2006/chart" xmlns:c16="http://schemas.microsoft.com/office/drawing/2014/chart" uri="{C3380CC4-5D6E-409C-BE32-E72D297353CC}">
                <c16:uniqueId val="{00000000-733B-4A99-9B9D-0AACD6FFECFE}"/>
              </c:ext>
            </c:extLst>
          </c:dPt>
          <c:dPt>
            <c:idx val="23"/>
            <c:invertIfNegative val="0"/>
            <c:bubble3D val="0"/>
            <c:spPr>
              <a:solidFill>
                <a:srgbClr val="C00000"/>
              </a:solidFill>
              <a:ln w="19050"/>
            </c:spPr>
            <c:extLst>
              <c:ext xmlns:c="http://schemas.openxmlformats.org/drawingml/2006/chart" xmlns:c16="http://schemas.microsoft.com/office/drawing/2014/chart" uri="{C3380CC4-5D6E-409C-BE32-E72D297353CC}">
                <c16:uniqueId val="{00000006-0424-4559-9159-648318C49655}"/>
              </c:ext>
            </c:extLst>
          </c:dPt>
          <c:dPt>
            <c:idx val="24"/>
            <c:invertIfNegative val="0"/>
            <c:bubble3D val="0"/>
            <c:extLst>
              <c:ext xmlns:c="http://schemas.openxmlformats.org/drawingml/2006/chart" xmlns:c16="http://schemas.microsoft.com/office/drawing/2014/chart" uri="{C3380CC4-5D6E-409C-BE32-E72D297353CC}">
                <c16:uniqueId val="{00000002-733B-4A99-9B9D-0AACD6FFECFE}"/>
              </c:ext>
            </c:extLst>
          </c:dPt>
          <c:dPt>
            <c:idx val="25"/>
            <c:invertIfNegative val="0"/>
            <c:bubble3D val="0"/>
            <c:extLst>
              <c:ext xmlns:c="http://schemas.openxmlformats.org/drawingml/2006/chart" xmlns:c16="http://schemas.microsoft.com/office/drawing/2014/chart" uri="{C3380CC4-5D6E-409C-BE32-E72D297353CC}">
                <c16:uniqueId val="{00000003-733B-4A99-9B9D-0AACD6FFECFE}"/>
              </c:ext>
            </c:extLst>
          </c:dPt>
          <c:dLbls>
            <c:dLbl>
              <c:idx val="23"/>
              <c:numFmt formatCode="#,##0" sourceLinked="0"/>
              <c:spPr>
                <a:noFill/>
                <a:ln>
                  <a:noFill/>
                </a:ln>
                <a:effectLst/>
              </c:spPr>
              <c:txPr>
                <a:bodyPr/>
                <a:lstStyle/>
                <a:p>
                  <a:pPr>
                    <a:defRPr sz="600" b="1"/>
                  </a:pPr>
                  <a:endParaRPr lang="lv-LV"/>
                </a:p>
              </c:txPr>
              <c:showLegendKey val="0"/>
              <c:showVal val="1"/>
              <c:showCatName val="0"/>
              <c:showSerName val="0"/>
              <c:showPercent val="0"/>
              <c:showBubbleSize val="0"/>
            </c:dLbl>
            <c:dLbl>
              <c:idx val="24"/>
              <c:layout>
                <c:manualLayout>
                  <c:x val="0"/>
                  <c:y val="-3.6702729232016727E-05"/>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733B-4A99-9B9D-0AACD6FFECFE}"/>
                </c:ext>
                <c:ext xmlns:c15="http://schemas.microsoft.com/office/drawing/2012/chart" uri="{CE6537A1-D6FC-4f65-9D91-7224C49458BB}"/>
              </c:extLst>
            </c:dLbl>
            <c:dLbl>
              <c:idx val="25"/>
              <c:layout>
                <c:manualLayout>
                  <c:x val="0"/>
                  <c:y val="0.0047350290403144375"/>
                </c:manualLayout>
              </c:layout>
              <c:numFmt formatCode="#,##0" sourceLinked="0"/>
              <c:txPr>
                <a:bodyPr/>
                <a:lstStyle/>
                <a:p>
                  <a:pPr>
                    <a:defRPr sz="600" b="0"/>
                  </a:pPr>
                  <a:endParaRPr lang="lv-LV"/>
                </a:p>
              </c:txP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733B-4A99-9B9D-0AACD6FFECFE}"/>
                </c:ext>
                <c:ext xmlns:c15="http://schemas.microsoft.com/office/drawing/2012/chart" uri="{CE6537A1-D6FC-4f65-9D91-7224C49458BB}"/>
              </c:extLst>
            </c:dLbl>
            <c:numFmt formatCode="#,##0" sourceLinked="0"/>
            <c:spPr>
              <a:noFill/>
              <a:ln>
                <a:noFill/>
              </a:ln>
              <a:effectLst/>
            </c:spPr>
            <c:txPr>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Sheet1!$A$4:$A$30</c:f>
              <c:strCache>
                <c:ptCount val="27"/>
                <c:pt idx="0">
                  <c:v>Luksemburga</c:v>
                </c:pt>
                <c:pt idx="1">
                  <c:v>Dānija</c:v>
                </c:pt>
                <c:pt idx="2">
                  <c:v>Nīderlande</c:v>
                </c:pt>
                <c:pt idx="3">
                  <c:v>Beļģija</c:v>
                </c:pt>
                <c:pt idx="4">
                  <c:v>Zviedrija</c:v>
                </c:pt>
                <c:pt idx="5">
                  <c:v>Austrija</c:v>
                </c:pt>
                <c:pt idx="6">
                  <c:v>Apv. Karaliste</c:v>
                </c:pt>
                <c:pt idx="7">
                  <c:v>Itālija</c:v>
                </c:pt>
                <c:pt idx="8">
                  <c:v>Francija</c:v>
                </c:pt>
                <c:pt idx="9">
                  <c:v>Vācija</c:v>
                </c:pt>
                <c:pt idx="10">
                  <c:v>Somija</c:v>
                </c:pt>
                <c:pt idx="11">
                  <c:v>Spānija</c:v>
                </c:pt>
                <c:pt idx="12">
                  <c:v>Īrija</c:v>
                </c:pt>
                <c:pt idx="13">
                  <c:v>Portugāle</c:v>
                </c:pt>
                <c:pt idx="14">
                  <c:v>Slovēnija</c:v>
                </c:pt>
                <c:pt idx="15">
                  <c:v>Lietuva</c:v>
                </c:pt>
                <c:pt idx="16">
                  <c:v>Grieķija</c:v>
                </c:pt>
                <c:pt idx="17">
                  <c:v>Kipra</c:v>
                </c:pt>
                <c:pt idx="18">
                  <c:v>Čehija</c:v>
                </c:pt>
                <c:pt idx="19">
                  <c:v>Slovākija</c:v>
                </c:pt>
                <c:pt idx="20">
                  <c:v>Polija</c:v>
                </c:pt>
                <c:pt idx="21">
                  <c:v>Igaunija</c:v>
                </c:pt>
                <c:pt idx="22">
                  <c:v>Horvātija</c:v>
                </c:pt>
                <c:pt idx="23">
                  <c:v>Latvija</c:v>
                </c:pt>
                <c:pt idx="24">
                  <c:v>Ungārija</c:v>
                </c:pt>
                <c:pt idx="25">
                  <c:v>Rumānija</c:v>
                </c:pt>
                <c:pt idx="26">
                  <c:v>Bulgārija</c:v>
                </c:pt>
              </c:strCache>
            </c:strRef>
          </c:cat>
          <c:val>
            <c:numRef>
              <c:f>Sheet1!$B$4:$B$30</c:f>
              <c:numCache>
                <c:formatCode>#,##0.0</c:formatCode>
                <c:ptCount val="27"/>
                <c:pt idx="0">
                  <c:v>219.17355371900825</c:v>
                </c:pt>
                <c:pt idx="1">
                  <c:v>68.06</c:v>
                </c:pt>
                <c:pt idx="2">
                  <c:v>62</c:v>
                </c:pt>
                <c:pt idx="3">
                  <c:v>55.362869198312232</c:v>
                </c:pt>
                <c:pt idx="4">
                  <c:v>54.875</c:v>
                </c:pt>
                <c:pt idx="5">
                  <c:v>47.388831437435364</c:v>
                </c:pt>
                <c:pt idx="6">
                  <c:v>45.573832127079619</c:v>
                </c:pt>
                <c:pt idx="7">
                  <c:v>45.150591537998793</c:v>
                </c:pt>
                <c:pt idx="8">
                  <c:v>43.764150943396224</c:v>
                </c:pt>
                <c:pt idx="9">
                  <c:v>41.999354838709678</c:v>
                </c:pt>
                <c:pt idx="10">
                  <c:v>34.851485148514854</c:v>
                </c:pt>
                <c:pt idx="11">
                  <c:v>34.746423927178149</c:v>
                </c:pt>
                <c:pt idx="12">
                  <c:v>28.602620087336245</c:v>
                </c:pt>
                <c:pt idx="13">
                  <c:v>18.4070042593469</c:v>
                </c:pt>
                <c:pt idx="14">
                  <c:v>18.001998001998</c:v>
                </c:pt>
                <c:pt idx="15">
                  <c:v>16.170496170496172</c:v>
                </c:pt>
                <c:pt idx="16">
                  <c:v>14.945267224726337</c:v>
                </c:pt>
                <c:pt idx="17">
                  <c:v>12.999999999999998</c:v>
                </c:pt>
                <c:pt idx="18">
                  <c:v>12.955665024630543</c:v>
                </c:pt>
                <c:pt idx="19">
                  <c:v>11.765620948924035</c:v>
                </c:pt>
                <c:pt idx="20">
                  <c:v>11.50890004564126</c:v>
                </c:pt>
                <c:pt idx="21">
                  <c:v>11.507462686567163</c:v>
                </c:pt>
                <c:pt idx="22">
                  <c:v>9.6999699969997</c:v>
                </c:pt>
                <c:pt idx="23">
                  <c:v>9.1769911504424773</c:v>
                </c:pt>
                <c:pt idx="24">
                  <c:v>7.800569800569801</c:v>
                </c:pt>
                <c:pt idx="25">
                  <c:v>6.4611307420494688</c:v>
                </c:pt>
                <c:pt idx="26">
                  <c:v>3.709956134520803</c:v>
                </c:pt>
              </c:numCache>
            </c:numRef>
          </c:val>
          <c:extLst>
            <c:ext xmlns:c="http://schemas.openxmlformats.org/drawingml/2006/chart" xmlns:c16="http://schemas.microsoft.com/office/drawing/2014/chart" uri="{C3380CC4-5D6E-409C-BE32-E72D297353CC}">
              <c16:uniqueId val="{00000004-733B-4A99-9B9D-0AACD6FFECFE}"/>
            </c:ext>
          </c:extLst>
        </c:ser>
        <c:dLbls>
          <c:showLegendKey val="0"/>
          <c:showVal val="0"/>
          <c:showCatName val="0"/>
          <c:showSerName val="0"/>
          <c:showPercent val="0"/>
          <c:showBubbleSize val="0"/>
        </c:dLbls>
        <c:gapWidth val="20"/>
        <c:axId val="629907488"/>
        <c:axId val="629909056"/>
      </c:barChart>
      <c:catAx>
        <c:axId val="629907488"/>
        <c:scaling>
          <c:orientation val="minMax"/>
        </c:scaling>
        <c:delete val="0"/>
        <c:axPos val="b"/>
        <c:numFmt formatCode="General" sourceLinked="0"/>
        <c:majorTickMark val="out"/>
        <c:minorTickMark val="none"/>
        <c:tickLblPos val="nextTo"/>
        <c:txPr>
          <a:bodyPr rot="-5400000" vert="horz" anchor="ctr" anchorCtr="1"/>
          <a:lstStyle/>
          <a:p>
            <a:pPr>
              <a:defRPr sz="600"/>
            </a:pPr>
            <a:endParaRPr lang="lv-LV"/>
          </a:p>
        </c:txPr>
        <c:crossAx val="629909056"/>
        <c:crosses val="autoZero"/>
        <c:auto val="1"/>
        <c:lblAlgn val="ctr"/>
        <c:lblOffset val="100"/>
        <c:tickLblSkip val="1"/>
        <c:noMultiLvlLbl val="0"/>
      </c:catAx>
      <c:valAx>
        <c:axId val="629909056"/>
        <c:scaling>
          <c:orientation val="minMax"/>
        </c:scaling>
        <c:delete val="0"/>
        <c:axPos val="l"/>
        <c:numFmt formatCode="0" sourceLinked="0"/>
        <c:majorTickMark val="out"/>
        <c:minorTickMark val="none"/>
        <c:tickLblPos val="nextTo"/>
        <c:txPr>
          <a:bodyPr/>
          <a:lstStyle/>
          <a:p>
            <a:pPr>
              <a:defRPr sz="600"/>
            </a:pPr>
            <a:endParaRPr lang="lv-LV"/>
          </a:p>
        </c:txPr>
        <c:crossAx val="629907488"/>
        <c:crosses val="autoZero"/>
        <c:crossBetween val="between"/>
      </c:valAx>
    </c:plotArea>
    <c:plotVisOnly val="1"/>
    <c:dispBlanksAs val="gap"/>
    <c:showDLblsOverMax val="0"/>
  </c:chart>
  <c:spPr>
    <a:ln w="9525">
      <a:noFill/>
    </a:ln>
  </c:sp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3524559430071246"/>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92D2-469E-B33B-4AE8972F90FD}"/>
              </c:ext>
            </c:extLst>
          </c:dPt>
          <c:dPt>
            <c:idx val="5"/>
            <c:bubble3D val="0"/>
            <c:extLst>
              <c:ext xmlns:c="http://schemas.openxmlformats.org/drawingml/2006/chart" xmlns:c16="http://schemas.microsoft.com/office/drawing/2014/chart" uri="{C3380CC4-5D6E-409C-BE32-E72D297353CC}">
                <c16:uniqueId val="{00000001-92D2-469E-B33B-4AE8972F90FD}"/>
              </c:ext>
            </c:extLst>
          </c:dPt>
          <c:dPt>
            <c:idx val="11"/>
            <c:bubble3D val="0"/>
            <c:extLst>
              <c:ext xmlns:c="http://schemas.openxmlformats.org/drawingml/2006/chart" xmlns:c16="http://schemas.microsoft.com/office/drawing/2014/chart" uri="{C3380CC4-5D6E-409C-BE32-E72D297353CC}">
                <c16:uniqueId val="{00000002-92D2-469E-B33B-4AE8972F90FD}"/>
              </c:ext>
            </c:extLst>
          </c:dPt>
          <c:dPt>
            <c:idx val="12"/>
            <c:bubble3D val="0"/>
            <c:extLst>
              <c:ext xmlns:c="http://schemas.openxmlformats.org/drawingml/2006/chart" xmlns:c16="http://schemas.microsoft.com/office/drawing/2014/chart" uri="{C3380CC4-5D6E-409C-BE32-E72D297353CC}">
                <c16:uniqueId val="{00000003-92D2-469E-B33B-4AE8972F90FD}"/>
              </c:ext>
            </c:extLst>
          </c:dPt>
          <c:dPt>
            <c:idx val="14"/>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4-92D2-469E-B33B-4AE8972F90FD}"/>
              </c:ext>
            </c:extLst>
          </c:dPt>
          <c:dLbls>
            <c:dLbl>
              <c:idx val="0"/>
              <c:layout>
                <c:manualLayout>
                  <c:x val="-0.070612995805430859"/>
                  <c:y val="0.085714285714285715"/>
                </c:manualLayout>
              </c:layout>
              <c:tx>
                <c:rich>
                  <a:bodyPr vertOverflow="clip"/>
                  <a:lstStyle/>
                  <a:p>
                    <a:r>
                      <a:rPr lang="en-US"/>
                      <a:t>EU-28</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92D2-469E-B33B-4AE8972F90FD}"/>
                </c:ext>
                <c:ext xmlns:c15="http://schemas.microsoft.com/office/drawing/2012/chart" uri="{CE6537A1-D6FC-4f65-9D91-7224C49458BB}"/>
              </c:extLst>
            </c:dLbl>
            <c:dLbl>
              <c:idx val="1"/>
              <c:layout>
                <c:manualLayout>
                  <c:x val="-0.024922118380062305"/>
                  <c:y val="-0.0761904761904762"/>
                </c:manualLayout>
              </c:layout>
              <c:tx>
                <c:rich>
                  <a:bodyPr vertOverflow="clip"/>
                  <a:lstStyle/>
                  <a:p>
                    <a:r>
                      <a:rPr lang="en-US"/>
                      <a:t>BE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92D2-469E-B33B-4AE8972F90FD}"/>
                </c:ext>
                <c:ext xmlns:c15="http://schemas.microsoft.com/office/drawing/2012/chart" uri="{CE6537A1-D6FC-4f65-9D91-7224C49458BB}"/>
              </c:extLst>
            </c:dLbl>
            <c:dLbl>
              <c:idx val="2"/>
              <c:layout>
                <c:manualLayout>
                  <c:x val="-0.070612668743509868"/>
                  <c:y val="0.066666666666666666"/>
                </c:manualLayout>
              </c:layout>
              <c:tx>
                <c:rich>
                  <a:bodyPr vertOverflow="clip"/>
                  <a:lstStyle/>
                  <a:p>
                    <a:r>
                      <a:rPr lang="en-US"/>
                      <a:t>BG</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92D2-469E-B33B-4AE8972F90FD}"/>
                </c:ext>
                <c:ext xmlns:c15="http://schemas.microsoft.com/office/drawing/2012/chart" uri="{CE6537A1-D6FC-4f65-9D91-7224C49458BB}"/>
              </c:extLst>
            </c:dLbl>
            <c:dLbl>
              <c:idx val="3"/>
              <c:layout>
                <c:manualLayout>
                  <c:x val="0.0041536863966770508"/>
                  <c:y val="0.10476190476190476"/>
                </c:manualLayout>
              </c:layout>
              <c:tx>
                <c:rich>
                  <a:bodyPr vertOverflow="clip"/>
                  <a:lstStyle/>
                  <a:p>
                    <a:r>
                      <a:rPr lang="en-US"/>
                      <a:t>PT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92D2-469E-B33B-4AE8972F90FD}"/>
                </c:ext>
                <c:ext xmlns:c15="http://schemas.microsoft.com/office/drawing/2012/chart" uri="{CE6537A1-D6FC-4f65-9D91-7224C49458BB}"/>
              </c:extLst>
            </c:dLbl>
            <c:dLbl>
              <c:idx val="4"/>
              <c:layout>
                <c:manualLayout>
                  <c:x val="-0.053997923156801658"/>
                  <c:y val="-0.085714285714285715"/>
                </c:manualLayout>
              </c:layout>
              <c:tx>
                <c:rich>
                  <a:bodyPr vertOverflow="clip"/>
                  <a:lstStyle/>
                  <a:p>
                    <a:r>
                      <a:rPr lang="en-US"/>
                      <a:t>DK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92D2-469E-B33B-4AE8972F90FD}"/>
                </c:ext>
                <c:ext xmlns:c15="http://schemas.microsoft.com/office/drawing/2012/chart" uri="{CE6537A1-D6FC-4f65-9D91-7224C49458BB}"/>
              </c:extLst>
            </c:dLbl>
            <c:dLbl>
              <c:idx val="5"/>
              <c:layout>
                <c:manualLayout>
                  <c:x val="-0.037383177570093455"/>
                  <c:y val="-0.085714285714285715"/>
                </c:manualLayout>
              </c:layout>
              <c:tx>
                <c:rich>
                  <a:bodyPr vertOverflow="clip"/>
                  <a:lstStyle/>
                  <a:p>
                    <a:r>
                      <a:rPr lang="en-US"/>
                      <a:t>DE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92D2-469E-B33B-4AE8972F90FD}"/>
                </c:ext>
                <c:ext xmlns:c15="http://schemas.microsoft.com/office/drawing/2012/chart" uri="{CE6537A1-D6FC-4f65-9D91-7224C49458BB}"/>
              </c:extLst>
            </c:dLbl>
            <c:dLbl>
              <c:idx val="6"/>
              <c:layout>
                <c:manualLayout>
                  <c:x val="-0.020768431983385294"/>
                  <c:y val="-0.047619797525309336"/>
                </c:manualLayout>
              </c:layout>
              <c:tx>
                <c:rich>
                  <a:bodyPr vertOverflow="clip"/>
                  <a:lstStyle/>
                  <a:p>
                    <a:r>
                      <a:rPr lang="en-US"/>
                      <a:t>EE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92D2-469E-B33B-4AE8972F90FD}"/>
                </c:ext>
                <c:ext xmlns:c15="http://schemas.microsoft.com/office/drawing/2012/chart" uri="{CE6537A1-D6FC-4f65-9D91-7224C49458BB}"/>
              </c:extLst>
            </c:dLbl>
            <c:dLbl>
              <c:idx val="7"/>
              <c:layout>
                <c:manualLayout>
                  <c:x val="-0.012461059190031152"/>
                  <c:y val="-0.0380952380952381"/>
                </c:manualLayout>
              </c:layout>
              <c:tx>
                <c:rich>
                  <a:bodyPr vertOverflow="clip"/>
                  <a:lstStyle/>
                  <a:p>
                    <a:r>
                      <a:rPr lang="en-US"/>
                      <a:t>IE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92D2-469E-B33B-4AE8972F90FD}"/>
                </c:ext>
                <c:ext xmlns:c15="http://schemas.microsoft.com/office/drawing/2012/chart" uri="{CE6537A1-D6FC-4f65-9D91-7224C49458BB}"/>
              </c:extLst>
            </c:dLbl>
            <c:dLbl>
              <c:idx val="8"/>
              <c:layout>
                <c:manualLayout>
                  <c:x val="-0.024922118380062305"/>
                  <c:y val="-0.047619047619047616"/>
                </c:manualLayout>
              </c:layout>
              <c:tx>
                <c:rich>
                  <a:bodyPr vertOverflow="clip"/>
                  <a:lstStyle/>
                  <a:p>
                    <a:r>
                      <a:rPr lang="en-US"/>
                      <a:t>EL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92D2-469E-B33B-4AE8972F90FD}"/>
                </c:ext>
                <c:ext xmlns:c15="http://schemas.microsoft.com/office/drawing/2012/chart" uri="{CE6537A1-D6FC-4f65-9D91-7224C49458BB}"/>
              </c:extLst>
            </c:dLbl>
            <c:dLbl>
              <c:idx val="9"/>
              <c:layout>
                <c:manualLayout>
                  <c:x val="-0.062305623012076761"/>
                  <c:y val="-0.0761904761904762"/>
                </c:manualLayout>
              </c:layout>
              <c:tx>
                <c:rich>
                  <a:bodyPr vertOverflow="clip"/>
                  <a:lstStyle/>
                  <a:p>
                    <a:r>
                      <a:rPr lang="en-US"/>
                      <a:t>ES</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92D2-469E-B33B-4AE8972F90FD}"/>
                </c:ext>
                <c:ext xmlns:c15="http://schemas.microsoft.com/office/drawing/2012/chart" uri="{CE6537A1-D6FC-4f65-9D91-7224C49458BB}"/>
              </c:extLst>
            </c:dLbl>
            <c:dLbl>
              <c:idx val="10"/>
              <c:layout>
                <c:manualLayout>
                  <c:x val="-0.045690877425368634"/>
                  <c:y val="-0.0761904761904762"/>
                </c:manualLayout>
              </c:layout>
              <c:tx>
                <c:rich>
                  <a:bodyPr vertOverflow="clip"/>
                  <a:lstStyle/>
                  <a:p>
                    <a:r>
                      <a:rPr lang="en-US"/>
                      <a:t>FR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92D2-469E-B33B-4AE8972F90FD}"/>
                </c:ext>
                <c:ext xmlns:c15="http://schemas.microsoft.com/office/drawing/2012/chart" uri="{CE6537A1-D6FC-4f65-9D91-7224C49458BB}"/>
              </c:extLst>
            </c:dLbl>
            <c:dLbl>
              <c:idx val="11"/>
              <c:layout>
                <c:manualLayout>
                  <c:x val="-0.058151609553478714"/>
                  <c:y val="-0.085715035620547428"/>
                </c:manualLayout>
              </c:layout>
              <c:tx>
                <c:rich>
                  <a:bodyPr vertOverflow="clip"/>
                  <a:lstStyle/>
                  <a:p>
                    <a:r>
                      <a:rPr lang="en-US"/>
                      <a:t>HR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92D2-469E-B33B-4AE8972F90FD}"/>
                </c:ext>
                <c:ext xmlns:c15="http://schemas.microsoft.com/office/drawing/2012/chart" uri="{CE6537A1-D6FC-4f65-9D91-7224C49458BB}"/>
              </c:extLst>
            </c:dLbl>
            <c:dLbl>
              <c:idx val="12"/>
              <c:layout>
                <c:manualLayout>
                  <c:x val="-0.020768431983385256"/>
                  <c:y val="0.057142857142857141"/>
                </c:manualLayout>
              </c:layout>
              <c:tx>
                <c:rich>
                  <a:bodyPr vertOverflow="clip"/>
                  <a:lstStyle/>
                  <a:p>
                    <a:r>
                      <a:rPr lang="en-US"/>
                      <a:t>IT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92D2-469E-B33B-4AE8972F90FD}"/>
                </c:ext>
                <c:ext xmlns:c15="http://schemas.microsoft.com/office/drawing/2012/chart" uri="{CE6537A1-D6FC-4f65-9D91-7224C49458BB}"/>
              </c:extLst>
            </c:dLbl>
            <c:dLbl>
              <c:idx val="13"/>
              <c:layout>
                <c:manualLayout>
                  <c:x val="-0.029075804776739357"/>
                  <c:y val="-0.066666666666666666"/>
                </c:manualLayout>
              </c:layout>
              <c:tx>
                <c:rich>
                  <a:bodyPr vertOverflow="clip"/>
                  <a:lstStyle/>
                  <a:p>
                    <a:r>
                      <a:rPr lang="en-US"/>
                      <a:t>CY</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E-92D2-469E-B33B-4AE8972F90FD}"/>
                </c:ext>
                <c:ext xmlns:c15="http://schemas.microsoft.com/office/drawing/2012/chart" uri="{CE6537A1-D6FC-4f65-9D91-7224C49458BB}"/>
              </c:extLst>
            </c:dLbl>
            <c:dLbl>
              <c:idx val="14"/>
              <c:layout>
                <c:manualLayout>
                  <c:x val="-0.033229491173416406"/>
                  <c:y val="-0.057142857142857141"/>
                </c:manualLayout>
              </c:layout>
              <c:tx>
                <c:rich>
                  <a:bodyPr vertOverflow="clip"/>
                  <a:lstStyle/>
                  <a:p>
                    <a:r>
                      <a:rPr lang="en-US"/>
                      <a:t>LV</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92D2-469E-B33B-4AE8972F90FD}"/>
                </c:ext>
                <c:ext xmlns:c15="http://schemas.microsoft.com/office/drawing/2012/chart" uri="{CE6537A1-D6FC-4f65-9D91-7224C49458BB}"/>
              </c:extLst>
            </c:dLbl>
            <c:dLbl>
              <c:idx val="15"/>
              <c:layout>
                <c:manualLayout>
                  <c:x val="-0.020768431983385256"/>
                  <c:y val="0.047619047619047616"/>
                </c:manualLayout>
              </c:layout>
              <c:tx>
                <c:rich>
                  <a:bodyPr vertOverflow="clip"/>
                  <a:lstStyle/>
                  <a:p>
                    <a:r>
                      <a:rPr lang="en-US"/>
                      <a:t>LT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F-92D2-469E-B33B-4AE8972F90FD}"/>
                </c:ext>
                <c:ext xmlns:c15="http://schemas.microsoft.com/office/drawing/2012/chart" uri="{CE6537A1-D6FC-4f65-9D91-7224C49458BB}"/>
              </c:extLst>
            </c:dLbl>
            <c:dLbl>
              <c:idx val="16"/>
              <c:layout>
                <c:manualLayout>
                  <c:x val="-0.049844236760124533"/>
                  <c:y val="-0.095238095238095233"/>
                </c:manualLayout>
              </c:layout>
              <c:tx>
                <c:rich>
                  <a:bodyPr/>
                  <a:lstStyle/>
                  <a:p>
                    <a:r>
                      <a:rPr lang="en-US"/>
                      <a:t>LU</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0-92D2-469E-B33B-4AE8972F90FD}"/>
                </c:ext>
                <c:ext xmlns:c15="http://schemas.microsoft.com/office/drawing/2012/chart" uri="{CE6537A1-D6FC-4f65-9D91-7224C49458BB}"/>
              </c:extLst>
            </c:dLbl>
            <c:dLbl>
              <c:idx val="17"/>
              <c:layout>
                <c:manualLayout>
                  <c:x val="-0.095534787123572176"/>
                  <c:y val="-0.028571428571428616"/>
                </c:manualLayout>
              </c:layout>
              <c:tx>
                <c:rich>
                  <a:bodyPr vertOverflow="clip"/>
                  <a:lstStyle/>
                  <a:p>
                    <a:r>
                      <a:rPr lang="en-US"/>
                      <a:t>HU</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1-92D2-469E-B33B-4AE8972F90FD}"/>
                </c:ext>
                <c:ext xmlns:c15="http://schemas.microsoft.com/office/drawing/2012/chart" uri="{CE6537A1-D6FC-4f65-9D91-7224C49458BB}"/>
              </c:extLst>
            </c:dLbl>
            <c:dLbl>
              <c:idx val="18"/>
              <c:layout>
                <c:manualLayout>
                  <c:x val="-0.041536863966770511"/>
                  <c:y val="-0.0761904761904762"/>
                </c:manualLayout>
              </c:layout>
              <c:tx>
                <c:rich>
                  <a:bodyPr vertOverflow="clip"/>
                  <a:lstStyle/>
                  <a:p>
                    <a:r>
                      <a:rPr lang="en-US"/>
                      <a:t>NL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2-92D2-469E-B33B-4AE8972F90FD}"/>
                </c:ext>
                <c:ext xmlns:c15="http://schemas.microsoft.com/office/drawing/2012/chart" uri="{CE6537A1-D6FC-4f65-9D91-7224C49458BB}"/>
              </c:extLst>
            </c:dLbl>
            <c:dLbl>
              <c:idx val="19"/>
              <c:layout>
                <c:manualLayout>
                  <c:x val="-0.0083076998552751"/>
                  <c:y val="0.057142857142857058"/>
                </c:manualLayout>
              </c:layout>
              <c:tx>
                <c:rich>
                  <a:bodyPr vertOverflow="clip"/>
                  <a:lstStyle/>
                  <a:p>
                    <a:r>
                      <a:rPr lang="en-US"/>
                      <a:t>AT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3-92D2-469E-B33B-4AE8972F90FD}"/>
                </c:ext>
                <c:ext xmlns:c15="http://schemas.microsoft.com/office/drawing/2012/chart" uri="{CE6537A1-D6FC-4f65-9D91-7224C49458BB}"/>
              </c:extLst>
            </c:dLbl>
            <c:dLbl>
              <c:idx val="20"/>
              <c:layout>
                <c:manualLayout>
                  <c:x val="-0.070612668743509868"/>
                  <c:y val="0.066666666666666666"/>
                </c:manualLayout>
              </c:layout>
              <c:tx>
                <c:rich>
                  <a:bodyPr vertOverflow="clip"/>
                  <a:lstStyle/>
                  <a:p>
                    <a:r>
                      <a:rPr lang="en-US"/>
                      <a:t>PL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4-92D2-469E-B33B-4AE8972F90FD}"/>
                </c:ext>
                <c:ext xmlns:c15="http://schemas.microsoft.com/office/drawing/2012/chart" uri="{CE6537A1-D6FC-4f65-9D91-7224C49458BB}"/>
              </c:extLst>
            </c:dLbl>
            <c:dLbl>
              <c:idx val="21"/>
              <c:layout>
                <c:manualLayout>
                  <c:x val="-0.062305295950155763"/>
                  <c:y val="-0.085715035620547428"/>
                </c:manualLayout>
              </c:layout>
              <c:tx>
                <c:rich>
                  <a:bodyPr vertOverflow="clip"/>
                  <a:lstStyle/>
                  <a:p>
                    <a:r>
                      <a:rPr lang="en-US"/>
                      <a:t>CZ</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5-92D2-469E-B33B-4AE8972F90FD}"/>
                </c:ext>
                <c:ext xmlns:c15="http://schemas.microsoft.com/office/drawing/2012/chart" uri="{CE6537A1-D6FC-4f65-9D91-7224C49458BB}"/>
              </c:extLst>
            </c:dLbl>
            <c:dLbl>
              <c:idx val="22"/>
              <c:layout>
                <c:manualLayout>
                  <c:x val="-0.0166150726486292"/>
                  <c:y val="0.047619047619047616"/>
                </c:manualLayout>
              </c:layout>
              <c:tx>
                <c:rich>
                  <a:bodyPr vertOverflow="clip"/>
                  <a:lstStyle/>
                  <a:p>
                    <a:r>
                      <a:rPr lang="en-US"/>
                      <a:t>RO</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6-92D2-469E-B33B-4AE8972F90FD}"/>
                </c:ext>
                <c:ext xmlns:c15="http://schemas.microsoft.com/office/drawing/2012/chart" uri="{CE6537A1-D6FC-4f65-9D91-7224C49458BB}"/>
              </c:extLst>
            </c:dLbl>
            <c:dLbl>
              <c:idx val="23"/>
              <c:layout>
                <c:manualLayout>
                  <c:x val="-0.024922118380062305"/>
                  <c:y val="-0.057142857142857141"/>
                </c:manualLayout>
              </c:layout>
              <c:tx>
                <c:rich>
                  <a:bodyPr vertOverflow="clip"/>
                  <a:lstStyle/>
                  <a:p>
                    <a:r>
                      <a:rPr lang="en-US"/>
                      <a:t>SI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7-92D2-469E-B33B-4AE8972F90FD}"/>
                </c:ext>
                <c:ext xmlns:c15="http://schemas.microsoft.com/office/drawing/2012/chart" uri="{CE6537A1-D6FC-4f65-9D91-7224C49458BB}"/>
              </c:extLst>
            </c:dLbl>
            <c:dLbl>
              <c:idx val="24"/>
              <c:layout>
                <c:manualLayout>
                  <c:x val="-0.012461059190031152"/>
                  <c:y val="0.057142857142857141"/>
                </c:manualLayout>
              </c:layout>
              <c:tx>
                <c:rich>
                  <a:bodyPr vertOverflow="clip"/>
                  <a:lstStyle/>
                  <a:p>
                    <a:r>
                      <a:rPr lang="en-US"/>
                      <a:t>SK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8-92D2-469E-B33B-4AE8972F90FD}"/>
                </c:ext>
                <c:ext xmlns:c15="http://schemas.microsoft.com/office/drawing/2012/chart" uri="{CE6537A1-D6FC-4f65-9D91-7224C49458BB}"/>
              </c:extLst>
            </c:dLbl>
            <c:dLbl>
              <c:idx val="25"/>
              <c:layout>
                <c:manualLayout>
                  <c:x val="-0.049844236760124609"/>
                  <c:y val="-0.095238095238095233"/>
                </c:manualLayout>
              </c:layout>
              <c:tx>
                <c:rich>
                  <a:bodyPr vertOverflow="clip"/>
                  <a:lstStyle/>
                  <a:p>
                    <a:r>
                      <a:rPr lang="en-US"/>
                      <a:t>FI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9-92D2-469E-B33B-4AE8972F90FD}"/>
                </c:ext>
                <c:ext xmlns:c15="http://schemas.microsoft.com/office/drawing/2012/chart" uri="{CE6537A1-D6FC-4f65-9D91-7224C49458BB}"/>
              </c:extLst>
            </c:dLbl>
            <c:dLbl>
              <c:idx val="26"/>
              <c:layout>
                <c:manualLayout>
                  <c:x val="-0.087227414330218064"/>
                  <c:y val="0.066666666666666666"/>
                </c:manualLayout>
              </c:layout>
              <c:tx>
                <c:rich>
                  <a:bodyPr vertOverflow="clip"/>
                  <a:lstStyle/>
                  <a:p>
                    <a:r>
                      <a:rPr lang="en-US"/>
                      <a:t>SE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A-92D2-469E-B33B-4AE8972F90FD}"/>
                </c:ext>
                <c:ext xmlns:c15="http://schemas.microsoft.com/office/drawing/2012/chart" uri="{CE6537A1-D6FC-4f65-9D91-7224C49458BB}"/>
              </c:extLst>
            </c:dLbl>
            <c:dLbl>
              <c:idx val="27"/>
              <c:layout>
                <c:manualLayout>
                  <c:x val="-0.049844236760124609"/>
                  <c:y val="-0.0761904761904762"/>
                </c:manualLayout>
              </c:layout>
              <c:tx>
                <c:rich>
                  <a:bodyPr vertOverflow="clip"/>
                  <a:lstStyle/>
                  <a:p>
                    <a:r>
                      <a:rPr lang="en-US"/>
                      <a:t>UK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B-92D2-469E-B33B-4AE8972F90F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Sheet1!$B$3:$B$30</c:f>
              <c:numCache>
                <c:formatCode>0.0</c:formatCode>
                <c:ptCount val="28"/>
                <c:pt idx="0">
                  <c:v>24.713194162317574</c:v>
                </c:pt>
                <c:pt idx="1">
                  <c:v>52.132450331125831</c:v>
                </c:pt>
                <c:pt idx="2">
                  <c:v>3.7121486307154057</c:v>
                </c:pt>
                <c:pt idx="3">
                  <c:v>13.712059730563219</c:v>
                </c:pt>
                <c:pt idx="4">
                  <c:v>53.583333333333336</c:v>
                </c:pt>
                <c:pt idx="5">
                  <c:v>43.4875</c:v>
                </c:pt>
                <c:pt idx="6">
                  <c:v>9.0067114093959724</c:v>
                </c:pt>
                <c:pt idx="7">
                  <c:v>23.124042879019907</c:v>
                </c:pt>
                <c:pt idx="8">
                  <c:v>22.810227022261408</c:v>
                </c:pt>
                <c:pt idx="9">
                  <c:v>35.334528076463556</c:v>
                </c:pt>
                <c:pt idx="10">
                  <c:v>39.623931623931625</c:v>
                </c:pt>
                <c:pt idx="11">
                  <c:v>8.3733271804337779</c:v>
                </c:pt>
                <c:pt idx="12">
                  <c:v>39.888868810986629</c:v>
                </c:pt>
                <c:pt idx="13">
                  <c:v>14.066666666666668</c:v>
                </c:pt>
                <c:pt idx="14">
                  <c:v>9.9840255591054312</c:v>
                </c:pt>
                <c:pt idx="15">
                  <c:v>10.675324675324676</c:v>
                </c:pt>
                <c:pt idx="16">
                  <c:v>119.02777777777779</c:v>
                </c:pt>
                <c:pt idx="17">
                  <c:v>6.1143439045679377</c:v>
                </c:pt>
                <c:pt idx="18">
                  <c:v>57.388888888888886</c:v>
                </c:pt>
                <c:pt idx="19">
                  <c:v>50.524861878453045</c:v>
                </c:pt>
                <c:pt idx="20">
                  <c:v>8.19859539602029</c:v>
                </c:pt>
                <c:pt idx="21">
                  <c:v>16.511536573392245</c:v>
                </c:pt>
                <c:pt idx="22">
                  <c:v>6.9093758161399847</c:v>
                </c:pt>
                <c:pt idx="23">
                  <c:v>17.144827586206898</c:v>
                </c:pt>
                <c:pt idx="24">
                  <c:v>16.8</c:v>
                </c:pt>
                <c:pt idx="25">
                  <c:v>37.258064516129032</c:v>
                </c:pt>
                <c:pt idx="26">
                  <c:v>49.444444444444443</c:v>
                </c:pt>
                <c:pt idx="27">
                  <c:v>48.2285765668555</c:v>
                </c:pt>
              </c:numCache>
            </c:numRef>
          </c:xVal>
          <c:yVal>
            <c:numRef>
              <c:f>Sheet1!$C$3:$C$30</c:f>
              <c:numCache>
                <c:formatCode>0.0</c:formatCode>
                <c:ptCount val="28"/>
                <c:pt idx="0">
                  <c:v>0.68641759478287756</c:v>
                </c:pt>
                <c:pt idx="1">
                  <c:v>0.744784957202565</c:v>
                </c:pt>
                <c:pt idx="2">
                  <c:v>0.668010404391783</c:v>
                </c:pt>
                <c:pt idx="3">
                  <c:v>0.70595564711567693</c:v>
                </c:pt>
                <c:pt idx="4">
                  <c:v>0.92902021772939347</c:v>
                </c:pt>
                <c:pt idx="5">
                  <c:v>0.77542025720894858</c:v>
                </c:pt>
                <c:pt idx="6">
                  <c:v>0.79570293094883271</c:v>
                </c:pt>
                <c:pt idx="7">
                  <c:v>0.783705906203541</c:v>
                </c:pt>
                <c:pt idx="8">
                  <c:v>0.94164925258633425</c:v>
                </c:pt>
                <c:pt idx="9">
                  <c:v>0.69067314051062711</c:v>
                </c:pt>
                <c:pt idx="10">
                  <c:v>0.78983318953120507</c:v>
                </c:pt>
                <c:pt idx="11">
                  <c:v>0.81745162323878318</c:v>
                </c:pt>
                <c:pt idx="12">
                  <c:v>0.67372464191480852</c:v>
                </c:pt>
                <c:pt idx="13">
                  <c:v>1.0971377392991752</c:v>
                </c:pt>
                <c:pt idx="14">
                  <c:v>0.67170118845500859</c:v>
                </c:pt>
                <c:pt idx="15">
                  <c:v>0.58888104498552563</c:v>
                </c:pt>
                <c:pt idx="16">
                  <c:v>0.50171742238729922</c:v>
                </c:pt>
                <c:pt idx="17">
                  <c:v>0.80388059967352066</c:v>
                </c:pt>
                <c:pt idx="18">
                  <c:v>0.70977734753146182</c:v>
                </c:pt>
                <c:pt idx="19">
                  <c:v>0.61337579226928229</c:v>
                </c:pt>
                <c:pt idx="20">
                  <c:v>0.679780881777462</c:v>
                </c:pt>
                <c:pt idx="21">
                  <c:v>0.67744785901719418</c:v>
                </c:pt>
                <c:pt idx="22">
                  <c:v>0.51807510433218174</c:v>
                </c:pt>
                <c:pt idx="23">
                  <c:v>0.94392503344171141</c:v>
                </c:pt>
                <c:pt idx="24">
                  <c:v>0.53695327442029284</c:v>
                </c:pt>
                <c:pt idx="25">
                  <c:v>0.87923570682191377</c:v>
                </c:pt>
                <c:pt idx="26">
                  <c:v>0.6975</c:v>
                </c:pt>
                <c:pt idx="27">
                  <c:v>0.77938910352637236</c:v>
                </c:pt>
              </c:numCache>
            </c:numRef>
          </c:yVal>
          <c:smooth val="0"/>
          <c:extLst>
            <c:ext xmlns:c="http://schemas.openxmlformats.org/drawingml/2006/chart" xmlns:c16="http://schemas.microsoft.com/office/drawing/2014/chart" uri="{C3380CC4-5D6E-409C-BE32-E72D297353CC}">
              <c16:uniqueId val="{0000001C-92D2-469E-B33B-4AE8972F90FD}"/>
            </c:ext>
          </c:extLst>
        </c:ser>
        <c:dLbls>
          <c:showLegendKey val="0"/>
          <c:showVal val="0"/>
          <c:showCatName val="0"/>
          <c:showSerName val="0"/>
          <c:showPercent val="0"/>
          <c:showBubbleSize val="0"/>
        </c:dLbls>
        <c:axId val="629918072"/>
        <c:axId val="629915720"/>
      </c:scatterChart>
      <c:valAx>
        <c:axId val="629918072"/>
        <c:scaling>
          <c:orientation val="minMax"/>
          <c:max val="60"/>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29915720"/>
        <c:crosses val="autoZero"/>
        <c:crossBetween val="midCat"/>
        <c:majorUnit val="10"/>
      </c:valAx>
      <c:valAx>
        <c:axId val="629915720"/>
        <c:scaling>
          <c:orientation val="minMax"/>
          <c:min val="0.4"/>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29918072"/>
        <c:crosses val="autoZero"/>
        <c:crossBetween val="midCat"/>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3359666757087"/>
          <c:y val="0.057971014492753624"/>
          <c:w val="0.75915801238072844"/>
          <c:h val="0.72572178477690286"/>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AB2F-44E0-9453-C27FA69BAD5D}"/>
              </c:ext>
            </c:extLst>
          </c:dPt>
          <c:dPt>
            <c:idx val="5"/>
            <c:bubble3D val="0"/>
            <c:extLst>
              <c:ext xmlns:c="http://schemas.openxmlformats.org/drawingml/2006/chart" xmlns:c16="http://schemas.microsoft.com/office/drawing/2014/chart" uri="{C3380CC4-5D6E-409C-BE32-E72D297353CC}">
                <c16:uniqueId val="{00000001-AB2F-44E0-9453-C27FA69BAD5D}"/>
              </c:ext>
            </c:extLst>
          </c:dPt>
          <c:dPt>
            <c:idx val="11"/>
            <c:bubble3D val="0"/>
            <c:extLst>
              <c:ext xmlns:c="http://schemas.openxmlformats.org/drawingml/2006/chart" xmlns:c16="http://schemas.microsoft.com/office/drawing/2014/chart" uri="{C3380CC4-5D6E-409C-BE32-E72D297353CC}">
                <c16:uniqueId val="{00000002-AB2F-44E0-9453-C27FA69BAD5D}"/>
              </c:ext>
            </c:extLst>
          </c:dPt>
          <c:dPt>
            <c:idx val="12"/>
            <c:bubble3D val="0"/>
            <c:extLst>
              <c:ext xmlns:c="http://schemas.openxmlformats.org/drawingml/2006/chart" xmlns:c16="http://schemas.microsoft.com/office/drawing/2014/chart" uri="{C3380CC4-5D6E-409C-BE32-E72D297353CC}">
                <c16:uniqueId val="{00000003-AB2F-44E0-9453-C27FA69BAD5D}"/>
              </c:ext>
            </c:extLst>
          </c:dPt>
          <c:dPt>
            <c:idx val="13"/>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E-AB2F-44E0-9453-C27FA69BAD5D}"/>
              </c:ext>
            </c:extLst>
          </c:dPt>
          <c:dPt>
            <c:idx val="14"/>
            <c:bubble3D val="0"/>
            <c:extLst>
              <c:ext xmlns:c="http://schemas.openxmlformats.org/drawingml/2006/chart" xmlns:c16="http://schemas.microsoft.com/office/drawing/2014/chart" uri="{C3380CC4-5D6E-409C-BE32-E72D297353CC}">
                <c16:uniqueId val="{00000004-AB2F-44E0-9453-C27FA69BAD5D}"/>
              </c:ext>
            </c:extLst>
          </c:dPt>
          <c:dLbls>
            <c:dLbl>
              <c:idx val="0"/>
              <c:layout>
                <c:manualLayout>
                  <c:x val="-0.0083073727933541015"/>
                  <c:y val="0"/>
                </c:manualLayout>
              </c:layout>
              <c:tx>
                <c:rich>
                  <a:bodyPr vertOverflow="clip"/>
                  <a:lstStyle/>
                  <a:p>
                    <a:fld id="{f00f398b-2aaf-4aa2-b2c4-64d92340c3b6}" type="CELLRANGE">
                      <a:rPr lang="en-US"/>
                      <a:t>BE</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0-AB2F-44E0-9453-C27FA69BAD5D}"/>
                </c:ext>
                <c:ext xmlns:c15="http://schemas.microsoft.com/office/drawing/2012/chart" uri="{CE6537A1-D6FC-4f65-9D91-7224C49458BB}">
                  <c15:showDataLabelsRange val="1"/>
                </c:ext>
              </c:extLst>
            </c:dLbl>
            <c:dLbl>
              <c:idx val="1"/>
              <c:tx>
                <c:rich>
                  <a:bodyPr vertOverflow="clip"/>
                  <a:lstStyle/>
                  <a:p>
                    <a:fld id="{1ad6c1f7-d62e-47e3-bd20-5c6381dbffa3}" type="CELLRANGE">
                      <a:rPr lang="en-US"/>
                      <a:t>BG</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5-AB2F-44E0-9453-C27FA69BAD5D}"/>
                </c:ext>
                <c:ext xmlns:c15="http://schemas.microsoft.com/office/drawing/2012/chart" uri="{CE6537A1-D6FC-4f65-9D91-7224C49458BB}">
                  <c15:showDataLabelsRange val="1"/>
                </c:ext>
              </c:extLst>
            </c:dLbl>
            <c:dLbl>
              <c:idx val="2"/>
              <c:layout>
                <c:manualLayout>
                  <c:x val="-0.045690550363447519"/>
                  <c:y val="0.066666666666666582"/>
                </c:manualLayout>
              </c:layout>
              <c:tx>
                <c:rich>
                  <a:bodyPr vertOverflow="clip"/>
                  <a:lstStyle/>
                  <a:p>
                    <a:fld id="{e6e8ef34-40e1-4302-b4d2-cc77ad90f1ea}" type="CELLRANGE">
                      <a:rPr lang="en-US"/>
                      <a:t>CZ</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6-AB2F-44E0-9453-C27FA69BAD5D}"/>
                </c:ext>
                <c:ext xmlns:c15="http://schemas.microsoft.com/office/drawing/2012/chart" uri="{CE6537A1-D6FC-4f65-9D91-7224C49458BB}">
                  <c15:showDataLabelsRange val="1"/>
                </c:ext>
              </c:extLst>
            </c:dLbl>
            <c:dLbl>
              <c:idx val="3"/>
              <c:tx>
                <c:rich>
                  <a:bodyPr vertOverflow="clip"/>
                  <a:lstStyle/>
                  <a:p>
                    <a:fld id="{3ffb544f-2c6b-436b-a54f-09158c22c5dd}" type="CELLRANGE">
                      <a:rPr lang="lv-LV"/>
                      <a:t>DK</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4"/>
              <c:layout>
                <c:manualLayout>
                  <c:x val="-0.020768431983385332"/>
                  <c:y val="-0.057142857142857141"/>
                </c:manualLayout>
              </c:layout>
              <c:tx>
                <c:rich>
                  <a:bodyPr vertOverflow="clip"/>
                  <a:lstStyle/>
                  <a:p>
                    <a:fld id="{f4b928a6-fdd8-4461-867b-416f48a87546}" type="CELLRANGE">
                      <a:rPr lang="en-US"/>
                      <a:t>DE</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8-AB2F-44E0-9453-C27FA69BAD5D}"/>
                </c:ext>
                <c:ext xmlns:c15="http://schemas.microsoft.com/office/drawing/2012/chart" uri="{CE6537A1-D6FC-4f65-9D91-7224C49458BB}">
                  <c15:showDataLabelsRange val="1"/>
                </c:ext>
              </c:extLst>
            </c:dLbl>
            <c:dLbl>
              <c:idx val="5"/>
              <c:tx>
                <c:rich>
                  <a:bodyPr vertOverflow="clip"/>
                  <a:lstStyle/>
                  <a:p>
                    <a:fld id="{cea38731-d701-4ed8-abca-3d22405f62fb}" type="CELLRANGE">
                      <a:rPr lang="en-US"/>
                      <a:t>EE</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1-AB2F-44E0-9453-C27FA69BAD5D}"/>
                </c:ext>
                <c:ext xmlns:c15="http://schemas.microsoft.com/office/drawing/2012/chart" uri="{CE6537A1-D6FC-4f65-9D91-7224C49458BB}">
                  <c15:showDataLabelsRange val="1"/>
                </c:ext>
              </c:extLst>
            </c:dLbl>
            <c:dLbl>
              <c:idx val="6"/>
              <c:tx>
                <c:rich>
                  <a:bodyPr vertOverflow="clip"/>
                  <a:lstStyle/>
                  <a:p>
                    <a:fld id="{0e9c6c42-be43-4091-a33f-f5325b19e18e}" type="CELLRANGE">
                      <a:rPr lang="lv-LV"/>
                      <a:t>IE</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7"/>
              <c:tx>
                <c:rich>
                  <a:bodyPr vertOverflow="clip"/>
                  <a:lstStyle/>
                  <a:p>
                    <a:fld id="{97854187-9113-4c55-8849-51877631bc30}" type="CELLRANGE">
                      <a:rPr lang="lv-LV"/>
                      <a:t>EL</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8"/>
              <c:tx>
                <c:rich>
                  <a:bodyPr vertOverflow="clip"/>
                  <a:lstStyle/>
                  <a:p>
                    <a:fld id="{e289e6ad-2f8a-49be-91a7-c41efd4bde73}" type="CELLRANGE">
                      <a:rPr lang="en-US"/>
                      <a:t>ES</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B-AB2F-44E0-9453-C27FA69BAD5D}"/>
                </c:ext>
                <c:ext xmlns:c15="http://schemas.microsoft.com/office/drawing/2012/chart" uri="{CE6537A1-D6FC-4f65-9D91-7224C49458BB}">
                  <c15:showDataLabelsRange val="1"/>
                </c:ext>
              </c:extLst>
            </c:dLbl>
            <c:dLbl>
              <c:idx val="9"/>
              <c:layout>
                <c:manualLayout>
                  <c:x val="-0.058837131339890922"/>
                  <c:y val="-0.076428196475440566"/>
                </c:manualLayout>
              </c:layout>
              <c:tx>
                <c:rich>
                  <a:bodyPr vertOverflow="clip"/>
                  <a:lstStyle/>
                  <a:p>
                    <a:fld id="{7bb8e08a-91c1-4d18-8ada-261187151c57}" type="CELLRANGE">
                      <a:rPr lang="en-US"/>
                      <a:t>FR</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C-AB2F-44E0-9453-C27FA69BAD5D}"/>
                </c:ext>
                <c:ext xmlns:c15="http://schemas.microsoft.com/office/drawing/2012/chart" uri="{CE6537A1-D6FC-4f65-9D91-7224C49458BB}">
                  <c15:showDataLabelsRange val="1"/>
                </c:ext>
              </c:extLst>
            </c:dLbl>
            <c:dLbl>
              <c:idx val="10"/>
              <c:tx>
                <c:rich>
                  <a:bodyPr vertOverflow="clip"/>
                  <a:lstStyle/>
                  <a:p>
                    <a:fld id="{9a5f0287-5e08-4864-982b-fd7e0a628e84}" type="CELLRANGE">
                      <a:rPr lang="en-US"/>
                      <a:t>HR</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D-AB2F-44E0-9453-C27FA69BAD5D}"/>
                </c:ext>
                <c:ext xmlns:c15="http://schemas.microsoft.com/office/drawing/2012/chart" uri="{CE6537A1-D6FC-4f65-9D91-7224C49458BB}">
                  <c15:showDataLabelsRange val="1"/>
                </c:ext>
              </c:extLst>
            </c:dLbl>
            <c:dLbl>
              <c:idx val="11"/>
              <c:layout>
                <c:manualLayout>
                  <c:x val="-0.020768431983385256"/>
                  <c:y val="-0.019047619047619049"/>
                </c:manualLayout>
              </c:layout>
              <c:tx>
                <c:rich>
                  <a:bodyPr vertOverflow="clip"/>
                  <a:lstStyle/>
                  <a:p>
                    <a:fld id="{68adda30-9144-430e-b643-7cac07c6de7a}" type="CELLRANGE">
                      <a:rPr lang="en-US"/>
                      <a:t>IT</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2-AB2F-44E0-9453-C27FA69BAD5D}"/>
                </c:ext>
                <c:ext xmlns:c15="http://schemas.microsoft.com/office/drawing/2012/chart" uri="{CE6537A1-D6FC-4f65-9D91-7224C49458BB}">
                  <c15:showDataLabelsRange val="1"/>
                </c:ext>
              </c:extLst>
            </c:dLbl>
            <c:dLbl>
              <c:idx val="12"/>
              <c:layout>
                <c:manualLayout>
                  <c:x val="-0.016614745586708203"/>
                  <c:y val="-2.1825144699462845E-17"/>
                </c:manualLayout>
              </c:layout>
              <c:tx>
                <c:rich>
                  <a:bodyPr vertOverflow="clip"/>
                  <a:lstStyle/>
                  <a:p>
                    <a:fld id="{03b416c2-621f-4bc7-b821-0c5eace8dcdc}" type="CELLRANGE">
                      <a:rPr lang="en-US"/>
                      <a:t>CY</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3-AB2F-44E0-9453-C27FA69BAD5D}"/>
                </c:ext>
                <c:ext xmlns:c15="http://schemas.microsoft.com/office/drawing/2012/chart" uri="{CE6537A1-D6FC-4f65-9D91-7224C49458BB}">
                  <c15:showDataLabelsRange val="1"/>
                </c:ext>
              </c:extLst>
            </c:dLbl>
            <c:dLbl>
              <c:idx val="13"/>
              <c:layout>
                <c:manualLayout>
                  <c:x val="-0.0041536863966770126"/>
                  <c:y val="0.00952380952380948"/>
                </c:manualLayout>
              </c:layout>
              <c:tx>
                <c:rich>
                  <a:bodyPr vertOverflow="clip"/>
                  <a:lstStyle/>
                  <a:p>
                    <a:fld id="{05409588-e9d9-41ca-a911-7439b91f285c}" type="CELLRANGE">
                      <a:rPr lang="en-US"/>
                      <a:t>LV</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E-AB2F-44E0-9453-C27FA69BAD5D}"/>
                </c:ext>
                <c:ext xmlns:c15="http://schemas.microsoft.com/office/drawing/2012/chart" uri="{CE6537A1-D6FC-4f65-9D91-7224C49458BB}">
                  <c15:showDataLabelsRange val="1"/>
                </c:ext>
              </c:extLst>
            </c:dLbl>
            <c:dLbl>
              <c:idx val="14"/>
              <c:layout>
                <c:manualLayout>
                  <c:x val="-0.0585048364281568"/>
                  <c:y val="0.090714660667416569"/>
                </c:manualLayout>
              </c:layout>
              <c:tx>
                <c:rich>
                  <a:bodyPr vertOverflow="clip"/>
                  <a:lstStyle/>
                  <a:p>
                    <a:fld id="{417987b6-5a47-4ed2-85e1-cb200733e36d}" type="CELLRANGE">
                      <a:rPr lang="en-US"/>
                      <a:t>LT</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4-AB2F-44E0-9453-C27FA69BAD5D}"/>
                </c:ext>
                <c:ext xmlns:c15="http://schemas.microsoft.com/office/drawing/2012/chart" uri="{CE6537A1-D6FC-4f65-9D91-7224C49458BB}">
                  <c15:showDataLabelsRange val="1"/>
                </c:ext>
              </c:extLst>
            </c:dLbl>
            <c:dLbl>
              <c:idx val="15"/>
              <c:tx>
                <c:rich>
                  <a:bodyPr/>
                  <a:lstStyle/>
                  <a:p>
                    <a:fld id="{9e0b31a3-7b6f-4c93-bb32-e4d4d81c3102}" type="CELLRANGE">
                      <a:rPr lang="lv-LV"/>
                      <a:t>LU</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6"/>
              <c:layout>
                <c:manualLayout>
                  <c:x val="-0.064610755431272066"/>
                  <c:y val="-0.11452343457067866"/>
                </c:manualLayout>
              </c:layout>
              <c:tx>
                <c:rich>
                  <a:bodyPr vertOverflow="clip"/>
                  <a:lstStyle/>
                  <a:p>
                    <a:fld id="{5c668365-2e3e-4c43-906f-cff84bfeb670}" type="CELLRANGE">
                      <a:rPr lang="en-US"/>
                      <a:t>HU</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0-AB2F-44E0-9453-C27FA69BAD5D}"/>
                </c:ext>
                <c:ext xmlns:c15="http://schemas.microsoft.com/office/drawing/2012/chart" uri="{CE6537A1-D6FC-4f65-9D91-7224C49458BB}">
                  <c15:showDataLabelsRange val="1"/>
                </c:ext>
              </c:extLst>
            </c:dLbl>
            <c:dLbl>
              <c:idx val="17"/>
              <c:tx>
                <c:rich>
                  <a:bodyPr vertOverflow="clip"/>
                  <a:lstStyle/>
                  <a:p>
                    <a:fld id="{d02587ee-f67c-4e0d-93a3-f6b4274e7cd4}" type="CELLRANGE">
                      <a:rPr lang="lv-LV"/>
                      <a:t>NL</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18"/>
              <c:tx>
                <c:rich>
                  <a:bodyPr vertOverflow="clip"/>
                  <a:lstStyle/>
                  <a:p>
                    <a:fld id="{a04e39bd-ae84-481b-a699-3ee51592a798}" type="CELLRANGE">
                      <a:rPr lang="en-US"/>
                      <a:t>AT</a:t>
                    </a:fld>
                    <a:endParaRPr lang="lv-LV"/>
                  </a:p>
                </c:rich>
              </c:tx>
              <c:dLblPos val="b"/>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2-AB2F-44E0-9453-C27FA69BAD5D}"/>
                </c:ext>
                <c:ext xmlns:c15="http://schemas.microsoft.com/office/drawing/2012/chart" uri="{CE6537A1-D6FC-4f65-9D91-7224C49458BB}">
                  <c15:showDataLabelsRange val="1"/>
                </c:ext>
              </c:extLst>
            </c:dLbl>
            <c:dLbl>
              <c:idx val="19"/>
              <c:tx>
                <c:rich>
                  <a:bodyPr vertOverflow="clip"/>
                  <a:lstStyle/>
                  <a:p>
                    <a:fld id="{f5629e1e-1df1-48a0-9ab8-f7b960aa5d42}" type="CELLRANGE">
                      <a:rPr lang="en-US"/>
                      <a:t>PL</a:t>
                    </a:fld>
                    <a:endParaRPr lang="lv-LV"/>
                  </a:p>
                </c:rich>
              </c:tx>
              <c:dLblPos val="l"/>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3-AB2F-44E0-9453-C27FA69BAD5D}"/>
                </c:ext>
                <c:ext xmlns:c15="http://schemas.microsoft.com/office/drawing/2012/chart" uri="{CE6537A1-D6FC-4f65-9D91-7224C49458BB}">
                  <c15:showDataLabelsRange val="1"/>
                </c:ext>
              </c:extLst>
            </c:dLbl>
            <c:dLbl>
              <c:idx val="20"/>
              <c:layout>
                <c:manualLayout>
                  <c:x val="-0.028961660166310986"/>
                  <c:y val="0.057381327334083243"/>
                </c:manualLayout>
              </c:layout>
              <c:tx>
                <c:rich>
                  <a:bodyPr vertOverflow="clip"/>
                  <a:lstStyle/>
                  <a:p>
                    <a:fld id="{c585fb00-974e-4df4-855f-49266eceb5f1}" type="CELLRANGE">
                      <a:rPr lang="en-US"/>
                      <a:t>PT</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4-AB2F-44E0-9453-C27FA69BAD5D}"/>
                </c:ext>
                <c:ext xmlns:c15="http://schemas.microsoft.com/office/drawing/2012/chart" uri="{CE6537A1-D6FC-4f65-9D91-7224C49458BB}">
                  <c15:showDataLabelsRange val="1"/>
                </c:ext>
              </c:extLst>
            </c:dLbl>
            <c:dLbl>
              <c:idx val="21"/>
              <c:layout>
                <c:manualLayout>
                  <c:x val="-0.0893042575285566"/>
                  <c:y val="0"/>
                </c:manualLayout>
              </c:layout>
              <c:tx>
                <c:rich>
                  <a:bodyPr vertOverflow="clip"/>
                  <a:lstStyle/>
                  <a:p>
                    <a:fld id="{9c0c3670-6cc6-48d1-af01-4c3bd27baa28}" type="CELLRANGE">
                      <a:rPr lang="en-US"/>
                      <a:t>RO</a:t>
                    </a:fld>
                    <a:endParaRPr lang="lv-LV"/>
                  </a:p>
                </c:rich>
              </c:tx>
              <c:dLblPos val="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5-AB2F-44E0-9453-C27FA69BAD5D}"/>
                </c:ext>
                <c:ext xmlns:c15="http://schemas.microsoft.com/office/drawing/2012/chart" uri="{CE6537A1-D6FC-4f65-9D91-7224C49458BB}">
                  <c15:showDataLabelsRange val="1"/>
                </c:ext>
              </c:extLst>
            </c:dLbl>
            <c:dLbl>
              <c:idx val="22"/>
              <c:tx>
                <c:rich>
                  <a:bodyPr vertOverflow="clip"/>
                  <a:lstStyle/>
                  <a:p>
                    <a:fld id="{9ec59f9c-4d21-4f31-ae9a-2629fda52c0a}" type="CELLRANGE">
                      <a:rPr lang="lv-LV"/>
                      <a:t>SI</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23"/>
              <c:tx>
                <c:rich>
                  <a:bodyPr vertOverflow="clip"/>
                  <a:lstStyle/>
                  <a:p>
                    <a:fld id="{644165a0-b1d1-4486-8462-2f8a005ac85b}" type="CELLRANGE">
                      <a:rPr lang="lv-LV"/>
                      <a:t>SK</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dLbl>
              <c:idx val="24"/>
              <c:tx>
                <c:rich>
                  <a:bodyPr vertOverflow="clip"/>
                  <a:lstStyle/>
                  <a:p>
                    <a:fld id="{62e92a5b-37c6-43fc-8d00-116324f9fb08}" type="CELLRANGE">
                      <a:rPr lang="en-US"/>
                      <a:t>FI</a:t>
                    </a:fld>
                    <a:endParaRPr lang="lv-LV"/>
                  </a:p>
                </c:rich>
              </c:tx>
              <c:dLblPos val="t"/>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8-AB2F-44E0-9453-C27FA69BAD5D}"/>
                </c:ext>
                <c:ext xmlns:c15="http://schemas.microsoft.com/office/drawing/2012/chart" uri="{CE6537A1-D6FC-4f65-9D91-7224C49458BB}">
                  <c15:showDataLabelsRange val="1"/>
                </c:ext>
              </c:extLst>
            </c:dLbl>
            <c:dLbl>
              <c:idx val="25"/>
              <c:layout>
                <c:manualLayout>
                  <c:x val="-0.029075804776739357"/>
                  <c:y val="0"/>
                </c:manualLayout>
              </c:layout>
              <c:tx>
                <c:rich>
                  <a:bodyPr vertOverflow="clip"/>
                  <a:lstStyle/>
                  <a:p>
                    <a:fld id="{91c0dfa5-57f8-4ed5-a303-7552d0a41998}" type="CELLRANGE">
                      <a:rPr lang="en-US"/>
                      <a:t>SE</a:t>
                    </a:fld>
                    <a:endParaRPr lang="lv-LV"/>
                  </a:p>
                </c:rich>
              </c:tx>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19-AB2F-44E0-9453-C27FA69BAD5D}"/>
                </c:ext>
                <c:ext xmlns:c15="http://schemas.microsoft.com/office/drawing/2012/chart" uri="{CE6537A1-D6FC-4f65-9D91-7224C49458BB}">
                  <c15:showDataLabelsRange val="1"/>
                </c:ext>
              </c:extLst>
            </c:dLbl>
            <c:dLbl>
              <c:idx val="26"/>
              <c:tx>
                <c:rich>
                  <a:bodyPr/>
                  <a:lstStyle/>
                  <a:p>
                    <a:fld id="{f1b66c72-5f88-4d7b-be44-c8bda5283bdc}" type="CELLRANGE">
                      <a:rPr lang="lv-LV"/>
                      <a:t>UK</a:t>
                    </a:fld>
                    <a:endParaRPr lang="lv-LV"/>
                  </a:p>
                </c:rich>
              </c:tx>
              <c:showLegendKey val="0"/>
              <c:showVal val="0"/>
              <c:showCatName val="0"/>
              <c:showSerName val="0"/>
              <c:showPercent val="0"/>
              <c:showBubbleSize val="0"/>
              <c:extLst>
                <c:ext xmlns:c15="http://schemas.microsoft.com/office/drawing/2012/chart" uri="{CE6537A1-D6FC-4f65-9D91-7224C49458BB}">
                  <c15:showDataLabelsRange val="1"/>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Sheet1!$B$3:$B$29</c:f>
              <c:numCache>
                <c:formatCode>#,##0.0</c:formatCode>
                <c:ptCount val="27"/>
                <c:pt idx="0">
                  <c:v>45.064516129032256</c:v>
                </c:pt>
                <c:pt idx="1">
                  <c:v>3.4610294629797314</c:v>
                </c:pt>
                <c:pt idx="2">
                  <c:v>10.202140309155766</c:v>
                </c:pt>
                <c:pt idx="3">
                  <c:v>48.7</c:v>
                </c:pt>
                <c:pt idx="4">
                  <c:v>38.489510489510486</c:v>
                </c:pt>
                <c:pt idx="5">
                  <c:v>10.625</c:v>
                </c:pt>
                <c:pt idx="6">
                  <c:v>30.47058823529412</c:v>
                </c:pt>
                <c:pt idx="7">
                  <c:v>15.546806649168854</c:v>
                </c:pt>
                <c:pt idx="8">
                  <c:v>25.495867768595044</c:v>
                </c:pt>
                <c:pt idx="9">
                  <c:v>35.042553191489361</c:v>
                </c:pt>
                <c:pt idx="10">
                  <c:v>8.8871763255240452</c:v>
                </c:pt>
                <c:pt idx="11">
                  <c:v>30.217821782178216</c:v>
                </c:pt>
                <c:pt idx="12">
                  <c:v>14.225352112676056</c:v>
                </c:pt>
                <c:pt idx="13">
                  <c:v>7.64367816091954</c:v>
                </c:pt>
                <c:pt idx="14">
                  <c:v>9.7391925687745644</c:v>
                </c:pt>
                <c:pt idx="15">
                  <c:v>68.82352941176471</c:v>
                </c:pt>
                <c:pt idx="16">
                  <c:v>6.1166180758017488</c:v>
                </c:pt>
                <c:pt idx="17">
                  <c:v>45.214285714285715</c:v>
                </c:pt>
                <c:pt idx="18">
                  <c:v>37.383177570093459</c:v>
                </c:pt>
                <c:pt idx="19">
                  <c:v>6.8890020366598774</c:v>
                </c:pt>
                <c:pt idx="20">
                  <c:v>12.114682437644639</c:v>
                </c:pt>
                <c:pt idx="21">
                  <c:v>5.4437164979154256</c:v>
                </c:pt>
                <c:pt idx="22">
                  <c:v>18.196721311475407</c:v>
                </c:pt>
                <c:pt idx="23">
                  <c:v>10.557642299913319</c:v>
                </c:pt>
                <c:pt idx="24">
                  <c:v>37.611940298507463</c:v>
                </c:pt>
                <c:pt idx="25">
                  <c:v>41.51428571428572</c:v>
                </c:pt>
                <c:pt idx="26">
                  <c:v>64.26996243790137</c:v>
                </c:pt>
              </c:numCache>
            </c:numRef>
          </c:xVal>
          <c:yVal>
            <c:numRef>
              <c:f>Sheet1!$C$3:$C$29</c:f>
              <c:numCache>
                <c:formatCode>#,##0.0</c:formatCode>
                <c:ptCount val="27"/>
                <c:pt idx="0">
                  <c:v>0.6057980810083845</c:v>
                </c:pt>
                <c:pt idx="1">
                  <c:v>0.58029218004482286</c:v>
                </c:pt>
                <c:pt idx="2">
                  <c:v>0.49177440325811883</c:v>
                </c:pt>
                <c:pt idx="3">
                  <c:v>0.67223688068015253</c:v>
                </c:pt>
                <c:pt idx="4">
                  <c:v>0.69205338722399146</c:v>
                </c:pt>
                <c:pt idx="5">
                  <c:v>0.92052791421394031</c:v>
                </c:pt>
                <c:pt idx="6">
                  <c:v>0.25437585718616307</c:v>
                </c:pt>
                <c:pt idx="7">
                  <c:v>0.50509953897663074</c:v>
                </c:pt>
                <c:pt idx="8">
                  <c:v>0.60456360533285824</c:v>
                </c:pt>
                <c:pt idx="9">
                  <c:v>0.606061734195988</c:v>
                </c:pt>
                <c:pt idx="10">
                  <c:v>0.62988406375642347</c:v>
                </c:pt>
                <c:pt idx="11">
                  <c:v>0.61350205766326593</c:v>
                </c:pt>
                <c:pt idx="12">
                  <c:v>0.91699960144858517</c:v>
                </c:pt>
                <c:pt idx="13">
                  <c:v>0.60476624355913033</c:v>
                </c:pt>
                <c:pt idx="14">
                  <c:v>0.41455845786454609</c:v>
                </c:pt>
                <c:pt idx="15">
                  <c:v>0.99756167822383179</c:v>
                </c:pt>
                <c:pt idx="16">
                  <c:v>0.67147752870493249</c:v>
                </c:pt>
                <c:pt idx="17">
                  <c:v>0.47193622015994036</c:v>
                </c:pt>
                <c:pt idx="18">
                  <c:v>0.56440120035579766</c:v>
                </c:pt>
                <c:pt idx="19">
                  <c:v>0.42181997447992758</c:v>
                </c:pt>
                <c:pt idx="20">
                  <c:v>0.46207674934402732</c:v>
                </c:pt>
                <c:pt idx="21">
                  <c:v>0.15337894634265148</c:v>
                </c:pt>
                <c:pt idx="22">
                  <c:v>0.68270262351410893</c:v>
                </c:pt>
                <c:pt idx="23">
                  <c:v>0.720775262074778</c:v>
                </c:pt>
                <c:pt idx="24">
                  <c:v>0.80206302606265611</c:v>
                </c:pt>
                <c:pt idx="25">
                  <c:v>0.66249006114111819</c:v>
                </c:pt>
                <c:pt idx="26">
                  <c:v>0.92266478173621569</c:v>
                </c:pt>
              </c:numCache>
            </c:numRef>
          </c:yVal>
          <c:smooth val="0"/>
          <c:extLst>
            <c:ext xmlns:c="http://schemas.openxmlformats.org/drawingml/2006/chart" xmlns:c16="http://schemas.microsoft.com/office/drawing/2014/chart" uri="{C3380CC4-5D6E-409C-BE32-E72D297353CC}">
              <c16:uniqueId val="{0000001C-AB2F-44E0-9453-C27FA69BAD5D}"/>
            </c:ext>
            <c:ext xmlns:c15="http://schemas.microsoft.com/office/drawing/2012/chart" uri="{02D57815-91ED-43cb-92C2-25804820EDAC}">
              <c15:datalabelsRange>
                <c15:f>Sheet1!$A$3:$A$29</c15:f>
                <c15:dlblRangeCache>
                  <c:ptCount val="27"/>
                  <c:pt idx="0">
                    <c:v>BE</c:v>
                  </c:pt>
                  <c:pt idx="1">
                    <c:v>BG</c:v>
                  </c:pt>
                  <c:pt idx="2">
                    <c:v>CZ</c:v>
                  </c:pt>
                  <c:pt idx="3">
                    <c:v>DK</c:v>
                  </c:pt>
                  <c:pt idx="4">
                    <c:v>DE</c:v>
                  </c:pt>
                  <c:pt idx="5">
                    <c:v>EE</c:v>
                  </c:pt>
                  <c:pt idx="6">
                    <c:v>IE</c:v>
                  </c:pt>
                  <c:pt idx="7">
                    <c:v>EL</c:v>
                  </c:pt>
                  <c:pt idx="8">
                    <c:v>ES</c:v>
                  </c:pt>
                  <c:pt idx="9">
                    <c:v>FR</c:v>
                  </c:pt>
                  <c:pt idx="10">
                    <c:v>HR</c:v>
                  </c:pt>
                  <c:pt idx="11">
                    <c:v>IT</c:v>
                  </c:pt>
                  <c:pt idx="12">
                    <c:v>CY</c:v>
                  </c:pt>
                  <c:pt idx="13">
                    <c:v>LV</c:v>
                  </c:pt>
                  <c:pt idx="14">
                    <c:v>LT</c:v>
                  </c:pt>
                  <c:pt idx="15">
                    <c:v>LU</c:v>
                  </c:pt>
                  <c:pt idx="16">
                    <c:v>HU</c:v>
                  </c:pt>
                  <c:pt idx="17">
                    <c:v>NL</c:v>
                  </c:pt>
                  <c:pt idx="18">
                    <c:v>AT</c:v>
                  </c:pt>
                  <c:pt idx="19">
                    <c:v>PL</c:v>
                  </c:pt>
                  <c:pt idx="20">
                    <c:v>PT</c:v>
                  </c:pt>
                  <c:pt idx="21">
                    <c:v>RO</c:v>
                  </c:pt>
                  <c:pt idx="22">
                    <c:v>SI</c:v>
                  </c:pt>
                  <c:pt idx="23">
                    <c:v>SK</c:v>
                  </c:pt>
                  <c:pt idx="24">
                    <c:v>FI</c:v>
                  </c:pt>
                  <c:pt idx="25">
                    <c:v>SE</c:v>
                  </c:pt>
                  <c:pt idx="26">
                    <c:v>UK</c:v>
                  </c:pt>
                </c15:dlblRangeCache>
              </c15:datalabelsRange>
            </c:ext>
          </c:extLst>
        </c:ser>
        <c:dLbls>
          <c:showLegendKey val="0"/>
          <c:showVal val="0"/>
          <c:showCatName val="0"/>
          <c:showSerName val="0"/>
          <c:showPercent val="0"/>
          <c:showBubbleSize val="0"/>
        </c:dLbls>
        <c:axId val="629907880"/>
        <c:axId val="629916112"/>
      </c:scatterChart>
      <c:valAx>
        <c:axId val="629907880"/>
        <c:scaling>
          <c:orientation val="minMax"/>
          <c:max val="60"/>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12700">
            <a:solidFill>
              <a:sysClr val="windowText" lastClr="000000"/>
            </a:solidFill>
          </a:ln>
        </c:spPr>
        <c:txPr>
          <a:bodyPr rot="0" vert="horz"/>
          <a:lstStyle/>
          <a:p>
            <a:pPr>
              <a:defRPr/>
            </a:pPr>
            <a:endParaRPr lang="lv-LV"/>
          </a:p>
        </c:txPr>
        <c:crossAx val="629916112"/>
        <c:crosses val="autoZero"/>
        <c:crossBetween val="midCat"/>
        <c:majorUnit val="10"/>
      </c:valAx>
      <c:valAx>
        <c:axId val="629916112"/>
        <c:scaling>
          <c:orientation val="minMax"/>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12700">
            <a:solidFill>
              <a:sysClr val="windowText" lastClr="000000"/>
            </a:solidFill>
          </a:ln>
        </c:spPr>
        <c:txPr>
          <a:bodyPr rot="0" vert="horz"/>
          <a:lstStyle/>
          <a:p>
            <a:pPr>
              <a:defRPr/>
            </a:pPr>
            <a:endParaRPr lang="lv-LV"/>
          </a:p>
        </c:txPr>
        <c:crossAx val="629907880"/>
        <c:crosses val="autoZero"/>
        <c:crossBetween val="midCat"/>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700" b="0" i="0" u="none" strike="noStrike" baseline="0">
          <a:solidFill>
            <a:srgbClr val="000000"/>
          </a:solidFill>
          <a:latin typeface="Arial"/>
          <a:ea typeface="Arial"/>
          <a:cs typeface="Arial"/>
        </a:defRPr>
      </a:pPr>
      <a:endParaRPr lang="lv-LV"/>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59412201441466"/>
          <c:y val="0.098301682877875565"/>
          <c:w val="0.77357359176256812"/>
          <c:h val="0.72728028561647184"/>
        </c:manualLayout>
      </c:layout>
      <c:barChart>
        <c:barDir val="col"/>
        <c:grouping val="clustered"/>
        <c:varyColors val="0"/>
        <c:ser>
          <c:idx val="4"/>
          <c:order val="0"/>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FAC1-487C-AC67-8ED89ACCF87D}"/>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FAC1-487C-AC67-8ED89ACCF87D}"/>
              </c:ext>
            </c:extLst>
          </c:dPt>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Sheet1!$A$3:$A$5</c:f>
              <c:strCache>
                <c:ptCount val="3"/>
                <c:pt idx="0">
                  <c:v>2005</c:v>
                </c:pt>
                <c:pt idx="1">
                  <c:v>2010</c:v>
                </c:pt>
                <c:pt idx="2">
                  <c:v>2015</c:v>
                </c:pt>
              </c:strCache>
            </c:strRef>
          </c:cat>
          <c:val>
            <c:numRef>
              <c:f>Sheet1!$B$3:$B$5</c:f>
              <c:numCache>
                <c:formatCode>General</c:formatCode>
                <c:ptCount val="3"/>
                <c:pt idx="0" formatCode="0.0">
                  <c:v>2.6493323387407473</c:v>
                </c:pt>
                <c:pt idx="1">
                  <c:v>2.8778297710889089</c:v>
                </c:pt>
                <c:pt idx="2">
                  <c:v>2.649146131375927</c:v>
                </c:pt>
              </c:numCache>
            </c:numRef>
          </c:val>
          <c:extLst>
            <c:ext xmlns:c="http://schemas.openxmlformats.org/drawingml/2006/chart" xmlns:c16="http://schemas.microsoft.com/office/drawing/2014/chart" uri="{C3380CC4-5D6E-409C-BE32-E72D297353CC}">
              <c16:uniqueId val="{00000004-FAC1-487C-AC67-8ED89ACCF87D}"/>
            </c:ext>
          </c:extLst>
        </c:ser>
        <c:dLbls>
          <c:showLegendKey val="0"/>
          <c:showVal val="0"/>
          <c:showCatName val="0"/>
          <c:showSerName val="0"/>
          <c:showPercent val="0"/>
          <c:showBubbleSize val="0"/>
        </c:dLbls>
        <c:gapWidth val="20"/>
        <c:axId val="629916504"/>
        <c:axId val="629908272"/>
      </c:barChart>
      <c:catAx>
        <c:axId val="629916504"/>
        <c:scaling>
          <c:orientation val="minMax"/>
        </c:scaling>
        <c:delete val="0"/>
        <c:axPos val="b"/>
        <c:numFmt formatCode="General" sourceLinked="0"/>
        <c:majorTickMark val="out"/>
        <c:minorTickMark val="none"/>
        <c:tickLblPos val="nextTo"/>
        <c:crossAx val="629908272"/>
        <c:crosses val="autoZero"/>
        <c:auto val="1"/>
        <c:lblAlgn val="ctr"/>
        <c:lblOffset val="100"/>
        <c:noMultiLvlLbl val="0"/>
      </c:catAx>
      <c:valAx>
        <c:axId val="629908272"/>
        <c:scaling>
          <c:orientation val="minMax"/>
          <c:max val="5"/>
          <c:min val="0"/>
        </c:scaling>
        <c:delete val="0"/>
        <c:axPos val="l"/>
        <c:numFmt formatCode="0" sourceLinked="0"/>
        <c:majorTickMark val="out"/>
        <c:minorTickMark val="none"/>
        <c:tickLblPos val="nextTo"/>
        <c:crossAx val="629916504"/>
        <c:crosses val="autoZero"/>
        <c:crossBetween val="between"/>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mbria Math" panose="02040503050406030204" pitchFamily="18" charset="0"/>
          <a:ea typeface="Cambria Math" panose="02040503050406030204" pitchFamily="18" charset="0"/>
          <a:cs typeface="Arial"/>
        </a:defRPr>
      </a:pPr>
      <a:endParaRPr lang="lv-LV"/>
    </a:p>
  </c:txPr>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73546128124922"/>
          <c:y val="0.048706240487062395"/>
          <c:w val="0.84631315184653555"/>
          <c:h val="0.73779794474843186"/>
        </c:manualLayout>
      </c:layout>
      <c:lineChart>
        <c:grouping val="standard"/>
        <c:varyColors val="0"/>
        <c:ser>
          <c:idx val="0"/>
          <c:order val="0"/>
          <c:tx>
            <c:strRef>
              <c:f>Sheet1!$A$2</c:f>
              <c:strCache>
                <c:ptCount val="1"/>
                <c:pt idx="0">
                  <c:v>Nodarbinātie</c:v>
                </c:pt>
              </c:strCache>
            </c:strRef>
          </c:tx>
          <c:spPr>
            <a:ln w="19050">
              <a:solidFill>
                <a:srgbClr val="0070C0"/>
              </a:solidFill>
              <a:prstDash val="dash"/>
            </a:ln>
          </c:spPr>
          <c:marker>
            <c:symbol val="none"/>
          </c:marker>
          <c:cat>
            <c:numRef>
              <c:f>Sheet1!$B$1:$K$1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Sheet1!$B$2:$K$2</c:f>
              <c:numCache>
                <c:formatCode>0.0</c:formatCode>
                <c:ptCount val="10"/>
                <c:pt idx="0">
                  <c:v>100.26531134126071</c:v>
                </c:pt>
                <c:pt idx="1">
                  <c:v>92.357115458381287</c:v>
                </c:pt>
                <c:pt idx="2">
                  <c:v>80.574734688658751</c:v>
                </c:pt>
                <c:pt idx="3">
                  <c:v>58.790436005625885</c:v>
                </c:pt>
                <c:pt idx="4">
                  <c:v>61.948599923283467</c:v>
                </c:pt>
                <c:pt idx="5">
                  <c:v>68.411967779056383</c:v>
                </c:pt>
                <c:pt idx="6">
                  <c:v>71.487022119933513</c:v>
                </c:pt>
                <c:pt idx="7">
                  <c:v>72.89029535864978</c:v>
                </c:pt>
                <c:pt idx="8">
                  <c:v>74.226441631504912</c:v>
                </c:pt>
                <c:pt idx="9">
                  <c:v>74.814601713335875</c:v>
                </c:pt>
              </c:numCache>
            </c:numRef>
          </c:val>
          <c:smooth val="0"/>
          <c:extLst>
            <c:ext xmlns:c="http://schemas.openxmlformats.org/drawingml/2006/chart" xmlns:c16="http://schemas.microsoft.com/office/drawing/2014/chart" uri="{C3380CC4-5D6E-409C-BE32-E72D297353CC}">
              <c16:uniqueId val="{00000000-17E1-4992-ADD3-CA77190FE09A}"/>
            </c:ext>
          </c:extLst>
        </c:ser>
        <c:ser>
          <c:idx val="1"/>
          <c:order val="1"/>
          <c:tx>
            <c:strRef>
              <c:f>Sheet1!$A$3</c:f>
              <c:strCache>
                <c:ptCount val="1"/>
                <c:pt idx="0">
                  <c:v>Ražošanas apjomi</c:v>
                </c:pt>
              </c:strCache>
            </c:strRef>
          </c:tx>
          <c:marker>
            <c:symbol val="none"/>
          </c:marker>
          <c:cat>
            <c:numRef>
              <c:f>Sheet1!$B$1:$K$1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Sheet1!$B$3:$K$3</c:f>
              <c:numCache>
                <c:formatCode>0.0</c:formatCode>
                <c:ptCount val="10"/>
                <c:pt idx="0">
                  <c:v>91.48639218422889</c:v>
                </c:pt>
                <c:pt idx="1">
                  <c:v>108.32751802744825</c:v>
                </c:pt>
                <c:pt idx="2">
                  <c:v>76.73877645964177</c:v>
                </c:pt>
                <c:pt idx="3">
                  <c:v>75.343103047220282</c:v>
                </c:pt>
                <c:pt idx="4">
                  <c:v>105.86182833217028</c:v>
                </c:pt>
                <c:pt idx="5">
                  <c:v>114.86392184228892</c:v>
                </c:pt>
                <c:pt idx="6">
                  <c:v>123.12165619911607</c:v>
                </c:pt>
                <c:pt idx="7">
                  <c:v>111.83996278204235</c:v>
                </c:pt>
                <c:pt idx="8">
                  <c:v>119.39986043265876</c:v>
                </c:pt>
                <c:pt idx="9">
                  <c:v>117.60874622005119</c:v>
                </c:pt>
              </c:numCache>
            </c:numRef>
          </c:val>
          <c:smooth val="0"/>
          <c:extLst>
            <c:ext xmlns:c="http://schemas.openxmlformats.org/drawingml/2006/chart" xmlns:c16="http://schemas.microsoft.com/office/drawing/2014/chart" uri="{C3380CC4-5D6E-409C-BE32-E72D297353CC}">
              <c16:uniqueId val="{00000001-17E1-4992-ADD3-CA77190FE09A}"/>
            </c:ext>
          </c:extLst>
        </c:ser>
        <c:dLbls>
          <c:showLegendKey val="0"/>
          <c:showVal val="0"/>
          <c:showCatName val="0"/>
          <c:showSerName val="0"/>
          <c:showPercent val="0"/>
          <c:showBubbleSize val="0"/>
        </c:dLbls>
        <c:smooth val="0"/>
        <c:axId val="629918464"/>
        <c:axId val="629910232"/>
      </c:lineChart>
      <c:catAx>
        <c:axId val="629918464"/>
        <c:scaling>
          <c:orientation val="minMax"/>
        </c:scaling>
        <c:delete val="0"/>
        <c:axPos val="b"/>
        <c:numFmt formatCode="General" sourceLinked="1"/>
        <c:majorTickMark val="cross"/>
        <c:minorTickMark val="none"/>
        <c:tickLblPos val="nextTo"/>
        <c:spPr>
          <a:ln w="6350">
            <a:solidFill>
              <a:srgbClr val="000000"/>
            </a:solidFill>
          </a:ln>
        </c:spPr>
        <c:txPr>
          <a:bodyPr rot="-5400000" vert="horz"/>
          <a:lstStyle/>
          <a:p>
            <a:pPr>
              <a:defRPr sz="700" b="0" i="0" u="none" strike="noStrike" baseline="0">
                <a:solidFill>
                  <a:srgbClr val="000000"/>
                </a:solidFill>
                <a:latin typeface="Arial Narrow" pitchFamily="34" charset="0"/>
                <a:ea typeface="Times New Roman"/>
                <a:cs typeface="Times New Roman" pitchFamily="18" charset="0"/>
              </a:defRPr>
            </a:pPr>
            <a:endParaRPr lang="lv-LV"/>
          </a:p>
        </c:txPr>
        <c:crossAx val="629910232"/>
        <c:crosses val="autoZero"/>
        <c:auto val="1"/>
        <c:lblAlgn val="ctr"/>
        <c:lblOffset val="0"/>
        <c:noMultiLvlLbl val="0"/>
      </c:catAx>
      <c:valAx>
        <c:axId val="629910232"/>
        <c:scaling>
          <c:orientation val="minMax"/>
          <c:min val="50"/>
        </c:scaling>
        <c:delete val="0"/>
        <c:axPos val="l"/>
        <c:numFmt formatCode="0" sourceLinked="0"/>
        <c:majorTickMark val="cross"/>
        <c:minorTickMark val="none"/>
        <c:tickLblPos val="nextTo"/>
        <c:spPr>
          <a:ln w="6350">
            <a:solidFill>
              <a:sysClr val="windowText" lastClr="000000"/>
            </a:solidFill>
          </a:ln>
        </c:spPr>
        <c:txPr>
          <a:bodyPr rot="0" vert="horz"/>
          <a:lstStyle/>
          <a:p>
            <a:pPr>
              <a:defRPr sz="700" b="0" i="0" u="none" strike="noStrike" baseline="0">
                <a:solidFill>
                  <a:srgbClr val="000000"/>
                </a:solidFill>
                <a:latin typeface="Arial Narrow" pitchFamily="34" charset="0"/>
                <a:ea typeface="Times New Roman"/>
                <a:cs typeface="Times New Roman"/>
              </a:defRPr>
            </a:pPr>
            <a:endParaRPr lang="lv-LV"/>
          </a:p>
        </c:txPr>
        <c:crossAx val="629918464"/>
        <c:crosses val="autoZero"/>
        <c:crossBetween val="between"/>
        <c:majorUnit val="25"/>
      </c:valAx>
      <c:spPr>
        <a:solidFill>
          <a:sysClr val="window" lastClr="FFFFFF"/>
        </a:solidFill>
        <a:ln w="6350">
          <a:noFill/>
        </a:ln>
      </c:spPr>
    </c:plotArea>
    <c:legend>
      <c:legendPos val="t"/>
      <c:layout>
        <c:manualLayout>
          <c:xMode val="edge"/>
          <c:yMode val="edge"/>
          <c:x val="0.14280650412978177"/>
          <c:y val="0.031201248049921998"/>
          <c:w val="0.65805884790716951"/>
          <c:h val="0.19964223582144541"/>
        </c:manualLayout>
      </c:layout>
      <c:overlay val="0"/>
      <c:txPr>
        <a:bodyPr/>
        <a:lstStyle/>
        <a:p>
          <a:pPr>
            <a:defRPr sz="700" b="0">
              <a:latin typeface="Arial Narrow" pitchFamily="34" charset="0"/>
            </a:defRPr>
          </a:pPr>
          <a:endParaRPr lang="lv-LV"/>
        </a:p>
      </c:txPr>
    </c:legend>
    <c:plotVisOnly val="1"/>
    <c:dispBlanksAs val="zero"/>
    <c:showDLblsOverMax val="0"/>
  </c:chart>
  <c:spPr>
    <a:noFill/>
    <a:ln w="9525" cap="sq">
      <a:noFill/>
    </a:ln>
  </c:spPr>
  <c:txPr>
    <a:bodyPr/>
    <a:lstStyle/>
    <a:p>
      <a:pPr>
        <a:spcBef>
          <a:spcPts val="600"/>
        </a:spcBef>
        <a:spcAft>
          <a:spcPts val="1200"/>
        </a:spcAft>
        <a:defRPr sz="800" b="1" i="0" u="none" strike="noStrike" baseline="0">
          <a:solidFill>
            <a:srgbClr val="000000"/>
          </a:solidFill>
          <a:latin typeface="Arial"/>
          <a:ea typeface="Arial"/>
          <a:cs typeface="Arial"/>
        </a:defRPr>
      </a:pPr>
      <a:endParaRPr lang="lv-LV"/>
    </a:p>
  </c:txPr>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7354822834645707"/>
          <c:y val="0.054187037037040774"/>
          <c:w val="0.8789631193571017"/>
          <c:h val="0.62817381488592916"/>
        </c:manualLayout>
      </c:layout>
      <c:lineChart>
        <c:grouping val="standard"/>
        <c:varyColors val="0"/>
        <c:ser>
          <c:idx val="9"/>
          <c:order val="0"/>
          <c:tx>
            <c:strRef>
              <c:f>Sheet1!$A$3</c:f>
              <c:strCache>
                <c:ptCount val="1"/>
                <c:pt idx="0">
                  <c:v>Eksports, kopā</c:v>
                </c:pt>
              </c:strCache>
            </c:strRef>
          </c:tx>
          <c:spPr>
            <a:ln w="25400">
              <a:solidFill>
                <a:schemeClr val="accent5">
                  <a:lumMod val="75000"/>
                </a:schemeClr>
              </a:solidFill>
            </a:ln>
            <a:effectLst/>
          </c:spPr>
          <c:marker>
            <c:symbol val="none"/>
          </c:marker>
          <c:cat>
            <c:numRef>
              <c:f>Sheet1!$B$2:$M$2</c:f>
              <c:numCache>
                <c:formatCode>0</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Sheet1!$B$3:$M$3</c:f>
              <c:numCache>
                <c:formatCode>0.0</c:formatCode>
                <c:ptCount val="12"/>
                <c:pt idx="0">
                  <c:v>1020.98964</c:v>
                </c:pt>
                <c:pt idx="1">
                  <c:v>1052.2784729999998</c:v>
                </c:pt>
                <c:pt idx="2">
                  <c:v>1292.692863</c:v>
                </c:pt>
                <c:pt idx="3">
                  <c:v>1045.849483</c:v>
                </c:pt>
                <c:pt idx="4">
                  <c:v>847.227001</c:v>
                </c:pt>
                <c:pt idx="5">
                  <c:v>1266.801409</c:v>
                </c:pt>
                <c:pt idx="6">
                  <c:v>1437.223375</c:v>
                </c:pt>
                <c:pt idx="7">
                  <c:v>1466.8338869999998</c:v>
                </c:pt>
                <c:pt idx="8">
                  <c:v>1594.002922</c:v>
                </c:pt>
                <c:pt idx="9">
                  <c:v>1700.0288610000002</c:v>
                </c:pt>
                <c:pt idx="10">
                  <c:v>1710.0906100000002</c:v>
                </c:pt>
                <c:pt idx="11" formatCode="0">
                  <c:v>1779.863629</c:v>
                </c:pt>
              </c:numCache>
            </c:numRef>
          </c:val>
          <c:smooth val="0"/>
          <c:extLst>
            <c:ext xmlns:c="http://schemas.openxmlformats.org/drawingml/2006/chart" xmlns:c16="http://schemas.microsoft.com/office/drawing/2014/chart" uri="{C3380CC4-5D6E-409C-BE32-E72D297353CC}">
              <c16:uniqueId val="{00000000-0ECD-4E00-A00F-89AF32EB7F76}"/>
            </c:ext>
          </c:extLst>
        </c:ser>
        <c:dLbls>
          <c:showLegendKey val="0"/>
          <c:showVal val="0"/>
          <c:showCatName val="0"/>
          <c:showSerName val="0"/>
          <c:showPercent val="0"/>
          <c:showBubbleSize val="0"/>
        </c:dLbls>
        <c:smooth val="0"/>
        <c:axId val="629913760"/>
        <c:axId val="629909448"/>
      </c:lineChart>
      <c:catAx>
        <c:axId val="629913760"/>
        <c:scaling>
          <c:orientation val="minMax"/>
        </c:scaling>
        <c:delete val="0"/>
        <c:axPos val="b"/>
        <c:numFmt formatCode="0" sourceLinked="1"/>
        <c:majorTickMark val="out"/>
        <c:minorTickMark val="none"/>
        <c:tickLblPos val="low"/>
        <c:spPr>
          <a:noFill/>
          <a:ln w="3175">
            <a:solidFill>
              <a:sysClr val="window" lastClr="FFFFFF">
                <a:lumMod val="50000"/>
              </a:sysClr>
            </a:solidFill>
            <a:round/>
          </a:ln>
          <a:effectLst/>
        </c:spPr>
        <c:txPr>
          <a:bodyPr rot="-5400000" vert="horz"/>
          <a:lstStyle/>
          <a:p>
            <a:pPr>
              <a:defRPr sz="700"/>
            </a:pPr>
            <a:endParaRPr lang="lv-LV"/>
          </a:p>
        </c:txPr>
        <c:crossAx val="629909448"/>
        <c:crosses val="autoZero"/>
        <c:lblAlgn val="ctr"/>
        <c:lblOffset val="100"/>
        <c:noMultiLvlLbl val="0"/>
      </c:catAx>
      <c:valAx>
        <c:axId val="629909448"/>
        <c:scaling>
          <c:orientation val="minMax"/>
          <c:max val="1800"/>
          <c:min val="800"/>
        </c:scaling>
        <c:delete val="0"/>
        <c:axPos val="l"/>
        <c:numFmt formatCode="0" sourceLinked="0"/>
        <c:majorTickMark val="out"/>
        <c:minorTickMark val="none"/>
        <c:tickLblPos val="nextTo"/>
        <c:spPr>
          <a:noFill/>
          <a:ln w="3175">
            <a:solidFill>
              <a:sysClr val="window" lastClr="FFFFFF">
                <a:lumMod val="50000"/>
              </a:sysClr>
            </a:solidFill>
            <a:round/>
          </a:ln>
          <a:effectLst/>
        </c:spPr>
        <c:txPr>
          <a:bodyPr rot="0"/>
          <a:lstStyle/>
          <a:p>
            <a:pPr>
              <a:defRPr/>
            </a:pPr>
            <a:endParaRPr lang="lv-LV"/>
          </a:p>
        </c:txPr>
        <c:crossAx val="629913760"/>
        <c:crosses val="autoZero"/>
        <c:crossBetween val="between"/>
      </c:valAx>
      <c:spPr>
        <a:noFill/>
        <a:ln w="24631">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Arial Narrow" panose="020B0606020202030204" pitchFamily="34" charset="0"/>
          <a:ea typeface="Arial"/>
          <a:cs typeface="Arial"/>
        </a:defRPr>
      </a:pPr>
      <a:endParaRPr lang="lv-LV"/>
    </a:p>
  </c:txPr>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544806899136"/>
          <c:y val="0.098301682877875565"/>
          <c:w val="0.84500234345706771"/>
          <c:h val="0.5939056398438"/>
        </c:manualLayout>
      </c:layout>
      <c:barChart>
        <c:barDir val="col"/>
        <c:grouping val="clustered"/>
        <c:varyColors val="0"/>
        <c:ser>
          <c:idx val="4"/>
          <c:order val="0"/>
          <c:tx>
            <c:strRef>
              <c:f>Sheet1!$A$3</c:f>
              <c:strCache>
                <c:ptCount val="1"/>
                <c:pt idx="0">
                  <c:v>Eksports</c:v>
                </c:pt>
              </c:strCache>
            </c:strRef>
          </c:tx>
          <c:spPr>
            <a:solidFill>
              <a:srgbClr val="C00000"/>
            </a:solidFill>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D7D4-4C5D-8F4A-B8B9C852CD9F}"/>
              </c:ext>
            </c:extLst>
          </c:dPt>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D7D4-4C5D-8F4A-B8B9C852CD9F}"/>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Sheet1!$B$2:$M$2</c:f>
              <c:numCache>
                <c:formatCode>0</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Sheet1!$B$3:$M$3</c:f>
              <c:numCache>
                <c:formatCode>0</c:formatCode>
                <c:ptCount val="11"/>
                <c:pt idx="0">
                  <c:v>32.157154015748034</c:v>
                </c:pt>
                <c:pt idx="1">
                  <c:v>33.173974558638079</c:v>
                </c:pt>
                <c:pt idx="2">
                  <c:v>43.539672044459415</c:v>
                </c:pt>
                <c:pt idx="3">
                  <c:v>38.492803938167093</c:v>
                </c:pt>
                <c:pt idx="4">
                  <c:v>43.536844861253847</c:v>
                </c:pt>
                <c:pt idx="5">
                  <c:v>58.566870503929728</c:v>
                </c:pt>
                <c:pt idx="6">
                  <c:v>62.760846069869004</c:v>
                </c:pt>
                <c:pt idx="7">
                  <c:v>61.839539924114668</c:v>
                </c:pt>
                <c:pt idx="8">
                  <c:v>67.428211590524526</c:v>
                </c:pt>
                <c:pt idx="9">
                  <c:v>72.126807848960553</c:v>
                </c:pt>
                <c:pt idx="10">
                  <c:v>73.457500429553264</c:v>
                </c:pt>
              </c:numCache>
            </c:numRef>
          </c:val>
          <c:extLst>
            <c:ext xmlns:c="http://schemas.openxmlformats.org/drawingml/2006/chart" xmlns:c16="http://schemas.microsoft.com/office/drawing/2014/chart" uri="{C3380CC4-5D6E-409C-BE32-E72D297353CC}">
              <c16:uniqueId val="{00000004-D7D4-4C5D-8F4A-B8B9C852CD9F}"/>
            </c:ext>
          </c:extLst>
        </c:ser>
        <c:dLbls>
          <c:showLegendKey val="0"/>
          <c:showVal val="0"/>
          <c:showCatName val="0"/>
          <c:showSerName val="0"/>
          <c:showPercent val="0"/>
          <c:showBubbleSize val="0"/>
        </c:dLbls>
        <c:gapWidth val="20"/>
        <c:axId val="629910624"/>
        <c:axId val="629911016"/>
      </c:barChart>
      <c:catAx>
        <c:axId val="629910624"/>
        <c:scaling>
          <c:orientation val="minMax"/>
        </c:scaling>
        <c:delete val="0"/>
        <c:axPos val="b"/>
        <c:numFmt formatCode="0" sourceLinked="1"/>
        <c:majorTickMark val="out"/>
        <c:minorTickMark val="none"/>
        <c:tickLblPos val="low"/>
        <c:txPr>
          <a:bodyPr rot="-5400000" vert="horz"/>
          <a:lstStyle/>
          <a:p>
            <a:pPr>
              <a:defRPr/>
            </a:pPr>
            <a:endParaRPr lang="lv-LV"/>
          </a:p>
        </c:txPr>
        <c:crossAx val="629911016"/>
        <c:crosses val="autoZero"/>
        <c:auto val="1"/>
        <c:lblAlgn val="ctr"/>
        <c:lblOffset val="100"/>
        <c:noMultiLvlLbl val="0"/>
      </c:catAx>
      <c:valAx>
        <c:axId val="629911016"/>
        <c:scaling>
          <c:orientation val="minMax"/>
          <c:min val="30"/>
        </c:scaling>
        <c:delete val="0"/>
        <c:axPos val="l"/>
        <c:numFmt formatCode="0" sourceLinked="0"/>
        <c:majorTickMark val="out"/>
        <c:minorTickMark val="none"/>
        <c:tickLblPos val="nextTo"/>
        <c:crossAx val="629910624"/>
        <c:crosses val="autoZero"/>
        <c:crossBetween val="between"/>
        <c:majorUnit val="10"/>
      </c:valAx>
      <c:spPr>
        <a:noFill/>
        <a:ln w="6350">
          <a:noFill/>
        </a:ln>
        <a:effectLst/>
      </c:spPr>
    </c:plotArea>
    <c:plotVisOnly val="1"/>
    <c:dispBlanksAs val="gap"/>
    <c:showDLblsOverMax val="0"/>
  </c:chart>
  <c:spPr>
    <a:noFill/>
    <a:ln w="9525">
      <a:noFill/>
      <a:round/>
    </a:ln>
    <a:effectLst/>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976572372897835"/>
          <c:y val="0.044057785459744363"/>
          <c:w val="0.9310540474739486"/>
          <c:h val="0.72250176045067538"/>
        </c:manualLayout>
      </c:layout>
      <c:barChart>
        <c:barDir val="col"/>
        <c:grouping val="clustered"/>
        <c:varyColors val="0"/>
        <c:ser>
          <c:idx val="1"/>
          <c:order val="0"/>
          <c:tx>
            <c:strRef>
              <c:f>Sheet1!$B$3</c:f>
              <c:strCache>
                <c:ptCount val="1"/>
              </c:strCache>
            </c:strRef>
          </c:tx>
          <c:spPr>
            <a:solidFill>
              <a:schemeClr val="accent3">
                <a:lumMod val="50000"/>
              </a:schemeClr>
            </a:solidFill>
            <a:ln w="19050"/>
          </c:spPr>
          <c:invertIfNegative val="0"/>
          <c:dPt>
            <c:idx val="9"/>
            <c:invertIfNegative val="0"/>
            <c:bubble3D val="0"/>
            <c:spPr>
              <a:solidFill>
                <a:srgbClr val="C00000"/>
              </a:solidFill>
              <a:ln w="19050"/>
            </c:spPr>
            <c:extLst>
              <c:ext xmlns:c="http://schemas.openxmlformats.org/drawingml/2006/chart" xmlns:c16="http://schemas.microsoft.com/office/drawing/2014/chart" uri="{C3380CC4-5D6E-409C-BE32-E72D297353CC}">
                <c16:uniqueId val="{00000001-6434-4CFA-80C6-7E6F55254DB7}"/>
              </c:ext>
            </c:extLst>
          </c:dPt>
          <c:dPt>
            <c:idx val="13"/>
            <c:invertIfNegative val="0"/>
            <c:bubble3D val="0"/>
            <c:extLst>
              <c:ext xmlns:c="http://schemas.openxmlformats.org/drawingml/2006/chart" xmlns:c16="http://schemas.microsoft.com/office/drawing/2014/chart" uri="{C3380CC4-5D6E-409C-BE32-E72D297353CC}">
                <c16:uniqueId val="{00000002-6434-4CFA-80C6-7E6F55254DB7}"/>
              </c:ext>
            </c:extLst>
          </c:dPt>
          <c:dPt>
            <c:idx val="14"/>
            <c:invertIfNegative val="0"/>
            <c:bubble3D val="0"/>
            <c:spPr>
              <a:solidFill>
                <a:schemeClr val="accent1"/>
              </a:solidFill>
              <a:ln w="19050"/>
            </c:spPr>
            <c:extLst>
              <c:ext xmlns:c="http://schemas.openxmlformats.org/drawingml/2006/chart" xmlns:c16="http://schemas.microsoft.com/office/drawing/2014/chart" uri="{C3380CC4-5D6E-409C-BE32-E72D297353CC}">
                <c16:uniqueId val="{00000004-6434-4CFA-80C6-7E6F55254DB7}"/>
              </c:ext>
            </c:extLst>
          </c:dPt>
          <c:dPt>
            <c:idx val="25"/>
            <c:invertIfNegative val="0"/>
            <c:bubble3D val="0"/>
            <c:extLst>
              <c:ext xmlns:c="http://schemas.openxmlformats.org/drawingml/2006/chart" xmlns:c16="http://schemas.microsoft.com/office/drawing/2014/chart" uri="{C3380CC4-5D6E-409C-BE32-E72D297353CC}">
                <c16:uniqueId val="{00000006-6434-4CFA-80C6-7E6F55254DB7}"/>
              </c:ext>
            </c:extLst>
          </c:dPt>
          <c:dLbls>
            <c:dLbl>
              <c:idx val="9"/>
              <c:spPr>
                <a:noFill/>
                <a:ln>
                  <a:noFill/>
                </a:ln>
                <a:effectLst/>
              </c:spPr>
              <c:txPr>
                <a:bodyPr wrap="square" lIns="38100" tIns="19050" rIns="38100" bIns="19050" anchor="ctr">
                  <a:spAutoFit/>
                </a:bodyPr>
                <a:lstStyle/>
                <a:p>
                  <a:pPr>
                    <a:defRPr sz="600" b="1"/>
                  </a:pPr>
                  <a:endParaRPr lang="lv-LV"/>
                </a:p>
              </c:txPr>
              <c:showLegendKey val="0"/>
              <c:showVal val="1"/>
              <c:showCatName val="0"/>
              <c:showSerName val="0"/>
              <c:showPercent val="0"/>
              <c:showBubbleSize val="0"/>
            </c:dLbl>
            <c:dLbl>
              <c:idx val="14"/>
              <c:spPr>
                <a:noFill/>
                <a:ln>
                  <a:noFill/>
                </a:ln>
                <a:effectLst/>
              </c:spPr>
              <c:txPr>
                <a:bodyPr wrap="square" lIns="38100" tIns="19050" rIns="38100" bIns="19050" anchor="ctr">
                  <a:spAutoFit/>
                </a:bodyPr>
                <a:lstStyle/>
                <a:p>
                  <a:pPr>
                    <a:defRPr sz="600" b="0"/>
                  </a:pPr>
                  <a:endParaRPr lang="lv-LV"/>
                </a:p>
              </c:txPr>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6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Sheet1!$A$4:$A$31</c:f>
              <c:strCache>
                <c:ptCount val="28"/>
                <c:pt idx="0">
                  <c:v>LU</c:v>
                </c:pt>
                <c:pt idx="1">
                  <c:v>BE</c:v>
                </c:pt>
                <c:pt idx="2">
                  <c:v>AT</c:v>
                </c:pt>
                <c:pt idx="3">
                  <c:v>FI</c:v>
                </c:pt>
                <c:pt idx="4">
                  <c:v>SE</c:v>
                </c:pt>
                <c:pt idx="5">
                  <c:v>NL</c:v>
                </c:pt>
                <c:pt idx="6">
                  <c:v>IE</c:v>
                </c:pt>
                <c:pt idx="7">
                  <c:v>SI</c:v>
                </c:pt>
                <c:pt idx="8">
                  <c:v>DK</c:v>
                </c:pt>
                <c:pt idx="9">
                  <c:v>LV</c:v>
                </c:pt>
                <c:pt idx="10">
                  <c:v>EE</c:v>
                </c:pt>
                <c:pt idx="11">
                  <c:v>DE</c:v>
                </c:pt>
                <c:pt idx="12">
                  <c:v>PT</c:v>
                </c:pt>
                <c:pt idx="13">
                  <c:v>HR</c:v>
                </c:pt>
                <c:pt idx="14">
                  <c:v>EU-28</c:v>
                </c:pt>
                <c:pt idx="15">
                  <c:v>LT</c:v>
                </c:pt>
                <c:pt idx="16">
                  <c:v>FR</c:v>
                </c:pt>
                <c:pt idx="17">
                  <c:v>HU</c:v>
                </c:pt>
                <c:pt idx="18">
                  <c:v>CZ</c:v>
                </c:pt>
                <c:pt idx="19">
                  <c:v>ES</c:v>
                </c:pt>
                <c:pt idx="20">
                  <c:v>SK</c:v>
                </c:pt>
                <c:pt idx="21">
                  <c:v>PL</c:v>
                </c:pt>
                <c:pt idx="22">
                  <c:v>RO</c:v>
                </c:pt>
                <c:pt idx="23">
                  <c:v>IT</c:v>
                </c:pt>
                <c:pt idx="24">
                  <c:v>BG</c:v>
                </c:pt>
                <c:pt idx="25">
                  <c:v>UK</c:v>
                </c:pt>
                <c:pt idx="26">
                  <c:v>EL</c:v>
                </c:pt>
                <c:pt idx="27">
                  <c:v>CY</c:v>
                </c:pt>
              </c:strCache>
            </c:strRef>
          </c:cat>
          <c:val>
            <c:numRef>
              <c:f>Sheet1!$B$4:$B$31</c:f>
              <c:numCache>
                <c:formatCode>0</c:formatCode>
                <c:ptCount val="28"/>
                <c:pt idx="0">
                  <c:v>326.677406557377</c:v>
                </c:pt>
                <c:pt idx="1">
                  <c:v>177.61402736434107</c:v>
                </c:pt>
                <c:pt idx="2">
                  <c:v>121.62979684601112</c:v>
                </c:pt>
                <c:pt idx="3">
                  <c:v>117.51187677570094</c:v>
                </c:pt>
                <c:pt idx="4">
                  <c:v>109.2524928125</c:v>
                </c:pt>
                <c:pt idx="5">
                  <c:v>107.73221338461539</c:v>
                </c:pt>
                <c:pt idx="6">
                  <c:v>107.10235461956522</c:v>
                </c:pt>
                <c:pt idx="7">
                  <c:v>95.987180458515283</c:v>
                </c:pt>
                <c:pt idx="8">
                  <c:v>88.695712</c:v>
                </c:pt>
                <c:pt idx="9">
                  <c:v>73.4618962199313</c:v>
                </c:pt>
                <c:pt idx="10">
                  <c:v>60.325995526315786</c:v>
                </c:pt>
                <c:pt idx="11">
                  <c:v>52.96785787407407</c:v>
                </c:pt>
                <c:pt idx="12">
                  <c:v>47.802983384053562</c:v>
                </c:pt>
                <c:pt idx="13">
                  <c:v>42.091851569230769</c:v>
                </c:pt>
                <c:pt idx="14">
                  <c:v>41.151918061255827</c:v>
                </c:pt>
                <c:pt idx="15">
                  <c:v>40.5190271627907</c:v>
                </c:pt>
                <c:pt idx="16">
                  <c:v>40.064160904761906</c:v>
                </c:pt>
                <c:pt idx="17">
                  <c:v>33.900661526147282</c:v>
                </c:pt>
                <c:pt idx="18">
                  <c:v>29.27120449091532</c:v>
                </c:pt>
                <c:pt idx="19">
                  <c:v>29.201257357798166</c:v>
                </c:pt>
                <c:pt idx="20">
                  <c:v>27.19302109404271</c:v>
                </c:pt>
                <c:pt idx="21">
                  <c:v>22.835416255397906</c:v>
                </c:pt>
                <c:pt idx="22">
                  <c:v>22.707294604767878</c:v>
                </c:pt>
                <c:pt idx="23">
                  <c:v>14.330929661590524</c:v>
                </c:pt>
                <c:pt idx="24">
                  <c:v>13.382608235294116</c:v>
                </c:pt>
                <c:pt idx="25">
                  <c:v>5.9594494682847481</c:v>
                </c:pt>
                <c:pt idx="26">
                  <c:v>4.9606220050977061</c:v>
                </c:pt>
                <c:pt idx="27">
                  <c:v>0.19179545454545455</c:v>
                </c:pt>
              </c:numCache>
            </c:numRef>
          </c:val>
          <c:extLst>
            <c:ext xmlns:c="http://schemas.openxmlformats.org/drawingml/2006/chart" xmlns:c16="http://schemas.microsoft.com/office/drawing/2014/chart" uri="{C3380CC4-5D6E-409C-BE32-E72D297353CC}">
              <c16:uniqueId val="{00000007-6434-4CFA-80C6-7E6F55254DB7}"/>
            </c:ext>
          </c:extLst>
        </c:ser>
        <c:dLbls>
          <c:showLegendKey val="0"/>
          <c:showVal val="0"/>
          <c:showCatName val="0"/>
          <c:showSerName val="0"/>
          <c:showPercent val="0"/>
          <c:showBubbleSize val="0"/>
        </c:dLbls>
        <c:gapWidth val="20"/>
        <c:axId val="629911800"/>
        <c:axId val="629923168"/>
      </c:barChart>
      <c:catAx>
        <c:axId val="629911800"/>
        <c:scaling>
          <c:orientation val="minMax"/>
        </c:scaling>
        <c:delete val="0"/>
        <c:axPos val="b"/>
        <c:numFmt formatCode="General" sourceLinked="0"/>
        <c:majorTickMark val="out"/>
        <c:minorTickMark val="none"/>
        <c:tickLblPos val="nextTo"/>
        <c:txPr>
          <a:bodyPr rot="-5400000" vert="horz"/>
          <a:lstStyle/>
          <a:p>
            <a:pPr>
              <a:defRPr sz="600"/>
            </a:pPr>
            <a:endParaRPr lang="lv-LV"/>
          </a:p>
        </c:txPr>
        <c:crossAx val="629923168"/>
        <c:crosses val="autoZero"/>
        <c:auto val="1"/>
        <c:lblAlgn val="ctr"/>
        <c:lblOffset val="100"/>
        <c:tickLblSkip val="1"/>
        <c:noMultiLvlLbl val="0"/>
      </c:catAx>
      <c:valAx>
        <c:axId val="629923168"/>
        <c:scaling>
          <c:orientation val="minMax"/>
        </c:scaling>
        <c:delete val="0"/>
        <c:axPos val="l"/>
        <c:numFmt formatCode="0" sourceLinked="0"/>
        <c:majorTickMark val="out"/>
        <c:minorTickMark val="none"/>
        <c:tickLblPos val="nextTo"/>
        <c:txPr>
          <a:bodyPr/>
          <a:lstStyle/>
          <a:p>
            <a:pPr>
              <a:defRPr sz="600"/>
            </a:pPr>
            <a:endParaRPr lang="lv-LV"/>
          </a:p>
        </c:txPr>
        <c:crossAx val="629911800"/>
        <c:crosses val="autoZero"/>
        <c:crossBetween val="between"/>
      </c:valAx>
    </c:plotArea>
    <c:plotVisOnly val="1"/>
    <c:dispBlanksAs val="gap"/>
    <c:showDLblsOverMax val="0"/>
  </c:chart>
  <c:spPr>
    <a:ln w="9525">
      <a:noFill/>
    </a:ln>
  </c:spPr>
  <c:externalData r:id="rId1">
    <c:autoUpdate val="0"/>
  </c:externalData>
</c:chartSpace>
</file>

<file path=word/drawings/drawing1.xml><?xml version="1.0" encoding="utf-8"?>
<c:userShapes xmlns:c="http://schemas.openxmlformats.org/drawingml/2006/chart" xmlns:a="http://schemas.openxmlformats.org/drawingml/2006/main">
  <cdr:relSizeAnchor xmlns:cdr="http://schemas.openxmlformats.org/drawingml/2006/chartDrawing">
    <cdr:from>
      <cdr:x>0.09233</cdr:x>
      <cdr:y>0.06185</cdr:y>
    </cdr:from>
    <cdr:to>
      <cdr:x>0.13608</cdr:x>
      <cdr:y>0.17579</cdr:y>
    </cdr:to>
    <cdr:sp>
      <cdr:nvSpPr>
        <cdr:cNvPr id="139746599" name="Lightning Bolt 2"/>
        <cdr:cNvSpPr/>
      </cdr:nvSpPr>
      <cdr:spPr>
        <a:xfrm rot="18064994">
          <a:off x="403189" y="49205"/>
          <a:ext cx="133492" cy="180000"/>
        </a:xfrm>
        <a:prstGeom prst="lightningBolt">
          <a:avLst/>
        </a:prstGeom>
        <a:solidFill>
          <a:schemeClr val="bg1"/>
        </a:solidFill>
        <a:ln>
          <a:noFill/>
        </a:ln>
      </cdr:spPr>
      <cdr:style>
        <a:lnRef idx="2">
          <a:schemeClr val="accent1">
            <a:shade val="50000"/>
          </a:schemeClr>
        </a:lnRef>
        <a:fillRef idx="1">
          <a:schemeClr val="accent1"/>
        </a:fillRef>
        <a:effectRef idx="0">
          <a:schemeClr val="accent1"/>
        </a:effectRef>
        <a:fontRef idx="minor">
          <a:schemeClr val="lt1"/>
        </a:fontRef>
      </cdr:style>
      <cdr:txBody>
        <a:bodyPr vertOverflow="clip"/>
        <a:lstStyle/>
        <a:p>
          <a:endParaRPr lang="lv-LV"/>
        </a:p>
      </cdr:txBody>
    </cdr:sp>
  </cdr:relSizeAnchor>
  <cdr:relSizeAnchor xmlns:cdr="http://schemas.openxmlformats.org/drawingml/2006/chartDrawing">
    <cdr:from>
      <cdr:x>0.13094</cdr:x>
      <cdr:y>0.05884</cdr:y>
    </cdr:from>
    <cdr:to>
      <cdr:x>0.17469</cdr:x>
      <cdr:y>0.17278</cdr:y>
    </cdr:to>
    <cdr:sp>
      <cdr:nvSpPr>
        <cdr:cNvPr id="4" name="Lightning Bolt 3"/>
        <cdr:cNvSpPr/>
      </cdr:nvSpPr>
      <cdr:spPr>
        <a:xfrm rot="18064994">
          <a:off x="562060" y="45676"/>
          <a:ext cx="133492" cy="180000"/>
        </a:xfrm>
        <a:prstGeom prst="lightningBolt">
          <a:avLst/>
        </a:prstGeom>
        <a:solidFill>
          <a:schemeClr val="bg1"/>
        </a:solidFill>
        <a:ln>
          <a:noFill/>
        </a:ln>
      </cdr:spPr>
      <cdr:style>
        <a:lnRef idx="2">
          <a:schemeClr val="accent1">
            <a:shade val="50000"/>
          </a:schemeClr>
        </a:lnRef>
        <a:fillRef idx="1">
          <a:schemeClr val="accent1"/>
        </a:fillRef>
        <a:effectRef idx="0">
          <a:schemeClr val="accent1"/>
        </a:effectRef>
        <a:fontRef idx="minor">
          <a:schemeClr val="lt1"/>
        </a:fontRef>
      </cdr:style>
      <cdr:txBody>
        <a:bodyPr vertOverflow="clip"/>
        <a:lstStyle/>
        <a:p>
          <a:endParaRPr lang="lv-LV"/>
        </a:p>
      </cdr:txBody>
    </cdr:sp>
  </cdr:relSizeAnchor>
</c:userShapes>
</file>

<file path=word/drawings/drawing2.xml><?xml version="1.0" encoding="utf-8"?>
<c:userShapes xmlns:c="http://schemas.openxmlformats.org/drawingml/2006/chart" xmlns:a="http://schemas.openxmlformats.org/drawingml/2006/main">
  <cdr:relSizeAnchor xmlns:cdr="http://schemas.openxmlformats.org/drawingml/2006/chartDrawing">
    <cdr:from>
      <cdr:x>0.08973</cdr:x>
      <cdr:y>0.19733</cdr:y>
    </cdr:from>
    <cdr:to>
      <cdr:x>0.12536</cdr:x>
      <cdr:y>0.30369</cdr:y>
    </cdr:to>
    <cdr:sp>
      <cdr:nvSpPr>
        <cdr:cNvPr id="1697563989" name="Lightning Bolt 1"/>
        <cdr:cNvSpPr/>
      </cdr:nvSpPr>
      <cdr:spPr>
        <a:xfrm rot="18216612">
          <a:off x="380220" y="220199"/>
          <a:ext cx="124611" cy="146582"/>
        </a:xfrm>
        <a:prstGeom prst="lightningBolt">
          <a:avLst/>
        </a:prstGeom>
        <a:solidFill>
          <a:schemeClr val="bg1"/>
        </a:solidFill>
        <a:ln>
          <a:noFill/>
        </a:ln>
      </cdr:spPr>
      <cdr:style>
        <a:lnRef idx="2">
          <a:schemeClr val="accent1">
            <a:shade val="50000"/>
          </a:schemeClr>
        </a:lnRef>
        <a:fillRef idx="1">
          <a:schemeClr val="accent1"/>
        </a:fillRef>
        <a:effectRef idx="0">
          <a:schemeClr val="accent1"/>
        </a:effectRef>
        <a:fontRef idx="minor">
          <a:schemeClr val="lt1"/>
        </a:fontRef>
      </cdr:style>
      <cdr:txBody>
        <a:bodyPr vertOverflow="clip"/>
        <a:lstStyle/>
        <a:p>
          <a:endParaRPr lang="lv-LV"/>
        </a:p>
      </cdr:txBody>
    </cdr:sp>
  </cdr:relSizeAnchor>
  <cdr:relSizeAnchor xmlns:cdr="http://schemas.openxmlformats.org/drawingml/2006/chartDrawing">
    <cdr:from>
      <cdr:x>0.05857</cdr:x>
      <cdr:y>0.15243</cdr:y>
    </cdr:from>
    <cdr:to>
      <cdr:x>0.09357</cdr:x>
      <cdr:y>0.24461</cdr:y>
    </cdr:to>
    <cdr:sp>
      <cdr:nvSpPr>
        <cdr:cNvPr id="32079871" name="Lightning Bolt 2"/>
        <cdr:cNvSpPr/>
      </cdr:nvSpPr>
      <cdr:spPr>
        <a:xfrm rot="18216612">
          <a:off x="259017" y="160584"/>
          <a:ext cx="108000" cy="144000"/>
        </a:xfrm>
        <a:prstGeom prst="lightningBolt">
          <a:avLst/>
        </a:prstGeom>
        <a:solidFill>
          <a:schemeClr val="bg1"/>
        </a:solidFill>
        <a:ln>
          <a:noFill/>
        </a:ln>
      </cdr:spPr>
      <cdr:style>
        <a:lnRef idx="2">
          <a:schemeClr val="accent1">
            <a:shade val="50000"/>
          </a:schemeClr>
        </a:lnRef>
        <a:fillRef idx="1">
          <a:schemeClr val="accent1"/>
        </a:fillRef>
        <a:effectRef idx="0">
          <a:schemeClr val="accent1"/>
        </a:effectRef>
        <a:fontRef idx="minor">
          <a:schemeClr val="lt1"/>
        </a:fontRef>
      </cdr:style>
      <cdr:txBody>
        <a:bodyPr vertOverflow="clip"/>
        <a:lstStyle/>
        <a:p>
          <a:endParaRPr lang="lv-LV"/>
        </a:p>
      </cdr:txBody>
    </cdr:sp>
  </cdr:relSizeAnchor>
</c:userShapes>
</file>

<file path=word/drawings/drawing3.xml><?xml version="1.0" encoding="utf-8"?>
<c:userShapes xmlns:c="http://schemas.openxmlformats.org/drawingml/2006/chart" xmlns:a="http://schemas.openxmlformats.org/drawingml/2006/main">
  <cdr:relSizeAnchor xmlns:cdr="http://schemas.openxmlformats.org/drawingml/2006/chartDrawing">
    <cdr:from>
      <cdr:x>0.05887</cdr:x>
      <cdr:y>0.07891</cdr:y>
    </cdr:from>
    <cdr:to>
      <cdr:x>0.08624</cdr:x>
      <cdr:y>0.17417</cdr:y>
    </cdr:to>
    <cdr:sp>
      <cdr:nvSpPr>
        <cdr:cNvPr id="1094309211" name="Lightning Bolt 1"/>
        <cdr:cNvSpPr/>
      </cdr:nvSpPr>
      <cdr:spPr>
        <a:xfrm rot="18335909">
          <a:off x="242730" y="91936"/>
          <a:ext cx="111614" cy="112629"/>
        </a:xfrm>
        <a:prstGeom prst="lightningBolt">
          <a:avLst/>
        </a:prstGeom>
        <a:solidFill>
          <a:schemeClr val="bg1"/>
        </a:solidFill>
        <a:ln>
          <a:noFill/>
        </a:ln>
      </cdr:spPr>
      <cdr:style>
        <a:lnRef idx="2">
          <a:schemeClr val="accent1">
            <a:shade val="50000"/>
          </a:schemeClr>
        </a:lnRef>
        <a:fillRef idx="1">
          <a:schemeClr val="accent1"/>
        </a:fillRef>
        <a:effectRef idx="0">
          <a:schemeClr val="accent1"/>
        </a:effectRef>
        <a:fontRef idx="minor">
          <a:schemeClr val="lt1"/>
        </a:fontRef>
      </cdr:style>
      <cdr:txBody>
        <a:bodyPr vertOverflow="clip"/>
        <a:lstStyle/>
        <a:p>
          <a:endParaRPr lang="lv-LV"/>
        </a:p>
      </cdr:txBody>
    </cdr:sp>
  </cdr:relSizeAnchor>
  <cdr:relSizeAnchor xmlns:cdr="http://schemas.openxmlformats.org/drawingml/2006/chartDrawing">
    <cdr:from>
      <cdr:x>0.09204</cdr:x>
      <cdr:y>0.12551</cdr:y>
    </cdr:from>
    <cdr:to>
      <cdr:x>0.11941</cdr:x>
      <cdr:y>0.22077</cdr:y>
    </cdr:to>
    <cdr:sp>
      <cdr:nvSpPr>
        <cdr:cNvPr id="1714318866" name="Lightning Bolt 2"/>
        <cdr:cNvSpPr/>
      </cdr:nvSpPr>
      <cdr:spPr>
        <a:xfrm rot="18335909">
          <a:off x="379225" y="146531"/>
          <a:ext cx="111604" cy="112622"/>
        </a:xfrm>
        <a:prstGeom prst="lightningBolt">
          <a:avLst/>
        </a:prstGeom>
        <a:solidFill>
          <a:schemeClr val="bg1"/>
        </a:solidFill>
        <a:ln>
          <a:noFill/>
        </a:ln>
      </cdr:spPr>
      <cdr:style>
        <a:lnRef idx="2">
          <a:schemeClr val="accent1">
            <a:shade val="50000"/>
          </a:schemeClr>
        </a:lnRef>
        <a:fillRef idx="1">
          <a:schemeClr val="accent1"/>
        </a:fillRef>
        <a:effectRef idx="0">
          <a:schemeClr val="accent1"/>
        </a:effectRef>
        <a:fontRef idx="minor">
          <a:schemeClr val="lt1"/>
        </a:fontRef>
      </cdr:style>
      <cdr:txBody>
        <a:bodyPr vertOverflow="clip"/>
        <a:lstStyle/>
        <a:p>
          <a:endParaRPr lang="lv-LV"/>
        </a:p>
      </cdr:txBody>
    </cdr:sp>
  </cdr:relSizeAnchor>
  <cdr:relSizeAnchor xmlns:cdr="http://schemas.openxmlformats.org/drawingml/2006/chartDrawing">
    <cdr:from>
      <cdr:x>0.12355</cdr:x>
      <cdr:y>0.16628</cdr:y>
    </cdr:from>
    <cdr:to>
      <cdr:x>0.15092</cdr:x>
      <cdr:y>0.26154</cdr:y>
    </cdr:to>
    <cdr:sp>
      <cdr:nvSpPr>
        <cdr:cNvPr id="225614731" name="Lightning Bolt 3"/>
        <cdr:cNvSpPr/>
      </cdr:nvSpPr>
      <cdr:spPr>
        <a:xfrm rot="18335909">
          <a:off x="508879" y="194299"/>
          <a:ext cx="111604" cy="112622"/>
        </a:xfrm>
        <a:prstGeom prst="lightningBolt">
          <a:avLst/>
        </a:prstGeom>
        <a:solidFill>
          <a:schemeClr val="bg1"/>
        </a:solidFill>
        <a:ln>
          <a:noFill/>
        </a:ln>
      </cdr:spPr>
      <cdr:style>
        <a:lnRef idx="2">
          <a:schemeClr val="accent1">
            <a:shade val="50000"/>
          </a:schemeClr>
        </a:lnRef>
        <a:fillRef idx="1">
          <a:schemeClr val="accent1"/>
        </a:fillRef>
        <a:effectRef idx="0">
          <a:schemeClr val="accent1"/>
        </a:effectRef>
        <a:fontRef idx="minor">
          <a:schemeClr val="lt1"/>
        </a:fontRef>
      </cdr:style>
      <cdr:txBody>
        <a:bodyPr vertOverflow="clip"/>
        <a:lstStyle/>
        <a:p>
          <a:endParaRPr lang="lv-LV"/>
        </a:p>
      </cdr:txBody>
    </cdr:sp>
  </cdr:relSizeAnchor>
</c:userShapes>
</file>

<file path=word/drawings/drawing4.xml><?xml version="1.0" encoding="utf-8"?>
<c:userShapes xmlns:c="http://schemas.openxmlformats.org/drawingml/2006/chart" xmlns:a="http://schemas.openxmlformats.org/drawingml/2006/main">
  <cdr:relSizeAnchor xmlns:cdr="http://schemas.openxmlformats.org/drawingml/2006/chartDrawing">
    <cdr:from>
      <cdr:x>0.05926</cdr:x>
      <cdr:y>0.14644</cdr:y>
    </cdr:from>
    <cdr:to>
      <cdr:x>0.09243</cdr:x>
      <cdr:y>0.23649</cdr:y>
    </cdr:to>
    <cdr:sp>
      <cdr:nvSpPr>
        <cdr:cNvPr id="1461007686" name="Lightning Bolt 1"/>
        <cdr:cNvSpPr/>
      </cdr:nvSpPr>
      <cdr:spPr>
        <a:xfrm rot="17732263">
          <a:off x="259347" y="156074"/>
          <a:ext cx="105503" cy="136484"/>
        </a:xfrm>
        <a:prstGeom prst="lightningBolt">
          <a:avLst/>
        </a:prstGeom>
        <a:solidFill>
          <a:schemeClr val="bg1"/>
        </a:solidFill>
        <a:ln>
          <a:noFill/>
        </a:ln>
      </cdr:spPr>
      <cdr:style>
        <a:lnRef idx="2">
          <a:schemeClr val="accent1">
            <a:shade val="50000"/>
          </a:schemeClr>
        </a:lnRef>
        <a:fillRef idx="1">
          <a:schemeClr val="accent1"/>
        </a:fillRef>
        <a:effectRef idx="0">
          <a:schemeClr val="accent1"/>
        </a:effectRef>
        <a:fontRef idx="minor">
          <a:schemeClr val="lt1"/>
        </a:fontRef>
      </cdr:style>
      <cdr:txBody>
        <a:bodyPr vertOverflow="clip"/>
        <a:lstStyle/>
        <a:p>
          <a:endParaRPr lang="lv-LV"/>
        </a:p>
      </cdr:txBody>
    </cdr:sp>
  </cdr:relSizeAnchor>
  <cdr:relSizeAnchor xmlns:cdr="http://schemas.openxmlformats.org/drawingml/2006/chartDrawing">
    <cdr:from>
      <cdr:x>0.08881</cdr:x>
      <cdr:y>0.14644</cdr:y>
    </cdr:from>
    <cdr:to>
      <cdr:x>0.12198</cdr:x>
      <cdr:y>0.23649</cdr:y>
    </cdr:to>
    <cdr:sp>
      <cdr:nvSpPr>
        <cdr:cNvPr id="1739549161" name="Lightning Bolt 2"/>
        <cdr:cNvSpPr/>
      </cdr:nvSpPr>
      <cdr:spPr>
        <a:xfrm rot="17732263">
          <a:off x="380915" y="156074"/>
          <a:ext cx="105503" cy="136484"/>
        </a:xfrm>
        <a:prstGeom prst="lightningBolt">
          <a:avLst/>
        </a:prstGeom>
        <a:solidFill>
          <a:schemeClr val="bg1"/>
        </a:solidFill>
        <a:ln>
          <a:noFill/>
        </a:ln>
      </cdr:spPr>
      <cdr:style>
        <a:lnRef idx="2">
          <a:schemeClr val="accent1">
            <a:shade val="50000"/>
          </a:schemeClr>
        </a:lnRef>
        <a:fillRef idx="1">
          <a:schemeClr val="accent1"/>
        </a:fillRef>
        <a:effectRef idx="0">
          <a:schemeClr val="accent1"/>
        </a:effectRef>
        <a:fontRef idx="minor">
          <a:schemeClr val="lt1"/>
        </a:fontRef>
      </cdr:style>
      <cdr:txBody>
        <a:bodyPr vertOverflow="clip"/>
        <a:lstStyle/>
        <a:p>
          <a:endParaRPr lang="lv-LV"/>
        </a:p>
      </cdr:txBody>
    </cdr:sp>
  </cdr:relSizeAnchor>
</c:userShapes>
</file>

<file path=word/drawings/drawing5.xml><?xml version="1.0" encoding="utf-8"?>
<c:userShapes xmlns:c="http://schemas.openxmlformats.org/drawingml/2006/chart" xmlns:a="http://schemas.openxmlformats.org/drawingml/2006/main">
  <cdr:relSizeAnchor xmlns:cdr="http://schemas.openxmlformats.org/drawingml/2006/chartDrawing">
    <cdr:from>
      <cdr:x>0.05997</cdr:x>
      <cdr:y>0.07932</cdr:y>
    </cdr:from>
    <cdr:to>
      <cdr:x>0.0913</cdr:x>
      <cdr:y>0.19459</cdr:y>
    </cdr:to>
    <cdr:sp>
      <cdr:nvSpPr>
        <cdr:cNvPr id="1469477162" name="Lightning Bolt 1"/>
        <cdr:cNvSpPr/>
      </cdr:nvSpPr>
      <cdr:spPr>
        <a:xfrm rot="18122600">
          <a:off x="243705" y="95976"/>
          <a:ext cx="135043" cy="128948"/>
        </a:xfrm>
        <a:prstGeom prst="lightningBolt">
          <a:avLst/>
        </a:prstGeom>
        <a:solidFill>
          <a:schemeClr val="bg1"/>
        </a:solidFill>
        <a:ln>
          <a:noFill/>
        </a:ln>
      </cdr:spPr>
      <cdr:style>
        <a:lnRef idx="2">
          <a:schemeClr val="accent1">
            <a:shade val="50000"/>
          </a:schemeClr>
        </a:lnRef>
        <a:fillRef idx="1">
          <a:schemeClr val="accent1"/>
        </a:fillRef>
        <a:effectRef idx="0">
          <a:schemeClr val="accent1"/>
        </a:effectRef>
        <a:fontRef idx="minor">
          <a:schemeClr val="lt1"/>
        </a:fontRef>
      </cdr:style>
      <cdr:txBody>
        <a:bodyPr vertOverflow="clip"/>
        <a:lstStyle/>
        <a:p>
          <a:endParaRPr lang="lv-LV"/>
        </a:p>
      </cdr:txBody>
    </cdr:sp>
  </cdr:relSizeAnchor>
  <cdr:relSizeAnchor xmlns:cdr="http://schemas.openxmlformats.org/drawingml/2006/chartDrawing">
    <cdr:from>
      <cdr:x>0.08951</cdr:x>
      <cdr:y>0.07481</cdr:y>
    </cdr:from>
    <cdr:to>
      <cdr:x>0.12085</cdr:x>
      <cdr:y>0.19007</cdr:y>
    </cdr:to>
    <cdr:sp>
      <cdr:nvSpPr>
        <cdr:cNvPr id="725821838" name="Lightning Bolt 2"/>
        <cdr:cNvSpPr/>
      </cdr:nvSpPr>
      <cdr:spPr>
        <a:xfrm rot="18122600">
          <a:off x="365272" y="90691"/>
          <a:ext cx="135043" cy="128948"/>
        </a:xfrm>
        <a:prstGeom prst="lightningBolt">
          <a:avLst/>
        </a:prstGeom>
        <a:solidFill>
          <a:schemeClr val="bg1"/>
        </a:solidFill>
        <a:ln>
          <a:noFill/>
        </a:ln>
      </cdr:spPr>
      <cdr:style>
        <a:lnRef idx="2">
          <a:schemeClr val="accent1">
            <a:shade val="50000"/>
          </a:schemeClr>
        </a:lnRef>
        <a:fillRef idx="1">
          <a:schemeClr val="accent1"/>
        </a:fillRef>
        <a:effectRef idx="0">
          <a:schemeClr val="accent1"/>
        </a:effectRef>
        <a:fontRef idx="minor">
          <a:schemeClr val="lt1"/>
        </a:fontRef>
      </cdr:style>
      <cdr:txBody>
        <a:bodyPr vertOverflow="clip"/>
        <a:lstStyle/>
        <a:p>
          <a:endParaRPr lang="lv-LV"/>
        </a:p>
      </cdr:txBody>
    </cdr:sp>
  </cdr:relSizeAnchor>
</c:userShapes>
</file>

<file path=word/drawings/drawing6.xml><?xml version="1.0" encoding="utf-8"?>
<c:userShapes xmlns:c="http://schemas.openxmlformats.org/drawingml/2006/chart" xmlns:a="http://schemas.openxmlformats.org/drawingml/2006/main">
  <cdr:relSizeAnchor xmlns:cdr="http://schemas.openxmlformats.org/drawingml/2006/chartDrawing">
    <cdr:from>
      <cdr:x>0.05903</cdr:x>
      <cdr:y>0.04825</cdr:y>
    </cdr:from>
    <cdr:to>
      <cdr:x>0.10417</cdr:x>
      <cdr:y>0.19053</cdr:y>
    </cdr:to>
    <cdr:sp>
      <cdr:nvSpPr>
        <cdr:cNvPr id="919523210" name="Lightning Bolt 1"/>
        <cdr:cNvSpPr/>
      </cdr:nvSpPr>
      <cdr:spPr>
        <a:xfrm rot="17792801">
          <a:off x="252411" y="47007"/>
          <a:ext cx="166687" cy="185738"/>
        </a:xfrm>
        <a:prstGeom prst="lightningBolt">
          <a:avLst/>
        </a:prstGeom>
        <a:solidFill>
          <a:schemeClr val="bg1"/>
        </a:solidFill>
        <a:ln>
          <a:noFill/>
        </a:ln>
      </cdr:spPr>
      <cdr:style>
        <a:lnRef idx="2">
          <a:schemeClr val="accent1">
            <a:shade val="50000"/>
          </a:schemeClr>
        </a:lnRef>
        <a:fillRef idx="1">
          <a:schemeClr val="accent1"/>
        </a:fillRef>
        <a:effectRef idx="0">
          <a:schemeClr val="accent1"/>
        </a:effectRef>
        <a:fontRef idx="minor">
          <a:schemeClr val="lt1"/>
        </a:fontRef>
      </cdr:style>
      <cdr:txBody>
        <a:bodyPr vertOverflow="clip"/>
        <a:lstStyle/>
        <a:p>
          <a:endParaRPr lang="lv-LV"/>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A96345-6228-47BD-9FF0-8CF965E3C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85494</Words>
  <Characters>48733</Characters>
  <Application>Microsoft Office Word</Application>
  <DocSecurity>0</DocSecurity>
  <Lines>406</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Jānis Salmiņš</dc:creator>
  <cp:lastModifiedBy>Atis Migals</cp:lastModifiedBy>
  <cp:revision>4</cp:revision>
  <cp:lastPrinted>2018-01-29T14:48:00Z</cp:lastPrinted>
  <dcterms:created xsi:type="dcterms:W3CDTF">2018-01-31T07:34:00Z</dcterms:created>
  <dcterms:modified xsi:type="dcterms:W3CDTF">2018-02-02T07:48:00Z</dcterms:modified>
</cp:coreProperties>
</file>