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015174" w:rsidRPr="00F91A83" w:rsidP="00015174" w14:paraId="768020B3" w14:textId="77777777">
      <w:pPr>
        <w:pStyle w:val="Heading2"/>
        <w:rPr>
          <w:szCs w:val="28"/>
        </w:rPr>
      </w:pPr>
      <w:r w:rsidRPr="00F91A83">
        <w:rPr>
          <w:szCs w:val="28"/>
        </w:rPr>
        <w:t>Ministru kabineta rīkojuma projekta</w:t>
      </w:r>
    </w:p>
    <w:p w:rsidR="00015174" w:rsidRPr="00F91A83" w:rsidP="00015174" w14:paraId="2C73582F" w14:textId="75C14043">
      <w:pPr>
        <w:spacing w:after="0" w:line="240" w:lineRule="auto"/>
        <w:jc w:val="center"/>
        <w:rPr>
          <w:szCs w:val="28"/>
        </w:rPr>
      </w:pPr>
      <w:r w:rsidRPr="00F91A83">
        <w:rPr>
          <w:b/>
          <w:szCs w:val="28"/>
        </w:rPr>
        <w:t xml:space="preserve"> </w:t>
      </w:r>
      <w:r w:rsidRPr="00F91A83" w:rsidR="00DE62C9">
        <w:rPr>
          <w:b/>
          <w:szCs w:val="28"/>
        </w:rPr>
        <w:t>“</w:t>
      </w:r>
      <w:r w:rsidRPr="00F91A83">
        <w:rPr>
          <w:b/>
          <w:szCs w:val="28"/>
        </w:rPr>
        <w:t xml:space="preserve">Par valsts nekustamā īpašuma </w:t>
      </w:r>
      <w:r w:rsidRPr="00F91A83">
        <w:rPr>
          <w:b/>
          <w:bCs/>
          <w:szCs w:val="28"/>
        </w:rPr>
        <w:t>Gleznotāja Miervalža Ķemera gatvē 5, Jūrmalā</w:t>
      </w:r>
      <w:r w:rsidRPr="00F91A83" w:rsidR="00973BB4">
        <w:rPr>
          <w:b/>
          <w:bCs/>
          <w:szCs w:val="28"/>
        </w:rPr>
        <w:t>,</w:t>
      </w:r>
      <w:r w:rsidRPr="00F91A83" w:rsidR="00F87AE9">
        <w:rPr>
          <w:b/>
          <w:szCs w:val="28"/>
        </w:rPr>
        <w:t xml:space="preserve"> atsavināšanu</w:t>
      </w:r>
      <w:r w:rsidRPr="00F91A83">
        <w:rPr>
          <w:b/>
          <w:szCs w:val="28"/>
        </w:rPr>
        <w:t>”</w:t>
      </w:r>
    </w:p>
    <w:p w:rsidR="00015174" w:rsidRPr="00F91A83" w:rsidP="00823228" w14:paraId="600ABEF1" w14:textId="77777777">
      <w:pPr>
        <w:jc w:val="center"/>
        <w:rPr>
          <w:b/>
          <w:szCs w:val="28"/>
        </w:rPr>
      </w:pPr>
      <w:r w:rsidRPr="00F91A83">
        <w:rPr>
          <w:b/>
          <w:szCs w:val="28"/>
        </w:rPr>
        <w:t>sākotnējās ietekmes novērtējuma ziņojums (anotācija)</w:t>
      </w:r>
    </w:p>
    <w:tbl>
      <w:tblPr>
        <w:tblStyle w:val="TableGrid"/>
        <w:tblW w:w="8931" w:type="dxa"/>
        <w:tblInd w:w="-289" w:type="dxa"/>
        <w:tblLook w:val="04A0"/>
      </w:tblPr>
      <w:tblGrid>
        <w:gridCol w:w="562"/>
        <w:gridCol w:w="2059"/>
        <w:gridCol w:w="6310"/>
      </w:tblGrid>
      <w:tr w14:paraId="5A054E55" w14:textId="77777777" w:rsidTr="00FF58AA">
        <w:tblPrEx>
          <w:tblW w:w="8931" w:type="dxa"/>
          <w:tblInd w:w="-289" w:type="dxa"/>
          <w:tblLook w:val="04A0"/>
        </w:tblPrEx>
        <w:tc>
          <w:tcPr>
            <w:tcW w:w="8931" w:type="dxa"/>
            <w:gridSpan w:val="3"/>
          </w:tcPr>
          <w:p w:rsidR="00015174" w:rsidRPr="00F91A83" w:rsidP="00015174" w14:paraId="174C026A" w14:textId="77777777">
            <w:pPr>
              <w:jc w:val="center"/>
              <w:rPr>
                <w:szCs w:val="28"/>
              </w:rPr>
            </w:pPr>
            <w:r w:rsidRPr="00F91A83">
              <w:rPr>
                <w:b/>
                <w:bCs/>
                <w:szCs w:val="28"/>
                <w:lang w:eastAsia="lv-LV"/>
              </w:rPr>
              <w:t>I. Tiesību akta projekta izstrādes nepieciešamība</w:t>
            </w:r>
          </w:p>
        </w:tc>
      </w:tr>
      <w:tr w14:paraId="4D867D50" w14:textId="77777777" w:rsidTr="00FF58AA">
        <w:tblPrEx>
          <w:tblW w:w="8931" w:type="dxa"/>
          <w:tblInd w:w="-289" w:type="dxa"/>
          <w:tblLook w:val="04A0"/>
        </w:tblPrEx>
        <w:tc>
          <w:tcPr>
            <w:tcW w:w="562" w:type="dxa"/>
          </w:tcPr>
          <w:p w:rsidR="00015174" w:rsidRPr="00F91A83" w:rsidP="00015174" w14:paraId="189B0B11" w14:textId="77777777">
            <w:pPr>
              <w:jc w:val="center"/>
              <w:rPr>
                <w:szCs w:val="28"/>
              </w:rPr>
            </w:pPr>
            <w:r w:rsidRPr="00F91A83">
              <w:rPr>
                <w:szCs w:val="28"/>
              </w:rPr>
              <w:t>1.</w:t>
            </w:r>
          </w:p>
        </w:tc>
        <w:tc>
          <w:tcPr>
            <w:tcW w:w="2059" w:type="dxa"/>
          </w:tcPr>
          <w:p w:rsidR="00015174" w:rsidRPr="00F91A83" w:rsidP="00015174" w14:paraId="0F044C24" w14:textId="77777777">
            <w:pPr>
              <w:rPr>
                <w:szCs w:val="28"/>
              </w:rPr>
            </w:pPr>
            <w:r w:rsidRPr="00F91A83">
              <w:rPr>
                <w:szCs w:val="28"/>
                <w:lang w:eastAsia="lv-LV"/>
              </w:rPr>
              <w:t>Pamatojums</w:t>
            </w:r>
          </w:p>
        </w:tc>
        <w:tc>
          <w:tcPr>
            <w:tcW w:w="6310" w:type="dxa"/>
          </w:tcPr>
          <w:p w:rsidR="00015174" w:rsidRPr="00F91A83" w:rsidP="006F25AA" w14:paraId="32E9C710" w14:textId="5D0FFC0A">
            <w:pPr>
              <w:jc w:val="both"/>
              <w:rPr>
                <w:szCs w:val="28"/>
              </w:rPr>
            </w:pPr>
            <w:r w:rsidRPr="00F91A83">
              <w:rPr>
                <w:szCs w:val="28"/>
              </w:rPr>
              <w:t>Publiskas personas mantas atsavināšanas likuma (turpmāk – Atsavināšanas likums) 4.</w:t>
            </w:r>
            <w:r w:rsidRPr="00F91A83" w:rsidR="00DD4C36">
              <w:rPr>
                <w:szCs w:val="28"/>
              </w:rPr>
              <w:t> </w:t>
            </w:r>
            <w:r w:rsidRPr="00F91A83">
              <w:rPr>
                <w:szCs w:val="28"/>
              </w:rPr>
              <w:t>panta pirmā daļa</w:t>
            </w:r>
            <w:r w:rsidRPr="00F91A83" w:rsidR="00867D4A">
              <w:rPr>
                <w:szCs w:val="28"/>
              </w:rPr>
              <w:t xml:space="preserve"> un </w:t>
            </w:r>
            <w:r w:rsidRPr="00F91A83">
              <w:rPr>
                <w:szCs w:val="28"/>
              </w:rPr>
              <w:t>otrā daļa, 5.</w:t>
            </w:r>
            <w:r w:rsidRPr="00F91A83" w:rsidR="00DD4C36">
              <w:rPr>
                <w:szCs w:val="28"/>
              </w:rPr>
              <w:t> </w:t>
            </w:r>
            <w:r w:rsidRPr="00F91A83">
              <w:rPr>
                <w:szCs w:val="28"/>
              </w:rPr>
              <w:t>panta pirmā daļa</w:t>
            </w:r>
            <w:r w:rsidRPr="00F91A83" w:rsidR="006F25AA">
              <w:rPr>
                <w:szCs w:val="28"/>
              </w:rPr>
              <w:t>.</w:t>
            </w:r>
            <w:r w:rsidRPr="00F91A83" w:rsidR="00E076FB">
              <w:rPr>
                <w:szCs w:val="28"/>
              </w:rPr>
              <w:t xml:space="preserve"> </w:t>
            </w:r>
          </w:p>
        </w:tc>
      </w:tr>
      <w:tr w14:paraId="30127C00" w14:textId="77777777" w:rsidTr="00FF58AA">
        <w:tblPrEx>
          <w:tblW w:w="8931" w:type="dxa"/>
          <w:tblInd w:w="-289" w:type="dxa"/>
          <w:tblLook w:val="04A0"/>
        </w:tblPrEx>
        <w:tc>
          <w:tcPr>
            <w:tcW w:w="562" w:type="dxa"/>
          </w:tcPr>
          <w:p w:rsidR="00015174" w:rsidRPr="00F91A83" w:rsidP="00015174" w14:paraId="3B82515C" w14:textId="77777777">
            <w:pPr>
              <w:jc w:val="center"/>
              <w:rPr>
                <w:szCs w:val="28"/>
              </w:rPr>
            </w:pPr>
            <w:r w:rsidRPr="00F91A83">
              <w:rPr>
                <w:szCs w:val="28"/>
              </w:rPr>
              <w:t>2.</w:t>
            </w:r>
          </w:p>
        </w:tc>
        <w:tc>
          <w:tcPr>
            <w:tcW w:w="2059" w:type="dxa"/>
          </w:tcPr>
          <w:p w:rsidR="00823228" w:rsidRPr="00F91A83" w:rsidP="00015174" w14:paraId="11781476" w14:textId="77777777">
            <w:pPr>
              <w:rPr>
                <w:szCs w:val="28"/>
              </w:rPr>
            </w:pPr>
            <w:r w:rsidRPr="00F91A83">
              <w:rPr>
                <w:szCs w:val="28"/>
                <w:lang w:eastAsia="lv-LV"/>
              </w:rPr>
              <w:t>Pašreizējā situācija un problēmas, kuru risināšanai tiesību akta projekts izstrādāts, tiesiskā regulējuma mērķis un būtība</w:t>
            </w:r>
          </w:p>
          <w:p w:rsidR="00823228" w:rsidRPr="00F91A83" w:rsidP="00823228" w14:paraId="46B5A4C5" w14:textId="77777777">
            <w:pPr>
              <w:rPr>
                <w:szCs w:val="28"/>
              </w:rPr>
            </w:pPr>
          </w:p>
          <w:p w:rsidR="00823228" w:rsidRPr="00F91A83" w:rsidP="00823228" w14:paraId="417EF25B" w14:textId="77777777">
            <w:pPr>
              <w:rPr>
                <w:szCs w:val="28"/>
              </w:rPr>
            </w:pPr>
          </w:p>
          <w:p w:rsidR="00823228" w:rsidRPr="00F91A83" w:rsidP="00823228" w14:paraId="3E247044" w14:textId="77777777">
            <w:pPr>
              <w:rPr>
                <w:szCs w:val="28"/>
              </w:rPr>
            </w:pPr>
          </w:p>
          <w:p w:rsidR="00823228" w:rsidRPr="00F91A83" w:rsidP="00823228" w14:paraId="16F3A710" w14:textId="77777777">
            <w:pPr>
              <w:rPr>
                <w:szCs w:val="28"/>
              </w:rPr>
            </w:pPr>
          </w:p>
          <w:p w:rsidR="00823228" w:rsidRPr="00F91A83" w:rsidP="00823228" w14:paraId="1C5CD9CC" w14:textId="77777777">
            <w:pPr>
              <w:rPr>
                <w:szCs w:val="28"/>
              </w:rPr>
            </w:pPr>
          </w:p>
          <w:p w:rsidR="00823228" w:rsidRPr="00F91A83" w:rsidP="00823228" w14:paraId="311C1770" w14:textId="77777777">
            <w:pPr>
              <w:rPr>
                <w:szCs w:val="28"/>
              </w:rPr>
            </w:pPr>
          </w:p>
          <w:p w:rsidR="00823228" w:rsidRPr="00F91A83" w:rsidP="00823228" w14:paraId="1DBC0399" w14:textId="77777777">
            <w:pPr>
              <w:rPr>
                <w:szCs w:val="28"/>
              </w:rPr>
            </w:pPr>
          </w:p>
          <w:p w:rsidR="00823228" w:rsidRPr="00F91A83" w:rsidP="00823228" w14:paraId="50E2CB3D" w14:textId="77777777">
            <w:pPr>
              <w:rPr>
                <w:szCs w:val="28"/>
              </w:rPr>
            </w:pPr>
          </w:p>
          <w:p w:rsidR="00324F45" w:rsidP="00823228" w14:paraId="279BC804" w14:textId="4EA0C267">
            <w:pPr>
              <w:jc w:val="center"/>
              <w:rPr>
                <w:szCs w:val="28"/>
              </w:rPr>
            </w:pPr>
          </w:p>
          <w:p w:rsidR="00324F45" w:rsidRPr="00324F45" w:rsidP="00324F45" w14:paraId="6C44E4D1" w14:textId="77777777">
            <w:pPr>
              <w:rPr>
                <w:szCs w:val="28"/>
              </w:rPr>
            </w:pPr>
          </w:p>
          <w:p w:rsidR="00324F45" w:rsidRPr="00324F45" w:rsidP="00324F45" w14:paraId="07780089" w14:textId="77777777">
            <w:pPr>
              <w:rPr>
                <w:szCs w:val="28"/>
              </w:rPr>
            </w:pPr>
          </w:p>
          <w:p w:rsidR="00324F45" w:rsidRPr="00324F45" w:rsidP="00324F45" w14:paraId="5C19BAED" w14:textId="77777777">
            <w:pPr>
              <w:rPr>
                <w:szCs w:val="28"/>
              </w:rPr>
            </w:pPr>
          </w:p>
          <w:p w:rsidR="00324F45" w:rsidRPr="00324F45" w:rsidP="00324F45" w14:paraId="3F2C6F51" w14:textId="77777777">
            <w:pPr>
              <w:rPr>
                <w:szCs w:val="28"/>
              </w:rPr>
            </w:pPr>
          </w:p>
          <w:p w:rsidR="00324F45" w:rsidRPr="00324F45" w:rsidP="00324F45" w14:paraId="5F13CEF4" w14:textId="77777777">
            <w:pPr>
              <w:rPr>
                <w:szCs w:val="28"/>
              </w:rPr>
            </w:pPr>
          </w:p>
          <w:p w:rsidR="00324F45" w:rsidRPr="00324F45" w:rsidP="00324F45" w14:paraId="4DA1B01E" w14:textId="77777777">
            <w:pPr>
              <w:rPr>
                <w:szCs w:val="28"/>
              </w:rPr>
            </w:pPr>
          </w:p>
          <w:p w:rsidR="00324F45" w:rsidRPr="00324F45" w:rsidP="00324F45" w14:paraId="25F371A3" w14:textId="77777777">
            <w:pPr>
              <w:rPr>
                <w:szCs w:val="28"/>
              </w:rPr>
            </w:pPr>
          </w:p>
          <w:p w:rsidR="00324F45" w:rsidRPr="00324F45" w:rsidP="00324F45" w14:paraId="523676FA" w14:textId="77777777">
            <w:pPr>
              <w:rPr>
                <w:szCs w:val="28"/>
              </w:rPr>
            </w:pPr>
          </w:p>
          <w:p w:rsidR="00324F45" w:rsidRPr="00324F45" w:rsidP="00324F45" w14:paraId="427560D0" w14:textId="77777777">
            <w:pPr>
              <w:rPr>
                <w:szCs w:val="28"/>
              </w:rPr>
            </w:pPr>
          </w:p>
          <w:p w:rsidR="00324F45" w:rsidP="00324F45" w14:paraId="084EC3DC" w14:textId="2C0FEC5F">
            <w:pPr>
              <w:rPr>
                <w:szCs w:val="28"/>
              </w:rPr>
            </w:pPr>
          </w:p>
          <w:p w:rsidR="00324F45" w:rsidRPr="00324F45" w:rsidP="00324F45" w14:paraId="3853519F" w14:textId="77777777">
            <w:pPr>
              <w:rPr>
                <w:szCs w:val="28"/>
              </w:rPr>
            </w:pPr>
          </w:p>
          <w:p w:rsidR="00324F45" w:rsidRPr="00324F45" w:rsidP="00324F45" w14:paraId="11401B72" w14:textId="77777777">
            <w:pPr>
              <w:rPr>
                <w:szCs w:val="28"/>
              </w:rPr>
            </w:pPr>
          </w:p>
          <w:p w:rsidR="00324F45" w:rsidRPr="00324F45" w:rsidP="00324F45" w14:paraId="637F284F" w14:textId="77777777">
            <w:pPr>
              <w:rPr>
                <w:szCs w:val="28"/>
              </w:rPr>
            </w:pPr>
          </w:p>
          <w:p w:rsidR="00324F45" w:rsidP="00324F45" w14:paraId="79EBC60F" w14:textId="203A5D1B">
            <w:pPr>
              <w:rPr>
                <w:szCs w:val="28"/>
              </w:rPr>
            </w:pPr>
          </w:p>
          <w:p w:rsidR="00324F45" w:rsidRPr="00324F45" w:rsidP="00324F45" w14:paraId="4EB30952" w14:textId="77777777">
            <w:pPr>
              <w:rPr>
                <w:szCs w:val="28"/>
              </w:rPr>
            </w:pPr>
          </w:p>
          <w:p w:rsidR="00324F45" w:rsidP="00324F45" w14:paraId="7A1298B1" w14:textId="4579694D">
            <w:pPr>
              <w:rPr>
                <w:szCs w:val="28"/>
              </w:rPr>
            </w:pPr>
          </w:p>
          <w:p w:rsidR="00015174" w:rsidRPr="00324F45" w:rsidP="008D31C7" w14:paraId="5DC998FF" w14:textId="77777777">
            <w:pPr>
              <w:jc w:val="right"/>
              <w:rPr>
                <w:szCs w:val="28"/>
              </w:rPr>
            </w:pPr>
          </w:p>
        </w:tc>
        <w:tc>
          <w:tcPr>
            <w:tcW w:w="6310" w:type="dxa"/>
          </w:tcPr>
          <w:p w:rsidR="00015174" w:rsidRPr="00F91A83" w:rsidP="005F7CF4" w14:paraId="1E5507AA" w14:textId="07E3B849">
            <w:pPr>
              <w:jc w:val="both"/>
              <w:rPr>
                <w:szCs w:val="28"/>
              </w:rPr>
            </w:pPr>
            <w:r w:rsidRPr="00F91A83">
              <w:rPr>
                <w:rStyle w:val="Emphasis"/>
                <w:i w:val="0"/>
                <w:szCs w:val="28"/>
              </w:rPr>
              <w:t xml:space="preserve">Ministru kabineta rīkojuma projekts </w:t>
            </w:r>
            <w:r w:rsidRPr="00F91A83" w:rsidR="005C6B2F">
              <w:rPr>
                <w:rStyle w:val="Emphasis"/>
                <w:i w:val="0"/>
                <w:szCs w:val="28"/>
              </w:rPr>
              <w:t>“</w:t>
            </w:r>
            <w:r w:rsidRPr="00F91A83">
              <w:rPr>
                <w:szCs w:val="28"/>
              </w:rPr>
              <w:t xml:space="preserve">Par valsts nekustamā īpašuma </w:t>
            </w:r>
            <w:r w:rsidRPr="00F91A83">
              <w:rPr>
                <w:bCs/>
                <w:szCs w:val="28"/>
              </w:rPr>
              <w:t>Gleznotāja Miervalža Ķemera gatvē 5, Jūrmalā</w:t>
            </w:r>
            <w:r w:rsidRPr="00F91A83" w:rsidR="005C6B2F">
              <w:rPr>
                <w:bCs/>
                <w:szCs w:val="28"/>
              </w:rPr>
              <w:t>,</w:t>
            </w:r>
            <w:r w:rsidRPr="00F91A83" w:rsidR="002B4EE8">
              <w:rPr>
                <w:szCs w:val="28"/>
              </w:rPr>
              <w:t xml:space="preserve"> atsavināšanu</w:t>
            </w:r>
            <w:r w:rsidRPr="00F91A83" w:rsidR="001E5BE8">
              <w:rPr>
                <w:szCs w:val="28"/>
              </w:rPr>
              <w:t>”</w:t>
            </w:r>
            <w:r w:rsidRPr="00F91A83" w:rsidR="005C6B2F">
              <w:rPr>
                <w:szCs w:val="28"/>
              </w:rPr>
              <w:t xml:space="preserve"> </w:t>
            </w:r>
            <w:r w:rsidRPr="00F91A83">
              <w:rPr>
                <w:rStyle w:val="Emphasis"/>
                <w:i w:val="0"/>
                <w:szCs w:val="28"/>
              </w:rPr>
              <w:t>(turpmāk – rīkojuma projekts) sagatavots, lai saskaņā ar Atsavināšanas likuma 4.</w:t>
            </w:r>
            <w:r w:rsidRPr="00F91A83" w:rsidR="005C6B2F">
              <w:rPr>
                <w:rStyle w:val="Emphasis"/>
                <w:i w:val="0"/>
                <w:szCs w:val="28"/>
              </w:rPr>
              <w:t> </w:t>
            </w:r>
            <w:r w:rsidRPr="00F91A83">
              <w:rPr>
                <w:rStyle w:val="Emphasis"/>
                <w:i w:val="0"/>
                <w:szCs w:val="28"/>
              </w:rPr>
              <w:t>panta pirmo un otro daļu</w:t>
            </w:r>
            <w:r w:rsidRPr="00F91A83" w:rsidR="006F25AA">
              <w:rPr>
                <w:rStyle w:val="Emphasis"/>
                <w:i w:val="0"/>
                <w:szCs w:val="28"/>
              </w:rPr>
              <w:t>,</w:t>
            </w:r>
            <w:r w:rsidRPr="00F91A83">
              <w:rPr>
                <w:rStyle w:val="Emphasis"/>
                <w:i w:val="0"/>
                <w:szCs w:val="28"/>
              </w:rPr>
              <w:t xml:space="preserve"> 5.</w:t>
            </w:r>
            <w:r w:rsidRPr="00F91A83" w:rsidR="005C6B2F">
              <w:rPr>
                <w:rStyle w:val="Emphasis"/>
                <w:i w:val="0"/>
                <w:szCs w:val="28"/>
              </w:rPr>
              <w:t> </w:t>
            </w:r>
            <w:r w:rsidRPr="00F91A83">
              <w:rPr>
                <w:rStyle w:val="Emphasis"/>
                <w:i w:val="0"/>
                <w:szCs w:val="28"/>
              </w:rPr>
              <w:t xml:space="preserve">panta pirmo daļu </w:t>
            </w:r>
            <w:r w:rsidRPr="00F91A83" w:rsidR="006F25AA">
              <w:t>un</w:t>
            </w:r>
            <w:r w:rsidRPr="00F91A83" w:rsidR="006F25AA">
              <w:rPr>
                <w:szCs w:val="28"/>
              </w:rPr>
              <w:t xml:space="preserve"> 9. panta pirmo daļu </w:t>
            </w:r>
            <w:r w:rsidRPr="00F91A83">
              <w:rPr>
                <w:rStyle w:val="Emphasis"/>
                <w:i w:val="0"/>
                <w:szCs w:val="28"/>
              </w:rPr>
              <w:t>atļ</w:t>
            </w:r>
            <w:r w:rsidRPr="00F91A83" w:rsidR="00973BB4">
              <w:rPr>
                <w:rStyle w:val="Emphasis"/>
                <w:i w:val="0"/>
                <w:szCs w:val="28"/>
              </w:rPr>
              <w:t>autu valsts akciju sabiedrībai “</w:t>
            </w:r>
            <w:r w:rsidRPr="00F91A83">
              <w:rPr>
                <w:rStyle w:val="Emphasis"/>
                <w:i w:val="0"/>
                <w:szCs w:val="28"/>
              </w:rPr>
              <w:t xml:space="preserve">Valsts nekustamie īpašumi” (turpmāk – </w:t>
            </w:r>
            <w:r w:rsidRPr="00F91A83">
              <w:rPr>
                <w:iCs/>
                <w:szCs w:val="28"/>
              </w:rPr>
              <w:t xml:space="preserve">VNĪ) </w:t>
            </w:r>
            <w:r w:rsidRPr="00F91A83" w:rsidR="00BE03E5">
              <w:rPr>
                <w:szCs w:val="28"/>
              </w:rPr>
              <w:t xml:space="preserve">pārdot izsolē </w:t>
            </w:r>
            <w:r w:rsidRPr="00F91A83">
              <w:rPr>
                <w:szCs w:val="28"/>
              </w:rPr>
              <w:t>valsts nekustamo īpašumu ar kadastra Nr. 1300 026 2614</w:t>
            </w:r>
            <w:r w:rsidRPr="00F91A83" w:rsidR="005C6B2F">
              <w:rPr>
                <w:szCs w:val="28"/>
              </w:rPr>
              <w:t xml:space="preserve"> </w:t>
            </w:r>
            <w:r w:rsidRPr="00F91A83">
              <w:rPr>
                <w:bCs/>
                <w:szCs w:val="28"/>
              </w:rPr>
              <w:t xml:space="preserve">Gleznotāja Miervalža Ķemera gatvē 5, Jūrmalā </w:t>
            </w:r>
            <w:r w:rsidRPr="00F91A83">
              <w:rPr>
                <w:szCs w:val="28"/>
              </w:rPr>
              <w:t>(turpmāk – valsts nekustamais īpašums), kas ierakstīts zemesgrāmatā uz valsts vārda Vides aizsardzības un reģionālās attīstības ministrijas (turpmāk</w:t>
            </w:r>
            <w:r w:rsidRPr="00F91A83" w:rsidR="00B078E7">
              <w:rPr>
                <w:szCs w:val="28"/>
              </w:rPr>
              <w:t xml:space="preserve"> </w:t>
            </w:r>
            <w:r w:rsidRPr="00F91A83" w:rsidR="005C6B2F">
              <w:rPr>
                <w:szCs w:val="28"/>
              </w:rPr>
              <w:t>–</w:t>
            </w:r>
            <w:r w:rsidRPr="00F91A83">
              <w:rPr>
                <w:szCs w:val="28"/>
              </w:rPr>
              <w:t>VARAM) personā.</w:t>
            </w:r>
          </w:p>
          <w:p w:rsidR="00015174" w:rsidRPr="00F91A83" w:rsidP="005F7CF4" w14:paraId="3F13BFCD" w14:textId="35A027EB">
            <w:pPr>
              <w:pStyle w:val="BodyText"/>
              <w:spacing w:after="0"/>
              <w:jc w:val="both"/>
              <w:rPr>
                <w:sz w:val="28"/>
                <w:szCs w:val="28"/>
              </w:rPr>
            </w:pPr>
            <w:r w:rsidRPr="00F91A83">
              <w:rPr>
                <w:bCs/>
                <w:sz w:val="28"/>
                <w:szCs w:val="28"/>
                <w:lang w:eastAsia="ar-SA"/>
              </w:rPr>
              <w:t>Valsts n</w:t>
            </w:r>
            <w:r w:rsidRPr="00F91A83">
              <w:rPr>
                <w:bCs/>
                <w:sz w:val="28"/>
                <w:szCs w:val="28"/>
                <w:lang w:eastAsia="ar-SA"/>
              </w:rPr>
              <w:t xml:space="preserve">ekustamais īpašums sastāv no zemes </w:t>
            </w:r>
            <w:r w:rsidRPr="00F91A83" w:rsidR="00714D56">
              <w:rPr>
                <w:bCs/>
                <w:sz w:val="28"/>
                <w:szCs w:val="28"/>
                <w:lang w:eastAsia="ar-SA"/>
              </w:rPr>
              <w:t xml:space="preserve">vienības </w:t>
            </w:r>
            <w:r w:rsidRPr="00F91A83">
              <w:rPr>
                <w:bCs/>
                <w:sz w:val="28"/>
                <w:szCs w:val="28"/>
                <w:lang w:eastAsia="ar-SA"/>
              </w:rPr>
              <w:t xml:space="preserve">3556 m² platībā </w:t>
            </w:r>
            <w:r w:rsidRPr="00F91A83">
              <w:rPr>
                <w:sz w:val="28"/>
                <w:szCs w:val="28"/>
              </w:rPr>
              <w:t>(zemes kadastra apzīmējums 1300 026 2614)</w:t>
            </w:r>
            <w:r w:rsidRPr="00F91A83">
              <w:rPr>
                <w:bCs/>
                <w:sz w:val="28"/>
                <w:szCs w:val="28"/>
                <w:lang w:eastAsia="ar-SA"/>
              </w:rPr>
              <w:t xml:space="preserve">, sūkņu stacijas (būves kadastra apzīmējums </w:t>
            </w:r>
            <w:r w:rsidRPr="00F91A83">
              <w:rPr>
                <w:sz w:val="28"/>
                <w:szCs w:val="28"/>
              </w:rPr>
              <w:t>1300 026 2614 001</w:t>
            </w:r>
            <w:r w:rsidRPr="00F91A83">
              <w:rPr>
                <w:bCs/>
                <w:sz w:val="28"/>
                <w:szCs w:val="28"/>
                <w:lang w:eastAsia="ar-SA"/>
              </w:rPr>
              <w:t>) un divām palīgēkām</w:t>
            </w:r>
            <w:r w:rsidRPr="00F91A83" w:rsidR="005725EF">
              <w:rPr>
                <w:bCs/>
                <w:sz w:val="28"/>
                <w:szCs w:val="28"/>
                <w:lang w:eastAsia="ar-SA"/>
              </w:rPr>
              <w:t xml:space="preserve"> (attīrīšanas iekārtas un šķūnis)</w:t>
            </w:r>
            <w:r w:rsidRPr="00F91A83" w:rsidR="00894A0C">
              <w:rPr>
                <w:bCs/>
                <w:sz w:val="28"/>
                <w:szCs w:val="28"/>
                <w:lang w:eastAsia="ar-SA"/>
              </w:rPr>
              <w:t>, kas</w:t>
            </w:r>
            <w:r w:rsidRPr="00F91A83" w:rsidR="008B0056">
              <w:rPr>
                <w:bCs/>
                <w:sz w:val="28"/>
                <w:szCs w:val="28"/>
                <w:lang w:eastAsia="ar-SA"/>
              </w:rPr>
              <w:t xml:space="preserve"> Nekustamā īpašuma valsts kadastra informācijas sistēmā</w:t>
            </w:r>
            <w:r w:rsidRPr="00F91A83" w:rsidR="00894A0C">
              <w:rPr>
                <w:bCs/>
                <w:sz w:val="28"/>
                <w:szCs w:val="28"/>
                <w:lang w:eastAsia="ar-SA"/>
              </w:rPr>
              <w:t xml:space="preserve"> </w:t>
            </w:r>
            <w:r w:rsidRPr="00F91A83" w:rsidR="008B0056">
              <w:rPr>
                <w:bCs/>
                <w:sz w:val="28"/>
                <w:szCs w:val="28"/>
                <w:lang w:eastAsia="ar-SA"/>
              </w:rPr>
              <w:t>(turpmāk</w:t>
            </w:r>
            <w:r w:rsidRPr="00F91A83" w:rsidR="0054464B">
              <w:rPr>
                <w:bCs/>
                <w:sz w:val="28"/>
                <w:szCs w:val="28"/>
                <w:lang w:eastAsia="ar-SA"/>
              </w:rPr>
              <w:t xml:space="preserve"> </w:t>
            </w:r>
            <w:r w:rsidRPr="00F91A83" w:rsidR="0054464B">
              <w:rPr>
                <w:rStyle w:val="Emphasis"/>
                <w:i w:val="0"/>
                <w:szCs w:val="28"/>
              </w:rPr>
              <w:t xml:space="preserve">– </w:t>
            </w:r>
            <w:r w:rsidRPr="00F91A83" w:rsidR="009F5C52">
              <w:rPr>
                <w:bCs/>
                <w:sz w:val="28"/>
                <w:szCs w:val="28"/>
                <w:lang w:eastAsia="ar-SA"/>
              </w:rPr>
              <w:t>NĪVKIS</w:t>
            </w:r>
            <w:r w:rsidRPr="00F91A83" w:rsidR="008B0056">
              <w:rPr>
                <w:bCs/>
                <w:sz w:val="28"/>
                <w:szCs w:val="28"/>
                <w:lang w:eastAsia="ar-SA"/>
              </w:rPr>
              <w:t>)</w:t>
            </w:r>
            <w:r w:rsidRPr="00F91A83" w:rsidR="009F5C52">
              <w:rPr>
                <w:bCs/>
                <w:sz w:val="28"/>
                <w:szCs w:val="28"/>
                <w:lang w:eastAsia="ar-SA"/>
              </w:rPr>
              <w:t xml:space="preserve"> </w:t>
            </w:r>
            <w:r w:rsidRPr="00F91A83" w:rsidR="00EE4BFB">
              <w:rPr>
                <w:bCs/>
                <w:sz w:val="28"/>
                <w:szCs w:val="28"/>
                <w:lang w:eastAsia="ar-SA"/>
              </w:rPr>
              <w:t xml:space="preserve">līdz šim </w:t>
            </w:r>
            <w:r w:rsidRPr="00F91A83" w:rsidR="00894A0C">
              <w:rPr>
                <w:bCs/>
                <w:sz w:val="28"/>
                <w:szCs w:val="28"/>
                <w:lang w:eastAsia="ar-SA"/>
              </w:rPr>
              <w:t>nav</w:t>
            </w:r>
            <w:r w:rsidRPr="00F91A83" w:rsidR="009F5C52">
              <w:rPr>
                <w:bCs/>
                <w:sz w:val="28"/>
                <w:szCs w:val="28"/>
                <w:lang w:eastAsia="ar-SA"/>
              </w:rPr>
              <w:t xml:space="preserve"> noteiktas un reģistrētas </w:t>
            </w:r>
            <w:r w:rsidRPr="00F91A83" w:rsidR="00ED0B3F">
              <w:rPr>
                <w:bCs/>
                <w:sz w:val="28"/>
                <w:szCs w:val="28"/>
                <w:lang w:eastAsia="ar-SA"/>
              </w:rPr>
              <w:t xml:space="preserve">(nav veiktas nepieciešamās darbības to reģistrācijai) </w:t>
            </w:r>
            <w:r w:rsidRPr="00F91A83" w:rsidR="009F5C52">
              <w:rPr>
                <w:bCs/>
                <w:sz w:val="28"/>
                <w:szCs w:val="28"/>
                <w:lang w:eastAsia="ar-SA"/>
              </w:rPr>
              <w:t>kā</w:t>
            </w:r>
            <w:r w:rsidRPr="00F91A83" w:rsidR="00894A0C">
              <w:rPr>
                <w:bCs/>
                <w:sz w:val="28"/>
                <w:szCs w:val="28"/>
                <w:lang w:eastAsia="ar-SA"/>
              </w:rPr>
              <w:t xml:space="preserve"> kadastra objekti</w:t>
            </w:r>
            <w:r w:rsidRPr="00F91A83">
              <w:rPr>
                <w:bCs/>
                <w:sz w:val="28"/>
                <w:szCs w:val="28"/>
                <w:lang w:eastAsia="ar-SA"/>
              </w:rPr>
              <w:t xml:space="preserve">. </w:t>
            </w:r>
            <w:r w:rsidRPr="00F91A83">
              <w:rPr>
                <w:sz w:val="28"/>
                <w:szCs w:val="28"/>
              </w:rPr>
              <w:t xml:space="preserve">Saskaņā ar informāciju no </w:t>
            </w:r>
            <w:r w:rsidRPr="00F91A83" w:rsidR="008B0056">
              <w:rPr>
                <w:sz w:val="28"/>
                <w:szCs w:val="28"/>
              </w:rPr>
              <w:t>NĪVKIS,</w:t>
            </w:r>
            <w:r w:rsidRPr="00F91A83">
              <w:rPr>
                <w:sz w:val="28"/>
                <w:szCs w:val="28"/>
              </w:rPr>
              <w:t xml:space="preserve"> </w:t>
            </w:r>
            <w:r w:rsidRPr="00F91A83" w:rsidR="009A2A77">
              <w:rPr>
                <w:sz w:val="28"/>
                <w:szCs w:val="28"/>
              </w:rPr>
              <w:t xml:space="preserve">valsts </w:t>
            </w:r>
            <w:r w:rsidRPr="00F91A83">
              <w:rPr>
                <w:sz w:val="28"/>
                <w:szCs w:val="28"/>
              </w:rPr>
              <w:t>nekustamā īpašuma kadastrālā vērtība uz 2017.</w:t>
            </w:r>
            <w:r w:rsidRPr="00F91A83" w:rsidR="008B072C">
              <w:rPr>
                <w:sz w:val="28"/>
                <w:szCs w:val="28"/>
              </w:rPr>
              <w:t> </w:t>
            </w:r>
            <w:r w:rsidRPr="00F91A83">
              <w:rPr>
                <w:sz w:val="28"/>
                <w:szCs w:val="28"/>
              </w:rPr>
              <w:t>gada 1.</w:t>
            </w:r>
            <w:r w:rsidRPr="00F91A83" w:rsidR="008B072C">
              <w:rPr>
                <w:sz w:val="28"/>
                <w:szCs w:val="28"/>
              </w:rPr>
              <w:t> </w:t>
            </w:r>
            <w:r w:rsidRPr="00F91A83">
              <w:rPr>
                <w:sz w:val="28"/>
                <w:szCs w:val="28"/>
              </w:rPr>
              <w:t xml:space="preserve">janvāri ir 2823 </w:t>
            </w:r>
            <w:r w:rsidRPr="00F91A83">
              <w:rPr>
                <w:i/>
                <w:sz w:val="28"/>
                <w:szCs w:val="28"/>
              </w:rPr>
              <w:t>euro</w:t>
            </w:r>
            <w:r w:rsidRPr="00F91A83">
              <w:rPr>
                <w:sz w:val="28"/>
                <w:szCs w:val="28"/>
              </w:rPr>
              <w:t xml:space="preserve">. </w:t>
            </w:r>
          </w:p>
          <w:p w:rsidR="00E114A5" w:rsidRPr="00F91A83" w:rsidP="00E114A5" w14:paraId="248BF6E5" w14:textId="0FE2668D">
            <w:pPr>
              <w:pStyle w:val="BodyText"/>
              <w:spacing w:after="0"/>
              <w:jc w:val="both"/>
              <w:rPr>
                <w:sz w:val="28"/>
                <w:szCs w:val="28"/>
              </w:rPr>
            </w:pPr>
            <w:r w:rsidRPr="00F91A83">
              <w:rPr>
                <w:sz w:val="28"/>
                <w:szCs w:val="28"/>
              </w:rPr>
              <w:t>Valsts n</w:t>
            </w:r>
            <w:r w:rsidRPr="00F91A83" w:rsidR="00015174">
              <w:rPr>
                <w:sz w:val="28"/>
                <w:szCs w:val="28"/>
              </w:rPr>
              <w:t xml:space="preserve">ekustamais īpašums atrodas Ķemeru nacionālā parka neitrālajā zonā un saskaņā ar dabas datu pārvaldības sistēmas “Ozols” informāciju, tajā nav konstatēti īpaši aizsargājami biotopi vai aizsargājamu sugu atradnes vai dzīvotnes. </w:t>
            </w:r>
            <w:r w:rsidRPr="00F91A83" w:rsidR="008B0056">
              <w:rPr>
                <w:sz w:val="28"/>
                <w:szCs w:val="28"/>
              </w:rPr>
              <w:t xml:space="preserve">NĪVKIS </w:t>
            </w:r>
            <w:r w:rsidRPr="00F91A83">
              <w:rPr>
                <w:sz w:val="28"/>
                <w:szCs w:val="28"/>
              </w:rPr>
              <w:t>2017. gada 22. februārī ir veikta apgrūtinājumu aktualizācija, ainavu aizsardzības zonu nomainot ar nacionālā parka neitrālās zonas teritoriju.</w:t>
            </w:r>
          </w:p>
          <w:p w:rsidR="00015174" w:rsidRPr="00F91A83" w:rsidP="005F7CF4" w14:paraId="73B1FA67" w14:textId="012D2E3E">
            <w:pPr>
              <w:pStyle w:val="BodyText"/>
              <w:spacing w:after="0"/>
              <w:jc w:val="both"/>
              <w:rPr>
                <w:sz w:val="28"/>
                <w:szCs w:val="28"/>
              </w:rPr>
            </w:pPr>
            <w:r w:rsidRPr="00F91A83">
              <w:rPr>
                <w:sz w:val="28"/>
                <w:szCs w:val="28"/>
              </w:rPr>
              <w:t>Ķemeru nacionālā parka likums</w:t>
            </w:r>
            <w:r w:rsidRPr="00F91A83" w:rsidR="00867D4A">
              <w:rPr>
                <w:sz w:val="28"/>
                <w:szCs w:val="28"/>
              </w:rPr>
              <w:t xml:space="preserve"> (turpmāk – Likums)</w:t>
            </w:r>
            <w:r w:rsidRPr="00F91A83">
              <w:rPr>
                <w:sz w:val="28"/>
                <w:szCs w:val="28"/>
              </w:rPr>
              <w:t xml:space="preserve"> </w:t>
            </w:r>
            <w:r w:rsidRPr="00F91A83" w:rsidR="008B072C">
              <w:rPr>
                <w:sz w:val="28"/>
                <w:szCs w:val="28"/>
              </w:rPr>
              <w:t xml:space="preserve">neaizliedz </w:t>
            </w:r>
            <w:r w:rsidRPr="00F91A83" w:rsidR="008B00DC">
              <w:rPr>
                <w:sz w:val="28"/>
                <w:szCs w:val="28"/>
              </w:rPr>
              <w:t xml:space="preserve">valsts </w:t>
            </w:r>
            <w:r w:rsidRPr="00F91A83" w:rsidR="008B072C">
              <w:rPr>
                <w:sz w:val="28"/>
                <w:szCs w:val="28"/>
              </w:rPr>
              <w:t xml:space="preserve">nekustamā īpašuma </w:t>
            </w:r>
            <w:r w:rsidRPr="00F91A83">
              <w:rPr>
                <w:sz w:val="28"/>
                <w:szCs w:val="28"/>
              </w:rPr>
              <w:t xml:space="preserve">atsavināšanu. </w:t>
            </w:r>
            <w:r w:rsidRPr="00F91A83" w:rsidR="00867D4A">
              <w:rPr>
                <w:sz w:val="28"/>
                <w:szCs w:val="28"/>
              </w:rPr>
              <w:t>Saskaņā ar Likuma 10. panta pirmo daļu n</w:t>
            </w:r>
            <w:r w:rsidRPr="00F91A83">
              <w:rPr>
                <w:sz w:val="28"/>
                <w:szCs w:val="28"/>
              </w:rPr>
              <w:t xml:space="preserve">eitrālā zona izveidota, lai veicinātu kūrortu saimniecības attīstību, </w:t>
            </w:r>
            <w:r w:rsidRPr="00F91A83">
              <w:rPr>
                <w:sz w:val="28"/>
                <w:szCs w:val="28"/>
              </w:rPr>
              <w:t>saglabātu apvidum raksturīgo ainavu un arhitektūru un veicinātu nacionālā parka teritorijas ilgtspējīgu attīstību, kā arī nodrošinātu transporta infrastruktūras objektu uzturēšanu un attīstību.</w:t>
            </w:r>
          </w:p>
          <w:p w:rsidR="00015174" w:rsidRPr="00F91A83" w:rsidP="007E2E46" w14:paraId="700E5966" w14:textId="1EAE2E32">
            <w:pPr>
              <w:tabs>
                <w:tab w:val="left" w:pos="720"/>
                <w:tab w:val="center" w:pos="4320"/>
                <w:tab w:val="right" w:pos="8640"/>
              </w:tabs>
              <w:jc w:val="both"/>
              <w:rPr>
                <w:szCs w:val="28"/>
              </w:rPr>
            </w:pPr>
            <w:r w:rsidRPr="00F91A83">
              <w:rPr>
                <w:szCs w:val="28"/>
              </w:rPr>
              <w:t>Valsts n</w:t>
            </w:r>
            <w:r w:rsidRPr="00F91A83">
              <w:rPr>
                <w:szCs w:val="28"/>
              </w:rPr>
              <w:t xml:space="preserve">ekustamā īpašuma pārvaldītājs un apsaimniekotājs ir Dabas aizsardzības pārvalde (turpmāk </w:t>
            </w:r>
            <w:r w:rsidRPr="00F91A83" w:rsidR="005C6B2F">
              <w:rPr>
                <w:szCs w:val="28"/>
              </w:rPr>
              <w:t>–</w:t>
            </w:r>
            <w:r w:rsidRPr="00F91A83" w:rsidR="00BD0923">
              <w:rPr>
                <w:szCs w:val="28"/>
              </w:rPr>
              <w:t xml:space="preserve"> </w:t>
            </w:r>
            <w:r w:rsidRPr="00F91A83">
              <w:rPr>
                <w:szCs w:val="28"/>
              </w:rPr>
              <w:t xml:space="preserve">DAP). </w:t>
            </w:r>
            <w:r w:rsidRPr="00F91A83" w:rsidR="008B072C">
              <w:rPr>
                <w:szCs w:val="28"/>
              </w:rPr>
              <w:t>Uz</w:t>
            </w:r>
            <w:r w:rsidRPr="00F91A83">
              <w:rPr>
                <w:szCs w:val="28"/>
              </w:rPr>
              <w:t xml:space="preserve"> valsts</w:t>
            </w:r>
            <w:r w:rsidRPr="00F91A83" w:rsidR="008B072C">
              <w:rPr>
                <w:szCs w:val="28"/>
              </w:rPr>
              <w:t xml:space="preserve"> nekustamā īpašuma atrodas </w:t>
            </w:r>
            <w:r w:rsidRPr="00F91A83" w:rsidR="00894A0C">
              <w:rPr>
                <w:szCs w:val="28"/>
              </w:rPr>
              <w:t xml:space="preserve">sūkņu </w:t>
            </w:r>
            <w:r w:rsidRPr="00F91A83" w:rsidR="00AB3B69">
              <w:rPr>
                <w:szCs w:val="28"/>
              </w:rPr>
              <w:t>stacija</w:t>
            </w:r>
            <w:r w:rsidRPr="00F91A83" w:rsidR="00894A0C">
              <w:rPr>
                <w:szCs w:val="28"/>
              </w:rPr>
              <w:t xml:space="preserve"> un </w:t>
            </w:r>
            <w:r w:rsidRPr="00F91A83" w:rsidR="00457ED8">
              <w:rPr>
                <w:szCs w:val="28"/>
              </w:rPr>
              <w:t>palīg</w:t>
            </w:r>
            <w:r w:rsidRPr="00F91A83" w:rsidR="008B072C">
              <w:rPr>
                <w:szCs w:val="28"/>
              </w:rPr>
              <w:t>ē</w:t>
            </w:r>
            <w:r w:rsidRPr="00F91A83">
              <w:rPr>
                <w:bCs/>
                <w:szCs w:val="28"/>
                <w:lang w:eastAsia="ar-SA"/>
              </w:rPr>
              <w:t>kas</w:t>
            </w:r>
            <w:r w:rsidRPr="00F91A83" w:rsidR="008B072C">
              <w:rPr>
                <w:bCs/>
                <w:szCs w:val="28"/>
                <w:lang w:eastAsia="ar-SA"/>
              </w:rPr>
              <w:t>, kuras</w:t>
            </w:r>
            <w:r w:rsidRPr="00F91A83">
              <w:rPr>
                <w:bCs/>
                <w:szCs w:val="28"/>
                <w:lang w:eastAsia="ar-SA"/>
              </w:rPr>
              <w:t xml:space="preserve"> sa</w:t>
            </w:r>
            <w:r w:rsidRPr="00F91A83" w:rsidR="006869B4">
              <w:rPr>
                <w:bCs/>
                <w:szCs w:val="28"/>
                <w:lang w:eastAsia="ar-SA"/>
              </w:rPr>
              <w:t>skaņā ar</w:t>
            </w:r>
            <w:r w:rsidRPr="00F91A83" w:rsidR="00DD4C36">
              <w:rPr>
                <w:bCs/>
                <w:szCs w:val="28"/>
                <w:lang w:eastAsia="ar-SA"/>
              </w:rPr>
              <w:t xml:space="preserve"> </w:t>
            </w:r>
            <w:r w:rsidRPr="00F91A83" w:rsidR="006869B4">
              <w:rPr>
                <w:bCs/>
                <w:szCs w:val="28"/>
                <w:lang w:eastAsia="ar-SA"/>
              </w:rPr>
              <w:t xml:space="preserve">2017. gada 28. aprīļa </w:t>
            </w:r>
            <w:r w:rsidRPr="00F91A83">
              <w:rPr>
                <w:bCs/>
                <w:szCs w:val="28"/>
                <w:lang w:eastAsia="ar-SA"/>
              </w:rPr>
              <w:t>tehniskās apsekošanas atzinumu ir</w:t>
            </w:r>
            <w:r w:rsidRPr="00F91A83" w:rsidR="00DD4C36">
              <w:rPr>
                <w:bCs/>
                <w:szCs w:val="28"/>
                <w:lang w:eastAsia="ar-SA"/>
              </w:rPr>
              <w:t xml:space="preserve"> </w:t>
            </w:r>
            <w:r w:rsidRPr="00F91A83">
              <w:rPr>
                <w:bCs/>
                <w:szCs w:val="28"/>
                <w:lang w:eastAsia="ar-SA"/>
              </w:rPr>
              <w:t xml:space="preserve">avārijas stāvoklī, apdraud cilvēku drošību un ir nojaucamas. </w:t>
            </w:r>
            <w:r w:rsidRPr="00F91A83" w:rsidR="00894A0C">
              <w:rPr>
                <w:bCs/>
                <w:szCs w:val="28"/>
                <w:lang w:eastAsia="ar-SA"/>
              </w:rPr>
              <w:t>Ē</w:t>
            </w:r>
            <w:r w:rsidRPr="00F91A83" w:rsidR="00457ED8">
              <w:rPr>
                <w:bCs/>
                <w:szCs w:val="28"/>
                <w:lang w:eastAsia="ar-SA"/>
              </w:rPr>
              <w:t>ku n</w:t>
            </w:r>
            <w:r w:rsidRPr="00F91A83">
              <w:rPr>
                <w:bCs/>
                <w:szCs w:val="28"/>
                <w:lang w:eastAsia="ar-SA"/>
              </w:rPr>
              <w:t xml:space="preserve">ojaukšanas provizoriskās izmaksas ir 8400 </w:t>
            </w:r>
            <w:r w:rsidRPr="00F91A83">
              <w:rPr>
                <w:bCs/>
                <w:i/>
                <w:szCs w:val="28"/>
                <w:lang w:eastAsia="ar-SA"/>
              </w:rPr>
              <w:t xml:space="preserve">euro. </w:t>
            </w:r>
            <w:r w:rsidRPr="00F91A83" w:rsidR="005725EF">
              <w:rPr>
                <w:bCs/>
                <w:szCs w:val="28"/>
                <w:lang w:eastAsia="ar-SA"/>
              </w:rPr>
              <w:t>Par vidi degradējošu būvi</w:t>
            </w:r>
            <w:r w:rsidRPr="00F91A83" w:rsidR="00FC423C">
              <w:rPr>
                <w:bCs/>
                <w:szCs w:val="28"/>
                <w:lang w:eastAsia="ar-SA"/>
              </w:rPr>
              <w:t xml:space="preserve"> pašvaldība</w:t>
            </w:r>
            <w:r w:rsidRPr="00F91A83" w:rsidR="005725EF">
              <w:rPr>
                <w:bCs/>
                <w:szCs w:val="28"/>
                <w:lang w:eastAsia="ar-SA"/>
              </w:rPr>
              <w:t xml:space="preserve"> ir </w:t>
            </w:r>
            <w:r w:rsidRPr="00F91A83" w:rsidR="00FC423C">
              <w:rPr>
                <w:bCs/>
                <w:szCs w:val="28"/>
                <w:lang w:eastAsia="ar-SA"/>
              </w:rPr>
              <w:t xml:space="preserve">noteikusi </w:t>
            </w:r>
            <w:r w:rsidRPr="00F91A83" w:rsidR="005725EF">
              <w:rPr>
                <w:bCs/>
                <w:szCs w:val="28"/>
                <w:lang w:eastAsia="ar-SA"/>
              </w:rPr>
              <w:t>paaugstināt</w:t>
            </w:r>
            <w:r w:rsidRPr="00F91A83" w:rsidR="00FC423C">
              <w:rPr>
                <w:bCs/>
                <w:szCs w:val="28"/>
                <w:lang w:eastAsia="ar-SA"/>
              </w:rPr>
              <w:t>u</w:t>
            </w:r>
            <w:r w:rsidRPr="00F91A83" w:rsidR="005725EF">
              <w:rPr>
                <w:bCs/>
                <w:szCs w:val="28"/>
                <w:lang w:eastAsia="ar-SA"/>
              </w:rPr>
              <w:t xml:space="preserve"> nekustamā īpašuma nodokli 3 %</w:t>
            </w:r>
            <w:r w:rsidRPr="00F91A83" w:rsidR="00FC423C">
              <w:rPr>
                <w:bCs/>
                <w:szCs w:val="28"/>
                <w:lang w:eastAsia="ar-SA"/>
              </w:rPr>
              <w:t xml:space="preserve"> apmērā</w:t>
            </w:r>
            <w:r w:rsidRPr="00F91A83" w:rsidR="005725EF">
              <w:rPr>
                <w:bCs/>
                <w:szCs w:val="28"/>
                <w:lang w:eastAsia="ar-SA"/>
              </w:rPr>
              <w:t>.</w:t>
            </w:r>
            <w:r w:rsidRPr="00F91A83" w:rsidR="005725EF">
              <w:rPr>
                <w:bCs/>
                <w:i/>
                <w:szCs w:val="28"/>
                <w:lang w:eastAsia="ar-SA"/>
              </w:rPr>
              <w:t xml:space="preserve"> </w:t>
            </w:r>
            <w:r w:rsidRPr="00F91A83" w:rsidR="00457ED8">
              <w:rPr>
                <w:szCs w:val="28"/>
              </w:rPr>
              <w:t>Ņemot vērā, ka</w:t>
            </w:r>
            <w:r w:rsidRPr="00F91A83">
              <w:rPr>
                <w:szCs w:val="28"/>
              </w:rPr>
              <w:t xml:space="preserve"> </w:t>
            </w:r>
            <w:r w:rsidRPr="00F91A83">
              <w:rPr>
                <w:szCs w:val="28"/>
              </w:rPr>
              <w:t xml:space="preserve">valsts </w:t>
            </w:r>
            <w:r w:rsidRPr="00F91A83" w:rsidR="008B072C">
              <w:rPr>
                <w:szCs w:val="28"/>
              </w:rPr>
              <w:t xml:space="preserve">nekustamais </w:t>
            </w:r>
            <w:r w:rsidRPr="00F91A83">
              <w:rPr>
                <w:szCs w:val="28"/>
              </w:rPr>
              <w:t xml:space="preserve">īpašums nav nepieciešams DAP funkciju nodrošināšanai, </w:t>
            </w:r>
            <w:r w:rsidRPr="00F91A83" w:rsidR="00DF10A2">
              <w:rPr>
                <w:szCs w:val="28"/>
              </w:rPr>
              <w:t xml:space="preserve">VARAM ieskatā lietderīgākais </w:t>
            </w:r>
            <w:r w:rsidRPr="00F91A83">
              <w:rPr>
                <w:szCs w:val="28"/>
              </w:rPr>
              <w:t xml:space="preserve">nekustamā īpašuma </w:t>
            </w:r>
            <w:r w:rsidRPr="00F91A83" w:rsidR="003E4420">
              <w:rPr>
                <w:szCs w:val="28"/>
              </w:rPr>
              <w:t xml:space="preserve">atsavināšanas </w:t>
            </w:r>
            <w:r w:rsidRPr="00F91A83">
              <w:rPr>
                <w:szCs w:val="28"/>
              </w:rPr>
              <w:t xml:space="preserve">veids ir tā </w:t>
            </w:r>
            <w:r w:rsidRPr="00F91A83" w:rsidR="003E4420">
              <w:rPr>
                <w:szCs w:val="28"/>
              </w:rPr>
              <w:t>pārdošana izsolē</w:t>
            </w:r>
            <w:r w:rsidR="00BD32D5">
              <w:rPr>
                <w:szCs w:val="28"/>
              </w:rPr>
              <w:t>.</w:t>
            </w:r>
          </w:p>
          <w:p w:rsidR="00015174" w:rsidRPr="00F91A83" w:rsidP="005F7CF4" w14:paraId="718893B0" w14:textId="77927DFC">
            <w:pPr>
              <w:jc w:val="both"/>
              <w:rPr>
                <w:szCs w:val="28"/>
              </w:rPr>
            </w:pPr>
            <w:r w:rsidRPr="00F91A83">
              <w:rPr>
                <w:szCs w:val="28"/>
              </w:rPr>
              <w:t xml:space="preserve">Atbilstoši Atsavināšanas likuma </w:t>
            </w:r>
            <w:r w:rsidRPr="00F91A83" w:rsidR="00721BC1">
              <w:rPr>
                <w:szCs w:val="28"/>
              </w:rPr>
              <w:t>8. </w:t>
            </w:r>
            <w:r w:rsidRPr="00F91A83" w:rsidR="006B6C93">
              <w:rPr>
                <w:szCs w:val="28"/>
              </w:rPr>
              <w:t xml:space="preserve">panta pirmajā daļā un </w:t>
            </w:r>
            <w:r w:rsidRPr="00F91A83">
              <w:rPr>
                <w:szCs w:val="28"/>
              </w:rPr>
              <w:t>9.</w:t>
            </w:r>
            <w:r w:rsidRPr="00F91A83" w:rsidR="00DD4C36">
              <w:rPr>
                <w:szCs w:val="28"/>
              </w:rPr>
              <w:t> </w:t>
            </w:r>
            <w:r w:rsidRPr="00F91A83" w:rsidR="006B6C93">
              <w:rPr>
                <w:szCs w:val="28"/>
              </w:rPr>
              <w:t>panta pirmajā daļā noteiktajam</w:t>
            </w:r>
            <w:r w:rsidRPr="00F91A83">
              <w:rPr>
                <w:szCs w:val="28"/>
              </w:rPr>
              <w:t>, valsts nekustam</w:t>
            </w:r>
            <w:r w:rsidRPr="00F91A83" w:rsidR="006B6C93">
              <w:rPr>
                <w:szCs w:val="28"/>
              </w:rPr>
              <w:t xml:space="preserve">ā </w:t>
            </w:r>
            <w:r w:rsidRPr="00F91A83">
              <w:rPr>
                <w:szCs w:val="28"/>
              </w:rPr>
              <w:t xml:space="preserve"> īpašum</w:t>
            </w:r>
            <w:r w:rsidRPr="00F91A83" w:rsidR="006B6C93">
              <w:rPr>
                <w:szCs w:val="28"/>
              </w:rPr>
              <w:t xml:space="preserve">a novērtēšanu un </w:t>
            </w:r>
            <w:r w:rsidRPr="00F91A83">
              <w:rPr>
                <w:szCs w:val="28"/>
              </w:rPr>
              <w:t xml:space="preserve"> atsavināšanu organizē VNĪ. </w:t>
            </w:r>
          </w:p>
          <w:p w:rsidR="00015174" w:rsidRPr="00F91A83" w:rsidP="005F7CF4" w14:paraId="1F96CE09" w14:textId="715F7169">
            <w:pPr>
              <w:pStyle w:val="NoSpacing"/>
              <w:jc w:val="both"/>
              <w:rPr>
                <w:rFonts w:ascii="Times New Roman" w:hAnsi="Times New Roman" w:cs="Times New Roman"/>
                <w:sz w:val="28"/>
                <w:szCs w:val="28"/>
              </w:rPr>
            </w:pPr>
            <w:r w:rsidRPr="00F91A83">
              <w:rPr>
                <w:rFonts w:ascii="Times New Roman" w:hAnsi="Times New Roman" w:cs="Times New Roman"/>
                <w:sz w:val="28"/>
                <w:szCs w:val="28"/>
                <w:lang w:eastAsia="lv-LV"/>
              </w:rPr>
              <w:t>VNĪ, pamatojoties uz Ministru kabineta atļauju, rīkojuma projekta 1.</w:t>
            </w:r>
            <w:r w:rsidRPr="00F91A83" w:rsidR="00DF10A2">
              <w:rPr>
                <w:rFonts w:ascii="Times New Roman" w:hAnsi="Times New Roman" w:cs="Times New Roman"/>
                <w:sz w:val="28"/>
                <w:szCs w:val="28"/>
                <w:lang w:eastAsia="lv-LV"/>
              </w:rPr>
              <w:t> </w:t>
            </w:r>
            <w:r w:rsidRPr="00F91A83">
              <w:rPr>
                <w:rFonts w:ascii="Times New Roman" w:hAnsi="Times New Roman" w:cs="Times New Roman"/>
                <w:sz w:val="28"/>
                <w:szCs w:val="28"/>
                <w:lang w:eastAsia="lv-LV"/>
              </w:rPr>
              <w:t xml:space="preserve">punktā minēto </w:t>
            </w:r>
            <w:r w:rsidRPr="00F91A83" w:rsidR="00ED275F">
              <w:rPr>
                <w:rFonts w:ascii="Times New Roman" w:hAnsi="Times New Roman" w:cs="Times New Roman"/>
                <w:sz w:val="28"/>
                <w:szCs w:val="28"/>
                <w:lang w:eastAsia="lv-LV"/>
              </w:rPr>
              <w:t xml:space="preserve">valsts </w:t>
            </w:r>
            <w:r w:rsidRPr="00F91A83">
              <w:rPr>
                <w:rFonts w:ascii="Times New Roman" w:hAnsi="Times New Roman" w:cs="Times New Roman"/>
                <w:sz w:val="28"/>
                <w:szCs w:val="28"/>
                <w:lang w:eastAsia="lv-LV"/>
              </w:rPr>
              <w:t xml:space="preserve">nekustamo īpašumu </w:t>
            </w:r>
            <w:r w:rsidRPr="00F91A83" w:rsidR="00F87AE9">
              <w:rPr>
                <w:rFonts w:ascii="Times New Roman" w:hAnsi="Times New Roman" w:cs="Times New Roman"/>
                <w:sz w:val="28"/>
                <w:szCs w:val="28"/>
                <w:lang w:eastAsia="lv-LV"/>
              </w:rPr>
              <w:t>atsavin</w:t>
            </w:r>
            <w:r w:rsidR="00BD32D5">
              <w:rPr>
                <w:rFonts w:ascii="Times New Roman" w:hAnsi="Times New Roman" w:cs="Times New Roman"/>
                <w:sz w:val="28"/>
                <w:szCs w:val="28"/>
                <w:lang w:eastAsia="lv-LV"/>
              </w:rPr>
              <w:t>a</w:t>
            </w:r>
            <w:r w:rsidRPr="00F91A83" w:rsidR="00F87AE9">
              <w:rPr>
                <w:rFonts w:ascii="Times New Roman" w:hAnsi="Times New Roman" w:cs="Times New Roman"/>
                <w:sz w:val="28"/>
                <w:szCs w:val="28"/>
                <w:lang w:eastAsia="lv-LV"/>
              </w:rPr>
              <w:t xml:space="preserve"> </w:t>
            </w:r>
            <w:r w:rsidRPr="00F91A83">
              <w:rPr>
                <w:rFonts w:ascii="Times New Roman" w:hAnsi="Times New Roman" w:cs="Times New Roman"/>
                <w:sz w:val="28"/>
                <w:szCs w:val="28"/>
                <w:lang w:eastAsia="lv-LV"/>
              </w:rPr>
              <w:t>saskaņā ar Atsavināšanas likumā noteikto kārtību.</w:t>
            </w:r>
            <w:r w:rsidRPr="00F91A83">
              <w:rPr>
                <w:rFonts w:ascii="Times New Roman" w:hAnsi="Times New Roman" w:cs="Times New Roman"/>
                <w:sz w:val="28"/>
                <w:szCs w:val="28"/>
              </w:rPr>
              <w:t xml:space="preserve"> </w:t>
            </w:r>
          </w:p>
          <w:p w:rsidR="00015174" w:rsidRPr="00F91A83" w:rsidP="005F7CF4" w14:paraId="776AF5ED" w14:textId="49F81E23">
            <w:pPr>
              <w:pStyle w:val="NoSpacing"/>
              <w:jc w:val="both"/>
              <w:rPr>
                <w:rFonts w:ascii="Times New Roman" w:hAnsi="Times New Roman" w:cs="Times New Roman"/>
                <w:sz w:val="28"/>
                <w:szCs w:val="28"/>
                <w:lang w:eastAsia="lv-LV"/>
              </w:rPr>
            </w:pPr>
            <w:r w:rsidRPr="00F91A83">
              <w:rPr>
                <w:rFonts w:ascii="Times New Roman" w:hAnsi="Times New Roman" w:cs="Times New Roman"/>
                <w:sz w:val="28"/>
                <w:szCs w:val="28"/>
                <w:lang w:eastAsia="lv-LV"/>
              </w:rPr>
              <w:t>Rīkojuma projekts paredz uzdevumu V</w:t>
            </w:r>
            <w:r w:rsidRPr="00F91A83" w:rsidR="00D731D1">
              <w:rPr>
                <w:rFonts w:ascii="Times New Roman" w:hAnsi="Times New Roman" w:cs="Times New Roman"/>
                <w:sz w:val="28"/>
                <w:szCs w:val="28"/>
                <w:lang w:eastAsia="lv-LV"/>
              </w:rPr>
              <w:t xml:space="preserve">ARAM </w:t>
            </w:r>
            <w:r w:rsidRPr="00F91A83">
              <w:rPr>
                <w:rFonts w:ascii="Times New Roman" w:hAnsi="Times New Roman" w:cs="Times New Roman"/>
                <w:sz w:val="28"/>
                <w:szCs w:val="28"/>
                <w:lang w:eastAsia="lv-LV"/>
              </w:rPr>
              <w:t xml:space="preserve"> nodot pircējam valsts nekustamo īpašumu 30 (trīsdesmit) dienu laikā no pirkuma līguma nos</w:t>
            </w:r>
            <w:r w:rsidRPr="00F91A83" w:rsidR="00B045DC">
              <w:rPr>
                <w:rFonts w:ascii="Times New Roman" w:hAnsi="Times New Roman" w:cs="Times New Roman"/>
                <w:sz w:val="28"/>
                <w:szCs w:val="28"/>
                <w:lang w:eastAsia="lv-LV"/>
              </w:rPr>
              <w:t xml:space="preserve">lēgšanas dienas ar pieņemšanas </w:t>
            </w:r>
            <w:r w:rsidRPr="00F91A83" w:rsidR="00B045DC">
              <w:rPr>
                <w:rStyle w:val="Emphasis"/>
                <w:i w:val="0"/>
                <w:sz w:val="28"/>
                <w:szCs w:val="28"/>
              </w:rPr>
              <w:t xml:space="preserve">– </w:t>
            </w:r>
            <w:r w:rsidRPr="00F91A83">
              <w:rPr>
                <w:rFonts w:ascii="Times New Roman" w:hAnsi="Times New Roman" w:cs="Times New Roman"/>
                <w:sz w:val="28"/>
                <w:szCs w:val="28"/>
                <w:lang w:eastAsia="lv-LV"/>
              </w:rPr>
              <w:t>nodošanas aktu.</w:t>
            </w:r>
          </w:p>
          <w:p w:rsidR="00BE1840" w:rsidRPr="00F91A83" w:rsidP="005F7CF4" w14:paraId="6100D6EE" w14:textId="5CE4163D">
            <w:pPr>
              <w:pStyle w:val="NoSpacing"/>
              <w:jc w:val="both"/>
              <w:rPr>
                <w:rFonts w:ascii="Times New Roman" w:hAnsi="Times New Roman" w:cs="Times New Roman"/>
                <w:sz w:val="28"/>
                <w:szCs w:val="28"/>
                <w:lang w:bidi="en-US"/>
              </w:rPr>
            </w:pPr>
            <w:r w:rsidRPr="00F91A83">
              <w:rPr>
                <w:rFonts w:ascii="Times New Roman" w:hAnsi="Times New Roman" w:cs="Times New Roman"/>
                <w:sz w:val="28"/>
                <w:szCs w:val="28"/>
                <w:lang w:bidi="en-US"/>
              </w:rPr>
              <w:t>Izsoles dalībniekie</w:t>
            </w:r>
            <w:r w:rsidRPr="00F91A83" w:rsidR="006964BF">
              <w:rPr>
                <w:rFonts w:ascii="Times New Roman" w:hAnsi="Times New Roman" w:cs="Times New Roman"/>
                <w:sz w:val="28"/>
                <w:szCs w:val="28"/>
                <w:lang w:bidi="en-US"/>
              </w:rPr>
              <w:t xml:space="preserve">m tiks sniegta informācija, ka </w:t>
            </w:r>
            <w:r w:rsidRPr="00F91A83">
              <w:rPr>
                <w:rFonts w:ascii="Times New Roman" w:hAnsi="Times New Roman" w:cs="Times New Roman"/>
                <w:sz w:val="28"/>
                <w:szCs w:val="28"/>
                <w:lang w:bidi="en-US"/>
              </w:rPr>
              <w:t>valsts nekustamā īpašuma ieguvējam būs pienākums ievērot Ķemeru nacionālā parka likuma 10. pantā noteikto un  Ministru kabineta 2016. gada 6</w:t>
            </w:r>
            <w:r w:rsidRPr="00F91A83" w:rsidR="006964BF">
              <w:rPr>
                <w:rFonts w:ascii="Times New Roman" w:hAnsi="Times New Roman" w:cs="Times New Roman"/>
                <w:sz w:val="28"/>
                <w:szCs w:val="28"/>
                <w:lang w:bidi="en-US"/>
              </w:rPr>
              <w:t>. septembra noteikumus Nr. 601 “</w:t>
            </w:r>
            <w:r w:rsidRPr="00F91A83">
              <w:rPr>
                <w:rFonts w:ascii="Times New Roman" w:hAnsi="Times New Roman" w:cs="Times New Roman"/>
                <w:sz w:val="28"/>
                <w:szCs w:val="28"/>
                <w:lang w:bidi="en-US"/>
              </w:rPr>
              <w:t>Ķemeru nacionālā parka individuālie aizsard</w:t>
            </w:r>
            <w:r w:rsidRPr="00F91A83" w:rsidR="006964BF">
              <w:rPr>
                <w:rFonts w:ascii="Times New Roman" w:hAnsi="Times New Roman" w:cs="Times New Roman"/>
                <w:sz w:val="28"/>
                <w:szCs w:val="28"/>
                <w:lang w:bidi="en-US"/>
              </w:rPr>
              <w:t>zības un izmantošanas noteikumi”</w:t>
            </w:r>
            <w:r w:rsidRPr="00F91A83">
              <w:rPr>
                <w:rFonts w:ascii="Times New Roman" w:hAnsi="Times New Roman" w:cs="Times New Roman"/>
                <w:sz w:val="28"/>
                <w:szCs w:val="28"/>
                <w:lang w:bidi="en-US"/>
              </w:rPr>
              <w:t>.</w:t>
            </w:r>
          </w:p>
          <w:p w:rsidR="004248FD" w:rsidRPr="00F91A83" w:rsidP="005F7CF4" w14:paraId="01E24E4E" w14:textId="2243C6A5">
            <w:pPr>
              <w:pStyle w:val="NoSpacing"/>
              <w:jc w:val="both"/>
              <w:rPr>
                <w:rFonts w:ascii="Times New Roman" w:hAnsi="Times New Roman" w:cs="Times New Roman"/>
                <w:b/>
                <w:sz w:val="28"/>
                <w:szCs w:val="28"/>
                <w:lang w:bidi="en-US"/>
              </w:rPr>
            </w:pPr>
            <w:r w:rsidRPr="00F91A83">
              <w:rPr>
                <w:rFonts w:ascii="Times New Roman" w:hAnsi="Times New Roman" w:cs="Times New Roman"/>
                <w:b/>
                <w:sz w:val="28"/>
                <w:szCs w:val="28"/>
                <w:lang w:bidi="en-US"/>
              </w:rPr>
              <w:t xml:space="preserve">Potenciālie </w:t>
            </w:r>
            <w:r w:rsidRPr="00F91A83" w:rsidR="00BE1840">
              <w:rPr>
                <w:rFonts w:ascii="Times New Roman" w:hAnsi="Times New Roman" w:cs="Times New Roman"/>
                <w:b/>
                <w:sz w:val="28"/>
                <w:szCs w:val="28"/>
                <w:lang w:bidi="en-US"/>
              </w:rPr>
              <w:t>valsts n</w:t>
            </w:r>
            <w:r w:rsidRPr="00F91A83">
              <w:rPr>
                <w:rFonts w:ascii="Times New Roman" w:hAnsi="Times New Roman" w:cs="Times New Roman"/>
                <w:b/>
                <w:sz w:val="28"/>
                <w:szCs w:val="28"/>
                <w:lang w:bidi="en-US"/>
              </w:rPr>
              <w:t>ekustamā īpašuma ieguvēji tiks informēti, ka uz Nekustamā īpašuma sastāvā ietilpstošās zemes vienības ir būves, kas ir avārijas stāvoklī un uzskatāmas par vidi degradējošām, un saskaņā ar normatīvajiem aktiem būvju īpašniekam ir pienākums šādas būves sakārtot vai nojaukt.</w:t>
            </w:r>
          </w:p>
          <w:p w:rsidR="00A468DF" w:rsidRPr="00F91A83" w:rsidP="005F7CF4" w14:paraId="0CFBD806" w14:textId="32C71900">
            <w:pPr>
              <w:pStyle w:val="NoSpacing"/>
              <w:jc w:val="both"/>
              <w:rPr>
                <w:rFonts w:ascii="Times New Roman" w:eastAsia="Times New Roman" w:hAnsi="Times New Roman" w:cs="Times New Roman"/>
                <w:sz w:val="28"/>
                <w:szCs w:val="28"/>
              </w:rPr>
            </w:pPr>
            <w:r w:rsidRPr="00F91A83">
              <w:rPr>
                <w:rFonts w:ascii="Times New Roman" w:eastAsia="Times New Roman" w:hAnsi="Times New Roman" w:cs="Times New Roman"/>
                <w:sz w:val="28"/>
                <w:szCs w:val="28"/>
              </w:rPr>
              <w:t>V</w:t>
            </w:r>
            <w:r w:rsidRPr="00F91A83" w:rsidR="009F5C52">
              <w:rPr>
                <w:rFonts w:ascii="Times New Roman" w:eastAsia="Times New Roman" w:hAnsi="Times New Roman" w:cs="Times New Roman"/>
                <w:sz w:val="28"/>
                <w:szCs w:val="28"/>
              </w:rPr>
              <w:t xml:space="preserve">eicot </w:t>
            </w:r>
            <w:r w:rsidRPr="00F91A83">
              <w:rPr>
                <w:rFonts w:ascii="Times New Roman" w:eastAsia="Times New Roman" w:hAnsi="Times New Roman" w:cs="Times New Roman"/>
                <w:sz w:val="28"/>
                <w:szCs w:val="28"/>
              </w:rPr>
              <w:t xml:space="preserve">nekustamo īpašumu ieguvušā īpašnieka </w:t>
            </w:r>
            <w:r w:rsidRPr="00F91A83" w:rsidR="009F5C52">
              <w:rPr>
                <w:rFonts w:ascii="Times New Roman" w:eastAsia="Times New Roman" w:hAnsi="Times New Roman" w:cs="Times New Roman"/>
                <w:sz w:val="28"/>
                <w:szCs w:val="28"/>
              </w:rPr>
              <w:t xml:space="preserve"> reģistrāciju zemesgrāmatā</w:t>
            </w:r>
            <w:r w:rsidRPr="00F91A83">
              <w:rPr>
                <w:rFonts w:ascii="Times New Roman" w:eastAsia="Times New Roman" w:hAnsi="Times New Roman" w:cs="Times New Roman"/>
                <w:sz w:val="28"/>
                <w:szCs w:val="28"/>
              </w:rPr>
              <w:t>,</w:t>
            </w:r>
            <w:r w:rsidRPr="00F91A83" w:rsidR="009F5C52">
              <w:rPr>
                <w:rFonts w:ascii="Times New Roman" w:eastAsia="Times New Roman" w:hAnsi="Times New Roman" w:cs="Times New Roman"/>
                <w:sz w:val="28"/>
                <w:szCs w:val="28"/>
              </w:rPr>
              <w:t xml:space="preserve"> </w:t>
            </w:r>
            <w:r w:rsidRPr="00F91A83">
              <w:rPr>
                <w:rFonts w:ascii="Times New Roman" w:eastAsia="Times New Roman" w:hAnsi="Times New Roman" w:cs="Times New Roman"/>
                <w:sz w:val="28"/>
                <w:szCs w:val="28"/>
              </w:rPr>
              <w:t>jā</w:t>
            </w:r>
            <w:r w:rsidRPr="00F91A83" w:rsidR="009F5C52">
              <w:rPr>
                <w:rFonts w:ascii="Times New Roman" w:eastAsia="Times New Roman" w:hAnsi="Times New Roman" w:cs="Times New Roman"/>
                <w:sz w:val="28"/>
                <w:szCs w:val="28"/>
              </w:rPr>
              <w:t>vei</w:t>
            </w:r>
            <w:r w:rsidRPr="00F91A83">
              <w:rPr>
                <w:rFonts w:ascii="Times New Roman" w:eastAsia="Times New Roman" w:hAnsi="Times New Roman" w:cs="Times New Roman"/>
                <w:sz w:val="28"/>
                <w:szCs w:val="28"/>
              </w:rPr>
              <w:t>c</w:t>
            </w:r>
            <w:r w:rsidRPr="00F91A83" w:rsidR="009F5C52">
              <w:rPr>
                <w:rFonts w:ascii="Times New Roman" w:eastAsia="Times New Roman" w:hAnsi="Times New Roman" w:cs="Times New Roman"/>
                <w:sz w:val="28"/>
                <w:szCs w:val="28"/>
              </w:rPr>
              <w:t xml:space="preserve"> datu aktualizācij</w:t>
            </w:r>
            <w:r w:rsidRPr="00F91A83">
              <w:rPr>
                <w:rFonts w:ascii="Times New Roman" w:eastAsia="Times New Roman" w:hAnsi="Times New Roman" w:cs="Times New Roman"/>
                <w:sz w:val="28"/>
                <w:szCs w:val="28"/>
              </w:rPr>
              <w:t>a</w:t>
            </w:r>
            <w:r w:rsidRPr="00F91A83" w:rsidR="009F5C52">
              <w:rPr>
                <w:rFonts w:ascii="Times New Roman" w:eastAsia="Times New Roman" w:hAnsi="Times New Roman" w:cs="Times New Roman"/>
                <w:sz w:val="28"/>
                <w:szCs w:val="28"/>
              </w:rPr>
              <w:t xml:space="preserve"> </w:t>
            </w:r>
            <w:r w:rsidRPr="00F91A83" w:rsidR="00D623CD">
              <w:t xml:space="preserve"> </w:t>
            </w:r>
            <w:r w:rsidRPr="00F91A83" w:rsidR="00D623CD">
              <w:rPr>
                <w:rFonts w:ascii="Times New Roman" w:hAnsi="Times New Roman" w:cs="Times New Roman"/>
                <w:sz w:val="28"/>
                <w:szCs w:val="28"/>
              </w:rPr>
              <w:t xml:space="preserve">Jūrmalas pilsētas zemesgrāmatas nodalījuma Nr. 5560 </w:t>
            </w:r>
            <w:r w:rsidRPr="00F91A83" w:rsidR="00D623CD">
              <w:rPr>
                <w:rFonts w:ascii="Times New Roman" w:hAnsi="Times New Roman" w:cs="Times New Roman"/>
                <w:sz w:val="28"/>
                <w:szCs w:val="28"/>
              </w:rPr>
              <w:t xml:space="preserve">III daļas 1.iedaļas ierakstos par lietu tiesībām, kas apgrūtina nekustamo īpašumu atbilstoši  datu aktualizācijai </w:t>
            </w:r>
            <w:r w:rsidRPr="00F91A83" w:rsidR="008B0056">
              <w:rPr>
                <w:rFonts w:ascii="Times New Roman" w:hAnsi="Times New Roman" w:cs="Times New Roman"/>
                <w:sz w:val="28"/>
                <w:szCs w:val="28"/>
              </w:rPr>
              <w:t>NĪVKIS</w:t>
            </w:r>
            <w:r w:rsidRPr="00F91A83" w:rsidR="00D623CD">
              <w:rPr>
                <w:rFonts w:ascii="Times New Roman" w:eastAsia="Times New Roman" w:hAnsi="Times New Roman" w:cs="Times New Roman"/>
                <w:sz w:val="28"/>
                <w:szCs w:val="28"/>
              </w:rPr>
              <w:t xml:space="preserve">: </w:t>
            </w:r>
          </w:p>
          <w:p w:rsidR="00A468DF" w:rsidRPr="00F91A83" w:rsidP="00A468DF" w14:paraId="669FADEB" w14:textId="0BCDF92B">
            <w:pPr>
              <w:pStyle w:val="NoSpacing"/>
              <w:numPr>
                <w:ilvl w:val="0"/>
                <w:numId w:val="1"/>
              </w:numPr>
              <w:jc w:val="both"/>
              <w:rPr>
                <w:rFonts w:ascii="Times New Roman" w:hAnsi="Times New Roman" w:cs="Times New Roman"/>
                <w:sz w:val="28"/>
                <w:szCs w:val="28"/>
                <w:lang w:eastAsia="lv-LV"/>
              </w:rPr>
            </w:pPr>
            <w:r w:rsidRPr="00F91A83">
              <w:rPr>
                <w:rFonts w:ascii="Times New Roman" w:eastAsia="Times New Roman" w:hAnsi="Times New Roman" w:cs="Times New Roman"/>
                <w:sz w:val="28"/>
                <w:szCs w:val="28"/>
              </w:rPr>
              <w:t>jādzēš</w:t>
            </w:r>
            <w:r w:rsidRPr="00F91A83" w:rsidR="009F5C52">
              <w:rPr>
                <w:rFonts w:ascii="Times New Roman" w:eastAsia="Times New Roman" w:hAnsi="Times New Roman" w:cs="Times New Roman"/>
                <w:sz w:val="28"/>
                <w:szCs w:val="28"/>
              </w:rPr>
              <w:t xml:space="preserve"> apgrūtinājum</w:t>
            </w:r>
            <w:r w:rsidRPr="00F91A83">
              <w:rPr>
                <w:rFonts w:ascii="Times New Roman" w:eastAsia="Times New Roman" w:hAnsi="Times New Roman" w:cs="Times New Roman"/>
                <w:sz w:val="28"/>
                <w:szCs w:val="28"/>
              </w:rPr>
              <w:t>s</w:t>
            </w:r>
            <w:r w:rsidRPr="00F91A83" w:rsidR="009F5C52">
              <w:rPr>
                <w:rFonts w:ascii="Times New Roman" w:eastAsia="Times New Roman" w:hAnsi="Times New Roman" w:cs="Times New Roman"/>
                <w:sz w:val="28"/>
                <w:szCs w:val="28"/>
              </w:rPr>
              <w:t xml:space="preserve"> </w:t>
            </w:r>
            <w:r w:rsidRPr="00F91A83" w:rsidR="006964BF">
              <w:rPr>
                <w:rFonts w:ascii="Times New Roman" w:eastAsia="Times New Roman" w:hAnsi="Times New Roman" w:cs="Times New Roman"/>
                <w:sz w:val="28"/>
                <w:szCs w:val="28"/>
              </w:rPr>
              <w:t>“</w:t>
            </w:r>
            <w:r w:rsidRPr="00F91A83" w:rsidR="00A03A72">
              <w:rPr>
                <w:rFonts w:ascii="Times New Roman" w:eastAsia="Times New Roman" w:hAnsi="Times New Roman" w:cs="Times New Roman"/>
                <w:sz w:val="28"/>
                <w:szCs w:val="28"/>
              </w:rPr>
              <w:t>U</w:t>
            </w:r>
            <w:r w:rsidRPr="00F91A83" w:rsidR="009F5C52">
              <w:rPr>
                <w:rFonts w:ascii="Times New Roman" w:eastAsia="Times New Roman" w:hAnsi="Times New Roman" w:cs="Times New Roman"/>
                <w:sz w:val="28"/>
                <w:szCs w:val="28"/>
              </w:rPr>
              <w:t>z zemes gabala atrodas citām personām piederošas ēkas un būves</w:t>
            </w:r>
            <w:r w:rsidRPr="00F91A83" w:rsidR="006964BF">
              <w:rPr>
                <w:rFonts w:ascii="Times New Roman" w:eastAsia="Times New Roman" w:hAnsi="Times New Roman" w:cs="Times New Roman"/>
                <w:sz w:val="28"/>
                <w:szCs w:val="28"/>
              </w:rPr>
              <w:t>”</w:t>
            </w:r>
            <w:r w:rsidRPr="00F91A83">
              <w:rPr>
                <w:rFonts w:ascii="Times New Roman" w:eastAsia="Times New Roman" w:hAnsi="Times New Roman" w:cs="Times New Roman"/>
                <w:sz w:val="28"/>
                <w:szCs w:val="28"/>
              </w:rPr>
              <w:t>;</w:t>
            </w:r>
          </w:p>
          <w:p w:rsidR="00A468DF" w:rsidRPr="00F91A83" w:rsidP="00A468DF" w14:paraId="5B78D748" w14:textId="13599465">
            <w:pPr>
              <w:pStyle w:val="NoSpacing"/>
              <w:numPr>
                <w:ilvl w:val="0"/>
                <w:numId w:val="1"/>
              </w:numPr>
              <w:jc w:val="both"/>
              <w:rPr>
                <w:rFonts w:ascii="Times New Roman" w:hAnsi="Times New Roman" w:cs="Times New Roman"/>
                <w:sz w:val="28"/>
                <w:szCs w:val="28"/>
                <w:lang w:eastAsia="lv-LV"/>
              </w:rPr>
            </w:pPr>
            <w:r w:rsidRPr="00F91A83">
              <w:rPr>
                <w:rFonts w:ascii="Times New Roman" w:eastAsia="Times New Roman" w:hAnsi="Times New Roman" w:cs="Times New Roman"/>
                <w:sz w:val="28"/>
                <w:szCs w:val="28"/>
              </w:rPr>
              <w:t xml:space="preserve">jādzēš apgrūtinājums “Noslēgt līgumu ar Ķemeru nacionālo parku par </w:t>
            </w:r>
            <w:r w:rsidRPr="00F91A83" w:rsidR="009F5C52">
              <w:rPr>
                <w:rFonts w:ascii="Times New Roman" w:eastAsia="Times New Roman" w:hAnsi="Times New Roman" w:cs="Times New Roman"/>
                <w:sz w:val="28"/>
                <w:szCs w:val="28"/>
              </w:rPr>
              <w:t xml:space="preserve"> </w:t>
            </w:r>
            <w:r w:rsidRPr="00F91A83">
              <w:rPr>
                <w:rFonts w:ascii="Times New Roman" w:eastAsia="Times New Roman" w:hAnsi="Times New Roman" w:cs="Times New Roman"/>
                <w:sz w:val="28"/>
                <w:szCs w:val="28"/>
              </w:rPr>
              <w:t>Ķemeru nacionālā parka aizsardzības un izmantošanas režīma nodrošināšanu”</w:t>
            </w:r>
            <w:r w:rsidRPr="00F91A83" w:rsidR="00A149ED">
              <w:rPr>
                <w:rFonts w:ascii="Times New Roman" w:eastAsia="Times New Roman" w:hAnsi="Times New Roman" w:cs="Times New Roman"/>
                <w:sz w:val="28"/>
                <w:szCs w:val="28"/>
              </w:rPr>
              <w:t xml:space="preserve"> (šobrīd tādi līgumi netiek slēgti, jo Ķemeru nacionālā parka prasības jāievēro saskaņā ar </w:t>
            </w:r>
            <w:r w:rsidRPr="00F91A83" w:rsidR="00A149ED">
              <w:rPr>
                <w:rFonts w:ascii="Times New Roman" w:hAnsi="Times New Roman" w:cs="Times New Roman"/>
                <w:bCs/>
                <w:sz w:val="28"/>
                <w:szCs w:val="28"/>
                <w:shd w:val="clear" w:color="auto" w:fill="FFFFFF"/>
              </w:rPr>
              <w:t>Ķemeru nacionālā parka individuālajiem aizsardzības un izmantošanas noteikumiem);</w:t>
            </w:r>
          </w:p>
          <w:p w:rsidR="00BE1840" w:rsidRPr="00F91A83" w:rsidP="00A468DF" w14:paraId="35B3076F" w14:textId="75A79684">
            <w:pPr>
              <w:pStyle w:val="NoSpacing"/>
              <w:numPr>
                <w:ilvl w:val="0"/>
                <w:numId w:val="1"/>
              </w:numPr>
              <w:jc w:val="both"/>
              <w:rPr>
                <w:rFonts w:ascii="Times New Roman" w:hAnsi="Times New Roman" w:cs="Times New Roman"/>
                <w:sz w:val="28"/>
                <w:szCs w:val="28"/>
                <w:lang w:eastAsia="lv-LV"/>
              </w:rPr>
            </w:pPr>
            <w:r w:rsidRPr="00F91A83">
              <w:rPr>
                <w:rFonts w:ascii="Times New Roman" w:eastAsia="Times New Roman" w:hAnsi="Times New Roman" w:cs="Times New Roman"/>
                <w:sz w:val="28"/>
                <w:szCs w:val="28"/>
              </w:rPr>
              <w:t>jāmaina</w:t>
            </w:r>
            <w:r w:rsidRPr="00F91A83" w:rsidR="00A03A72">
              <w:rPr>
                <w:rFonts w:ascii="Times New Roman" w:eastAsia="Times New Roman" w:hAnsi="Times New Roman" w:cs="Times New Roman"/>
                <w:sz w:val="28"/>
                <w:szCs w:val="28"/>
              </w:rPr>
              <w:t xml:space="preserve"> ieraksts par </w:t>
            </w:r>
            <w:r w:rsidRPr="00F91A83" w:rsidR="009F5C52">
              <w:rPr>
                <w:rFonts w:ascii="Times New Roman" w:eastAsia="Times New Roman" w:hAnsi="Times New Roman" w:cs="Times New Roman"/>
                <w:sz w:val="28"/>
                <w:szCs w:val="28"/>
              </w:rPr>
              <w:t xml:space="preserve"> funkcionālo zonu</w:t>
            </w:r>
            <w:r w:rsidRPr="00F91A83">
              <w:rPr>
                <w:rFonts w:ascii="Times New Roman" w:eastAsia="Times New Roman" w:hAnsi="Times New Roman" w:cs="Times New Roman"/>
                <w:sz w:val="28"/>
                <w:szCs w:val="28"/>
              </w:rPr>
              <w:t xml:space="preserve"> no ainavu aizsardzības zonas uz neitrālo zonu.</w:t>
            </w:r>
          </w:p>
          <w:p w:rsidR="00A468DF" w:rsidRPr="00F91A83" w:rsidP="006964BF" w14:paraId="4ED24D70" w14:textId="77777777">
            <w:pPr>
              <w:jc w:val="both"/>
              <w:rPr>
                <w:szCs w:val="28"/>
              </w:rPr>
            </w:pPr>
            <w:r w:rsidRPr="00F91A83">
              <w:rPr>
                <w:szCs w:val="28"/>
              </w:rPr>
              <w:t>Zemesgrāmatā saglabājami šādi apgrūtinājumi:</w:t>
            </w:r>
          </w:p>
          <w:p w:rsidR="00A468DF" w:rsidRPr="00F91A83" w:rsidP="0054464B" w14:paraId="1ADC4734" w14:textId="77777777">
            <w:pPr>
              <w:pStyle w:val="ListParagraph"/>
              <w:numPr>
                <w:ilvl w:val="0"/>
                <w:numId w:val="2"/>
              </w:numPr>
              <w:jc w:val="both"/>
              <w:rPr>
                <w:szCs w:val="28"/>
                <w:lang w:eastAsia="lv-LV"/>
              </w:rPr>
            </w:pPr>
            <w:r w:rsidRPr="00F91A83">
              <w:rPr>
                <w:szCs w:val="28"/>
                <w:lang w:eastAsia="lv-LV"/>
              </w:rPr>
              <w:t>Ievērot sūkņu stacijas sanitārās aizsargjoslas noteikumus.</w:t>
            </w:r>
          </w:p>
          <w:p w:rsidR="00A468DF" w:rsidRPr="00F91A83" w:rsidP="0054464B" w14:paraId="28094229" w14:textId="51BB4498">
            <w:pPr>
              <w:pStyle w:val="ListParagraph"/>
              <w:numPr>
                <w:ilvl w:val="0"/>
                <w:numId w:val="2"/>
              </w:numPr>
              <w:jc w:val="both"/>
              <w:rPr>
                <w:szCs w:val="28"/>
                <w:lang w:eastAsia="lv-LV"/>
              </w:rPr>
            </w:pPr>
            <w:r w:rsidRPr="00F91A83">
              <w:rPr>
                <w:szCs w:val="28"/>
                <w:lang w:eastAsia="lv-LV"/>
              </w:rPr>
              <w:t xml:space="preserve">Ievērot Ķemeru nacionālā parka </w:t>
            </w:r>
            <w:r w:rsidRPr="00F91A83" w:rsidR="00A149ED">
              <w:rPr>
                <w:bCs/>
                <w:szCs w:val="28"/>
                <w:shd w:val="clear" w:color="auto" w:fill="FFFFFF"/>
              </w:rPr>
              <w:t xml:space="preserve">individuālos aizsardzības un izmantošanas </w:t>
            </w:r>
            <w:r w:rsidRPr="00F91A83">
              <w:rPr>
                <w:szCs w:val="28"/>
                <w:lang w:eastAsia="lv-LV"/>
              </w:rPr>
              <w:t>noteikumus.</w:t>
            </w:r>
          </w:p>
          <w:p w:rsidR="00A468DF" w:rsidRPr="00F91A83" w:rsidP="0054464B" w14:paraId="65D7ECF0" w14:textId="6C4DB929">
            <w:pPr>
              <w:pStyle w:val="ListParagraph"/>
              <w:numPr>
                <w:ilvl w:val="0"/>
                <w:numId w:val="2"/>
              </w:numPr>
              <w:jc w:val="both"/>
              <w:rPr>
                <w:szCs w:val="28"/>
                <w:lang w:eastAsia="lv-LV"/>
              </w:rPr>
            </w:pPr>
            <w:r w:rsidRPr="00F91A83">
              <w:rPr>
                <w:szCs w:val="28"/>
                <w:lang w:eastAsia="lv-LV"/>
              </w:rPr>
              <w:t>Atbildēt par visu zemesgabala teritorijā</w:t>
            </w:r>
            <w:r w:rsidRPr="00F91A83" w:rsidR="00A149ED">
              <w:rPr>
                <w:szCs w:val="28"/>
                <w:lang w:eastAsia="lv-LV"/>
              </w:rPr>
              <w:t xml:space="preserve"> </w:t>
            </w:r>
            <w:r w:rsidRPr="00F91A83">
              <w:rPr>
                <w:szCs w:val="28"/>
                <w:lang w:eastAsia="lv-LV"/>
              </w:rPr>
              <w:t xml:space="preserve"> atrodošos pazemes un virszemes inženiertīklu saglabāšanu un netraucēt to ekspluatāciju</w:t>
            </w:r>
            <w:r w:rsidRPr="00F91A83" w:rsidR="00A149ED">
              <w:rPr>
                <w:szCs w:val="28"/>
                <w:lang w:eastAsia="lv-LV"/>
              </w:rPr>
              <w:t>.</w:t>
            </w:r>
          </w:p>
          <w:p w:rsidR="00A468DF" w:rsidRPr="00F91A83" w:rsidP="0054464B" w14:paraId="16C6C129" w14:textId="77777777">
            <w:pPr>
              <w:pStyle w:val="ListParagraph"/>
              <w:numPr>
                <w:ilvl w:val="0"/>
                <w:numId w:val="2"/>
              </w:numPr>
              <w:jc w:val="both"/>
              <w:rPr>
                <w:rFonts w:eastAsiaTheme="minorHAnsi"/>
                <w:szCs w:val="28"/>
              </w:rPr>
            </w:pPr>
            <w:r w:rsidRPr="00F91A83">
              <w:rPr>
                <w:szCs w:val="28"/>
                <w:lang w:eastAsia="lv-LV"/>
              </w:rPr>
              <w:t>Zemesgabals atrodas Ķemeru nacionālā parka neitrālajā zonā.</w:t>
            </w:r>
          </w:p>
          <w:p w:rsidR="00A468DF" w:rsidRPr="00F91A83" w:rsidP="0054464B" w14:paraId="1E2C50E3" w14:textId="0E76ADD5">
            <w:pPr>
              <w:pStyle w:val="ListParagraph"/>
              <w:numPr>
                <w:ilvl w:val="0"/>
                <w:numId w:val="2"/>
              </w:numPr>
              <w:jc w:val="both"/>
              <w:rPr>
                <w:rFonts w:eastAsiaTheme="minorHAnsi"/>
                <w:szCs w:val="28"/>
              </w:rPr>
            </w:pPr>
            <w:r w:rsidRPr="00F91A83">
              <w:rPr>
                <w:szCs w:val="28"/>
                <w:lang w:eastAsia="lv-LV"/>
              </w:rPr>
              <w:t xml:space="preserve">Zemesgabala lietošanas mērķis ir </w:t>
            </w:r>
            <w:r w:rsidRPr="00F91A83" w:rsidR="00D623CD">
              <w:rPr>
                <w:szCs w:val="28"/>
                <w:lang w:eastAsia="lv-LV"/>
              </w:rPr>
              <w:t>a</w:t>
            </w:r>
            <w:r w:rsidRPr="00F91A83" w:rsidR="00626526">
              <w:rPr>
                <w:szCs w:val="28"/>
              </w:rPr>
              <w:t xml:space="preserve">r maģistrālajām elektropārvades un sakaru līnijām un maģistrālajiem naftas, naftas produktu, ķīmisko produktu, gāzes un ūdens cauruļvadiem saistīto būvju, ūdens ņemšanas un notekūdeņu attīrīšanas būvju apbūve </w:t>
            </w:r>
            <w:r w:rsidRPr="00F91A83" w:rsidR="00373E07">
              <w:rPr>
                <w:szCs w:val="28"/>
              </w:rPr>
              <w:t xml:space="preserve">– </w:t>
            </w:r>
            <w:r w:rsidRPr="00F91A83" w:rsidR="00626526">
              <w:rPr>
                <w:szCs w:val="28"/>
              </w:rPr>
              <w:t>1201</w:t>
            </w:r>
            <w:r w:rsidRPr="00F91A83">
              <w:rPr>
                <w:szCs w:val="28"/>
              </w:rPr>
              <w:t>.</w:t>
            </w:r>
          </w:p>
          <w:p w:rsidR="00015174" w:rsidRPr="00F91A83" w:rsidP="00015174" w14:paraId="5D6969F3" w14:textId="25AF3D60">
            <w:pPr>
              <w:jc w:val="both"/>
              <w:rPr>
                <w:szCs w:val="28"/>
              </w:rPr>
            </w:pPr>
            <w:r w:rsidRPr="00F91A83">
              <w:rPr>
                <w:szCs w:val="28"/>
              </w:rPr>
              <w:t>Rīkojuma projekts attiecas uz publiskās pārvaldes politikas jomu.</w:t>
            </w:r>
          </w:p>
        </w:tc>
      </w:tr>
      <w:tr w14:paraId="50BB332D" w14:textId="77777777" w:rsidTr="005C6B2F">
        <w:tblPrEx>
          <w:tblW w:w="8931" w:type="dxa"/>
          <w:tblInd w:w="-289" w:type="dxa"/>
          <w:tblLook w:val="04A0"/>
        </w:tblPrEx>
        <w:tc>
          <w:tcPr>
            <w:tcW w:w="562" w:type="dxa"/>
            <w:tcBorders>
              <w:bottom w:val="single" w:sz="4" w:space="0" w:color="auto"/>
            </w:tcBorders>
          </w:tcPr>
          <w:p w:rsidR="00015174" w:rsidRPr="002F04A5" w:rsidP="00015174" w14:paraId="502BD4FB" w14:textId="74F1990D">
            <w:pPr>
              <w:jc w:val="center"/>
              <w:rPr>
                <w:szCs w:val="28"/>
              </w:rPr>
            </w:pPr>
            <w:r w:rsidRPr="002F04A5">
              <w:rPr>
                <w:szCs w:val="28"/>
              </w:rPr>
              <w:t>3.</w:t>
            </w:r>
          </w:p>
        </w:tc>
        <w:tc>
          <w:tcPr>
            <w:tcW w:w="2059" w:type="dxa"/>
            <w:tcBorders>
              <w:bottom w:val="single" w:sz="4" w:space="0" w:color="auto"/>
            </w:tcBorders>
          </w:tcPr>
          <w:p w:rsidR="00015174" w:rsidRPr="002F04A5" w:rsidP="00015174" w14:paraId="3C9677E0" w14:textId="77777777">
            <w:pPr>
              <w:rPr>
                <w:szCs w:val="28"/>
              </w:rPr>
            </w:pPr>
            <w:r w:rsidRPr="002F04A5">
              <w:rPr>
                <w:szCs w:val="28"/>
                <w:lang w:eastAsia="lv-LV"/>
              </w:rPr>
              <w:t>Projekta izstrādē iesaistītās institūcijas</w:t>
            </w:r>
          </w:p>
        </w:tc>
        <w:tc>
          <w:tcPr>
            <w:tcW w:w="6310" w:type="dxa"/>
            <w:tcBorders>
              <w:bottom w:val="single" w:sz="4" w:space="0" w:color="auto"/>
            </w:tcBorders>
            <w:shd w:val="clear" w:color="auto" w:fill="auto"/>
          </w:tcPr>
          <w:p w:rsidR="00015174" w:rsidRPr="002F04A5" w:rsidP="005C6B2F" w14:paraId="7381AC48" w14:textId="77777777">
            <w:pPr>
              <w:rPr>
                <w:szCs w:val="28"/>
              </w:rPr>
            </w:pPr>
            <w:r w:rsidRPr="002F04A5">
              <w:rPr>
                <w:szCs w:val="28"/>
                <w:lang w:eastAsia="lv-LV"/>
              </w:rPr>
              <w:t>VARAM, DAP</w:t>
            </w:r>
            <w:r w:rsidRPr="002F04A5" w:rsidR="005C6B2F">
              <w:rPr>
                <w:szCs w:val="28"/>
                <w:lang w:eastAsia="lv-LV"/>
              </w:rPr>
              <w:t>.</w:t>
            </w:r>
          </w:p>
        </w:tc>
      </w:tr>
      <w:tr w14:paraId="5E7CB58C" w14:textId="77777777" w:rsidTr="00FF58AA">
        <w:tblPrEx>
          <w:tblW w:w="8931" w:type="dxa"/>
          <w:tblInd w:w="-289" w:type="dxa"/>
          <w:tblLook w:val="04A0"/>
        </w:tblPrEx>
        <w:tc>
          <w:tcPr>
            <w:tcW w:w="562" w:type="dxa"/>
            <w:tcBorders>
              <w:bottom w:val="single" w:sz="4" w:space="0" w:color="auto"/>
            </w:tcBorders>
          </w:tcPr>
          <w:p w:rsidR="00015174" w:rsidRPr="002F04A5" w:rsidP="00015174" w14:paraId="38A72A47" w14:textId="77777777">
            <w:pPr>
              <w:jc w:val="center"/>
              <w:rPr>
                <w:szCs w:val="28"/>
              </w:rPr>
            </w:pPr>
            <w:r w:rsidRPr="002F04A5">
              <w:rPr>
                <w:szCs w:val="28"/>
              </w:rPr>
              <w:t>4.</w:t>
            </w:r>
          </w:p>
        </w:tc>
        <w:tc>
          <w:tcPr>
            <w:tcW w:w="2059" w:type="dxa"/>
            <w:tcBorders>
              <w:bottom w:val="single" w:sz="4" w:space="0" w:color="auto"/>
            </w:tcBorders>
          </w:tcPr>
          <w:p w:rsidR="00015174" w:rsidRPr="002F04A5" w:rsidP="00015174" w14:paraId="000DB2F9" w14:textId="77777777">
            <w:pPr>
              <w:jc w:val="center"/>
              <w:rPr>
                <w:szCs w:val="28"/>
              </w:rPr>
            </w:pPr>
            <w:r w:rsidRPr="002F04A5">
              <w:rPr>
                <w:szCs w:val="28"/>
                <w:lang w:eastAsia="lv-LV"/>
              </w:rPr>
              <w:t>Cita informācija</w:t>
            </w:r>
          </w:p>
        </w:tc>
        <w:tc>
          <w:tcPr>
            <w:tcW w:w="6310" w:type="dxa"/>
            <w:tcBorders>
              <w:bottom w:val="single" w:sz="4" w:space="0" w:color="auto"/>
            </w:tcBorders>
          </w:tcPr>
          <w:p w:rsidR="00015174" w:rsidRPr="002F04A5" w:rsidP="005C6B2F" w14:paraId="2897B162" w14:textId="77777777">
            <w:pPr>
              <w:rPr>
                <w:szCs w:val="28"/>
              </w:rPr>
            </w:pPr>
            <w:r w:rsidRPr="002F04A5">
              <w:rPr>
                <w:szCs w:val="28"/>
              </w:rPr>
              <w:t>Nav</w:t>
            </w:r>
            <w:r w:rsidRPr="002F04A5" w:rsidR="005C6B2F">
              <w:rPr>
                <w:szCs w:val="28"/>
              </w:rPr>
              <w:t>.</w:t>
            </w:r>
          </w:p>
        </w:tc>
      </w:tr>
      <w:tr w14:paraId="179689DE" w14:textId="77777777" w:rsidTr="00FF58AA">
        <w:tblPrEx>
          <w:tblW w:w="8931" w:type="dxa"/>
          <w:tblInd w:w="-289" w:type="dxa"/>
          <w:tblLook w:val="04A0"/>
        </w:tblPrEx>
        <w:tc>
          <w:tcPr>
            <w:tcW w:w="562" w:type="dxa"/>
            <w:tcBorders>
              <w:top w:val="single" w:sz="4" w:space="0" w:color="auto"/>
              <w:left w:val="nil"/>
              <w:bottom w:val="single" w:sz="4" w:space="0" w:color="auto"/>
              <w:right w:val="nil"/>
            </w:tcBorders>
          </w:tcPr>
          <w:p w:rsidR="00015174" w:rsidRPr="002F04A5" w:rsidP="00015174" w14:paraId="714DA522" w14:textId="77777777">
            <w:pPr>
              <w:jc w:val="center"/>
              <w:rPr>
                <w:szCs w:val="28"/>
              </w:rPr>
            </w:pPr>
          </w:p>
        </w:tc>
        <w:tc>
          <w:tcPr>
            <w:tcW w:w="2059" w:type="dxa"/>
            <w:tcBorders>
              <w:top w:val="single" w:sz="4" w:space="0" w:color="auto"/>
              <w:left w:val="nil"/>
              <w:bottom w:val="single" w:sz="4" w:space="0" w:color="auto"/>
              <w:right w:val="nil"/>
            </w:tcBorders>
          </w:tcPr>
          <w:p w:rsidR="00015174" w:rsidRPr="002F04A5" w:rsidP="00015174" w14:paraId="4AC4EB0F" w14:textId="77777777">
            <w:pPr>
              <w:jc w:val="center"/>
              <w:rPr>
                <w:szCs w:val="28"/>
              </w:rPr>
            </w:pPr>
          </w:p>
        </w:tc>
        <w:tc>
          <w:tcPr>
            <w:tcW w:w="6310" w:type="dxa"/>
            <w:tcBorders>
              <w:top w:val="single" w:sz="4" w:space="0" w:color="auto"/>
              <w:left w:val="nil"/>
              <w:bottom w:val="single" w:sz="4" w:space="0" w:color="auto"/>
              <w:right w:val="nil"/>
            </w:tcBorders>
          </w:tcPr>
          <w:p w:rsidR="00015174" w:rsidRPr="002F04A5" w:rsidP="00015174" w14:paraId="7F7A72E4" w14:textId="77777777">
            <w:pPr>
              <w:jc w:val="center"/>
              <w:rPr>
                <w:szCs w:val="28"/>
              </w:rPr>
            </w:pPr>
          </w:p>
        </w:tc>
      </w:tr>
      <w:tr w14:paraId="31189630" w14:textId="77777777" w:rsidTr="00FF58AA">
        <w:tblPrEx>
          <w:tblW w:w="8931" w:type="dxa"/>
          <w:tblInd w:w="-289" w:type="dxa"/>
          <w:tblLook w:val="04A0"/>
        </w:tblPrEx>
        <w:tc>
          <w:tcPr>
            <w:tcW w:w="8931" w:type="dxa"/>
            <w:gridSpan w:val="3"/>
            <w:tcBorders>
              <w:top w:val="single" w:sz="4" w:space="0" w:color="auto"/>
            </w:tcBorders>
          </w:tcPr>
          <w:p w:rsidR="00015174" w:rsidRPr="002F04A5" w:rsidP="00015174" w14:paraId="0533D900" w14:textId="77777777">
            <w:pPr>
              <w:jc w:val="center"/>
              <w:rPr>
                <w:szCs w:val="28"/>
              </w:rPr>
            </w:pPr>
            <w:r w:rsidRPr="002F04A5">
              <w:rPr>
                <w:b/>
                <w:bCs/>
                <w:szCs w:val="28"/>
                <w:lang w:eastAsia="lv-LV"/>
              </w:rPr>
              <w:t>II. Tiesību akta projekta ietekme uz sabiedrību, tautsaimniecības attīstību un administratīvo slogu</w:t>
            </w:r>
          </w:p>
        </w:tc>
      </w:tr>
      <w:tr w14:paraId="0D7EC4D4" w14:textId="77777777" w:rsidTr="00FF58AA">
        <w:tblPrEx>
          <w:tblW w:w="8931" w:type="dxa"/>
          <w:tblInd w:w="-289" w:type="dxa"/>
          <w:tblLook w:val="04A0"/>
        </w:tblPrEx>
        <w:tc>
          <w:tcPr>
            <w:tcW w:w="562" w:type="dxa"/>
          </w:tcPr>
          <w:p w:rsidR="00015174" w:rsidRPr="002F04A5" w:rsidP="00015174" w14:paraId="17468A54" w14:textId="77777777">
            <w:pPr>
              <w:jc w:val="center"/>
              <w:rPr>
                <w:szCs w:val="28"/>
              </w:rPr>
            </w:pPr>
            <w:r w:rsidRPr="002F04A5">
              <w:rPr>
                <w:szCs w:val="28"/>
              </w:rPr>
              <w:t>1.</w:t>
            </w:r>
          </w:p>
        </w:tc>
        <w:tc>
          <w:tcPr>
            <w:tcW w:w="2059" w:type="dxa"/>
          </w:tcPr>
          <w:p w:rsidR="00015174" w:rsidRPr="002F04A5" w:rsidP="00015174" w14:paraId="083578A8" w14:textId="77777777">
            <w:pPr>
              <w:jc w:val="both"/>
              <w:rPr>
                <w:szCs w:val="28"/>
              </w:rPr>
            </w:pPr>
            <w:r w:rsidRPr="002F04A5">
              <w:rPr>
                <w:szCs w:val="28"/>
                <w:lang w:eastAsia="lv-LV"/>
              </w:rPr>
              <w:t xml:space="preserve">Sabiedrības mērķgrupas, </w:t>
            </w:r>
            <w:r w:rsidRPr="002F04A5">
              <w:rPr>
                <w:szCs w:val="28"/>
                <w:lang w:eastAsia="lv-LV"/>
              </w:rPr>
              <w:t>kuras tiesiskais regulējums ietekmē vai varētu ietekmēt</w:t>
            </w:r>
          </w:p>
        </w:tc>
        <w:tc>
          <w:tcPr>
            <w:tcW w:w="6310" w:type="dxa"/>
          </w:tcPr>
          <w:p w:rsidR="00015174" w:rsidRPr="002F04A5" w:rsidP="00015174" w14:paraId="06628B18" w14:textId="77777777">
            <w:pPr>
              <w:jc w:val="both"/>
              <w:rPr>
                <w:szCs w:val="28"/>
              </w:rPr>
            </w:pPr>
            <w:r w:rsidRPr="002F04A5">
              <w:rPr>
                <w:szCs w:val="28"/>
                <w:lang w:eastAsia="lv-LV"/>
              </w:rPr>
              <w:t>Rīkojuma projekta tiesiskais regulējums</w:t>
            </w:r>
            <w:r w:rsidRPr="002F04A5" w:rsidR="00D731D1">
              <w:rPr>
                <w:szCs w:val="28"/>
                <w:lang w:eastAsia="lv-LV"/>
              </w:rPr>
              <w:t xml:space="preserve"> </w:t>
            </w:r>
            <w:r w:rsidRPr="002F04A5">
              <w:rPr>
                <w:szCs w:val="28"/>
                <w:lang w:eastAsia="lv-LV"/>
              </w:rPr>
              <w:t>sabiedrības mērķgrupas</w:t>
            </w:r>
            <w:r w:rsidRPr="002F04A5" w:rsidR="00D731D1">
              <w:rPr>
                <w:szCs w:val="28"/>
                <w:lang w:eastAsia="lv-LV"/>
              </w:rPr>
              <w:t xml:space="preserve"> </w:t>
            </w:r>
            <w:r w:rsidRPr="002F04A5">
              <w:rPr>
                <w:szCs w:val="28"/>
                <w:lang w:eastAsia="lv-LV"/>
              </w:rPr>
              <w:t>neietekmē</w:t>
            </w:r>
            <w:r w:rsidRPr="002F04A5" w:rsidR="00D731D1">
              <w:rPr>
                <w:szCs w:val="28"/>
                <w:lang w:eastAsia="lv-LV"/>
              </w:rPr>
              <w:t>.</w:t>
            </w:r>
          </w:p>
        </w:tc>
      </w:tr>
      <w:tr w14:paraId="2471CE28" w14:textId="77777777" w:rsidTr="00FF58AA">
        <w:tblPrEx>
          <w:tblW w:w="8931" w:type="dxa"/>
          <w:tblInd w:w="-289" w:type="dxa"/>
          <w:tblLook w:val="04A0"/>
        </w:tblPrEx>
        <w:tc>
          <w:tcPr>
            <w:tcW w:w="562" w:type="dxa"/>
          </w:tcPr>
          <w:p w:rsidR="00015174" w:rsidRPr="002F04A5" w:rsidP="00015174" w14:paraId="5351B9D4" w14:textId="77777777">
            <w:pPr>
              <w:jc w:val="center"/>
              <w:rPr>
                <w:szCs w:val="28"/>
              </w:rPr>
            </w:pPr>
            <w:r w:rsidRPr="002F04A5">
              <w:rPr>
                <w:szCs w:val="28"/>
              </w:rPr>
              <w:t>2.</w:t>
            </w:r>
          </w:p>
        </w:tc>
        <w:tc>
          <w:tcPr>
            <w:tcW w:w="2059" w:type="dxa"/>
          </w:tcPr>
          <w:p w:rsidR="00015174" w:rsidRPr="002F04A5" w:rsidP="00015174" w14:paraId="0152D86E" w14:textId="77777777">
            <w:pPr>
              <w:jc w:val="both"/>
              <w:rPr>
                <w:szCs w:val="28"/>
              </w:rPr>
            </w:pPr>
            <w:r w:rsidRPr="002F04A5">
              <w:rPr>
                <w:szCs w:val="28"/>
                <w:lang w:eastAsia="lv-LV"/>
              </w:rPr>
              <w:t>Tiesiskā regulējuma ietekme uz tautsaimniecību un administratīvo slogu</w:t>
            </w:r>
          </w:p>
        </w:tc>
        <w:tc>
          <w:tcPr>
            <w:tcW w:w="6310" w:type="dxa"/>
          </w:tcPr>
          <w:p w:rsidR="00015174" w:rsidRPr="002F04A5" w:rsidP="00015174" w14:paraId="6245A257" w14:textId="77777777">
            <w:pPr>
              <w:jc w:val="both"/>
              <w:rPr>
                <w:szCs w:val="28"/>
              </w:rPr>
            </w:pPr>
            <w:r w:rsidRPr="002F04A5">
              <w:rPr>
                <w:szCs w:val="28"/>
                <w:lang w:eastAsia="lv-LV"/>
              </w:rPr>
              <w:t>Rīkojuma projekta tiesiskais regulējums tautsaimniecību kā valsts saimniecības nozari, neietekmē un administratīvo slogu nemaina</w:t>
            </w:r>
            <w:r w:rsidRPr="002F04A5" w:rsidR="00D731D1">
              <w:rPr>
                <w:szCs w:val="28"/>
                <w:lang w:eastAsia="lv-LV"/>
              </w:rPr>
              <w:t>.</w:t>
            </w:r>
          </w:p>
        </w:tc>
      </w:tr>
      <w:tr w14:paraId="7A606113" w14:textId="77777777" w:rsidTr="00FF58AA">
        <w:tblPrEx>
          <w:tblW w:w="8931" w:type="dxa"/>
          <w:tblInd w:w="-289" w:type="dxa"/>
          <w:tblLook w:val="04A0"/>
        </w:tblPrEx>
        <w:tc>
          <w:tcPr>
            <w:tcW w:w="562" w:type="dxa"/>
          </w:tcPr>
          <w:p w:rsidR="00015174" w:rsidRPr="002F04A5" w:rsidP="00015174" w14:paraId="3CFE9EB6" w14:textId="77777777">
            <w:pPr>
              <w:jc w:val="center"/>
              <w:rPr>
                <w:szCs w:val="28"/>
              </w:rPr>
            </w:pPr>
            <w:r w:rsidRPr="002F04A5">
              <w:rPr>
                <w:szCs w:val="28"/>
              </w:rPr>
              <w:t>3.</w:t>
            </w:r>
          </w:p>
        </w:tc>
        <w:tc>
          <w:tcPr>
            <w:tcW w:w="2059" w:type="dxa"/>
          </w:tcPr>
          <w:p w:rsidR="00015174" w:rsidRPr="002F04A5" w:rsidP="00015174" w14:paraId="0F1B7F37" w14:textId="77777777">
            <w:pPr>
              <w:jc w:val="both"/>
              <w:rPr>
                <w:szCs w:val="28"/>
              </w:rPr>
            </w:pPr>
            <w:r w:rsidRPr="002F04A5">
              <w:rPr>
                <w:szCs w:val="28"/>
                <w:lang w:eastAsia="lv-LV"/>
              </w:rPr>
              <w:t>Administratīvo izmaksu monetārs novērtējums</w:t>
            </w:r>
          </w:p>
        </w:tc>
        <w:tc>
          <w:tcPr>
            <w:tcW w:w="6310" w:type="dxa"/>
          </w:tcPr>
          <w:p w:rsidR="00015174" w:rsidRPr="002F04A5" w:rsidP="00015174" w14:paraId="2CEC2551" w14:textId="77777777">
            <w:pPr>
              <w:jc w:val="both"/>
              <w:rPr>
                <w:szCs w:val="28"/>
              </w:rPr>
            </w:pPr>
            <w:r w:rsidRPr="002F04A5">
              <w:rPr>
                <w:szCs w:val="28"/>
                <w:lang w:eastAsia="lv-LV"/>
              </w:rPr>
              <w:t>Rīkojuma projekta tiesiskais regulējums administratīvo slogu neietekmē.</w:t>
            </w:r>
          </w:p>
        </w:tc>
      </w:tr>
      <w:tr w14:paraId="6DE4730D" w14:textId="77777777" w:rsidTr="00FF58AA">
        <w:tblPrEx>
          <w:tblW w:w="8931" w:type="dxa"/>
          <w:tblInd w:w="-289" w:type="dxa"/>
          <w:tblLook w:val="04A0"/>
        </w:tblPrEx>
        <w:tc>
          <w:tcPr>
            <w:tcW w:w="562" w:type="dxa"/>
          </w:tcPr>
          <w:p w:rsidR="00015174" w:rsidRPr="002F04A5" w:rsidP="00015174" w14:paraId="5E790F23" w14:textId="77777777">
            <w:pPr>
              <w:jc w:val="center"/>
              <w:rPr>
                <w:szCs w:val="28"/>
              </w:rPr>
            </w:pPr>
            <w:r w:rsidRPr="002F04A5">
              <w:rPr>
                <w:szCs w:val="28"/>
              </w:rPr>
              <w:t>4.</w:t>
            </w:r>
          </w:p>
        </w:tc>
        <w:tc>
          <w:tcPr>
            <w:tcW w:w="2059" w:type="dxa"/>
          </w:tcPr>
          <w:p w:rsidR="00015174" w:rsidRPr="002F04A5" w:rsidP="0097570B" w14:paraId="654687A8" w14:textId="77777777">
            <w:pPr>
              <w:rPr>
                <w:szCs w:val="28"/>
              </w:rPr>
            </w:pPr>
            <w:r w:rsidRPr="002F04A5">
              <w:rPr>
                <w:szCs w:val="28"/>
                <w:lang w:eastAsia="lv-LV"/>
              </w:rPr>
              <w:t>Cita informācija</w:t>
            </w:r>
          </w:p>
        </w:tc>
        <w:tc>
          <w:tcPr>
            <w:tcW w:w="6310" w:type="dxa"/>
          </w:tcPr>
          <w:p w:rsidR="00EE0D61" w:rsidRPr="002F04A5" w:rsidP="00015174" w14:paraId="5DCF1EFB" w14:textId="0B4186FB">
            <w:pPr>
              <w:jc w:val="both"/>
              <w:rPr>
                <w:szCs w:val="28"/>
              </w:rPr>
            </w:pPr>
            <w:r w:rsidRPr="002F04A5">
              <w:rPr>
                <w:szCs w:val="28"/>
              </w:rPr>
              <w:t>Ievērojot Ministru kabineta 2011.</w:t>
            </w:r>
            <w:r w:rsidRPr="002F04A5" w:rsidR="005C6B2F">
              <w:rPr>
                <w:szCs w:val="28"/>
              </w:rPr>
              <w:t> </w:t>
            </w:r>
            <w:r w:rsidRPr="002F04A5">
              <w:rPr>
                <w:szCs w:val="28"/>
              </w:rPr>
              <w:t>gada 1.</w:t>
            </w:r>
            <w:r w:rsidRPr="002F04A5" w:rsidR="005C6B2F">
              <w:rPr>
                <w:szCs w:val="28"/>
              </w:rPr>
              <w:t> </w:t>
            </w:r>
            <w:r w:rsidRPr="002F04A5">
              <w:rPr>
                <w:szCs w:val="28"/>
              </w:rPr>
              <w:t>februāra noteikumu Nr.</w:t>
            </w:r>
            <w:r w:rsidRPr="002F04A5" w:rsidR="00C117E3">
              <w:rPr>
                <w:szCs w:val="28"/>
              </w:rPr>
              <w:t> </w:t>
            </w:r>
            <w:r w:rsidRPr="002F04A5">
              <w:rPr>
                <w:szCs w:val="28"/>
              </w:rPr>
              <w:t xml:space="preserve">109 </w:t>
            </w:r>
            <w:r w:rsidRPr="002F04A5" w:rsidR="005C6B2F">
              <w:rPr>
                <w:szCs w:val="28"/>
              </w:rPr>
              <w:t>“</w:t>
            </w:r>
            <w:r w:rsidRPr="002F04A5">
              <w:rPr>
                <w:szCs w:val="28"/>
              </w:rPr>
              <w:t>Kārtība, kādā atsavināma publiskās personas manta” 12.</w:t>
            </w:r>
            <w:r w:rsidRPr="002F04A5" w:rsidR="00C117E3">
              <w:rPr>
                <w:szCs w:val="28"/>
              </w:rPr>
              <w:t> </w:t>
            </w:r>
            <w:r w:rsidRPr="002F04A5">
              <w:rPr>
                <w:szCs w:val="28"/>
              </w:rPr>
              <w:t>punktā noteikto, pēc</w:t>
            </w:r>
            <w:r w:rsidRPr="002F04A5" w:rsidR="005C6B2F">
              <w:rPr>
                <w:szCs w:val="28"/>
              </w:rPr>
              <w:t xml:space="preserve"> </w:t>
            </w:r>
            <w:r w:rsidRPr="002F04A5">
              <w:rPr>
                <w:szCs w:val="28"/>
              </w:rPr>
              <w:t>rīkojuma projekta izsludināšanas Valsts sekretāru sanāksmē, tiks noskaidrots, vai atsavināmais valsts nekustamais īpašums nav nepieciešams citai valsts iestādei, valsts kapitālsabiedrībai vai atvasinātas publiskas personas vai to iestādes funkciju nodrošināšanai. Ja divu nedēļu laikā</w:t>
            </w:r>
            <w:r w:rsidR="004248FD">
              <w:rPr>
                <w:szCs w:val="28"/>
              </w:rPr>
              <w:t xml:space="preserve"> pēc</w:t>
            </w:r>
            <w:r w:rsidRPr="002F04A5">
              <w:rPr>
                <w:szCs w:val="28"/>
              </w:rPr>
              <w:t xml:space="preserve"> rīkojuma projekta izsludināšanas Valsts sekretāru sanāksmē valsts iestādes, valsts kapitālsabiedrības vai atvasinātas publiskas personas vai to iestādes nepieprasīs rīkojuma projektā minēto nekustamo īpašumu valsts pārvaldes funkciju nodrošināšanai saskaņā ar Valsts pārvaldes iekārtas likumu, to var atsavināt likumā noteiktajā kārtībā.</w:t>
            </w:r>
          </w:p>
        </w:tc>
      </w:tr>
    </w:tbl>
    <w:p w:rsidR="00FF58AA" w:rsidRPr="002F04A5" w:rsidP="0073105E" w14:paraId="701E9AD4" w14:textId="669EF426">
      <w:pPr>
        <w:tabs>
          <w:tab w:val="left" w:pos="2040"/>
        </w:tabs>
        <w:spacing w:line="240" w:lineRule="auto"/>
        <w:rPr>
          <w:szCs w:val="28"/>
        </w:rPr>
      </w:pPr>
    </w:p>
    <w:tbl>
      <w:tblPr>
        <w:tblStyle w:val="TableGrid"/>
        <w:tblW w:w="8931" w:type="dxa"/>
        <w:tblInd w:w="-289" w:type="dxa"/>
        <w:tblLayout w:type="fixed"/>
        <w:tblLook w:val="04A0"/>
      </w:tblPr>
      <w:tblGrid>
        <w:gridCol w:w="2978"/>
        <w:gridCol w:w="1275"/>
        <w:gridCol w:w="1276"/>
        <w:gridCol w:w="1260"/>
        <w:gridCol w:w="1150"/>
        <w:gridCol w:w="992"/>
      </w:tblGrid>
      <w:tr w14:paraId="21E5D868" w14:textId="77777777" w:rsidTr="00DD0609">
        <w:tblPrEx>
          <w:tblW w:w="8931" w:type="dxa"/>
          <w:tblInd w:w="-289" w:type="dxa"/>
          <w:tblLayout w:type="fixed"/>
          <w:tblLook w:val="04A0"/>
        </w:tblPrEx>
        <w:tc>
          <w:tcPr>
            <w:tcW w:w="8931" w:type="dxa"/>
            <w:gridSpan w:val="6"/>
          </w:tcPr>
          <w:p w:rsidR="00FF58AA" w:rsidRPr="002F04A5" w:rsidP="005C6B2F" w14:paraId="6126A070" w14:textId="77777777">
            <w:pPr>
              <w:jc w:val="center"/>
              <w:rPr>
                <w:szCs w:val="28"/>
              </w:rPr>
            </w:pPr>
            <w:r w:rsidRPr="002F04A5">
              <w:rPr>
                <w:b/>
                <w:bCs/>
                <w:szCs w:val="28"/>
                <w:lang w:eastAsia="lv-LV"/>
              </w:rPr>
              <w:t>III. Tiesību akta projekta ietekme uz valsts budžetu un pašvaldību budžetiem</w:t>
            </w:r>
          </w:p>
        </w:tc>
      </w:tr>
      <w:tr w14:paraId="3121C467" w14:textId="77777777" w:rsidTr="00DD0609">
        <w:tblPrEx>
          <w:tblW w:w="8931" w:type="dxa"/>
          <w:tblInd w:w="-289" w:type="dxa"/>
          <w:tblLayout w:type="fixed"/>
          <w:tblLook w:val="04A0"/>
        </w:tblPrEx>
        <w:tc>
          <w:tcPr>
            <w:tcW w:w="2978" w:type="dxa"/>
            <w:vMerge w:val="restart"/>
          </w:tcPr>
          <w:p w:rsidR="00FF58AA" w:rsidRPr="002452D5" w:rsidP="0096474B" w14:paraId="09ABE0F5" w14:textId="77777777">
            <w:pPr>
              <w:jc w:val="center"/>
              <w:rPr>
                <w:b/>
                <w:bCs/>
                <w:sz w:val="24"/>
                <w:szCs w:val="24"/>
                <w:lang w:eastAsia="lv-LV"/>
              </w:rPr>
            </w:pPr>
          </w:p>
          <w:p w:rsidR="00FF58AA" w:rsidRPr="002452D5" w:rsidP="0096474B" w14:paraId="21E1BBF2" w14:textId="77777777">
            <w:pPr>
              <w:jc w:val="center"/>
              <w:rPr>
                <w:sz w:val="24"/>
                <w:szCs w:val="24"/>
              </w:rPr>
            </w:pPr>
            <w:r w:rsidRPr="002452D5">
              <w:rPr>
                <w:b/>
                <w:bCs/>
                <w:sz w:val="24"/>
                <w:szCs w:val="24"/>
                <w:lang w:eastAsia="lv-LV"/>
              </w:rPr>
              <w:t>Rādītāji</w:t>
            </w:r>
          </w:p>
        </w:tc>
        <w:tc>
          <w:tcPr>
            <w:tcW w:w="2551" w:type="dxa"/>
            <w:gridSpan w:val="2"/>
            <w:vMerge w:val="restart"/>
          </w:tcPr>
          <w:p w:rsidR="00FF58AA" w:rsidRPr="002452D5" w:rsidP="0096474B" w14:paraId="6BF3FB71" w14:textId="77777777">
            <w:pPr>
              <w:jc w:val="center"/>
              <w:rPr>
                <w:b/>
                <w:bCs/>
                <w:sz w:val="24"/>
                <w:szCs w:val="24"/>
                <w:lang w:eastAsia="lv-LV"/>
              </w:rPr>
            </w:pPr>
          </w:p>
          <w:p w:rsidR="00FF58AA" w:rsidRPr="002452D5" w:rsidP="00810BE7" w14:paraId="0A0217AA" w14:textId="5CB8C5E3">
            <w:pPr>
              <w:jc w:val="center"/>
              <w:rPr>
                <w:sz w:val="24"/>
                <w:szCs w:val="24"/>
              </w:rPr>
            </w:pPr>
            <w:r w:rsidRPr="002452D5">
              <w:rPr>
                <w:b/>
                <w:bCs/>
                <w:sz w:val="24"/>
                <w:szCs w:val="24"/>
                <w:lang w:eastAsia="lv-LV"/>
              </w:rPr>
              <w:t>201</w:t>
            </w:r>
            <w:r w:rsidRPr="002452D5" w:rsidR="00810BE7">
              <w:rPr>
                <w:b/>
                <w:bCs/>
                <w:sz w:val="24"/>
                <w:szCs w:val="24"/>
                <w:lang w:eastAsia="lv-LV"/>
              </w:rPr>
              <w:t>8</w:t>
            </w:r>
            <w:r w:rsidRPr="002452D5">
              <w:rPr>
                <w:b/>
                <w:bCs/>
                <w:sz w:val="24"/>
                <w:szCs w:val="24"/>
                <w:lang w:eastAsia="lv-LV"/>
              </w:rPr>
              <w:t>. gads</w:t>
            </w:r>
          </w:p>
        </w:tc>
        <w:tc>
          <w:tcPr>
            <w:tcW w:w="3402" w:type="dxa"/>
            <w:gridSpan w:val="3"/>
          </w:tcPr>
          <w:p w:rsidR="00FF58AA" w:rsidRPr="002452D5" w:rsidP="0096474B" w14:paraId="0D5280BF" w14:textId="77777777">
            <w:pPr>
              <w:jc w:val="center"/>
              <w:rPr>
                <w:sz w:val="24"/>
                <w:szCs w:val="24"/>
              </w:rPr>
            </w:pPr>
            <w:r w:rsidRPr="002452D5">
              <w:rPr>
                <w:sz w:val="24"/>
                <w:szCs w:val="24"/>
                <w:lang w:eastAsia="lv-LV"/>
              </w:rPr>
              <w:t>Turpmākie trīs gadi (tūkst.</w:t>
            </w:r>
            <w:r w:rsidRPr="002452D5">
              <w:rPr>
                <w:i/>
                <w:sz w:val="24"/>
                <w:szCs w:val="24"/>
                <w:lang w:eastAsia="lv-LV"/>
              </w:rPr>
              <w:t>euro</w:t>
            </w:r>
            <w:r w:rsidRPr="002452D5">
              <w:rPr>
                <w:sz w:val="24"/>
                <w:szCs w:val="24"/>
                <w:lang w:eastAsia="lv-LV"/>
              </w:rPr>
              <w:t>)</w:t>
            </w:r>
          </w:p>
        </w:tc>
      </w:tr>
      <w:tr w14:paraId="51A05204" w14:textId="77777777" w:rsidTr="00DD0609">
        <w:tblPrEx>
          <w:tblW w:w="8931" w:type="dxa"/>
          <w:tblInd w:w="-289" w:type="dxa"/>
          <w:tblLayout w:type="fixed"/>
          <w:tblLook w:val="04A0"/>
        </w:tblPrEx>
        <w:tc>
          <w:tcPr>
            <w:tcW w:w="2978" w:type="dxa"/>
            <w:vMerge/>
          </w:tcPr>
          <w:p w:rsidR="00FF58AA" w:rsidRPr="002452D5" w:rsidP="0096474B" w14:paraId="777872EA" w14:textId="77777777">
            <w:pPr>
              <w:jc w:val="center"/>
              <w:rPr>
                <w:sz w:val="24"/>
                <w:szCs w:val="24"/>
              </w:rPr>
            </w:pPr>
          </w:p>
        </w:tc>
        <w:tc>
          <w:tcPr>
            <w:tcW w:w="2551" w:type="dxa"/>
            <w:gridSpan w:val="2"/>
            <w:vMerge/>
          </w:tcPr>
          <w:p w:rsidR="00FF58AA" w:rsidRPr="002452D5" w:rsidP="0096474B" w14:paraId="62DD707E" w14:textId="77777777">
            <w:pPr>
              <w:jc w:val="center"/>
              <w:rPr>
                <w:sz w:val="24"/>
                <w:szCs w:val="24"/>
              </w:rPr>
            </w:pPr>
          </w:p>
        </w:tc>
        <w:tc>
          <w:tcPr>
            <w:tcW w:w="1260" w:type="dxa"/>
          </w:tcPr>
          <w:p w:rsidR="00FF58AA" w:rsidRPr="002452D5" w:rsidP="00810BE7" w14:paraId="64318AC8" w14:textId="21CA92AF">
            <w:pPr>
              <w:jc w:val="center"/>
              <w:rPr>
                <w:sz w:val="24"/>
                <w:szCs w:val="24"/>
              </w:rPr>
            </w:pPr>
            <w:r w:rsidRPr="002452D5">
              <w:rPr>
                <w:sz w:val="24"/>
                <w:szCs w:val="24"/>
              </w:rPr>
              <w:t>201</w:t>
            </w:r>
            <w:r w:rsidRPr="002452D5" w:rsidR="00810BE7">
              <w:rPr>
                <w:sz w:val="24"/>
                <w:szCs w:val="24"/>
              </w:rPr>
              <w:t>9</w:t>
            </w:r>
            <w:r w:rsidRPr="002452D5">
              <w:rPr>
                <w:sz w:val="24"/>
                <w:szCs w:val="24"/>
              </w:rPr>
              <w:t>.</w:t>
            </w:r>
          </w:p>
        </w:tc>
        <w:tc>
          <w:tcPr>
            <w:tcW w:w="1150" w:type="dxa"/>
          </w:tcPr>
          <w:p w:rsidR="00FF58AA" w:rsidRPr="002452D5" w:rsidP="00810BE7" w14:paraId="5BA601E8" w14:textId="4387FBC6">
            <w:pPr>
              <w:jc w:val="center"/>
              <w:rPr>
                <w:sz w:val="24"/>
                <w:szCs w:val="24"/>
              </w:rPr>
            </w:pPr>
            <w:r w:rsidRPr="002452D5">
              <w:rPr>
                <w:sz w:val="24"/>
                <w:szCs w:val="24"/>
              </w:rPr>
              <w:t>20</w:t>
            </w:r>
            <w:r w:rsidRPr="002452D5" w:rsidR="00810BE7">
              <w:rPr>
                <w:sz w:val="24"/>
                <w:szCs w:val="24"/>
              </w:rPr>
              <w:t>20</w:t>
            </w:r>
            <w:r w:rsidRPr="002452D5">
              <w:rPr>
                <w:sz w:val="24"/>
                <w:szCs w:val="24"/>
              </w:rPr>
              <w:t>.</w:t>
            </w:r>
          </w:p>
        </w:tc>
        <w:tc>
          <w:tcPr>
            <w:tcW w:w="992" w:type="dxa"/>
          </w:tcPr>
          <w:p w:rsidR="00FF58AA" w:rsidRPr="002452D5" w:rsidP="00810BE7" w14:paraId="0AA406AA" w14:textId="7856BC45">
            <w:pPr>
              <w:jc w:val="center"/>
              <w:rPr>
                <w:sz w:val="24"/>
                <w:szCs w:val="24"/>
              </w:rPr>
            </w:pPr>
            <w:r w:rsidRPr="002452D5">
              <w:rPr>
                <w:sz w:val="24"/>
                <w:szCs w:val="24"/>
              </w:rPr>
              <w:t>202</w:t>
            </w:r>
            <w:r w:rsidRPr="002452D5" w:rsidR="00810BE7">
              <w:rPr>
                <w:sz w:val="24"/>
                <w:szCs w:val="24"/>
              </w:rPr>
              <w:t>1</w:t>
            </w:r>
            <w:r w:rsidRPr="002452D5">
              <w:rPr>
                <w:sz w:val="24"/>
                <w:szCs w:val="24"/>
              </w:rPr>
              <w:t>.</w:t>
            </w:r>
          </w:p>
        </w:tc>
      </w:tr>
      <w:tr w14:paraId="31B717CA" w14:textId="77777777" w:rsidTr="00DD0609">
        <w:tblPrEx>
          <w:tblW w:w="8931" w:type="dxa"/>
          <w:tblInd w:w="-289" w:type="dxa"/>
          <w:tblLayout w:type="fixed"/>
          <w:tblLook w:val="04A0"/>
        </w:tblPrEx>
        <w:tc>
          <w:tcPr>
            <w:tcW w:w="2978" w:type="dxa"/>
            <w:vMerge/>
          </w:tcPr>
          <w:p w:rsidR="00FF58AA" w:rsidRPr="002452D5" w:rsidP="0096474B" w14:paraId="0E774E61" w14:textId="77777777">
            <w:pPr>
              <w:jc w:val="center"/>
              <w:rPr>
                <w:sz w:val="24"/>
                <w:szCs w:val="24"/>
              </w:rPr>
            </w:pPr>
          </w:p>
        </w:tc>
        <w:tc>
          <w:tcPr>
            <w:tcW w:w="1275" w:type="dxa"/>
          </w:tcPr>
          <w:p w:rsidR="00FF58AA" w:rsidRPr="002452D5" w:rsidP="0096474B" w14:paraId="12069A6F" w14:textId="77777777">
            <w:pPr>
              <w:jc w:val="center"/>
              <w:rPr>
                <w:sz w:val="24"/>
                <w:szCs w:val="24"/>
              </w:rPr>
            </w:pPr>
            <w:r w:rsidRPr="002452D5">
              <w:rPr>
                <w:sz w:val="24"/>
                <w:szCs w:val="24"/>
                <w:lang w:eastAsia="lv-LV"/>
              </w:rPr>
              <w:t>Saskaņā ar valsts budžetu kārtējam gadam</w:t>
            </w:r>
          </w:p>
        </w:tc>
        <w:tc>
          <w:tcPr>
            <w:tcW w:w="1276" w:type="dxa"/>
          </w:tcPr>
          <w:p w:rsidR="00FF58AA" w:rsidRPr="002452D5" w:rsidP="0096474B" w14:paraId="225F5AD5" w14:textId="77777777">
            <w:pPr>
              <w:jc w:val="center"/>
              <w:rPr>
                <w:sz w:val="24"/>
                <w:szCs w:val="24"/>
              </w:rPr>
            </w:pPr>
            <w:r w:rsidRPr="002452D5">
              <w:rPr>
                <w:sz w:val="24"/>
                <w:szCs w:val="24"/>
                <w:lang w:eastAsia="lv-LV"/>
              </w:rPr>
              <w:t>Izmaiņas kārtējā gadā, salīdzinot ar budžetu kārtējam gadam</w:t>
            </w:r>
          </w:p>
        </w:tc>
        <w:tc>
          <w:tcPr>
            <w:tcW w:w="1260" w:type="dxa"/>
          </w:tcPr>
          <w:p w:rsidR="00FF58AA" w:rsidRPr="002452D5" w:rsidP="002452D5" w14:paraId="3F2C744C" w14:textId="58A4838C">
            <w:pPr>
              <w:jc w:val="center"/>
              <w:rPr>
                <w:sz w:val="24"/>
                <w:szCs w:val="24"/>
              </w:rPr>
            </w:pPr>
            <w:r w:rsidRPr="002452D5">
              <w:rPr>
                <w:sz w:val="24"/>
                <w:szCs w:val="24"/>
                <w:lang w:eastAsia="lv-LV"/>
              </w:rPr>
              <w:t>Izmaiņas, salīdzinot ar kārtējo (201</w:t>
            </w:r>
            <w:r w:rsidRPr="002452D5" w:rsidR="002452D5">
              <w:rPr>
                <w:sz w:val="24"/>
                <w:szCs w:val="24"/>
                <w:lang w:eastAsia="lv-LV"/>
              </w:rPr>
              <w:t>8</w:t>
            </w:r>
            <w:r w:rsidRPr="002452D5">
              <w:rPr>
                <w:sz w:val="24"/>
                <w:szCs w:val="24"/>
                <w:lang w:eastAsia="lv-LV"/>
              </w:rPr>
              <w:t>.) gadu</w:t>
            </w:r>
          </w:p>
        </w:tc>
        <w:tc>
          <w:tcPr>
            <w:tcW w:w="1150" w:type="dxa"/>
          </w:tcPr>
          <w:p w:rsidR="00FF58AA" w:rsidRPr="002452D5" w:rsidP="002452D5" w14:paraId="27765610" w14:textId="48D0EC6C">
            <w:pPr>
              <w:jc w:val="center"/>
              <w:rPr>
                <w:sz w:val="24"/>
                <w:szCs w:val="24"/>
              </w:rPr>
            </w:pPr>
            <w:r w:rsidRPr="002452D5">
              <w:rPr>
                <w:sz w:val="24"/>
                <w:szCs w:val="24"/>
                <w:lang w:eastAsia="lv-LV"/>
              </w:rPr>
              <w:t>Izmaiņas, salīdzinot ar kārtējo (201</w:t>
            </w:r>
            <w:r w:rsidRPr="002452D5" w:rsidR="002452D5">
              <w:rPr>
                <w:sz w:val="24"/>
                <w:szCs w:val="24"/>
                <w:lang w:eastAsia="lv-LV"/>
              </w:rPr>
              <w:t>8</w:t>
            </w:r>
            <w:r w:rsidRPr="002452D5">
              <w:rPr>
                <w:sz w:val="24"/>
                <w:szCs w:val="24"/>
                <w:lang w:eastAsia="lv-LV"/>
              </w:rPr>
              <w:t>.) gadu</w:t>
            </w:r>
          </w:p>
        </w:tc>
        <w:tc>
          <w:tcPr>
            <w:tcW w:w="992" w:type="dxa"/>
          </w:tcPr>
          <w:p w:rsidR="00FF58AA" w:rsidRPr="002452D5" w:rsidP="002452D5" w14:paraId="01D05E1C" w14:textId="40379298">
            <w:pPr>
              <w:jc w:val="center"/>
              <w:rPr>
                <w:sz w:val="24"/>
                <w:szCs w:val="24"/>
              </w:rPr>
            </w:pPr>
            <w:r w:rsidRPr="002452D5">
              <w:rPr>
                <w:sz w:val="24"/>
                <w:szCs w:val="24"/>
                <w:lang w:eastAsia="lv-LV"/>
              </w:rPr>
              <w:t>Izmaiņas, salīdzinot ar kārtējo (201</w:t>
            </w:r>
            <w:r w:rsidRPr="002452D5" w:rsidR="002452D5">
              <w:rPr>
                <w:sz w:val="24"/>
                <w:szCs w:val="24"/>
                <w:lang w:eastAsia="lv-LV"/>
              </w:rPr>
              <w:t>8</w:t>
            </w:r>
            <w:r w:rsidRPr="002452D5">
              <w:rPr>
                <w:sz w:val="24"/>
                <w:szCs w:val="24"/>
                <w:lang w:eastAsia="lv-LV"/>
              </w:rPr>
              <w:t>.) gadu</w:t>
            </w:r>
          </w:p>
        </w:tc>
      </w:tr>
      <w:tr w14:paraId="261A05D8" w14:textId="77777777" w:rsidTr="00DD0609">
        <w:tblPrEx>
          <w:tblW w:w="8931" w:type="dxa"/>
          <w:tblInd w:w="-289" w:type="dxa"/>
          <w:tblLayout w:type="fixed"/>
          <w:tblLook w:val="04A0"/>
        </w:tblPrEx>
        <w:tc>
          <w:tcPr>
            <w:tcW w:w="2978" w:type="dxa"/>
          </w:tcPr>
          <w:p w:rsidR="00FF58AA" w:rsidRPr="002452D5" w:rsidP="0096474B" w14:paraId="58185C07" w14:textId="77777777">
            <w:pPr>
              <w:jc w:val="center"/>
              <w:rPr>
                <w:sz w:val="24"/>
                <w:szCs w:val="24"/>
              </w:rPr>
            </w:pPr>
            <w:r w:rsidRPr="002452D5">
              <w:rPr>
                <w:sz w:val="24"/>
                <w:szCs w:val="24"/>
              </w:rPr>
              <w:t>1</w:t>
            </w:r>
          </w:p>
        </w:tc>
        <w:tc>
          <w:tcPr>
            <w:tcW w:w="1275" w:type="dxa"/>
          </w:tcPr>
          <w:p w:rsidR="00FF58AA" w:rsidRPr="002452D5" w:rsidP="0096474B" w14:paraId="398F5980" w14:textId="77777777">
            <w:pPr>
              <w:jc w:val="center"/>
              <w:rPr>
                <w:sz w:val="24"/>
                <w:szCs w:val="24"/>
                <w:lang w:eastAsia="lv-LV"/>
              </w:rPr>
            </w:pPr>
            <w:r w:rsidRPr="002452D5">
              <w:rPr>
                <w:sz w:val="24"/>
                <w:szCs w:val="24"/>
                <w:lang w:eastAsia="lv-LV"/>
              </w:rPr>
              <w:t>2</w:t>
            </w:r>
          </w:p>
        </w:tc>
        <w:tc>
          <w:tcPr>
            <w:tcW w:w="1276" w:type="dxa"/>
          </w:tcPr>
          <w:p w:rsidR="00FF58AA" w:rsidRPr="002452D5" w:rsidP="0096474B" w14:paraId="4B695EFD" w14:textId="77777777">
            <w:pPr>
              <w:jc w:val="center"/>
              <w:rPr>
                <w:sz w:val="24"/>
                <w:szCs w:val="24"/>
                <w:lang w:eastAsia="lv-LV"/>
              </w:rPr>
            </w:pPr>
            <w:r w:rsidRPr="002452D5">
              <w:rPr>
                <w:sz w:val="24"/>
                <w:szCs w:val="24"/>
                <w:lang w:eastAsia="lv-LV"/>
              </w:rPr>
              <w:t>3</w:t>
            </w:r>
          </w:p>
        </w:tc>
        <w:tc>
          <w:tcPr>
            <w:tcW w:w="1260" w:type="dxa"/>
          </w:tcPr>
          <w:p w:rsidR="00FF58AA" w:rsidRPr="002452D5" w:rsidP="0096474B" w14:paraId="246DE16F" w14:textId="77777777">
            <w:pPr>
              <w:jc w:val="center"/>
              <w:rPr>
                <w:sz w:val="24"/>
                <w:szCs w:val="24"/>
                <w:lang w:eastAsia="lv-LV"/>
              </w:rPr>
            </w:pPr>
            <w:r w:rsidRPr="002452D5">
              <w:rPr>
                <w:sz w:val="24"/>
                <w:szCs w:val="24"/>
                <w:lang w:eastAsia="lv-LV"/>
              </w:rPr>
              <w:t>4</w:t>
            </w:r>
          </w:p>
        </w:tc>
        <w:tc>
          <w:tcPr>
            <w:tcW w:w="1150" w:type="dxa"/>
          </w:tcPr>
          <w:p w:rsidR="00FF58AA" w:rsidRPr="002452D5" w:rsidP="0096474B" w14:paraId="266E2AC7" w14:textId="77777777">
            <w:pPr>
              <w:jc w:val="center"/>
              <w:rPr>
                <w:sz w:val="24"/>
                <w:szCs w:val="24"/>
                <w:lang w:eastAsia="lv-LV"/>
              </w:rPr>
            </w:pPr>
            <w:r w:rsidRPr="002452D5">
              <w:rPr>
                <w:sz w:val="24"/>
                <w:szCs w:val="24"/>
                <w:lang w:eastAsia="lv-LV"/>
              </w:rPr>
              <w:t>5</w:t>
            </w:r>
          </w:p>
        </w:tc>
        <w:tc>
          <w:tcPr>
            <w:tcW w:w="992" w:type="dxa"/>
          </w:tcPr>
          <w:p w:rsidR="00FF58AA" w:rsidRPr="002452D5" w:rsidP="0096474B" w14:paraId="6B6BEAC2" w14:textId="77777777">
            <w:pPr>
              <w:jc w:val="center"/>
              <w:rPr>
                <w:sz w:val="24"/>
                <w:szCs w:val="24"/>
                <w:lang w:eastAsia="lv-LV"/>
              </w:rPr>
            </w:pPr>
            <w:r w:rsidRPr="002452D5">
              <w:rPr>
                <w:sz w:val="24"/>
                <w:szCs w:val="24"/>
                <w:lang w:eastAsia="lv-LV"/>
              </w:rPr>
              <w:t>6</w:t>
            </w:r>
          </w:p>
        </w:tc>
      </w:tr>
    </w:tbl>
    <w:p w:rsidR="00810BE7" w14:paraId="785B734D" w14:textId="77777777"/>
    <w:tbl>
      <w:tblPr>
        <w:tblStyle w:val="TableGrid"/>
        <w:tblW w:w="8931" w:type="dxa"/>
        <w:tblInd w:w="-289" w:type="dxa"/>
        <w:tblLayout w:type="fixed"/>
        <w:tblLook w:val="04A0"/>
      </w:tblPr>
      <w:tblGrid>
        <w:gridCol w:w="2978"/>
        <w:gridCol w:w="1190"/>
        <w:gridCol w:w="1191"/>
        <w:gridCol w:w="1190"/>
        <w:gridCol w:w="1191"/>
        <w:gridCol w:w="1191"/>
      </w:tblGrid>
      <w:tr w14:paraId="5996EFE5" w14:textId="77777777" w:rsidTr="0096474B">
        <w:tblPrEx>
          <w:tblW w:w="8931" w:type="dxa"/>
          <w:tblInd w:w="-289" w:type="dxa"/>
          <w:tblLayout w:type="fixed"/>
          <w:tblLook w:val="04A0"/>
        </w:tblPrEx>
        <w:tc>
          <w:tcPr>
            <w:tcW w:w="2978" w:type="dxa"/>
          </w:tcPr>
          <w:p w:rsidR="00810BE7" w:rsidRPr="002F04A5" w:rsidP="00810BE7" w14:paraId="4F5F0290" w14:textId="77777777">
            <w:pPr>
              <w:jc w:val="both"/>
              <w:rPr>
                <w:szCs w:val="28"/>
              </w:rPr>
            </w:pPr>
            <w:r w:rsidRPr="002F04A5">
              <w:rPr>
                <w:szCs w:val="28"/>
                <w:lang w:eastAsia="lv-LV"/>
              </w:rPr>
              <w:t>1. Budžeta ieņēmumi:</w:t>
            </w:r>
          </w:p>
        </w:tc>
        <w:tc>
          <w:tcPr>
            <w:tcW w:w="1190" w:type="dxa"/>
          </w:tcPr>
          <w:p w:rsidR="00810BE7" w:rsidRPr="00810BE7" w:rsidP="00810BE7" w14:paraId="6EAC9E12" w14:textId="0A7DA4C2">
            <w:pPr>
              <w:spacing w:before="100" w:beforeAutospacing="1" w:after="100" w:afterAutospacing="1"/>
              <w:jc w:val="center"/>
              <w:rPr>
                <w:sz w:val="24"/>
                <w:szCs w:val="24"/>
                <w:lang w:eastAsia="lv-LV"/>
              </w:rPr>
            </w:pPr>
            <w:r>
              <w:rPr>
                <w:sz w:val="24"/>
                <w:szCs w:val="24"/>
                <w:lang w:eastAsia="lv-LV"/>
              </w:rPr>
              <w:t>0</w:t>
            </w:r>
          </w:p>
        </w:tc>
        <w:tc>
          <w:tcPr>
            <w:tcW w:w="1191" w:type="dxa"/>
          </w:tcPr>
          <w:p w:rsidR="00810BE7" w:rsidRPr="002F04A5" w:rsidP="00810BE7" w14:paraId="5C70F8CB" w14:textId="1C96D7F9">
            <w:pPr>
              <w:spacing w:before="100" w:beforeAutospacing="1" w:after="100" w:afterAutospacing="1"/>
              <w:jc w:val="center"/>
              <w:rPr>
                <w:szCs w:val="28"/>
                <w:lang w:eastAsia="lv-LV"/>
              </w:rPr>
            </w:pPr>
            <w:r w:rsidRPr="003562D0">
              <w:rPr>
                <w:sz w:val="24"/>
                <w:szCs w:val="24"/>
                <w:lang w:eastAsia="lv-LV"/>
              </w:rPr>
              <w:t>Nav precīzi aprēķināms.</w:t>
            </w:r>
          </w:p>
        </w:tc>
        <w:tc>
          <w:tcPr>
            <w:tcW w:w="1190" w:type="dxa"/>
          </w:tcPr>
          <w:p w:rsidR="00810BE7" w:rsidRPr="002F04A5" w:rsidP="00810BE7" w14:paraId="0FABE33F" w14:textId="11264ABF">
            <w:pPr>
              <w:jc w:val="center"/>
              <w:rPr>
                <w:szCs w:val="28"/>
                <w:lang w:eastAsia="lv-LV"/>
              </w:rPr>
            </w:pPr>
            <w:r>
              <w:rPr>
                <w:sz w:val="24"/>
                <w:szCs w:val="24"/>
                <w:lang w:eastAsia="lv-LV"/>
              </w:rPr>
              <w:t>0</w:t>
            </w:r>
          </w:p>
        </w:tc>
        <w:tc>
          <w:tcPr>
            <w:tcW w:w="1191" w:type="dxa"/>
          </w:tcPr>
          <w:p w:rsidR="00810BE7" w:rsidRPr="002F04A5" w:rsidP="00810BE7" w14:paraId="5039B36A" w14:textId="050E3192">
            <w:pPr>
              <w:jc w:val="center"/>
              <w:rPr>
                <w:szCs w:val="28"/>
                <w:lang w:eastAsia="lv-LV"/>
              </w:rPr>
            </w:pPr>
            <w:r>
              <w:rPr>
                <w:sz w:val="24"/>
                <w:szCs w:val="24"/>
                <w:lang w:eastAsia="lv-LV"/>
              </w:rPr>
              <w:t>0</w:t>
            </w:r>
            <w:r w:rsidRPr="003562D0">
              <w:rPr>
                <w:sz w:val="24"/>
                <w:szCs w:val="24"/>
                <w:lang w:eastAsia="lv-LV"/>
              </w:rPr>
              <w:t>.</w:t>
            </w:r>
          </w:p>
        </w:tc>
        <w:tc>
          <w:tcPr>
            <w:tcW w:w="1191" w:type="dxa"/>
          </w:tcPr>
          <w:p w:rsidR="00810BE7" w:rsidRPr="002F04A5" w:rsidP="00810BE7" w14:paraId="0981F4BF" w14:textId="0C9059A7">
            <w:pPr>
              <w:jc w:val="center"/>
              <w:rPr>
                <w:szCs w:val="28"/>
                <w:lang w:eastAsia="lv-LV"/>
              </w:rPr>
            </w:pPr>
            <w:r>
              <w:rPr>
                <w:sz w:val="24"/>
                <w:szCs w:val="24"/>
                <w:lang w:eastAsia="lv-LV"/>
              </w:rPr>
              <w:t>0</w:t>
            </w:r>
            <w:r w:rsidRPr="003562D0">
              <w:rPr>
                <w:sz w:val="24"/>
                <w:szCs w:val="24"/>
                <w:lang w:eastAsia="lv-LV"/>
              </w:rPr>
              <w:t>.</w:t>
            </w:r>
          </w:p>
        </w:tc>
      </w:tr>
      <w:tr w14:paraId="1B9886CF" w14:textId="77777777" w:rsidTr="0096474B">
        <w:tblPrEx>
          <w:tblW w:w="8931" w:type="dxa"/>
          <w:tblInd w:w="-289" w:type="dxa"/>
          <w:tblLayout w:type="fixed"/>
          <w:tblLook w:val="04A0"/>
        </w:tblPrEx>
        <w:tc>
          <w:tcPr>
            <w:tcW w:w="2978" w:type="dxa"/>
          </w:tcPr>
          <w:p w:rsidR="00810BE7" w:rsidRPr="002F04A5" w:rsidP="00810BE7" w14:paraId="0E7DF9FD" w14:textId="77777777">
            <w:pPr>
              <w:jc w:val="both"/>
              <w:rPr>
                <w:szCs w:val="28"/>
              </w:rPr>
            </w:pPr>
            <w:r w:rsidRPr="002F04A5">
              <w:rPr>
                <w:szCs w:val="28"/>
                <w:lang w:eastAsia="lv-LV"/>
              </w:rPr>
              <w:t>1.1. valsts pamatbudžets, tai skaitā ieņēmumi no maksas pakalpo-jumiem un citi pašu ieņēmumi</w:t>
            </w:r>
          </w:p>
        </w:tc>
        <w:tc>
          <w:tcPr>
            <w:tcW w:w="1190" w:type="dxa"/>
          </w:tcPr>
          <w:p w:rsidR="00810BE7" w:rsidRPr="002F04A5" w:rsidP="00810BE7" w14:paraId="2244CC77" w14:textId="2B7236C4">
            <w:pPr>
              <w:jc w:val="center"/>
              <w:rPr>
                <w:szCs w:val="28"/>
                <w:lang w:eastAsia="lv-LV"/>
              </w:rPr>
            </w:pPr>
            <w:r>
              <w:rPr>
                <w:sz w:val="24"/>
                <w:szCs w:val="24"/>
                <w:lang w:eastAsia="lv-LV"/>
              </w:rPr>
              <w:t>0</w:t>
            </w:r>
          </w:p>
        </w:tc>
        <w:tc>
          <w:tcPr>
            <w:tcW w:w="1191" w:type="dxa"/>
          </w:tcPr>
          <w:p w:rsidR="00810BE7" w:rsidRPr="002F04A5" w:rsidP="00810BE7" w14:paraId="4464B0D8" w14:textId="18CC0435">
            <w:pPr>
              <w:jc w:val="center"/>
              <w:rPr>
                <w:szCs w:val="28"/>
                <w:lang w:eastAsia="lv-LV"/>
              </w:rPr>
            </w:pPr>
            <w:r w:rsidRPr="0060777C">
              <w:rPr>
                <w:sz w:val="24"/>
                <w:szCs w:val="24"/>
                <w:lang w:eastAsia="lv-LV"/>
              </w:rPr>
              <w:t>Nav precīzi aprēķināms</w:t>
            </w:r>
          </w:p>
        </w:tc>
        <w:tc>
          <w:tcPr>
            <w:tcW w:w="1190" w:type="dxa"/>
          </w:tcPr>
          <w:p w:rsidR="00810BE7" w:rsidRPr="002F04A5" w:rsidP="00810BE7" w14:paraId="65E13079" w14:textId="1FB7CFD0">
            <w:pPr>
              <w:jc w:val="center"/>
              <w:rPr>
                <w:szCs w:val="28"/>
                <w:lang w:eastAsia="lv-LV"/>
              </w:rPr>
            </w:pPr>
            <w:r>
              <w:rPr>
                <w:sz w:val="24"/>
                <w:szCs w:val="24"/>
                <w:lang w:eastAsia="lv-LV"/>
              </w:rPr>
              <w:t>0</w:t>
            </w:r>
          </w:p>
        </w:tc>
        <w:tc>
          <w:tcPr>
            <w:tcW w:w="1191" w:type="dxa"/>
          </w:tcPr>
          <w:p w:rsidR="00810BE7" w:rsidRPr="002F04A5" w:rsidP="00810BE7" w14:paraId="0B0D8247" w14:textId="0DB207F7">
            <w:pPr>
              <w:jc w:val="center"/>
              <w:rPr>
                <w:szCs w:val="28"/>
                <w:lang w:eastAsia="lv-LV"/>
              </w:rPr>
            </w:pPr>
            <w:r>
              <w:rPr>
                <w:szCs w:val="28"/>
                <w:lang w:eastAsia="lv-LV"/>
              </w:rPr>
              <w:t>0</w:t>
            </w:r>
          </w:p>
        </w:tc>
        <w:tc>
          <w:tcPr>
            <w:tcW w:w="1191" w:type="dxa"/>
          </w:tcPr>
          <w:p w:rsidR="00810BE7" w:rsidRPr="002F04A5" w:rsidP="00810BE7" w14:paraId="286A9310" w14:textId="4837C64B">
            <w:pPr>
              <w:jc w:val="center"/>
              <w:rPr>
                <w:szCs w:val="28"/>
                <w:lang w:eastAsia="lv-LV"/>
              </w:rPr>
            </w:pPr>
            <w:r>
              <w:rPr>
                <w:sz w:val="24"/>
                <w:szCs w:val="24"/>
                <w:lang w:eastAsia="lv-LV"/>
              </w:rPr>
              <w:t>0</w:t>
            </w:r>
          </w:p>
        </w:tc>
      </w:tr>
      <w:tr w14:paraId="584ECEAF" w14:textId="77777777" w:rsidTr="0096474B">
        <w:tblPrEx>
          <w:tblW w:w="8931" w:type="dxa"/>
          <w:tblInd w:w="-289" w:type="dxa"/>
          <w:tblLayout w:type="fixed"/>
          <w:tblLook w:val="04A0"/>
        </w:tblPrEx>
        <w:tc>
          <w:tcPr>
            <w:tcW w:w="2978" w:type="dxa"/>
          </w:tcPr>
          <w:p w:rsidR="00810BE7" w:rsidRPr="002F04A5" w:rsidP="00B7065D" w14:paraId="45787D4E" w14:textId="77777777">
            <w:pPr>
              <w:rPr>
                <w:szCs w:val="28"/>
              </w:rPr>
            </w:pPr>
            <w:r w:rsidRPr="002F04A5">
              <w:rPr>
                <w:szCs w:val="28"/>
                <w:lang w:eastAsia="lv-LV"/>
              </w:rPr>
              <w:t>1.2. valsts speciālais budžets</w:t>
            </w:r>
          </w:p>
        </w:tc>
        <w:tc>
          <w:tcPr>
            <w:tcW w:w="1190" w:type="dxa"/>
          </w:tcPr>
          <w:p w:rsidR="00810BE7" w:rsidRPr="002F04A5" w:rsidP="0096474B" w14:paraId="192D452B" w14:textId="77777777">
            <w:pPr>
              <w:jc w:val="center"/>
              <w:rPr>
                <w:szCs w:val="28"/>
                <w:lang w:eastAsia="lv-LV"/>
              </w:rPr>
            </w:pPr>
            <w:r w:rsidRPr="002F04A5">
              <w:rPr>
                <w:szCs w:val="28"/>
                <w:lang w:eastAsia="lv-LV"/>
              </w:rPr>
              <w:t>0</w:t>
            </w:r>
          </w:p>
          <w:p w:rsidR="00810BE7" w:rsidRPr="002F04A5" w:rsidP="0096474B" w14:paraId="020C18AA" w14:textId="251AD31A">
            <w:pPr>
              <w:jc w:val="center"/>
              <w:rPr>
                <w:szCs w:val="28"/>
                <w:lang w:eastAsia="lv-LV"/>
              </w:rPr>
            </w:pPr>
          </w:p>
        </w:tc>
        <w:tc>
          <w:tcPr>
            <w:tcW w:w="1191" w:type="dxa"/>
          </w:tcPr>
          <w:p w:rsidR="00810BE7" w:rsidRPr="002F04A5" w:rsidP="0096474B" w14:paraId="0350A609" w14:textId="47FE4E3B">
            <w:pPr>
              <w:jc w:val="center"/>
              <w:rPr>
                <w:szCs w:val="28"/>
                <w:lang w:eastAsia="lv-LV"/>
              </w:rPr>
            </w:pPr>
            <w:r w:rsidRPr="002F04A5">
              <w:rPr>
                <w:szCs w:val="28"/>
                <w:lang w:eastAsia="lv-LV"/>
              </w:rPr>
              <w:t>0</w:t>
            </w:r>
          </w:p>
        </w:tc>
        <w:tc>
          <w:tcPr>
            <w:tcW w:w="1190" w:type="dxa"/>
          </w:tcPr>
          <w:p w:rsidR="00810BE7" w:rsidRPr="002F04A5" w:rsidP="0096474B" w14:paraId="683E225C" w14:textId="32B921C1">
            <w:pPr>
              <w:jc w:val="center"/>
              <w:rPr>
                <w:szCs w:val="28"/>
                <w:lang w:eastAsia="lv-LV"/>
              </w:rPr>
            </w:pPr>
            <w:r w:rsidRPr="002F04A5">
              <w:rPr>
                <w:szCs w:val="28"/>
                <w:lang w:eastAsia="lv-LV"/>
              </w:rPr>
              <w:t>0</w:t>
            </w:r>
          </w:p>
        </w:tc>
        <w:tc>
          <w:tcPr>
            <w:tcW w:w="1191" w:type="dxa"/>
          </w:tcPr>
          <w:p w:rsidR="00810BE7" w:rsidRPr="002F04A5" w:rsidP="0096474B" w14:paraId="7FA2D841" w14:textId="254F24A9">
            <w:pPr>
              <w:jc w:val="center"/>
              <w:rPr>
                <w:szCs w:val="28"/>
                <w:lang w:eastAsia="lv-LV"/>
              </w:rPr>
            </w:pPr>
            <w:r w:rsidRPr="002F04A5">
              <w:rPr>
                <w:szCs w:val="28"/>
                <w:lang w:eastAsia="lv-LV"/>
              </w:rPr>
              <w:t>0</w:t>
            </w:r>
          </w:p>
        </w:tc>
        <w:tc>
          <w:tcPr>
            <w:tcW w:w="1191" w:type="dxa"/>
          </w:tcPr>
          <w:p w:rsidR="00810BE7" w:rsidRPr="002F04A5" w:rsidP="0096474B" w14:paraId="3A6BE577" w14:textId="1190EB62">
            <w:pPr>
              <w:jc w:val="center"/>
              <w:rPr>
                <w:szCs w:val="28"/>
                <w:lang w:eastAsia="lv-LV"/>
              </w:rPr>
            </w:pPr>
            <w:r w:rsidRPr="002F04A5">
              <w:rPr>
                <w:szCs w:val="28"/>
                <w:lang w:eastAsia="lv-LV"/>
              </w:rPr>
              <w:t>0</w:t>
            </w:r>
          </w:p>
        </w:tc>
      </w:tr>
      <w:tr w14:paraId="3872FCE9" w14:textId="77777777" w:rsidTr="0096474B">
        <w:tblPrEx>
          <w:tblW w:w="8931" w:type="dxa"/>
          <w:tblInd w:w="-289" w:type="dxa"/>
          <w:tblLayout w:type="fixed"/>
          <w:tblLook w:val="04A0"/>
        </w:tblPrEx>
        <w:tc>
          <w:tcPr>
            <w:tcW w:w="2978" w:type="dxa"/>
          </w:tcPr>
          <w:p w:rsidR="00810BE7" w:rsidRPr="002F04A5" w:rsidP="00B7065D" w14:paraId="625C0236" w14:textId="77777777">
            <w:pPr>
              <w:rPr>
                <w:szCs w:val="28"/>
              </w:rPr>
            </w:pPr>
            <w:r w:rsidRPr="002F04A5">
              <w:rPr>
                <w:szCs w:val="28"/>
                <w:lang w:eastAsia="lv-LV"/>
              </w:rPr>
              <w:t>1.3. pašvaldību budžets</w:t>
            </w:r>
          </w:p>
        </w:tc>
        <w:tc>
          <w:tcPr>
            <w:tcW w:w="1190" w:type="dxa"/>
          </w:tcPr>
          <w:p w:rsidR="00810BE7" w:rsidRPr="002F04A5" w:rsidP="0096474B" w14:paraId="62A9A5C3" w14:textId="11215FC5">
            <w:pPr>
              <w:jc w:val="center"/>
              <w:rPr>
                <w:szCs w:val="28"/>
                <w:lang w:eastAsia="lv-LV"/>
              </w:rPr>
            </w:pPr>
            <w:r>
              <w:rPr>
                <w:szCs w:val="28"/>
                <w:lang w:eastAsia="lv-LV"/>
              </w:rPr>
              <w:t>0</w:t>
            </w:r>
          </w:p>
        </w:tc>
        <w:tc>
          <w:tcPr>
            <w:tcW w:w="1191" w:type="dxa"/>
          </w:tcPr>
          <w:p w:rsidR="00810BE7" w:rsidRPr="002F04A5" w:rsidP="0096474B" w14:paraId="214908A0" w14:textId="2724CC03">
            <w:pPr>
              <w:jc w:val="center"/>
              <w:rPr>
                <w:szCs w:val="28"/>
                <w:lang w:eastAsia="lv-LV"/>
              </w:rPr>
            </w:pPr>
            <w:r>
              <w:rPr>
                <w:szCs w:val="28"/>
                <w:lang w:eastAsia="lv-LV"/>
              </w:rPr>
              <w:t>0</w:t>
            </w:r>
          </w:p>
        </w:tc>
        <w:tc>
          <w:tcPr>
            <w:tcW w:w="1190" w:type="dxa"/>
          </w:tcPr>
          <w:p w:rsidR="00810BE7" w:rsidRPr="002F04A5" w:rsidP="0096474B" w14:paraId="09DCB35A" w14:textId="2FEB6011">
            <w:pPr>
              <w:jc w:val="center"/>
              <w:rPr>
                <w:szCs w:val="28"/>
                <w:lang w:eastAsia="lv-LV"/>
              </w:rPr>
            </w:pPr>
            <w:r>
              <w:rPr>
                <w:szCs w:val="28"/>
                <w:lang w:eastAsia="lv-LV"/>
              </w:rPr>
              <w:t>0</w:t>
            </w:r>
          </w:p>
        </w:tc>
        <w:tc>
          <w:tcPr>
            <w:tcW w:w="1191" w:type="dxa"/>
          </w:tcPr>
          <w:p w:rsidR="00810BE7" w:rsidRPr="002F04A5" w:rsidP="0096474B" w14:paraId="72D93346" w14:textId="46241E75">
            <w:pPr>
              <w:jc w:val="center"/>
              <w:rPr>
                <w:szCs w:val="28"/>
                <w:lang w:eastAsia="lv-LV"/>
              </w:rPr>
            </w:pPr>
            <w:r>
              <w:rPr>
                <w:szCs w:val="28"/>
                <w:lang w:eastAsia="lv-LV"/>
              </w:rPr>
              <w:t>0</w:t>
            </w:r>
          </w:p>
        </w:tc>
        <w:tc>
          <w:tcPr>
            <w:tcW w:w="1191" w:type="dxa"/>
          </w:tcPr>
          <w:p w:rsidR="00810BE7" w:rsidRPr="002F04A5" w:rsidP="0096474B" w14:paraId="7ECDCE5F" w14:textId="72B14737">
            <w:pPr>
              <w:jc w:val="center"/>
              <w:rPr>
                <w:szCs w:val="28"/>
                <w:lang w:eastAsia="lv-LV"/>
              </w:rPr>
            </w:pPr>
            <w:r>
              <w:rPr>
                <w:szCs w:val="28"/>
                <w:lang w:eastAsia="lv-LV"/>
              </w:rPr>
              <w:t>0</w:t>
            </w:r>
          </w:p>
        </w:tc>
      </w:tr>
      <w:tr w14:paraId="1821662C" w14:textId="77777777" w:rsidTr="0096474B">
        <w:tblPrEx>
          <w:tblW w:w="8931" w:type="dxa"/>
          <w:tblInd w:w="-289" w:type="dxa"/>
          <w:tblLayout w:type="fixed"/>
          <w:tblLook w:val="04A0"/>
        </w:tblPrEx>
        <w:tc>
          <w:tcPr>
            <w:tcW w:w="2978" w:type="dxa"/>
          </w:tcPr>
          <w:p w:rsidR="00810BE7" w:rsidRPr="002F04A5" w:rsidP="00B7065D" w14:paraId="2E5D4DCA" w14:textId="77777777">
            <w:pPr>
              <w:rPr>
                <w:szCs w:val="28"/>
              </w:rPr>
            </w:pPr>
            <w:r w:rsidRPr="002F04A5">
              <w:rPr>
                <w:szCs w:val="28"/>
                <w:lang w:eastAsia="lv-LV"/>
              </w:rPr>
              <w:t>2. Budžeta izdevumi:</w:t>
            </w:r>
          </w:p>
        </w:tc>
        <w:tc>
          <w:tcPr>
            <w:tcW w:w="1190" w:type="dxa"/>
          </w:tcPr>
          <w:p w:rsidR="00810BE7" w:rsidRPr="002F04A5" w:rsidP="0096474B" w14:paraId="67CC777D" w14:textId="4863D272">
            <w:pPr>
              <w:jc w:val="center"/>
              <w:rPr>
                <w:szCs w:val="28"/>
                <w:lang w:eastAsia="lv-LV"/>
              </w:rPr>
            </w:pPr>
            <w:r>
              <w:rPr>
                <w:szCs w:val="28"/>
                <w:lang w:eastAsia="lv-LV"/>
              </w:rPr>
              <w:t>0</w:t>
            </w:r>
          </w:p>
        </w:tc>
        <w:tc>
          <w:tcPr>
            <w:tcW w:w="1191" w:type="dxa"/>
          </w:tcPr>
          <w:p w:rsidR="00810BE7" w:rsidRPr="002F04A5" w:rsidP="0096474B" w14:paraId="2A10DA5E" w14:textId="49B34437">
            <w:pPr>
              <w:jc w:val="center"/>
              <w:rPr>
                <w:szCs w:val="28"/>
                <w:lang w:eastAsia="lv-LV"/>
              </w:rPr>
            </w:pPr>
            <w:r>
              <w:rPr>
                <w:szCs w:val="28"/>
                <w:lang w:eastAsia="lv-LV"/>
              </w:rPr>
              <w:t>0</w:t>
            </w:r>
          </w:p>
        </w:tc>
        <w:tc>
          <w:tcPr>
            <w:tcW w:w="1190" w:type="dxa"/>
          </w:tcPr>
          <w:p w:rsidR="00810BE7" w:rsidRPr="002F04A5" w:rsidP="0096474B" w14:paraId="63960776" w14:textId="73D13B13">
            <w:pPr>
              <w:jc w:val="center"/>
              <w:rPr>
                <w:szCs w:val="28"/>
                <w:lang w:eastAsia="lv-LV"/>
              </w:rPr>
            </w:pPr>
            <w:r>
              <w:rPr>
                <w:szCs w:val="28"/>
                <w:lang w:eastAsia="lv-LV"/>
              </w:rPr>
              <w:t>0</w:t>
            </w:r>
          </w:p>
        </w:tc>
        <w:tc>
          <w:tcPr>
            <w:tcW w:w="1191" w:type="dxa"/>
          </w:tcPr>
          <w:p w:rsidR="00810BE7" w:rsidRPr="002F04A5" w:rsidP="0096474B" w14:paraId="0DA9265E" w14:textId="45C588F6">
            <w:pPr>
              <w:jc w:val="center"/>
              <w:rPr>
                <w:szCs w:val="28"/>
                <w:lang w:eastAsia="lv-LV"/>
              </w:rPr>
            </w:pPr>
            <w:r>
              <w:rPr>
                <w:szCs w:val="28"/>
                <w:lang w:eastAsia="lv-LV"/>
              </w:rPr>
              <w:t>0</w:t>
            </w:r>
          </w:p>
        </w:tc>
        <w:tc>
          <w:tcPr>
            <w:tcW w:w="1191" w:type="dxa"/>
          </w:tcPr>
          <w:p w:rsidR="00810BE7" w:rsidRPr="002F04A5" w:rsidP="0096474B" w14:paraId="4C7DFB60" w14:textId="16060B95">
            <w:pPr>
              <w:jc w:val="center"/>
              <w:rPr>
                <w:szCs w:val="28"/>
                <w:lang w:eastAsia="lv-LV"/>
              </w:rPr>
            </w:pPr>
            <w:r>
              <w:rPr>
                <w:szCs w:val="28"/>
                <w:lang w:eastAsia="lv-LV"/>
              </w:rPr>
              <w:t>0</w:t>
            </w:r>
          </w:p>
        </w:tc>
      </w:tr>
      <w:tr w14:paraId="52C11F2B" w14:textId="77777777" w:rsidTr="0096474B">
        <w:tblPrEx>
          <w:tblW w:w="8931" w:type="dxa"/>
          <w:tblInd w:w="-289" w:type="dxa"/>
          <w:tblLayout w:type="fixed"/>
          <w:tblLook w:val="04A0"/>
        </w:tblPrEx>
        <w:tc>
          <w:tcPr>
            <w:tcW w:w="2978" w:type="dxa"/>
          </w:tcPr>
          <w:p w:rsidR="00810BE7" w:rsidRPr="002F04A5" w:rsidP="00B7065D" w14:paraId="545966B9" w14:textId="77777777">
            <w:pPr>
              <w:rPr>
                <w:szCs w:val="28"/>
              </w:rPr>
            </w:pPr>
            <w:r w:rsidRPr="002F04A5">
              <w:rPr>
                <w:szCs w:val="28"/>
                <w:lang w:eastAsia="lv-LV"/>
              </w:rPr>
              <w:t>2.1. valsts pamatbudžets</w:t>
            </w:r>
          </w:p>
        </w:tc>
        <w:tc>
          <w:tcPr>
            <w:tcW w:w="1190" w:type="dxa"/>
          </w:tcPr>
          <w:p w:rsidR="00810BE7" w:rsidRPr="002F04A5" w:rsidP="0096474B" w14:paraId="47F1877E" w14:textId="388D3D00">
            <w:pPr>
              <w:jc w:val="center"/>
              <w:rPr>
                <w:szCs w:val="28"/>
                <w:lang w:eastAsia="lv-LV"/>
              </w:rPr>
            </w:pPr>
            <w:r>
              <w:rPr>
                <w:szCs w:val="28"/>
                <w:lang w:eastAsia="lv-LV"/>
              </w:rPr>
              <w:t>0</w:t>
            </w:r>
          </w:p>
        </w:tc>
        <w:tc>
          <w:tcPr>
            <w:tcW w:w="1191" w:type="dxa"/>
          </w:tcPr>
          <w:p w:rsidR="00810BE7" w:rsidRPr="002F04A5" w:rsidP="0096474B" w14:paraId="17E7CB69" w14:textId="7D4CC380">
            <w:pPr>
              <w:jc w:val="center"/>
              <w:rPr>
                <w:szCs w:val="28"/>
                <w:lang w:eastAsia="lv-LV"/>
              </w:rPr>
            </w:pPr>
            <w:r>
              <w:rPr>
                <w:szCs w:val="28"/>
                <w:lang w:eastAsia="lv-LV"/>
              </w:rPr>
              <w:t>0</w:t>
            </w:r>
          </w:p>
        </w:tc>
        <w:tc>
          <w:tcPr>
            <w:tcW w:w="1190" w:type="dxa"/>
          </w:tcPr>
          <w:p w:rsidR="00810BE7" w:rsidRPr="002F04A5" w:rsidP="0096474B" w14:paraId="32733E6E" w14:textId="3CD42C02">
            <w:pPr>
              <w:jc w:val="center"/>
              <w:rPr>
                <w:szCs w:val="28"/>
                <w:lang w:eastAsia="lv-LV"/>
              </w:rPr>
            </w:pPr>
            <w:r>
              <w:rPr>
                <w:szCs w:val="28"/>
                <w:lang w:eastAsia="lv-LV"/>
              </w:rPr>
              <w:t>0</w:t>
            </w:r>
          </w:p>
        </w:tc>
        <w:tc>
          <w:tcPr>
            <w:tcW w:w="1191" w:type="dxa"/>
          </w:tcPr>
          <w:p w:rsidR="00810BE7" w:rsidRPr="002F04A5" w:rsidP="0096474B" w14:paraId="0A2EE026" w14:textId="62648815">
            <w:pPr>
              <w:jc w:val="center"/>
              <w:rPr>
                <w:szCs w:val="28"/>
                <w:lang w:eastAsia="lv-LV"/>
              </w:rPr>
            </w:pPr>
            <w:r>
              <w:rPr>
                <w:szCs w:val="28"/>
                <w:lang w:eastAsia="lv-LV"/>
              </w:rPr>
              <w:t>0</w:t>
            </w:r>
          </w:p>
        </w:tc>
        <w:tc>
          <w:tcPr>
            <w:tcW w:w="1191" w:type="dxa"/>
          </w:tcPr>
          <w:p w:rsidR="00810BE7" w:rsidRPr="002F04A5" w:rsidP="0096474B" w14:paraId="04C69EA7" w14:textId="00F71DB0">
            <w:pPr>
              <w:jc w:val="center"/>
              <w:rPr>
                <w:szCs w:val="28"/>
                <w:lang w:eastAsia="lv-LV"/>
              </w:rPr>
            </w:pPr>
            <w:r>
              <w:rPr>
                <w:szCs w:val="28"/>
                <w:lang w:eastAsia="lv-LV"/>
              </w:rPr>
              <w:t>0</w:t>
            </w:r>
          </w:p>
        </w:tc>
      </w:tr>
      <w:tr w14:paraId="64AEB1AF" w14:textId="77777777" w:rsidTr="0096474B">
        <w:tblPrEx>
          <w:tblW w:w="8931" w:type="dxa"/>
          <w:tblInd w:w="-289" w:type="dxa"/>
          <w:tblLayout w:type="fixed"/>
          <w:tblLook w:val="04A0"/>
        </w:tblPrEx>
        <w:tc>
          <w:tcPr>
            <w:tcW w:w="2978" w:type="dxa"/>
          </w:tcPr>
          <w:p w:rsidR="00810BE7" w:rsidRPr="002F04A5" w:rsidP="00B7065D" w14:paraId="55D59ECB" w14:textId="77777777">
            <w:pPr>
              <w:rPr>
                <w:szCs w:val="28"/>
              </w:rPr>
            </w:pPr>
            <w:r w:rsidRPr="002F04A5">
              <w:rPr>
                <w:szCs w:val="28"/>
                <w:lang w:eastAsia="lv-LV"/>
              </w:rPr>
              <w:t>2.2. valsts speciālais budžets</w:t>
            </w:r>
          </w:p>
        </w:tc>
        <w:tc>
          <w:tcPr>
            <w:tcW w:w="1190" w:type="dxa"/>
          </w:tcPr>
          <w:p w:rsidR="00810BE7" w:rsidRPr="002F04A5" w:rsidP="0096474B" w14:paraId="5F1C0EC3" w14:textId="1D69FDD2">
            <w:pPr>
              <w:jc w:val="center"/>
              <w:rPr>
                <w:szCs w:val="28"/>
                <w:lang w:eastAsia="lv-LV"/>
              </w:rPr>
            </w:pPr>
            <w:r>
              <w:rPr>
                <w:szCs w:val="28"/>
                <w:lang w:eastAsia="lv-LV"/>
              </w:rPr>
              <w:t>0</w:t>
            </w:r>
          </w:p>
        </w:tc>
        <w:tc>
          <w:tcPr>
            <w:tcW w:w="1191" w:type="dxa"/>
          </w:tcPr>
          <w:p w:rsidR="00810BE7" w:rsidRPr="002F04A5" w:rsidP="0096474B" w14:paraId="526F36D7" w14:textId="04F4F752">
            <w:pPr>
              <w:jc w:val="center"/>
              <w:rPr>
                <w:szCs w:val="28"/>
                <w:lang w:eastAsia="lv-LV"/>
              </w:rPr>
            </w:pPr>
            <w:r>
              <w:rPr>
                <w:szCs w:val="28"/>
                <w:lang w:eastAsia="lv-LV"/>
              </w:rPr>
              <w:t>0</w:t>
            </w:r>
          </w:p>
        </w:tc>
        <w:tc>
          <w:tcPr>
            <w:tcW w:w="1190" w:type="dxa"/>
          </w:tcPr>
          <w:p w:rsidR="00810BE7" w:rsidRPr="002F04A5" w:rsidP="0096474B" w14:paraId="0F97B472" w14:textId="32A915FB">
            <w:pPr>
              <w:jc w:val="center"/>
              <w:rPr>
                <w:szCs w:val="28"/>
                <w:lang w:eastAsia="lv-LV"/>
              </w:rPr>
            </w:pPr>
            <w:r>
              <w:rPr>
                <w:szCs w:val="28"/>
                <w:lang w:eastAsia="lv-LV"/>
              </w:rPr>
              <w:t>0</w:t>
            </w:r>
          </w:p>
        </w:tc>
        <w:tc>
          <w:tcPr>
            <w:tcW w:w="1191" w:type="dxa"/>
          </w:tcPr>
          <w:p w:rsidR="00810BE7" w:rsidRPr="002F04A5" w:rsidP="0096474B" w14:paraId="49F220D3" w14:textId="15EA8E5F">
            <w:pPr>
              <w:jc w:val="center"/>
              <w:rPr>
                <w:szCs w:val="28"/>
                <w:lang w:eastAsia="lv-LV"/>
              </w:rPr>
            </w:pPr>
            <w:r>
              <w:rPr>
                <w:szCs w:val="28"/>
                <w:lang w:eastAsia="lv-LV"/>
              </w:rPr>
              <w:t>0</w:t>
            </w:r>
          </w:p>
        </w:tc>
        <w:tc>
          <w:tcPr>
            <w:tcW w:w="1191" w:type="dxa"/>
          </w:tcPr>
          <w:p w:rsidR="00810BE7" w:rsidRPr="002F04A5" w:rsidP="0096474B" w14:paraId="7F39BA58" w14:textId="233A9226">
            <w:pPr>
              <w:jc w:val="center"/>
              <w:rPr>
                <w:szCs w:val="28"/>
                <w:lang w:eastAsia="lv-LV"/>
              </w:rPr>
            </w:pPr>
            <w:r>
              <w:rPr>
                <w:szCs w:val="28"/>
                <w:lang w:eastAsia="lv-LV"/>
              </w:rPr>
              <w:t>0</w:t>
            </w:r>
          </w:p>
        </w:tc>
      </w:tr>
      <w:tr w14:paraId="083EE3BF" w14:textId="77777777" w:rsidTr="0096474B">
        <w:tblPrEx>
          <w:tblW w:w="8931" w:type="dxa"/>
          <w:tblInd w:w="-289" w:type="dxa"/>
          <w:tblLayout w:type="fixed"/>
          <w:tblLook w:val="04A0"/>
        </w:tblPrEx>
        <w:tc>
          <w:tcPr>
            <w:tcW w:w="2978" w:type="dxa"/>
          </w:tcPr>
          <w:p w:rsidR="00810BE7" w:rsidRPr="002F04A5" w:rsidP="00B7065D" w14:paraId="1CE3802F" w14:textId="77777777">
            <w:pPr>
              <w:tabs>
                <w:tab w:val="left" w:pos="555"/>
              </w:tabs>
              <w:rPr>
                <w:szCs w:val="28"/>
              </w:rPr>
            </w:pPr>
            <w:r w:rsidRPr="002F04A5">
              <w:rPr>
                <w:szCs w:val="28"/>
                <w:lang w:eastAsia="lv-LV"/>
              </w:rPr>
              <w:t>2.3. pašvaldību budžets</w:t>
            </w:r>
          </w:p>
        </w:tc>
        <w:tc>
          <w:tcPr>
            <w:tcW w:w="1190" w:type="dxa"/>
          </w:tcPr>
          <w:p w:rsidR="00810BE7" w:rsidRPr="002F04A5" w:rsidP="0096474B" w14:paraId="6186D034" w14:textId="063B2C72">
            <w:pPr>
              <w:jc w:val="center"/>
              <w:rPr>
                <w:szCs w:val="28"/>
                <w:lang w:eastAsia="lv-LV"/>
              </w:rPr>
            </w:pPr>
            <w:r>
              <w:rPr>
                <w:szCs w:val="28"/>
                <w:lang w:eastAsia="lv-LV"/>
              </w:rPr>
              <w:t>0</w:t>
            </w:r>
          </w:p>
        </w:tc>
        <w:tc>
          <w:tcPr>
            <w:tcW w:w="1191" w:type="dxa"/>
          </w:tcPr>
          <w:p w:rsidR="00810BE7" w:rsidRPr="002F04A5" w:rsidP="0096474B" w14:paraId="0BEE3F5F" w14:textId="44C0B4F8">
            <w:pPr>
              <w:jc w:val="center"/>
              <w:rPr>
                <w:szCs w:val="28"/>
                <w:lang w:eastAsia="lv-LV"/>
              </w:rPr>
            </w:pPr>
            <w:r>
              <w:rPr>
                <w:szCs w:val="28"/>
                <w:lang w:eastAsia="lv-LV"/>
              </w:rPr>
              <w:t>0</w:t>
            </w:r>
          </w:p>
        </w:tc>
        <w:tc>
          <w:tcPr>
            <w:tcW w:w="1190" w:type="dxa"/>
          </w:tcPr>
          <w:p w:rsidR="00810BE7" w:rsidRPr="002F04A5" w:rsidP="0096474B" w14:paraId="4E01E93E" w14:textId="1BBCFC14">
            <w:pPr>
              <w:jc w:val="center"/>
              <w:rPr>
                <w:szCs w:val="28"/>
                <w:lang w:eastAsia="lv-LV"/>
              </w:rPr>
            </w:pPr>
            <w:r>
              <w:rPr>
                <w:szCs w:val="28"/>
                <w:lang w:eastAsia="lv-LV"/>
              </w:rPr>
              <w:t>0</w:t>
            </w:r>
          </w:p>
        </w:tc>
        <w:tc>
          <w:tcPr>
            <w:tcW w:w="1191" w:type="dxa"/>
          </w:tcPr>
          <w:p w:rsidR="00810BE7" w:rsidRPr="002F04A5" w:rsidP="0096474B" w14:paraId="3A5DBF2C" w14:textId="3C1F4017">
            <w:pPr>
              <w:jc w:val="center"/>
              <w:rPr>
                <w:szCs w:val="28"/>
                <w:lang w:eastAsia="lv-LV"/>
              </w:rPr>
            </w:pPr>
            <w:r>
              <w:rPr>
                <w:szCs w:val="28"/>
                <w:lang w:eastAsia="lv-LV"/>
              </w:rPr>
              <w:t>0</w:t>
            </w:r>
          </w:p>
        </w:tc>
        <w:tc>
          <w:tcPr>
            <w:tcW w:w="1191" w:type="dxa"/>
          </w:tcPr>
          <w:p w:rsidR="00810BE7" w:rsidRPr="002F04A5" w:rsidP="0096474B" w14:paraId="5EB95D58" w14:textId="190591E7">
            <w:pPr>
              <w:jc w:val="center"/>
              <w:rPr>
                <w:szCs w:val="28"/>
                <w:lang w:eastAsia="lv-LV"/>
              </w:rPr>
            </w:pPr>
            <w:r>
              <w:rPr>
                <w:szCs w:val="28"/>
                <w:lang w:eastAsia="lv-LV"/>
              </w:rPr>
              <w:t>0</w:t>
            </w:r>
          </w:p>
        </w:tc>
      </w:tr>
    </w:tbl>
    <w:p w:rsidR="00810BE7" w14:paraId="05BAFE96" w14:textId="77777777"/>
    <w:tbl>
      <w:tblPr>
        <w:tblStyle w:val="TableGrid"/>
        <w:tblW w:w="8931" w:type="dxa"/>
        <w:tblInd w:w="-289" w:type="dxa"/>
        <w:tblLayout w:type="fixed"/>
        <w:tblLook w:val="04A0"/>
      </w:tblPr>
      <w:tblGrid>
        <w:gridCol w:w="2978"/>
        <w:gridCol w:w="1134"/>
        <w:gridCol w:w="1247"/>
        <w:gridCol w:w="28"/>
        <w:gridCol w:w="1134"/>
        <w:gridCol w:w="1134"/>
        <w:gridCol w:w="1276"/>
      </w:tblGrid>
      <w:tr w14:paraId="25D0B3F6" w14:textId="77777777" w:rsidTr="00DB055E">
        <w:tblPrEx>
          <w:tblW w:w="8931" w:type="dxa"/>
          <w:tblInd w:w="-289" w:type="dxa"/>
          <w:tblLayout w:type="fixed"/>
          <w:tblLook w:val="04A0"/>
        </w:tblPrEx>
        <w:tc>
          <w:tcPr>
            <w:tcW w:w="2978" w:type="dxa"/>
          </w:tcPr>
          <w:p w:rsidR="00D6434E" w:rsidRPr="002F04A5" w:rsidP="00D6434E" w14:paraId="6FB3C3A4" w14:textId="77777777">
            <w:pPr>
              <w:tabs>
                <w:tab w:val="left" w:pos="690"/>
              </w:tabs>
              <w:rPr>
                <w:szCs w:val="28"/>
              </w:rPr>
            </w:pPr>
            <w:r w:rsidRPr="002F04A5">
              <w:rPr>
                <w:szCs w:val="28"/>
                <w:lang w:eastAsia="lv-LV"/>
              </w:rPr>
              <w:t>3. Finansiālā ietekme:</w:t>
            </w:r>
          </w:p>
        </w:tc>
        <w:tc>
          <w:tcPr>
            <w:tcW w:w="1134" w:type="dxa"/>
          </w:tcPr>
          <w:p w:rsidR="00D6434E" w:rsidRPr="00D6434E" w:rsidP="0060777C" w14:paraId="5CF97800" w14:textId="16AD5DE4">
            <w:pPr>
              <w:spacing w:before="100" w:beforeAutospacing="1" w:after="100" w:afterAutospacing="1"/>
              <w:jc w:val="center"/>
              <w:rPr>
                <w:sz w:val="24"/>
                <w:szCs w:val="24"/>
                <w:lang w:eastAsia="lv-LV"/>
              </w:rPr>
            </w:pPr>
            <w:r>
              <w:rPr>
                <w:sz w:val="24"/>
                <w:szCs w:val="24"/>
                <w:lang w:eastAsia="lv-LV"/>
              </w:rPr>
              <w:t>0</w:t>
            </w:r>
          </w:p>
        </w:tc>
        <w:tc>
          <w:tcPr>
            <w:tcW w:w="1247" w:type="dxa"/>
          </w:tcPr>
          <w:p w:rsidR="00D6434E" w:rsidRPr="00D6434E" w:rsidP="00D6434E" w14:paraId="7ED7832F" w14:textId="123A44DF">
            <w:pPr>
              <w:spacing w:before="100" w:beforeAutospacing="1" w:after="100" w:afterAutospacing="1"/>
              <w:jc w:val="center"/>
              <w:rPr>
                <w:sz w:val="24"/>
                <w:szCs w:val="24"/>
                <w:lang w:eastAsia="lv-LV"/>
              </w:rPr>
            </w:pPr>
            <w:r w:rsidRPr="00666688">
              <w:rPr>
                <w:sz w:val="24"/>
                <w:szCs w:val="24"/>
                <w:lang w:eastAsia="lv-LV"/>
              </w:rPr>
              <w:t>Nav precīzi aprēķināms.</w:t>
            </w:r>
          </w:p>
        </w:tc>
        <w:tc>
          <w:tcPr>
            <w:tcW w:w="1162" w:type="dxa"/>
            <w:gridSpan w:val="2"/>
          </w:tcPr>
          <w:p w:rsidR="00D6434E" w:rsidRPr="002F04A5" w:rsidP="00D6434E" w14:paraId="5441D6FF" w14:textId="13F7B1B9">
            <w:pPr>
              <w:jc w:val="center"/>
              <w:rPr>
                <w:szCs w:val="28"/>
                <w:lang w:eastAsia="lv-LV"/>
              </w:rPr>
            </w:pPr>
            <w:r>
              <w:rPr>
                <w:sz w:val="24"/>
                <w:szCs w:val="24"/>
                <w:lang w:eastAsia="lv-LV"/>
              </w:rPr>
              <w:t>0</w:t>
            </w:r>
            <w:r w:rsidRPr="00666688" w:rsidR="00BD56E9">
              <w:rPr>
                <w:sz w:val="24"/>
                <w:szCs w:val="24"/>
                <w:lang w:eastAsia="lv-LV"/>
              </w:rPr>
              <w:t>.</w:t>
            </w:r>
          </w:p>
        </w:tc>
        <w:tc>
          <w:tcPr>
            <w:tcW w:w="1134" w:type="dxa"/>
          </w:tcPr>
          <w:p w:rsidR="00D6434E" w:rsidRPr="002F04A5" w:rsidP="00D6434E" w14:paraId="54E8F7F7" w14:textId="2069BB09">
            <w:pPr>
              <w:jc w:val="center"/>
              <w:rPr>
                <w:szCs w:val="28"/>
                <w:lang w:eastAsia="lv-LV"/>
              </w:rPr>
            </w:pPr>
            <w:r>
              <w:rPr>
                <w:sz w:val="24"/>
                <w:szCs w:val="24"/>
                <w:lang w:eastAsia="lv-LV"/>
              </w:rPr>
              <w:t>0</w:t>
            </w:r>
            <w:r w:rsidRPr="00666688" w:rsidR="00BD56E9">
              <w:rPr>
                <w:sz w:val="24"/>
                <w:szCs w:val="24"/>
                <w:lang w:eastAsia="lv-LV"/>
              </w:rPr>
              <w:t>.</w:t>
            </w:r>
          </w:p>
        </w:tc>
        <w:tc>
          <w:tcPr>
            <w:tcW w:w="1276" w:type="dxa"/>
          </w:tcPr>
          <w:p w:rsidR="00D6434E" w:rsidRPr="002F04A5" w:rsidP="00D6434E" w14:paraId="7214DF8A" w14:textId="1338FDEC">
            <w:pPr>
              <w:jc w:val="center"/>
              <w:rPr>
                <w:szCs w:val="28"/>
                <w:lang w:eastAsia="lv-LV"/>
              </w:rPr>
            </w:pPr>
            <w:r>
              <w:rPr>
                <w:sz w:val="24"/>
                <w:szCs w:val="24"/>
                <w:lang w:eastAsia="lv-LV"/>
              </w:rPr>
              <w:t>0</w:t>
            </w:r>
          </w:p>
        </w:tc>
      </w:tr>
      <w:tr w14:paraId="4B64C23B" w14:textId="77777777" w:rsidTr="00DB055E">
        <w:tblPrEx>
          <w:tblW w:w="8931" w:type="dxa"/>
          <w:tblInd w:w="-289" w:type="dxa"/>
          <w:tblLayout w:type="fixed"/>
          <w:tblLook w:val="04A0"/>
        </w:tblPrEx>
        <w:tc>
          <w:tcPr>
            <w:tcW w:w="2978" w:type="dxa"/>
          </w:tcPr>
          <w:p w:rsidR="00D6434E" w:rsidRPr="002F04A5" w:rsidP="00D6434E" w14:paraId="52949D89" w14:textId="77777777">
            <w:pPr>
              <w:rPr>
                <w:szCs w:val="28"/>
              </w:rPr>
            </w:pPr>
            <w:r w:rsidRPr="002F04A5">
              <w:rPr>
                <w:szCs w:val="28"/>
                <w:lang w:eastAsia="lv-LV"/>
              </w:rPr>
              <w:t>3.1. valsts pamatbudžets</w:t>
            </w:r>
          </w:p>
        </w:tc>
        <w:tc>
          <w:tcPr>
            <w:tcW w:w="1134" w:type="dxa"/>
          </w:tcPr>
          <w:p w:rsidR="00D6434E" w:rsidRPr="002F04A5" w:rsidP="00D6434E" w14:paraId="06D0453A" w14:textId="06E39953">
            <w:pPr>
              <w:jc w:val="center"/>
              <w:rPr>
                <w:szCs w:val="28"/>
                <w:lang w:eastAsia="lv-LV"/>
              </w:rPr>
            </w:pPr>
            <w:r>
              <w:rPr>
                <w:sz w:val="24"/>
                <w:szCs w:val="24"/>
                <w:lang w:eastAsia="lv-LV"/>
              </w:rPr>
              <w:t>0</w:t>
            </w:r>
          </w:p>
        </w:tc>
        <w:tc>
          <w:tcPr>
            <w:tcW w:w="1247" w:type="dxa"/>
          </w:tcPr>
          <w:p w:rsidR="00D6434E" w:rsidRPr="002F04A5" w:rsidP="00D6434E" w14:paraId="7EFC7F49" w14:textId="0C71FC50">
            <w:pPr>
              <w:jc w:val="center"/>
              <w:rPr>
                <w:szCs w:val="28"/>
                <w:lang w:eastAsia="lv-LV"/>
              </w:rPr>
            </w:pPr>
            <w:r w:rsidRPr="0060777C">
              <w:rPr>
                <w:sz w:val="24"/>
                <w:szCs w:val="24"/>
                <w:lang w:eastAsia="lv-LV"/>
              </w:rPr>
              <w:t>Nav precīzi aprēķināms.</w:t>
            </w:r>
          </w:p>
        </w:tc>
        <w:tc>
          <w:tcPr>
            <w:tcW w:w="1162" w:type="dxa"/>
            <w:gridSpan w:val="2"/>
          </w:tcPr>
          <w:p w:rsidR="00D6434E" w:rsidRPr="002F04A5" w:rsidP="00D6434E" w14:paraId="37ABFCB8" w14:textId="08CD9B81">
            <w:pPr>
              <w:jc w:val="center"/>
              <w:rPr>
                <w:szCs w:val="28"/>
                <w:lang w:eastAsia="lv-LV"/>
              </w:rPr>
            </w:pPr>
            <w:r>
              <w:rPr>
                <w:sz w:val="24"/>
                <w:szCs w:val="24"/>
                <w:lang w:eastAsia="lv-LV"/>
              </w:rPr>
              <w:t>0</w:t>
            </w:r>
          </w:p>
        </w:tc>
        <w:tc>
          <w:tcPr>
            <w:tcW w:w="1134" w:type="dxa"/>
          </w:tcPr>
          <w:p w:rsidR="00D6434E" w:rsidRPr="002F04A5" w:rsidP="00D6434E" w14:paraId="5C0AF995" w14:textId="115FEF8E">
            <w:pPr>
              <w:jc w:val="center"/>
              <w:rPr>
                <w:szCs w:val="28"/>
                <w:lang w:eastAsia="lv-LV"/>
              </w:rPr>
            </w:pPr>
            <w:r>
              <w:rPr>
                <w:sz w:val="24"/>
                <w:szCs w:val="24"/>
                <w:lang w:eastAsia="lv-LV"/>
              </w:rPr>
              <w:t>0</w:t>
            </w:r>
          </w:p>
        </w:tc>
        <w:tc>
          <w:tcPr>
            <w:tcW w:w="1276" w:type="dxa"/>
          </w:tcPr>
          <w:p w:rsidR="00D6434E" w:rsidRPr="002F04A5" w:rsidP="00D6434E" w14:paraId="1FA9AD29" w14:textId="4CBF32D8">
            <w:pPr>
              <w:jc w:val="center"/>
              <w:rPr>
                <w:szCs w:val="28"/>
                <w:lang w:eastAsia="lv-LV"/>
              </w:rPr>
            </w:pPr>
            <w:r>
              <w:rPr>
                <w:sz w:val="24"/>
                <w:szCs w:val="24"/>
                <w:lang w:eastAsia="lv-LV"/>
              </w:rPr>
              <w:t>0</w:t>
            </w:r>
          </w:p>
        </w:tc>
      </w:tr>
      <w:tr w14:paraId="0516683B" w14:textId="77777777" w:rsidTr="00DB055E">
        <w:tblPrEx>
          <w:tblW w:w="8931" w:type="dxa"/>
          <w:tblInd w:w="-289" w:type="dxa"/>
          <w:tblLayout w:type="fixed"/>
          <w:tblLook w:val="04A0"/>
        </w:tblPrEx>
        <w:tc>
          <w:tcPr>
            <w:tcW w:w="2978" w:type="dxa"/>
          </w:tcPr>
          <w:p w:rsidR="00D6434E" w:rsidRPr="002F04A5" w:rsidP="00B7065D" w14:paraId="737C1E15" w14:textId="77777777">
            <w:pPr>
              <w:tabs>
                <w:tab w:val="left" w:pos="360"/>
              </w:tabs>
              <w:rPr>
                <w:szCs w:val="28"/>
              </w:rPr>
            </w:pPr>
            <w:r w:rsidRPr="002F04A5">
              <w:rPr>
                <w:szCs w:val="28"/>
                <w:lang w:eastAsia="lv-LV"/>
              </w:rPr>
              <w:t>3.2. speciālais budžets</w:t>
            </w:r>
          </w:p>
        </w:tc>
        <w:tc>
          <w:tcPr>
            <w:tcW w:w="1134" w:type="dxa"/>
          </w:tcPr>
          <w:p w:rsidR="00D6434E" w:rsidRPr="002F04A5" w:rsidP="0096474B" w14:paraId="06804CA8" w14:textId="52DEEED4">
            <w:pPr>
              <w:jc w:val="center"/>
              <w:rPr>
                <w:szCs w:val="28"/>
                <w:lang w:eastAsia="lv-LV"/>
              </w:rPr>
            </w:pPr>
            <w:r>
              <w:rPr>
                <w:szCs w:val="28"/>
                <w:lang w:eastAsia="lv-LV"/>
              </w:rPr>
              <w:t>0</w:t>
            </w:r>
          </w:p>
        </w:tc>
        <w:tc>
          <w:tcPr>
            <w:tcW w:w="1247" w:type="dxa"/>
          </w:tcPr>
          <w:p w:rsidR="00D6434E" w:rsidRPr="002F04A5" w:rsidP="0096474B" w14:paraId="03097B50" w14:textId="51D5B313">
            <w:pPr>
              <w:jc w:val="center"/>
              <w:rPr>
                <w:szCs w:val="28"/>
                <w:lang w:eastAsia="lv-LV"/>
              </w:rPr>
            </w:pPr>
            <w:r>
              <w:rPr>
                <w:szCs w:val="28"/>
                <w:lang w:eastAsia="lv-LV"/>
              </w:rPr>
              <w:t>0</w:t>
            </w:r>
          </w:p>
        </w:tc>
        <w:tc>
          <w:tcPr>
            <w:tcW w:w="1162" w:type="dxa"/>
            <w:gridSpan w:val="2"/>
          </w:tcPr>
          <w:p w:rsidR="00D6434E" w:rsidRPr="002F04A5" w:rsidP="0096474B" w14:paraId="1DCC5AF8" w14:textId="0E43CC1A">
            <w:pPr>
              <w:jc w:val="center"/>
              <w:rPr>
                <w:szCs w:val="28"/>
                <w:lang w:eastAsia="lv-LV"/>
              </w:rPr>
            </w:pPr>
            <w:r>
              <w:rPr>
                <w:szCs w:val="28"/>
                <w:lang w:eastAsia="lv-LV"/>
              </w:rPr>
              <w:t>0</w:t>
            </w:r>
          </w:p>
        </w:tc>
        <w:tc>
          <w:tcPr>
            <w:tcW w:w="1134" w:type="dxa"/>
          </w:tcPr>
          <w:p w:rsidR="00D6434E" w:rsidRPr="002F04A5" w:rsidP="0096474B" w14:paraId="43CAAAB2" w14:textId="2E3F0DFE">
            <w:pPr>
              <w:jc w:val="center"/>
              <w:rPr>
                <w:szCs w:val="28"/>
                <w:lang w:eastAsia="lv-LV"/>
              </w:rPr>
            </w:pPr>
            <w:r>
              <w:rPr>
                <w:szCs w:val="28"/>
                <w:lang w:eastAsia="lv-LV"/>
              </w:rPr>
              <w:t>0</w:t>
            </w:r>
          </w:p>
        </w:tc>
        <w:tc>
          <w:tcPr>
            <w:tcW w:w="1276" w:type="dxa"/>
          </w:tcPr>
          <w:p w:rsidR="00D6434E" w:rsidRPr="002F04A5" w:rsidP="0096474B" w14:paraId="7B9B04DC" w14:textId="44088238">
            <w:pPr>
              <w:jc w:val="center"/>
              <w:rPr>
                <w:szCs w:val="28"/>
                <w:lang w:eastAsia="lv-LV"/>
              </w:rPr>
            </w:pPr>
            <w:r>
              <w:rPr>
                <w:szCs w:val="28"/>
                <w:lang w:eastAsia="lv-LV"/>
              </w:rPr>
              <w:t>0</w:t>
            </w:r>
          </w:p>
        </w:tc>
      </w:tr>
      <w:tr w14:paraId="553C7792" w14:textId="77777777" w:rsidTr="00DB055E">
        <w:tblPrEx>
          <w:tblW w:w="8931" w:type="dxa"/>
          <w:tblInd w:w="-289" w:type="dxa"/>
          <w:tblLayout w:type="fixed"/>
          <w:tblLook w:val="04A0"/>
        </w:tblPrEx>
        <w:tc>
          <w:tcPr>
            <w:tcW w:w="2978" w:type="dxa"/>
            <w:tcBorders>
              <w:bottom w:val="single" w:sz="4" w:space="0" w:color="auto"/>
            </w:tcBorders>
          </w:tcPr>
          <w:p w:rsidR="00D6434E" w:rsidRPr="002F04A5" w:rsidP="00B7065D" w14:paraId="47A96019" w14:textId="77777777">
            <w:pPr>
              <w:rPr>
                <w:szCs w:val="28"/>
              </w:rPr>
            </w:pPr>
            <w:r w:rsidRPr="002F04A5">
              <w:rPr>
                <w:szCs w:val="28"/>
                <w:lang w:eastAsia="lv-LV"/>
              </w:rPr>
              <w:t>3.3. pašvaldību budžets</w:t>
            </w:r>
          </w:p>
        </w:tc>
        <w:tc>
          <w:tcPr>
            <w:tcW w:w="1134" w:type="dxa"/>
          </w:tcPr>
          <w:p w:rsidR="00D6434E" w:rsidRPr="002F04A5" w:rsidP="0096474B" w14:paraId="23546C56" w14:textId="4D7D1AD9">
            <w:pPr>
              <w:jc w:val="center"/>
              <w:rPr>
                <w:szCs w:val="28"/>
                <w:lang w:eastAsia="lv-LV"/>
              </w:rPr>
            </w:pPr>
            <w:r>
              <w:rPr>
                <w:szCs w:val="28"/>
                <w:lang w:eastAsia="lv-LV"/>
              </w:rPr>
              <w:t>0</w:t>
            </w:r>
          </w:p>
        </w:tc>
        <w:tc>
          <w:tcPr>
            <w:tcW w:w="1247" w:type="dxa"/>
          </w:tcPr>
          <w:p w:rsidR="00D6434E" w:rsidRPr="002F04A5" w:rsidP="0096474B" w14:paraId="78CCF568" w14:textId="537BDCE2">
            <w:pPr>
              <w:jc w:val="center"/>
              <w:rPr>
                <w:szCs w:val="28"/>
                <w:lang w:eastAsia="lv-LV"/>
              </w:rPr>
            </w:pPr>
            <w:r>
              <w:rPr>
                <w:szCs w:val="28"/>
                <w:lang w:eastAsia="lv-LV"/>
              </w:rPr>
              <w:t>0</w:t>
            </w:r>
          </w:p>
        </w:tc>
        <w:tc>
          <w:tcPr>
            <w:tcW w:w="1162" w:type="dxa"/>
            <w:gridSpan w:val="2"/>
          </w:tcPr>
          <w:p w:rsidR="00D6434E" w:rsidRPr="002F04A5" w:rsidP="0096474B" w14:paraId="69EF92A3" w14:textId="59F9C002">
            <w:pPr>
              <w:jc w:val="center"/>
              <w:rPr>
                <w:szCs w:val="28"/>
                <w:lang w:eastAsia="lv-LV"/>
              </w:rPr>
            </w:pPr>
            <w:r>
              <w:rPr>
                <w:szCs w:val="28"/>
                <w:lang w:eastAsia="lv-LV"/>
              </w:rPr>
              <w:t>0</w:t>
            </w:r>
          </w:p>
        </w:tc>
        <w:tc>
          <w:tcPr>
            <w:tcW w:w="1134" w:type="dxa"/>
          </w:tcPr>
          <w:p w:rsidR="00D6434E" w:rsidRPr="002F04A5" w:rsidP="0096474B" w14:paraId="26D95ACC" w14:textId="5D480044">
            <w:pPr>
              <w:jc w:val="center"/>
              <w:rPr>
                <w:szCs w:val="28"/>
                <w:lang w:eastAsia="lv-LV"/>
              </w:rPr>
            </w:pPr>
            <w:r>
              <w:rPr>
                <w:szCs w:val="28"/>
                <w:lang w:eastAsia="lv-LV"/>
              </w:rPr>
              <w:t>0</w:t>
            </w:r>
          </w:p>
        </w:tc>
        <w:tc>
          <w:tcPr>
            <w:tcW w:w="1276" w:type="dxa"/>
          </w:tcPr>
          <w:p w:rsidR="00D6434E" w:rsidRPr="002F04A5" w:rsidP="0096474B" w14:paraId="47D86F8E" w14:textId="157879FC">
            <w:pPr>
              <w:jc w:val="center"/>
              <w:rPr>
                <w:szCs w:val="28"/>
                <w:lang w:eastAsia="lv-LV"/>
              </w:rPr>
            </w:pPr>
            <w:r>
              <w:rPr>
                <w:szCs w:val="28"/>
                <w:lang w:eastAsia="lv-LV"/>
              </w:rPr>
              <w:t>0</w:t>
            </w:r>
          </w:p>
        </w:tc>
      </w:tr>
      <w:tr w14:paraId="1C0A8C56" w14:textId="77777777" w:rsidTr="00DB055E">
        <w:tblPrEx>
          <w:tblW w:w="8931" w:type="dxa"/>
          <w:tblInd w:w="-289" w:type="dxa"/>
          <w:tblLayout w:type="fixed"/>
          <w:tblLook w:val="04A0"/>
        </w:tblPrEx>
        <w:tc>
          <w:tcPr>
            <w:tcW w:w="2978" w:type="dxa"/>
          </w:tcPr>
          <w:p w:rsidR="00D6434E" w:rsidRPr="002F04A5" w:rsidP="00B7065D" w14:paraId="0BC405D7" w14:textId="77777777">
            <w:pPr>
              <w:spacing w:before="100" w:beforeAutospacing="1" w:after="100" w:afterAutospacing="1"/>
              <w:rPr>
                <w:szCs w:val="28"/>
                <w:lang w:eastAsia="lv-LV"/>
              </w:rPr>
            </w:pPr>
            <w:r w:rsidRPr="002F04A5">
              <w:rPr>
                <w:szCs w:val="28"/>
                <w:lang w:eastAsia="lv-LV"/>
              </w:rPr>
              <w:t>4. Finanšu līdzekļi papildu izdevumu finansēšanai (kompensējošu izdevumu samazinājumu norāda ar "+" zīmi)</w:t>
            </w:r>
          </w:p>
        </w:tc>
        <w:tc>
          <w:tcPr>
            <w:tcW w:w="1134" w:type="dxa"/>
          </w:tcPr>
          <w:p w:rsidR="00D6434E" w:rsidRPr="002F04A5" w:rsidP="00973FC4" w14:paraId="7A20CEDC" w14:textId="77777777">
            <w:pPr>
              <w:jc w:val="center"/>
              <w:rPr>
                <w:szCs w:val="28"/>
                <w:lang w:eastAsia="lv-LV"/>
              </w:rPr>
            </w:pPr>
            <w:r w:rsidRPr="002F04A5">
              <w:rPr>
                <w:szCs w:val="28"/>
                <w:lang w:eastAsia="lv-LV"/>
              </w:rPr>
              <w:t>X</w:t>
            </w:r>
          </w:p>
        </w:tc>
        <w:tc>
          <w:tcPr>
            <w:tcW w:w="1275" w:type="dxa"/>
            <w:gridSpan w:val="2"/>
          </w:tcPr>
          <w:p w:rsidR="00D6434E" w:rsidRPr="002F04A5" w:rsidP="00D6434E" w14:paraId="4D22BBD5" w14:textId="296AF57F">
            <w:pPr>
              <w:jc w:val="center"/>
              <w:rPr>
                <w:szCs w:val="28"/>
                <w:lang w:eastAsia="lv-LV"/>
              </w:rPr>
            </w:pPr>
            <w:r>
              <w:rPr>
                <w:szCs w:val="28"/>
                <w:lang w:eastAsia="lv-LV"/>
              </w:rPr>
              <w:t>0</w:t>
            </w:r>
          </w:p>
        </w:tc>
        <w:tc>
          <w:tcPr>
            <w:tcW w:w="1134" w:type="dxa"/>
          </w:tcPr>
          <w:p w:rsidR="00D6434E" w:rsidRPr="002F04A5" w:rsidP="00D6434E" w14:paraId="488CC454" w14:textId="33838300">
            <w:pPr>
              <w:jc w:val="center"/>
              <w:rPr>
                <w:szCs w:val="28"/>
                <w:lang w:eastAsia="lv-LV"/>
              </w:rPr>
            </w:pPr>
            <w:r>
              <w:rPr>
                <w:szCs w:val="28"/>
                <w:lang w:eastAsia="lv-LV"/>
              </w:rPr>
              <w:t>0</w:t>
            </w:r>
          </w:p>
        </w:tc>
        <w:tc>
          <w:tcPr>
            <w:tcW w:w="1134" w:type="dxa"/>
          </w:tcPr>
          <w:p w:rsidR="00D6434E" w:rsidRPr="002F04A5" w:rsidP="00D6434E" w14:paraId="5B549E36" w14:textId="57455856">
            <w:pPr>
              <w:jc w:val="center"/>
              <w:rPr>
                <w:szCs w:val="28"/>
                <w:lang w:eastAsia="lv-LV"/>
              </w:rPr>
            </w:pPr>
            <w:r>
              <w:rPr>
                <w:szCs w:val="28"/>
                <w:lang w:eastAsia="lv-LV"/>
              </w:rPr>
              <w:t>0</w:t>
            </w:r>
          </w:p>
        </w:tc>
        <w:tc>
          <w:tcPr>
            <w:tcW w:w="1276" w:type="dxa"/>
          </w:tcPr>
          <w:p w:rsidR="00D6434E" w:rsidRPr="002F04A5" w:rsidP="00D6434E" w14:paraId="57ACD23E" w14:textId="1A5AC412">
            <w:pPr>
              <w:jc w:val="center"/>
              <w:rPr>
                <w:szCs w:val="28"/>
                <w:lang w:eastAsia="lv-LV"/>
              </w:rPr>
            </w:pPr>
            <w:r>
              <w:rPr>
                <w:szCs w:val="28"/>
                <w:lang w:eastAsia="lv-LV"/>
              </w:rPr>
              <w:t>0</w:t>
            </w:r>
          </w:p>
        </w:tc>
      </w:tr>
      <w:tr w14:paraId="44B05739" w14:textId="77777777" w:rsidTr="00DB055E">
        <w:tblPrEx>
          <w:tblW w:w="8931" w:type="dxa"/>
          <w:tblInd w:w="-289" w:type="dxa"/>
          <w:tblLayout w:type="fixed"/>
          <w:tblLook w:val="04A0"/>
        </w:tblPrEx>
        <w:tc>
          <w:tcPr>
            <w:tcW w:w="2978" w:type="dxa"/>
          </w:tcPr>
          <w:p w:rsidR="007F2F37" w:rsidRPr="002F04A5" w:rsidP="00DB055E" w14:paraId="5BB683BA" w14:textId="77777777">
            <w:pPr>
              <w:rPr>
                <w:szCs w:val="28"/>
              </w:rPr>
            </w:pPr>
            <w:r w:rsidRPr="002F04A5">
              <w:rPr>
                <w:szCs w:val="28"/>
                <w:lang w:eastAsia="lv-LV"/>
              </w:rPr>
              <w:t>5. Precizēta finansiālā ietekme:</w:t>
            </w:r>
          </w:p>
        </w:tc>
        <w:tc>
          <w:tcPr>
            <w:tcW w:w="1134" w:type="dxa"/>
            <w:vMerge w:val="restart"/>
          </w:tcPr>
          <w:p w:rsidR="007F2F37" w:rsidP="00DB055E" w14:paraId="3F7D86AE" w14:textId="77777777">
            <w:pPr>
              <w:jc w:val="center"/>
              <w:rPr>
                <w:szCs w:val="28"/>
                <w:lang w:eastAsia="lv-LV"/>
              </w:rPr>
            </w:pPr>
          </w:p>
          <w:p w:rsidR="007F2F37" w:rsidP="00DB055E" w14:paraId="4DA48685" w14:textId="77777777">
            <w:pPr>
              <w:jc w:val="center"/>
              <w:rPr>
                <w:szCs w:val="28"/>
                <w:lang w:eastAsia="lv-LV"/>
              </w:rPr>
            </w:pPr>
          </w:p>
          <w:p w:rsidR="007F2F37" w:rsidP="00DB055E" w14:paraId="3BC976D5" w14:textId="77777777">
            <w:pPr>
              <w:jc w:val="center"/>
              <w:rPr>
                <w:szCs w:val="28"/>
                <w:lang w:eastAsia="lv-LV"/>
              </w:rPr>
            </w:pPr>
          </w:p>
          <w:p w:rsidR="007F2F37" w:rsidP="00DB055E" w14:paraId="3AE08D0A" w14:textId="77777777">
            <w:pPr>
              <w:jc w:val="center"/>
              <w:rPr>
                <w:szCs w:val="28"/>
                <w:lang w:eastAsia="lv-LV"/>
              </w:rPr>
            </w:pPr>
          </w:p>
          <w:p w:rsidR="007F2F37" w:rsidRPr="002F04A5" w:rsidP="00DB055E" w14:paraId="053BC063" w14:textId="77777777">
            <w:pPr>
              <w:jc w:val="center"/>
              <w:rPr>
                <w:szCs w:val="28"/>
                <w:lang w:eastAsia="lv-LV"/>
              </w:rPr>
            </w:pPr>
            <w:r>
              <w:rPr>
                <w:szCs w:val="28"/>
                <w:lang w:eastAsia="lv-LV"/>
              </w:rPr>
              <w:t>X</w:t>
            </w:r>
          </w:p>
          <w:p w:rsidR="007F2F37" w:rsidRPr="002F04A5" w:rsidP="00DB055E" w14:paraId="03E8512A" w14:textId="18F9BABC">
            <w:pPr>
              <w:jc w:val="center"/>
              <w:rPr>
                <w:szCs w:val="28"/>
                <w:lang w:eastAsia="lv-LV"/>
              </w:rPr>
            </w:pPr>
          </w:p>
        </w:tc>
        <w:tc>
          <w:tcPr>
            <w:tcW w:w="1275" w:type="dxa"/>
            <w:gridSpan w:val="2"/>
          </w:tcPr>
          <w:p w:rsidR="007F2F37" w:rsidRPr="00DB055E" w:rsidP="00DB055E" w14:paraId="2C34FC51" w14:textId="04982CB7">
            <w:pPr>
              <w:jc w:val="center"/>
              <w:rPr>
                <w:sz w:val="24"/>
                <w:szCs w:val="24"/>
                <w:lang w:eastAsia="lv-LV"/>
              </w:rPr>
            </w:pPr>
            <w:r w:rsidRPr="00DB055E">
              <w:rPr>
                <w:sz w:val="24"/>
                <w:szCs w:val="24"/>
                <w:lang w:eastAsia="lv-LV"/>
              </w:rPr>
              <w:t>Nav precīzi aprēķināms</w:t>
            </w:r>
          </w:p>
        </w:tc>
        <w:tc>
          <w:tcPr>
            <w:tcW w:w="1134" w:type="dxa"/>
          </w:tcPr>
          <w:p w:rsidR="007F2F37" w:rsidRPr="002F04A5" w:rsidP="00DB055E" w14:paraId="07C073B0" w14:textId="0BE937AC">
            <w:pPr>
              <w:jc w:val="center"/>
              <w:rPr>
                <w:szCs w:val="28"/>
                <w:lang w:eastAsia="lv-LV"/>
              </w:rPr>
            </w:pPr>
            <w:r>
              <w:rPr>
                <w:sz w:val="24"/>
                <w:szCs w:val="24"/>
                <w:lang w:eastAsia="lv-LV"/>
              </w:rPr>
              <w:t>0</w:t>
            </w:r>
          </w:p>
        </w:tc>
        <w:tc>
          <w:tcPr>
            <w:tcW w:w="1134" w:type="dxa"/>
          </w:tcPr>
          <w:p w:rsidR="007F2F37" w:rsidRPr="002F04A5" w:rsidP="00DB055E" w14:paraId="7D22EC9E" w14:textId="0D097437">
            <w:pPr>
              <w:jc w:val="center"/>
              <w:rPr>
                <w:szCs w:val="28"/>
                <w:lang w:eastAsia="lv-LV"/>
              </w:rPr>
            </w:pPr>
            <w:r>
              <w:rPr>
                <w:sz w:val="24"/>
                <w:szCs w:val="24"/>
                <w:lang w:eastAsia="lv-LV"/>
              </w:rPr>
              <w:t>0</w:t>
            </w:r>
          </w:p>
        </w:tc>
        <w:tc>
          <w:tcPr>
            <w:tcW w:w="1276" w:type="dxa"/>
          </w:tcPr>
          <w:p w:rsidR="007F2F37" w:rsidRPr="002F04A5" w:rsidP="00DB055E" w14:paraId="027E5C87" w14:textId="3EBC1455">
            <w:pPr>
              <w:jc w:val="center"/>
              <w:rPr>
                <w:szCs w:val="28"/>
                <w:lang w:eastAsia="lv-LV"/>
              </w:rPr>
            </w:pPr>
            <w:r>
              <w:rPr>
                <w:sz w:val="24"/>
                <w:szCs w:val="24"/>
                <w:lang w:eastAsia="lv-LV"/>
              </w:rPr>
              <w:t>0</w:t>
            </w:r>
          </w:p>
        </w:tc>
      </w:tr>
      <w:tr w14:paraId="4EA5B07A" w14:textId="77777777" w:rsidTr="00DB055E">
        <w:tblPrEx>
          <w:tblW w:w="8931" w:type="dxa"/>
          <w:tblInd w:w="-289" w:type="dxa"/>
          <w:tblLayout w:type="fixed"/>
          <w:tblLook w:val="04A0"/>
        </w:tblPrEx>
        <w:tc>
          <w:tcPr>
            <w:tcW w:w="2978" w:type="dxa"/>
          </w:tcPr>
          <w:p w:rsidR="007F2F37" w:rsidRPr="002F04A5" w:rsidP="00DB055E" w14:paraId="3C0EF7AE" w14:textId="77777777">
            <w:pPr>
              <w:tabs>
                <w:tab w:val="left" w:pos="285"/>
              </w:tabs>
              <w:rPr>
                <w:szCs w:val="28"/>
              </w:rPr>
            </w:pPr>
            <w:r w:rsidRPr="002F04A5">
              <w:rPr>
                <w:szCs w:val="28"/>
                <w:lang w:eastAsia="lv-LV"/>
              </w:rPr>
              <w:t>5.1. valsts pamatbudžets</w:t>
            </w:r>
          </w:p>
        </w:tc>
        <w:tc>
          <w:tcPr>
            <w:tcW w:w="1134" w:type="dxa"/>
            <w:vMerge/>
          </w:tcPr>
          <w:p w:rsidR="007F2F37" w:rsidRPr="002F04A5" w:rsidP="00DB055E" w14:paraId="2540B41E" w14:textId="7BA1B222">
            <w:pPr>
              <w:jc w:val="center"/>
              <w:rPr>
                <w:szCs w:val="28"/>
                <w:lang w:eastAsia="lv-LV"/>
              </w:rPr>
            </w:pPr>
          </w:p>
        </w:tc>
        <w:tc>
          <w:tcPr>
            <w:tcW w:w="1275" w:type="dxa"/>
            <w:gridSpan w:val="2"/>
          </w:tcPr>
          <w:p w:rsidR="007F2F37" w:rsidRPr="002F04A5" w:rsidP="00DB055E" w14:paraId="5C160E68" w14:textId="7976A729">
            <w:pPr>
              <w:jc w:val="center"/>
              <w:rPr>
                <w:szCs w:val="28"/>
                <w:lang w:eastAsia="lv-LV"/>
              </w:rPr>
            </w:pPr>
            <w:r w:rsidRPr="007A0024">
              <w:rPr>
                <w:sz w:val="24"/>
                <w:szCs w:val="24"/>
                <w:lang w:eastAsia="lv-LV"/>
              </w:rPr>
              <w:t>Nav precīzi aprēķināms</w:t>
            </w:r>
          </w:p>
        </w:tc>
        <w:tc>
          <w:tcPr>
            <w:tcW w:w="1134" w:type="dxa"/>
          </w:tcPr>
          <w:p w:rsidR="007F2F37" w:rsidRPr="002F04A5" w:rsidP="00DB055E" w14:paraId="5533961B" w14:textId="52084C18">
            <w:pPr>
              <w:jc w:val="center"/>
              <w:rPr>
                <w:szCs w:val="28"/>
                <w:lang w:eastAsia="lv-LV"/>
              </w:rPr>
            </w:pPr>
            <w:r>
              <w:rPr>
                <w:sz w:val="24"/>
                <w:szCs w:val="24"/>
                <w:lang w:eastAsia="lv-LV"/>
              </w:rPr>
              <w:t>0</w:t>
            </w:r>
          </w:p>
        </w:tc>
        <w:tc>
          <w:tcPr>
            <w:tcW w:w="1134" w:type="dxa"/>
          </w:tcPr>
          <w:p w:rsidR="007F2F37" w:rsidRPr="002F04A5" w:rsidP="00DB055E" w14:paraId="371259FC" w14:textId="1F900B1A">
            <w:pPr>
              <w:jc w:val="center"/>
              <w:rPr>
                <w:szCs w:val="28"/>
                <w:lang w:eastAsia="lv-LV"/>
              </w:rPr>
            </w:pPr>
            <w:r>
              <w:rPr>
                <w:sz w:val="24"/>
                <w:szCs w:val="24"/>
                <w:lang w:eastAsia="lv-LV"/>
              </w:rPr>
              <w:t>0</w:t>
            </w:r>
          </w:p>
        </w:tc>
        <w:tc>
          <w:tcPr>
            <w:tcW w:w="1276" w:type="dxa"/>
          </w:tcPr>
          <w:p w:rsidR="007F2F37" w:rsidRPr="002F04A5" w:rsidP="00DB055E" w14:paraId="3E4A9793" w14:textId="3EF8C823">
            <w:pPr>
              <w:jc w:val="center"/>
              <w:rPr>
                <w:szCs w:val="28"/>
                <w:lang w:eastAsia="lv-LV"/>
              </w:rPr>
            </w:pPr>
            <w:r>
              <w:rPr>
                <w:sz w:val="24"/>
                <w:szCs w:val="24"/>
                <w:lang w:eastAsia="lv-LV"/>
              </w:rPr>
              <w:t>0</w:t>
            </w:r>
          </w:p>
        </w:tc>
      </w:tr>
      <w:tr w14:paraId="6A7BDA75" w14:textId="77777777" w:rsidTr="007F2F37">
        <w:tblPrEx>
          <w:tblW w:w="8931" w:type="dxa"/>
          <w:tblInd w:w="-289" w:type="dxa"/>
          <w:tblLayout w:type="fixed"/>
          <w:tblLook w:val="04A0"/>
        </w:tblPrEx>
        <w:trPr>
          <w:trHeight w:val="413"/>
        </w:trPr>
        <w:tc>
          <w:tcPr>
            <w:tcW w:w="2978" w:type="dxa"/>
          </w:tcPr>
          <w:p w:rsidR="007F2F37" w:rsidRPr="002F04A5" w:rsidP="00DB055E" w14:paraId="45701C80" w14:textId="77777777">
            <w:pPr>
              <w:tabs>
                <w:tab w:val="left" w:pos="480"/>
              </w:tabs>
              <w:rPr>
                <w:szCs w:val="28"/>
              </w:rPr>
            </w:pPr>
            <w:r w:rsidRPr="002F04A5">
              <w:rPr>
                <w:szCs w:val="28"/>
                <w:lang w:eastAsia="lv-LV"/>
              </w:rPr>
              <w:t>5.2. speciālais budžets</w:t>
            </w:r>
          </w:p>
        </w:tc>
        <w:tc>
          <w:tcPr>
            <w:tcW w:w="1134" w:type="dxa"/>
            <w:vMerge/>
          </w:tcPr>
          <w:p w:rsidR="007F2F37" w:rsidRPr="002F04A5" w:rsidP="00DB055E" w14:paraId="79022EB7" w14:textId="2C5E5FB2">
            <w:pPr>
              <w:jc w:val="center"/>
              <w:rPr>
                <w:szCs w:val="28"/>
                <w:lang w:eastAsia="lv-LV"/>
              </w:rPr>
            </w:pPr>
          </w:p>
        </w:tc>
        <w:tc>
          <w:tcPr>
            <w:tcW w:w="1275" w:type="dxa"/>
            <w:gridSpan w:val="2"/>
          </w:tcPr>
          <w:p w:rsidR="007F2F37" w:rsidRPr="002F04A5" w:rsidP="00DB055E" w14:paraId="004C0F18" w14:textId="2C6C1232">
            <w:pPr>
              <w:jc w:val="center"/>
              <w:rPr>
                <w:szCs w:val="28"/>
                <w:lang w:eastAsia="lv-LV"/>
              </w:rPr>
            </w:pPr>
            <w:r>
              <w:rPr>
                <w:sz w:val="24"/>
                <w:szCs w:val="24"/>
                <w:lang w:eastAsia="lv-LV"/>
              </w:rPr>
              <w:t>0</w:t>
            </w:r>
          </w:p>
        </w:tc>
        <w:tc>
          <w:tcPr>
            <w:tcW w:w="1134" w:type="dxa"/>
          </w:tcPr>
          <w:p w:rsidR="007F2F37" w:rsidRPr="002F04A5" w:rsidP="00DB055E" w14:paraId="00EBC45E" w14:textId="0C7A4B00">
            <w:pPr>
              <w:jc w:val="center"/>
              <w:rPr>
                <w:szCs w:val="28"/>
                <w:lang w:eastAsia="lv-LV"/>
              </w:rPr>
            </w:pPr>
            <w:r>
              <w:rPr>
                <w:sz w:val="24"/>
                <w:szCs w:val="24"/>
                <w:lang w:eastAsia="lv-LV"/>
              </w:rPr>
              <w:t>0</w:t>
            </w:r>
          </w:p>
        </w:tc>
        <w:tc>
          <w:tcPr>
            <w:tcW w:w="1134" w:type="dxa"/>
          </w:tcPr>
          <w:p w:rsidR="007F2F37" w:rsidRPr="002F04A5" w:rsidP="00DB055E" w14:paraId="6FD909E9" w14:textId="5A16F67C">
            <w:pPr>
              <w:jc w:val="center"/>
              <w:rPr>
                <w:szCs w:val="28"/>
                <w:lang w:eastAsia="lv-LV"/>
              </w:rPr>
            </w:pPr>
            <w:r>
              <w:rPr>
                <w:sz w:val="24"/>
                <w:szCs w:val="24"/>
                <w:lang w:eastAsia="lv-LV"/>
              </w:rPr>
              <w:t>0</w:t>
            </w:r>
          </w:p>
        </w:tc>
        <w:tc>
          <w:tcPr>
            <w:tcW w:w="1276" w:type="dxa"/>
          </w:tcPr>
          <w:p w:rsidR="007F2F37" w:rsidRPr="002F04A5" w:rsidP="00DB055E" w14:paraId="63C728FA" w14:textId="5B957AFC">
            <w:pPr>
              <w:jc w:val="center"/>
              <w:rPr>
                <w:szCs w:val="28"/>
                <w:lang w:eastAsia="lv-LV"/>
              </w:rPr>
            </w:pPr>
            <w:r>
              <w:rPr>
                <w:sz w:val="24"/>
                <w:szCs w:val="24"/>
                <w:lang w:eastAsia="lv-LV"/>
              </w:rPr>
              <w:t>0</w:t>
            </w:r>
          </w:p>
        </w:tc>
      </w:tr>
      <w:tr w14:paraId="44506087" w14:textId="77777777" w:rsidTr="00DB055E">
        <w:tblPrEx>
          <w:tblW w:w="8931" w:type="dxa"/>
          <w:tblInd w:w="-289" w:type="dxa"/>
          <w:tblLayout w:type="fixed"/>
          <w:tblLook w:val="04A0"/>
        </w:tblPrEx>
        <w:tc>
          <w:tcPr>
            <w:tcW w:w="2978" w:type="dxa"/>
          </w:tcPr>
          <w:p w:rsidR="007F2F37" w:rsidRPr="002F04A5" w:rsidP="00DB055E" w14:paraId="2C7899F7" w14:textId="77777777">
            <w:pPr>
              <w:rPr>
                <w:szCs w:val="28"/>
              </w:rPr>
            </w:pPr>
            <w:r w:rsidRPr="002F04A5">
              <w:rPr>
                <w:szCs w:val="28"/>
                <w:lang w:eastAsia="lv-LV"/>
              </w:rPr>
              <w:t>5.3. pašvaldību budžets</w:t>
            </w:r>
          </w:p>
        </w:tc>
        <w:tc>
          <w:tcPr>
            <w:tcW w:w="1134" w:type="dxa"/>
            <w:vMerge/>
          </w:tcPr>
          <w:p w:rsidR="007F2F37" w:rsidRPr="002F04A5" w:rsidP="00DB055E" w14:paraId="29B75BF1" w14:textId="338BFC6D">
            <w:pPr>
              <w:jc w:val="center"/>
              <w:rPr>
                <w:szCs w:val="28"/>
                <w:lang w:eastAsia="lv-LV"/>
              </w:rPr>
            </w:pPr>
          </w:p>
        </w:tc>
        <w:tc>
          <w:tcPr>
            <w:tcW w:w="1275" w:type="dxa"/>
            <w:gridSpan w:val="2"/>
          </w:tcPr>
          <w:p w:rsidR="007F2F37" w:rsidRPr="002F04A5" w:rsidP="00DB055E" w14:paraId="566F23D6" w14:textId="05A5DF98">
            <w:pPr>
              <w:jc w:val="center"/>
              <w:rPr>
                <w:szCs w:val="28"/>
                <w:lang w:eastAsia="lv-LV"/>
              </w:rPr>
            </w:pPr>
            <w:r>
              <w:rPr>
                <w:sz w:val="24"/>
                <w:szCs w:val="24"/>
                <w:lang w:eastAsia="lv-LV"/>
              </w:rPr>
              <w:t>0</w:t>
            </w:r>
          </w:p>
        </w:tc>
        <w:tc>
          <w:tcPr>
            <w:tcW w:w="1134" w:type="dxa"/>
          </w:tcPr>
          <w:p w:rsidR="007F2F37" w:rsidRPr="002F04A5" w:rsidP="00DB055E" w14:paraId="00BEAF8C" w14:textId="03646C0D">
            <w:pPr>
              <w:jc w:val="center"/>
              <w:rPr>
                <w:szCs w:val="28"/>
                <w:lang w:eastAsia="lv-LV"/>
              </w:rPr>
            </w:pPr>
            <w:r>
              <w:rPr>
                <w:sz w:val="24"/>
                <w:szCs w:val="24"/>
                <w:lang w:eastAsia="lv-LV"/>
              </w:rPr>
              <w:t>0</w:t>
            </w:r>
          </w:p>
        </w:tc>
        <w:tc>
          <w:tcPr>
            <w:tcW w:w="1134" w:type="dxa"/>
          </w:tcPr>
          <w:p w:rsidR="007F2F37" w:rsidRPr="002F04A5" w:rsidP="00DB055E" w14:paraId="2E61496E" w14:textId="7F79DADB">
            <w:pPr>
              <w:jc w:val="center"/>
              <w:rPr>
                <w:szCs w:val="28"/>
                <w:lang w:eastAsia="lv-LV"/>
              </w:rPr>
            </w:pPr>
            <w:r>
              <w:rPr>
                <w:sz w:val="24"/>
                <w:szCs w:val="24"/>
                <w:lang w:eastAsia="lv-LV"/>
              </w:rPr>
              <w:t>0</w:t>
            </w:r>
          </w:p>
        </w:tc>
        <w:tc>
          <w:tcPr>
            <w:tcW w:w="1276" w:type="dxa"/>
          </w:tcPr>
          <w:p w:rsidR="007F2F37" w:rsidRPr="002F04A5" w:rsidP="00DB055E" w14:paraId="7A4F03C4" w14:textId="7BF73033">
            <w:pPr>
              <w:jc w:val="center"/>
              <w:rPr>
                <w:szCs w:val="28"/>
                <w:lang w:eastAsia="lv-LV"/>
              </w:rPr>
            </w:pPr>
            <w:r>
              <w:rPr>
                <w:sz w:val="24"/>
                <w:szCs w:val="24"/>
                <w:lang w:eastAsia="lv-LV"/>
              </w:rPr>
              <w:t>0</w:t>
            </w:r>
          </w:p>
        </w:tc>
      </w:tr>
      <w:tr w14:paraId="7A7F7A22" w14:textId="77777777" w:rsidTr="0096474B">
        <w:tblPrEx>
          <w:tblW w:w="8931" w:type="dxa"/>
          <w:tblInd w:w="-289" w:type="dxa"/>
          <w:tblLayout w:type="fixed"/>
          <w:tblLook w:val="04A0"/>
        </w:tblPrEx>
        <w:tc>
          <w:tcPr>
            <w:tcW w:w="2978" w:type="dxa"/>
          </w:tcPr>
          <w:p w:rsidR="007F2F37" w:rsidRPr="002F04A5" w:rsidP="00D6434E" w14:paraId="5A93EB4A" w14:textId="77777777">
            <w:pPr>
              <w:tabs>
                <w:tab w:val="left" w:pos="360"/>
              </w:tabs>
              <w:rPr>
                <w:szCs w:val="28"/>
              </w:rPr>
            </w:pPr>
            <w:r w:rsidRPr="002F04A5">
              <w:rPr>
                <w:szCs w:val="28"/>
                <w:lang w:eastAsia="lv-LV"/>
              </w:rPr>
              <w:t>6. Detalizēts ieņēmumu un izdevumu aprēķins (ja nepieciešams, detalizētu ieņēmumu un izdevumu aprēķinu var pievienot anotācijas pielikumā):</w:t>
            </w:r>
          </w:p>
        </w:tc>
        <w:tc>
          <w:tcPr>
            <w:tcW w:w="5953" w:type="dxa"/>
            <w:gridSpan w:val="6"/>
            <w:vMerge w:val="restart"/>
          </w:tcPr>
          <w:p w:rsidR="007F2F37" w:rsidP="00D6434E" w14:paraId="21FA5354" w14:textId="77777777">
            <w:pPr>
              <w:spacing w:before="100" w:beforeAutospacing="1" w:after="100" w:afterAutospacing="1"/>
              <w:jc w:val="center"/>
              <w:rPr>
                <w:sz w:val="24"/>
                <w:szCs w:val="24"/>
                <w:lang w:eastAsia="lv-LV"/>
              </w:rPr>
            </w:pPr>
          </w:p>
          <w:p w:rsidR="007F2F37" w:rsidP="00D6434E" w14:paraId="1B5B7D22" w14:textId="77777777">
            <w:pPr>
              <w:spacing w:before="100" w:beforeAutospacing="1" w:after="100" w:afterAutospacing="1"/>
              <w:jc w:val="center"/>
              <w:rPr>
                <w:sz w:val="24"/>
                <w:szCs w:val="24"/>
                <w:lang w:eastAsia="lv-LV"/>
              </w:rPr>
            </w:pPr>
          </w:p>
          <w:p w:rsidR="007F2F37" w:rsidP="00D6434E" w14:paraId="1FDC3CFF" w14:textId="77777777">
            <w:pPr>
              <w:spacing w:before="100" w:beforeAutospacing="1" w:after="100" w:afterAutospacing="1"/>
              <w:jc w:val="center"/>
              <w:rPr>
                <w:sz w:val="24"/>
                <w:szCs w:val="24"/>
                <w:lang w:eastAsia="lv-LV"/>
              </w:rPr>
            </w:pPr>
          </w:p>
          <w:p w:rsidR="007F2F37" w:rsidRPr="002F04A5" w:rsidP="00D6434E" w14:paraId="142934B8" w14:textId="77777777">
            <w:pPr>
              <w:spacing w:before="100" w:beforeAutospacing="1" w:after="100" w:afterAutospacing="1"/>
              <w:jc w:val="center"/>
              <w:rPr>
                <w:szCs w:val="28"/>
                <w:lang w:eastAsia="lv-LV"/>
              </w:rPr>
            </w:pPr>
            <w:r w:rsidRPr="009967EB">
              <w:rPr>
                <w:sz w:val="24"/>
                <w:szCs w:val="24"/>
                <w:lang w:eastAsia="lv-LV"/>
              </w:rPr>
              <w:t>Nav precīzi aprēķināms.</w:t>
            </w:r>
          </w:p>
          <w:p w:rsidR="007F2F37" w:rsidRPr="002F04A5" w:rsidP="00D6434E" w14:paraId="2B33BA51" w14:textId="56875CA7">
            <w:pPr>
              <w:jc w:val="center"/>
              <w:rPr>
                <w:szCs w:val="28"/>
                <w:lang w:eastAsia="lv-LV"/>
              </w:rPr>
            </w:pPr>
          </w:p>
        </w:tc>
      </w:tr>
      <w:tr w14:paraId="0593CEC1" w14:textId="77777777" w:rsidTr="0096474B">
        <w:tblPrEx>
          <w:tblW w:w="8931" w:type="dxa"/>
          <w:tblInd w:w="-289" w:type="dxa"/>
          <w:tblLayout w:type="fixed"/>
          <w:tblLook w:val="04A0"/>
        </w:tblPrEx>
        <w:tc>
          <w:tcPr>
            <w:tcW w:w="2978" w:type="dxa"/>
          </w:tcPr>
          <w:p w:rsidR="007F2F37" w:rsidRPr="002F04A5" w:rsidP="00D6434E" w14:paraId="077D59D9" w14:textId="77777777">
            <w:pPr>
              <w:tabs>
                <w:tab w:val="left" w:pos="555"/>
              </w:tabs>
              <w:rPr>
                <w:szCs w:val="28"/>
              </w:rPr>
            </w:pPr>
            <w:r w:rsidRPr="002F04A5">
              <w:rPr>
                <w:szCs w:val="28"/>
                <w:lang w:eastAsia="lv-LV"/>
              </w:rPr>
              <w:t>6.1. detalizēts ieņēmumu aprēķins</w:t>
            </w:r>
          </w:p>
        </w:tc>
        <w:tc>
          <w:tcPr>
            <w:tcW w:w="5953" w:type="dxa"/>
            <w:gridSpan w:val="6"/>
            <w:vMerge/>
          </w:tcPr>
          <w:p w:rsidR="007F2F37" w:rsidRPr="002F04A5" w:rsidP="00D6434E" w14:paraId="6EEC9818" w14:textId="37AFB916">
            <w:pPr>
              <w:jc w:val="center"/>
              <w:rPr>
                <w:szCs w:val="28"/>
                <w:lang w:eastAsia="lv-LV"/>
              </w:rPr>
            </w:pPr>
          </w:p>
        </w:tc>
      </w:tr>
      <w:tr w14:paraId="2CB46E1D" w14:textId="77777777" w:rsidTr="0096474B">
        <w:tblPrEx>
          <w:tblW w:w="8931" w:type="dxa"/>
          <w:tblInd w:w="-289" w:type="dxa"/>
          <w:tblLayout w:type="fixed"/>
          <w:tblLook w:val="04A0"/>
        </w:tblPrEx>
        <w:tc>
          <w:tcPr>
            <w:tcW w:w="2978" w:type="dxa"/>
          </w:tcPr>
          <w:p w:rsidR="007F2F37" w:rsidRPr="002F04A5" w:rsidP="00D6434E" w14:paraId="126F634F" w14:textId="77777777">
            <w:pPr>
              <w:spacing w:before="100" w:beforeAutospacing="1" w:after="100" w:afterAutospacing="1"/>
              <w:rPr>
                <w:szCs w:val="28"/>
                <w:lang w:eastAsia="lv-LV"/>
              </w:rPr>
            </w:pPr>
            <w:r w:rsidRPr="002F04A5">
              <w:rPr>
                <w:szCs w:val="28"/>
                <w:lang w:eastAsia="lv-LV"/>
              </w:rPr>
              <w:t>6.2. detalizēts izdevumu aprēķins</w:t>
            </w:r>
          </w:p>
        </w:tc>
        <w:tc>
          <w:tcPr>
            <w:tcW w:w="5953" w:type="dxa"/>
            <w:gridSpan w:val="6"/>
            <w:vMerge/>
          </w:tcPr>
          <w:p w:rsidR="007F2F37" w:rsidRPr="002F04A5" w:rsidP="00D6434E" w14:paraId="56419315" w14:textId="56DB78D1">
            <w:pPr>
              <w:jc w:val="center"/>
              <w:rPr>
                <w:szCs w:val="28"/>
                <w:lang w:eastAsia="lv-LV"/>
              </w:rPr>
            </w:pPr>
          </w:p>
        </w:tc>
      </w:tr>
      <w:tr w14:paraId="23EC0E4E" w14:textId="77777777" w:rsidTr="00DD0609">
        <w:tblPrEx>
          <w:tblW w:w="8931" w:type="dxa"/>
          <w:tblInd w:w="-289" w:type="dxa"/>
          <w:tblLayout w:type="fixed"/>
          <w:tblLook w:val="04A0"/>
        </w:tblPrEx>
        <w:tc>
          <w:tcPr>
            <w:tcW w:w="2978" w:type="dxa"/>
          </w:tcPr>
          <w:p w:rsidR="00973FC4" w:rsidRPr="002F04A5" w:rsidP="00B7065D" w14:paraId="20F10E14" w14:textId="77777777">
            <w:pPr>
              <w:rPr>
                <w:szCs w:val="28"/>
              </w:rPr>
            </w:pPr>
            <w:r w:rsidRPr="002F04A5">
              <w:rPr>
                <w:szCs w:val="28"/>
                <w:lang w:eastAsia="lv-LV"/>
              </w:rPr>
              <w:t>7. Cita informācija</w:t>
            </w:r>
          </w:p>
        </w:tc>
        <w:tc>
          <w:tcPr>
            <w:tcW w:w="5953" w:type="dxa"/>
            <w:gridSpan w:val="6"/>
          </w:tcPr>
          <w:p w:rsidR="00B7065D" w:rsidRPr="002F04A5" w:rsidP="005C6B2F" w14:paraId="5AB5C9F0" w14:textId="77777777">
            <w:pPr>
              <w:jc w:val="both"/>
              <w:rPr>
                <w:szCs w:val="28"/>
                <w:lang w:eastAsia="lv-LV"/>
              </w:rPr>
            </w:pPr>
            <w:r w:rsidRPr="002F04A5">
              <w:rPr>
                <w:szCs w:val="28"/>
                <w:lang w:eastAsia="lv-LV"/>
              </w:rPr>
              <w:t>Rīkojuma projekta īstenošanai nav nepieciešami papildus līdzekļi no valsts vai pašvaldību budžeta. Rīkojuma projektu VNĪ īstenos par saviem līdzekļiem.</w:t>
            </w:r>
          </w:p>
          <w:p w:rsidR="00973FC4" w:rsidRPr="002F04A5" w:rsidP="00B7065D" w14:paraId="0B10F0A1" w14:textId="77777777">
            <w:pPr>
              <w:jc w:val="both"/>
              <w:rPr>
                <w:szCs w:val="28"/>
                <w:lang w:eastAsia="lv-LV"/>
              </w:rPr>
            </w:pPr>
            <w:r w:rsidRPr="002F04A5">
              <w:rPr>
                <w:szCs w:val="28"/>
                <w:lang w:eastAsia="lv-LV"/>
              </w:rPr>
              <w:t>VNĪ saskaņā ar Atsavināšanas likuma 47.</w:t>
            </w:r>
            <w:r w:rsidRPr="002F04A5" w:rsidR="00D731D1">
              <w:rPr>
                <w:szCs w:val="28"/>
                <w:lang w:eastAsia="lv-LV"/>
              </w:rPr>
              <w:t> </w:t>
            </w:r>
            <w:r w:rsidRPr="002F04A5">
              <w:rPr>
                <w:szCs w:val="28"/>
                <w:lang w:eastAsia="lv-LV"/>
              </w:rPr>
              <w:t>pantu un Ministru kabineta 2011.</w:t>
            </w:r>
            <w:r w:rsidRPr="002F04A5" w:rsidR="00D731D1">
              <w:rPr>
                <w:szCs w:val="28"/>
                <w:lang w:eastAsia="lv-LV"/>
              </w:rPr>
              <w:t> </w:t>
            </w:r>
            <w:r w:rsidRPr="002F04A5">
              <w:rPr>
                <w:szCs w:val="28"/>
                <w:lang w:eastAsia="lv-LV"/>
              </w:rPr>
              <w:t>gada 1.</w:t>
            </w:r>
            <w:r w:rsidRPr="002F04A5" w:rsidR="00D731D1">
              <w:rPr>
                <w:szCs w:val="28"/>
                <w:lang w:eastAsia="lv-LV"/>
              </w:rPr>
              <w:t> </w:t>
            </w:r>
            <w:r w:rsidRPr="002F04A5">
              <w:rPr>
                <w:szCs w:val="28"/>
                <w:lang w:eastAsia="lv-LV"/>
              </w:rPr>
              <w:t>februāra noteikumu Nr.</w:t>
            </w:r>
            <w:r w:rsidRPr="002F04A5" w:rsidR="000B305C">
              <w:rPr>
                <w:szCs w:val="28"/>
                <w:lang w:eastAsia="lv-LV"/>
              </w:rPr>
              <w:t> </w:t>
            </w:r>
            <w:r w:rsidRPr="002F04A5" w:rsidR="00E076FB">
              <w:rPr>
                <w:szCs w:val="28"/>
                <w:lang w:eastAsia="lv-LV"/>
              </w:rPr>
              <w:t>109 “</w:t>
            </w:r>
            <w:r w:rsidRPr="002F04A5">
              <w:rPr>
                <w:szCs w:val="28"/>
                <w:lang w:eastAsia="lv-LV"/>
              </w:rPr>
              <w:t>Kārtība, kādā atsavināma publiskas personas manta” 37.</w:t>
            </w:r>
            <w:r w:rsidRPr="002F04A5" w:rsidR="00D731D1">
              <w:rPr>
                <w:szCs w:val="28"/>
                <w:lang w:eastAsia="lv-LV"/>
              </w:rPr>
              <w:t> </w:t>
            </w:r>
            <w:r w:rsidRPr="002F04A5">
              <w:rPr>
                <w:szCs w:val="28"/>
                <w:lang w:eastAsia="lv-LV"/>
              </w:rPr>
              <w:t xml:space="preserve">punktu nekustamo īpašumu atsavināšanā iegūtos līdzekļus </w:t>
            </w:r>
            <w:r w:rsidRPr="002F04A5">
              <w:rPr>
                <w:szCs w:val="28"/>
              </w:rPr>
              <w:t xml:space="preserve">pēc atsavināšanas izdevumu segšanas </w:t>
            </w:r>
            <w:r w:rsidRPr="002F04A5">
              <w:rPr>
                <w:szCs w:val="28"/>
                <w:lang w:eastAsia="lv-LV"/>
              </w:rPr>
              <w:t>ieskaitīs valsts pamatbudžeta ieņēmumu kontā. Šobrīd nav iespējams noteikt summu, kas tiks ieskaitīta valsts budžetā, jo pašlaik nav iespējams noteikt precīzu nekustamo īpašumu pārdošanas vērtību, ņemot vērā, ka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FF58AA" w:rsidRPr="002F04A5" w:rsidP="00FB1BB0" w14:paraId="31ED9A8E" w14:textId="77777777">
      <w:pPr>
        <w:spacing w:line="240" w:lineRule="auto"/>
        <w:contextualSpacing/>
        <w:rPr>
          <w:szCs w:val="28"/>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14:paraId="0C9A8369" w14:textId="77777777" w:rsidTr="00DD0609">
        <w:tblPrEx>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931" w:type="dxa"/>
            <w:shd w:val="clear" w:color="auto" w:fill="auto"/>
          </w:tcPr>
          <w:p w:rsidR="00FF5151" w:rsidRPr="002F04A5" w:rsidP="0096474B" w14:paraId="034F19B9" w14:textId="77777777">
            <w:pPr>
              <w:spacing w:after="0" w:line="240" w:lineRule="auto"/>
              <w:ind w:firstLine="601"/>
              <w:jc w:val="center"/>
              <w:rPr>
                <w:szCs w:val="28"/>
                <w:lang w:eastAsia="lv-LV"/>
              </w:rPr>
            </w:pPr>
            <w:r w:rsidRPr="002F04A5">
              <w:rPr>
                <w:b/>
                <w:bCs/>
                <w:szCs w:val="28"/>
                <w:lang w:eastAsia="lv-LV"/>
              </w:rPr>
              <w:t xml:space="preserve">IV. </w:t>
            </w:r>
            <w:r w:rsidRPr="002F04A5">
              <w:rPr>
                <w:b/>
                <w:bCs/>
                <w:szCs w:val="28"/>
                <w:shd w:val="clear" w:color="auto" w:fill="FFFFFF"/>
                <w:lang w:eastAsia="lv-LV"/>
              </w:rPr>
              <w:t>Tiesību akta projekta ietekme uz spēkā esošo tiesību normu sistēmu</w:t>
            </w:r>
          </w:p>
        </w:tc>
      </w:tr>
      <w:tr w14:paraId="61C72CC1" w14:textId="77777777" w:rsidTr="00DD0609">
        <w:tblPrEx>
          <w:tblW w:w="8931" w:type="dxa"/>
          <w:tblInd w:w="-289" w:type="dxa"/>
          <w:tblLook w:val="04A0"/>
        </w:tblPrEx>
        <w:tc>
          <w:tcPr>
            <w:tcW w:w="8931" w:type="dxa"/>
            <w:shd w:val="clear" w:color="auto" w:fill="auto"/>
          </w:tcPr>
          <w:p w:rsidR="00FF5151" w:rsidRPr="002F04A5" w:rsidP="0096474B" w14:paraId="1EB00547" w14:textId="77777777">
            <w:pPr>
              <w:spacing w:before="75" w:after="75" w:line="240" w:lineRule="auto"/>
              <w:jc w:val="center"/>
              <w:rPr>
                <w:szCs w:val="28"/>
                <w:lang w:eastAsia="lv-LV"/>
              </w:rPr>
            </w:pPr>
            <w:r w:rsidRPr="002F04A5">
              <w:rPr>
                <w:szCs w:val="28"/>
                <w:shd w:val="clear" w:color="auto" w:fill="FFFFFF"/>
                <w:lang w:eastAsia="lv-LV"/>
              </w:rPr>
              <w:t>Projekts šo jomu neskar.</w:t>
            </w:r>
          </w:p>
        </w:tc>
      </w:tr>
    </w:tbl>
    <w:p w:rsidR="00FF5151" w:rsidRPr="002F04A5" w:rsidP="00FF5151" w14:paraId="310CCD01" w14:textId="77777777">
      <w:pPr>
        <w:spacing w:before="75" w:after="75" w:line="240" w:lineRule="auto"/>
        <w:ind w:firstLine="375"/>
        <w:jc w:val="both"/>
        <w:rPr>
          <w:szCs w:val="28"/>
          <w:lang w:eastAsia="lv-LV"/>
        </w:rPr>
      </w:pP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1"/>
      </w:tblGrid>
      <w:tr w14:paraId="46A96C43" w14:textId="77777777" w:rsidTr="00DD0609">
        <w:tblPrEx>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8931" w:type="dxa"/>
            <w:tcBorders>
              <w:bottom w:val="single" w:sz="4" w:space="0" w:color="auto"/>
            </w:tcBorders>
            <w:shd w:val="clear" w:color="auto" w:fill="auto"/>
          </w:tcPr>
          <w:p w:rsidR="00FF5151" w:rsidRPr="002F04A5" w:rsidP="0096474B" w14:paraId="53217C46" w14:textId="77777777">
            <w:pPr>
              <w:spacing w:after="0" w:line="240" w:lineRule="auto"/>
              <w:ind w:firstLine="601"/>
              <w:jc w:val="center"/>
              <w:rPr>
                <w:szCs w:val="28"/>
                <w:lang w:eastAsia="lv-LV"/>
              </w:rPr>
            </w:pPr>
            <w:r w:rsidRPr="002F04A5">
              <w:rPr>
                <w:b/>
                <w:bCs/>
                <w:szCs w:val="28"/>
                <w:lang w:eastAsia="lv-LV"/>
              </w:rPr>
              <w:t xml:space="preserve">V. </w:t>
            </w:r>
            <w:r w:rsidRPr="002F04A5">
              <w:rPr>
                <w:b/>
                <w:bCs/>
                <w:szCs w:val="28"/>
                <w:shd w:val="clear" w:color="auto" w:fill="FFFFFF"/>
                <w:lang w:eastAsia="lv-LV"/>
              </w:rPr>
              <w:t>Tiesību akta projekta atbilstība Latvijas Republikas starptautiskajām saistībām</w:t>
            </w:r>
          </w:p>
        </w:tc>
      </w:tr>
      <w:tr w14:paraId="799A11ED" w14:textId="77777777" w:rsidTr="00DD0609">
        <w:tblPrEx>
          <w:tblW w:w="8931" w:type="dxa"/>
          <w:tblInd w:w="-289" w:type="dxa"/>
          <w:tblLook w:val="04A0"/>
        </w:tblPrEx>
        <w:tc>
          <w:tcPr>
            <w:tcW w:w="8931" w:type="dxa"/>
            <w:tcBorders>
              <w:bottom w:val="single" w:sz="4" w:space="0" w:color="auto"/>
            </w:tcBorders>
            <w:shd w:val="clear" w:color="auto" w:fill="auto"/>
          </w:tcPr>
          <w:p w:rsidR="00FF5151" w:rsidRPr="002F04A5" w:rsidP="0096474B" w14:paraId="6CAB1037" w14:textId="77777777">
            <w:pPr>
              <w:spacing w:before="75" w:after="75" w:line="240" w:lineRule="auto"/>
              <w:jc w:val="center"/>
              <w:rPr>
                <w:szCs w:val="28"/>
                <w:lang w:eastAsia="lv-LV"/>
              </w:rPr>
            </w:pPr>
            <w:r w:rsidRPr="002F04A5">
              <w:rPr>
                <w:szCs w:val="28"/>
                <w:shd w:val="clear" w:color="auto" w:fill="FFFFFF"/>
                <w:lang w:eastAsia="lv-LV"/>
              </w:rPr>
              <w:t>Projekts šo jomu neskar.</w:t>
            </w:r>
          </w:p>
        </w:tc>
      </w:tr>
    </w:tbl>
    <w:p w:rsidR="00FF5151" w:rsidRPr="002F04A5" w:rsidP="00DB061F" w14:paraId="26AEAC5B" w14:textId="77777777">
      <w:pPr>
        <w:spacing w:line="240" w:lineRule="auto"/>
        <w:contextualSpacing/>
        <w:rPr>
          <w:szCs w:val="28"/>
        </w:rPr>
      </w:pPr>
    </w:p>
    <w:tbl>
      <w:tblPr>
        <w:tblStyle w:val="TableGrid"/>
        <w:tblW w:w="8931" w:type="dxa"/>
        <w:tblInd w:w="-289" w:type="dxa"/>
        <w:tblLook w:val="04A0"/>
      </w:tblPr>
      <w:tblGrid>
        <w:gridCol w:w="568"/>
        <w:gridCol w:w="2977"/>
        <w:gridCol w:w="5386"/>
      </w:tblGrid>
      <w:tr w14:paraId="09322E6C" w14:textId="77777777" w:rsidTr="00DD0609">
        <w:tblPrEx>
          <w:tblW w:w="8931" w:type="dxa"/>
          <w:tblInd w:w="-289" w:type="dxa"/>
          <w:tblLook w:val="04A0"/>
        </w:tblPrEx>
        <w:tc>
          <w:tcPr>
            <w:tcW w:w="8931" w:type="dxa"/>
            <w:gridSpan w:val="3"/>
          </w:tcPr>
          <w:p w:rsidR="00FF5151" w:rsidRPr="002F04A5" w14:paraId="1616F142" w14:textId="77777777">
            <w:pPr>
              <w:jc w:val="center"/>
              <w:rPr>
                <w:szCs w:val="28"/>
              </w:rPr>
            </w:pPr>
            <w:r w:rsidRPr="002F04A5">
              <w:rPr>
                <w:b/>
                <w:bCs/>
                <w:szCs w:val="28"/>
                <w:lang w:eastAsia="lv-LV"/>
              </w:rPr>
              <w:t>VI. Sabiedrības līdzdalība un komunikācijas aktivitātes</w:t>
            </w:r>
          </w:p>
        </w:tc>
      </w:tr>
      <w:tr w14:paraId="0B85A6F5" w14:textId="77777777" w:rsidTr="004C55FC">
        <w:tblPrEx>
          <w:tblW w:w="8931" w:type="dxa"/>
          <w:tblInd w:w="-289" w:type="dxa"/>
          <w:tblLook w:val="04A0"/>
        </w:tblPrEx>
        <w:tc>
          <w:tcPr>
            <w:tcW w:w="568" w:type="dxa"/>
          </w:tcPr>
          <w:p w:rsidR="00FF5151" w:rsidRPr="002F04A5" w14:paraId="652B969C" w14:textId="77777777">
            <w:pPr>
              <w:jc w:val="center"/>
              <w:rPr>
                <w:szCs w:val="28"/>
              </w:rPr>
            </w:pPr>
            <w:r w:rsidRPr="002F04A5">
              <w:rPr>
                <w:szCs w:val="28"/>
              </w:rPr>
              <w:t>1.</w:t>
            </w:r>
          </w:p>
        </w:tc>
        <w:tc>
          <w:tcPr>
            <w:tcW w:w="2977" w:type="dxa"/>
          </w:tcPr>
          <w:p w:rsidR="00FF5151" w:rsidRPr="002F04A5" w:rsidP="00FF5151" w14:paraId="543DD369" w14:textId="77777777">
            <w:pPr>
              <w:rPr>
                <w:szCs w:val="28"/>
              </w:rPr>
            </w:pPr>
            <w:r w:rsidRPr="002F04A5">
              <w:rPr>
                <w:szCs w:val="28"/>
                <w:lang w:eastAsia="lv-LV"/>
              </w:rPr>
              <w:t>Plānotās sabiedrības līdzdalības un komunikācijas aktivitātes saistībā ar projektu</w:t>
            </w:r>
          </w:p>
        </w:tc>
        <w:tc>
          <w:tcPr>
            <w:tcW w:w="5386" w:type="dxa"/>
          </w:tcPr>
          <w:p w:rsidR="00FF5151" w:rsidRPr="002F04A5" w:rsidP="00FF5151" w14:paraId="62E43CD5" w14:textId="496E0A7E">
            <w:pPr>
              <w:ind w:right="109"/>
              <w:jc w:val="both"/>
              <w:rPr>
                <w:szCs w:val="28"/>
                <w:lang w:eastAsia="lv-LV"/>
              </w:rPr>
            </w:pPr>
            <w:r w:rsidRPr="002F04A5">
              <w:rPr>
                <w:szCs w:val="28"/>
                <w:lang w:eastAsia="lv-LV"/>
              </w:rPr>
              <w:t xml:space="preserve">Atbilstoši Ministru kabineta 2009. gada 25. augusta noteikumiem Nr. 970 “Sabiedrības līdzdalības kārtība attīstības plānošanas procesā”, </w:t>
            </w:r>
            <w:r w:rsidRPr="002F04A5" w:rsidR="00D731D1">
              <w:rPr>
                <w:szCs w:val="28"/>
                <w:lang w:eastAsia="lv-LV"/>
              </w:rPr>
              <w:t xml:space="preserve">VARAM </w:t>
            </w:r>
            <w:r w:rsidRPr="002F04A5" w:rsidR="00216277">
              <w:rPr>
                <w:szCs w:val="28"/>
                <w:lang w:eastAsia="lv-LV"/>
              </w:rPr>
              <w:t xml:space="preserve">tīmekļvietnē </w:t>
            </w:r>
            <w:r>
              <w:fldChar w:fldCharType="begin"/>
            </w:r>
            <w:r>
              <w:instrText xml:space="preserve"> HYPERLINK "http://www.varam.gov.lv" </w:instrText>
            </w:r>
            <w:r>
              <w:fldChar w:fldCharType="separate"/>
            </w:r>
            <w:r w:rsidRPr="002F04A5">
              <w:rPr>
                <w:color w:val="0000FF"/>
                <w:szCs w:val="28"/>
                <w:u w:val="single"/>
                <w:lang w:eastAsia="lv-LV"/>
              </w:rPr>
              <w:t>www.varam.gov.lv</w:t>
            </w:r>
            <w:r>
              <w:fldChar w:fldCharType="end"/>
            </w:r>
            <w:r w:rsidRPr="002F04A5">
              <w:rPr>
                <w:szCs w:val="28"/>
                <w:lang w:eastAsia="lv-LV"/>
              </w:rPr>
              <w:t xml:space="preserve"> 2017. gada </w:t>
            </w:r>
            <w:r w:rsidRPr="002F04A5" w:rsidR="004C55FC">
              <w:rPr>
                <w:szCs w:val="28"/>
                <w:lang w:eastAsia="lv-LV"/>
              </w:rPr>
              <w:t>14</w:t>
            </w:r>
            <w:r w:rsidRPr="002F04A5" w:rsidR="00FB1BB0">
              <w:rPr>
                <w:szCs w:val="28"/>
                <w:lang w:eastAsia="lv-LV"/>
              </w:rPr>
              <w:t>.</w:t>
            </w:r>
            <w:r w:rsidRPr="002F04A5">
              <w:rPr>
                <w:szCs w:val="28"/>
                <w:lang w:eastAsia="lv-LV"/>
              </w:rPr>
              <w:t xml:space="preserve"> novembrī ir publicēta šo noteikumu 1. pielikumā “Paziņojums par līdzdalības iespējām attīstības plānošanas dokumenta vai tiesību akta izstrādes procesā” prasītā informācija.</w:t>
            </w:r>
          </w:p>
          <w:p w:rsidR="00FF5151" w:rsidRPr="002F04A5" w:rsidP="00D731D1" w14:paraId="68FEA17A" w14:textId="1D956C00">
            <w:pPr>
              <w:jc w:val="both"/>
              <w:rPr>
                <w:szCs w:val="28"/>
              </w:rPr>
            </w:pPr>
            <w:r w:rsidRPr="002F04A5">
              <w:rPr>
                <w:szCs w:val="28"/>
                <w:lang w:eastAsia="lv-LV"/>
              </w:rPr>
              <w:t xml:space="preserve">Rīkojuma projekts un tā anotācija pēc izsludināšanas Valsts sekretāru sanāksmē ir publiski pieejami Ministru kabineta tīmekļvietnē </w:t>
            </w:r>
            <w:r>
              <w:fldChar w:fldCharType="begin"/>
            </w:r>
            <w:r>
              <w:instrText xml:space="preserve"> HYPERLINK "http://mk.gov.lv" </w:instrText>
            </w:r>
            <w:r>
              <w:fldChar w:fldCharType="separate"/>
            </w:r>
            <w:r w:rsidRPr="002F04A5">
              <w:rPr>
                <w:color w:val="0000FF"/>
                <w:szCs w:val="28"/>
                <w:u w:val="single"/>
                <w:lang w:eastAsia="lv-LV"/>
              </w:rPr>
              <w:t>http://mk.gov.lv</w:t>
            </w:r>
            <w:r>
              <w:fldChar w:fldCharType="end"/>
            </w:r>
            <w:r w:rsidRPr="002F04A5">
              <w:rPr>
                <w:szCs w:val="28"/>
                <w:lang w:eastAsia="lv-LV"/>
              </w:rPr>
              <w:t xml:space="preserve"> (sadaļā “Tiesību aktu projekti”) un </w:t>
            </w:r>
            <w:r w:rsidRPr="002F04A5" w:rsidR="00D731D1">
              <w:rPr>
                <w:szCs w:val="28"/>
                <w:lang w:eastAsia="lv-LV"/>
              </w:rPr>
              <w:t>VARAM</w:t>
            </w:r>
            <w:r w:rsidRPr="002F04A5" w:rsidR="00F833BC">
              <w:rPr>
                <w:szCs w:val="28"/>
                <w:lang w:eastAsia="lv-LV"/>
              </w:rPr>
              <w:t xml:space="preserve"> </w:t>
            </w:r>
            <w:r w:rsidRPr="002F04A5">
              <w:rPr>
                <w:szCs w:val="28"/>
                <w:lang w:eastAsia="lv-LV"/>
              </w:rPr>
              <w:t xml:space="preserve">tīmekļvietnē </w:t>
            </w:r>
            <w:r>
              <w:fldChar w:fldCharType="begin"/>
            </w:r>
            <w:r>
              <w:instrText xml:space="preserve"> HYPERLINK "http://www.varam.gov.lv" </w:instrText>
            </w:r>
            <w:r>
              <w:fldChar w:fldCharType="separate"/>
            </w:r>
            <w:r w:rsidRPr="002F04A5">
              <w:rPr>
                <w:color w:val="0000FF"/>
                <w:szCs w:val="28"/>
                <w:u w:val="single"/>
                <w:lang w:eastAsia="lv-LV"/>
              </w:rPr>
              <w:t>www.varam.gov.lv</w:t>
            </w:r>
            <w:r>
              <w:fldChar w:fldCharType="end"/>
            </w:r>
            <w:r w:rsidRPr="002F04A5">
              <w:rPr>
                <w:szCs w:val="28"/>
                <w:lang w:eastAsia="lv-LV"/>
              </w:rPr>
              <w:t>.</w:t>
            </w:r>
          </w:p>
        </w:tc>
      </w:tr>
      <w:tr w14:paraId="4E6C3C8C" w14:textId="77777777" w:rsidTr="004C55FC">
        <w:tblPrEx>
          <w:tblW w:w="8931" w:type="dxa"/>
          <w:tblInd w:w="-289" w:type="dxa"/>
          <w:tblLook w:val="04A0"/>
        </w:tblPrEx>
        <w:tc>
          <w:tcPr>
            <w:tcW w:w="568" w:type="dxa"/>
          </w:tcPr>
          <w:p w:rsidR="00FF5151" w:rsidRPr="002F04A5" w14:paraId="2162AC1E" w14:textId="77777777">
            <w:pPr>
              <w:jc w:val="center"/>
              <w:rPr>
                <w:szCs w:val="28"/>
              </w:rPr>
            </w:pPr>
            <w:r w:rsidRPr="002F04A5">
              <w:rPr>
                <w:szCs w:val="28"/>
              </w:rPr>
              <w:t>2.</w:t>
            </w:r>
          </w:p>
        </w:tc>
        <w:tc>
          <w:tcPr>
            <w:tcW w:w="2977" w:type="dxa"/>
          </w:tcPr>
          <w:p w:rsidR="00FF5151" w:rsidRPr="002F04A5" w:rsidP="00FF5151" w14:paraId="6171CDB1" w14:textId="77777777">
            <w:pPr>
              <w:rPr>
                <w:szCs w:val="28"/>
              </w:rPr>
            </w:pPr>
            <w:r w:rsidRPr="002F04A5">
              <w:rPr>
                <w:szCs w:val="28"/>
                <w:lang w:eastAsia="lv-LV"/>
              </w:rPr>
              <w:t>Sabiedrības līdzdalība projekta izstrādē</w:t>
            </w:r>
          </w:p>
        </w:tc>
        <w:tc>
          <w:tcPr>
            <w:tcW w:w="5386" w:type="dxa"/>
          </w:tcPr>
          <w:p w:rsidR="00FF5151" w:rsidRPr="002F04A5" w:rsidP="00FF5151" w14:paraId="65ECF47D" w14:textId="742A6126">
            <w:pPr>
              <w:jc w:val="both"/>
              <w:rPr>
                <w:szCs w:val="28"/>
              </w:rPr>
            </w:pPr>
            <w:r w:rsidRPr="002F04A5">
              <w:rPr>
                <w:szCs w:val="28"/>
                <w:lang w:eastAsia="lv-LV"/>
              </w:rPr>
              <w:t>Rīkojuma projekta būtība skar Ministru kabineta kompetenci lemt par to, vai atļaut vai neatļaut valsts nekustam</w:t>
            </w:r>
            <w:r w:rsidRPr="002F04A5" w:rsidR="00B01E0B">
              <w:rPr>
                <w:szCs w:val="28"/>
                <w:lang w:eastAsia="lv-LV"/>
              </w:rPr>
              <w:t xml:space="preserve">ā </w:t>
            </w:r>
            <w:r w:rsidRPr="002F04A5">
              <w:rPr>
                <w:szCs w:val="28"/>
                <w:lang w:eastAsia="lv-LV"/>
              </w:rPr>
              <w:t xml:space="preserve"> īpašum</w:t>
            </w:r>
            <w:r w:rsidRPr="002F04A5" w:rsidR="00B01E0B">
              <w:rPr>
                <w:szCs w:val="28"/>
                <w:lang w:eastAsia="lv-LV"/>
              </w:rPr>
              <w:t xml:space="preserve">a </w:t>
            </w:r>
            <w:r w:rsidRPr="002F04A5">
              <w:rPr>
                <w:szCs w:val="28"/>
                <w:lang w:eastAsia="lv-LV"/>
              </w:rPr>
              <w:t xml:space="preserve"> atsavināšanu. Rīkojuma projektā risinātie jautājumi neparedz ieviest izmaiņas, kas varētu ietekmēt sabiedrības intereses.</w:t>
            </w:r>
          </w:p>
        </w:tc>
      </w:tr>
      <w:tr w14:paraId="1D5CD030" w14:textId="77777777" w:rsidTr="004C55FC">
        <w:tblPrEx>
          <w:tblW w:w="8931" w:type="dxa"/>
          <w:tblInd w:w="-289" w:type="dxa"/>
          <w:tblLook w:val="04A0"/>
        </w:tblPrEx>
        <w:tc>
          <w:tcPr>
            <w:tcW w:w="568" w:type="dxa"/>
            <w:tcBorders>
              <w:bottom w:val="single" w:sz="4" w:space="0" w:color="auto"/>
            </w:tcBorders>
          </w:tcPr>
          <w:p w:rsidR="00FF5151" w:rsidRPr="002F04A5" w14:paraId="295B983C" w14:textId="77777777">
            <w:pPr>
              <w:jc w:val="center"/>
              <w:rPr>
                <w:szCs w:val="28"/>
              </w:rPr>
            </w:pPr>
            <w:r w:rsidRPr="002F04A5">
              <w:rPr>
                <w:szCs w:val="28"/>
              </w:rPr>
              <w:t>3.</w:t>
            </w:r>
          </w:p>
        </w:tc>
        <w:tc>
          <w:tcPr>
            <w:tcW w:w="2977" w:type="dxa"/>
            <w:tcBorders>
              <w:bottom w:val="single" w:sz="4" w:space="0" w:color="auto"/>
            </w:tcBorders>
          </w:tcPr>
          <w:p w:rsidR="00FF5151" w:rsidRPr="002F04A5" w:rsidP="00A77503" w14:paraId="39EBF350" w14:textId="77777777">
            <w:pPr>
              <w:jc w:val="both"/>
              <w:rPr>
                <w:szCs w:val="28"/>
              </w:rPr>
            </w:pPr>
            <w:r w:rsidRPr="002F04A5">
              <w:rPr>
                <w:szCs w:val="28"/>
                <w:lang w:eastAsia="lv-LV"/>
              </w:rPr>
              <w:t>Sabiedrības līdzdalības rezultāti</w:t>
            </w:r>
          </w:p>
        </w:tc>
        <w:tc>
          <w:tcPr>
            <w:tcW w:w="5386" w:type="dxa"/>
            <w:tcBorders>
              <w:bottom w:val="single" w:sz="4" w:space="0" w:color="auto"/>
            </w:tcBorders>
          </w:tcPr>
          <w:p w:rsidR="00FF5151" w:rsidRPr="002F04A5" w:rsidP="00A77503" w14:paraId="2BE222C6" w14:textId="77777777">
            <w:pPr>
              <w:jc w:val="both"/>
              <w:rPr>
                <w:szCs w:val="28"/>
              </w:rPr>
            </w:pPr>
            <w:r w:rsidRPr="002F04A5">
              <w:rPr>
                <w:szCs w:val="28"/>
                <w:lang w:eastAsia="lv-LV"/>
              </w:rPr>
              <w:t>Rīkojuma projektā risinātie jautājumi neparedz ieviest izmaiņas, kas varētu ietekmēt sabiedrības intereses.</w:t>
            </w:r>
          </w:p>
        </w:tc>
      </w:tr>
      <w:tr w14:paraId="67A044C7" w14:textId="77777777" w:rsidTr="004C55FC">
        <w:tblPrEx>
          <w:tblW w:w="8931" w:type="dxa"/>
          <w:tblInd w:w="-289" w:type="dxa"/>
          <w:tblLook w:val="04A0"/>
        </w:tblPrEx>
        <w:tc>
          <w:tcPr>
            <w:tcW w:w="568" w:type="dxa"/>
            <w:tcBorders>
              <w:bottom w:val="single" w:sz="4" w:space="0" w:color="auto"/>
            </w:tcBorders>
          </w:tcPr>
          <w:p w:rsidR="00FF5151" w:rsidRPr="002F04A5" w14:paraId="0CAB7524" w14:textId="77777777">
            <w:pPr>
              <w:jc w:val="center"/>
              <w:rPr>
                <w:szCs w:val="28"/>
              </w:rPr>
            </w:pPr>
            <w:r w:rsidRPr="002F04A5">
              <w:rPr>
                <w:szCs w:val="28"/>
              </w:rPr>
              <w:t>4.</w:t>
            </w:r>
          </w:p>
        </w:tc>
        <w:tc>
          <w:tcPr>
            <w:tcW w:w="2977" w:type="dxa"/>
            <w:tcBorders>
              <w:bottom w:val="single" w:sz="4" w:space="0" w:color="auto"/>
            </w:tcBorders>
          </w:tcPr>
          <w:p w:rsidR="00FF5151" w:rsidRPr="002F04A5" w:rsidP="00A77503" w14:paraId="28B9A64B" w14:textId="77777777">
            <w:pPr>
              <w:jc w:val="both"/>
              <w:rPr>
                <w:szCs w:val="28"/>
              </w:rPr>
            </w:pPr>
            <w:r w:rsidRPr="002F04A5">
              <w:rPr>
                <w:szCs w:val="28"/>
                <w:lang w:eastAsia="lv-LV"/>
              </w:rPr>
              <w:t>Cita informācija</w:t>
            </w:r>
          </w:p>
        </w:tc>
        <w:tc>
          <w:tcPr>
            <w:tcW w:w="5386" w:type="dxa"/>
            <w:tcBorders>
              <w:bottom w:val="single" w:sz="4" w:space="0" w:color="auto"/>
            </w:tcBorders>
          </w:tcPr>
          <w:p w:rsidR="00FF5151" w:rsidRPr="002F04A5" w:rsidP="00A77503" w14:paraId="752D5845" w14:textId="5D8E0579">
            <w:pPr>
              <w:jc w:val="both"/>
              <w:rPr>
                <w:szCs w:val="28"/>
              </w:rPr>
            </w:pPr>
            <w:r w:rsidRPr="002F04A5">
              <w:rPr>
                <w:szCs w:val="28"/>
                <w:lang w:eastAsia="lv-LV"/>
              </w:rPr>
              <w:t>Saskaņā ar Oficiālo publikāciju un tiesiskās informācijas l</w:t>
            </w:r>
            <w:r w:rsidR="008B5A6D">
              <w:rPr>
                <w:szCs w:val="28"/>
                <w:lang w:eastAsia="lv-LV"/>
              </w:rPr>
              <w:t>ikuma 2. panta pirmo daļu un 3. </w:t>
            </w:r>
            <w:r w:rsidRPr="002F04A5">
              <w:rPr>
                <w:szCs w:val="28"/>
                <w:lang w:eastAsia="lv-LV"/>
              </w:rPr>
              <w:t>panta pirmo daļu tiesību akt</w:t>
            </w:r>
            <w:r w:rsidRPr="002F04A5" w:rsidR="005C6B2F">
              <w:rPr>
                <w:szCs w:val="28"/>
                <w:lang w:eastAsia="lv-LV"/>
              </w:rPr>
              <w:t>us publicē oficiālajā izdevumā “</w:t>
            </w:r>
            <w:r w:rsidRPr="002F04A5">
              <w:rPr>
                <w:szCs w:val="28"/>
                <w:lang w:eastAsia="lv-LV"/>
              </w:rPr>
              <w:t xml:space="preserve">Latvijas Vēstnesis”, tos publicējot elektroniski tīmekļvietnē </w:t>
            </w:r>
            <w:r>
              <w:fldChar w:fldCharType="begin"/>
            </w:r>
            <w:r>
              <w:instrText xml:space="preserve"> HYPERLINK "C:\\Users\\madarag\\AppData\\Local\\Microsoft\\Windows\\Temporary Internet Files\\Content.Outlook\\PWGOYTT1\\www.vestnesis.lv" </w:instrText>
            </w:r>
            <w:r>
              <w:fldChar w:fldCharType="separate"/>
            </w:r>
            <w:r w:rsidRPr="002F04A5">
              <w:rPr>
                <w:rStyle w:val="Hyperlink"/>
                <w:szCs w:val="28"/>
                <w:lang w:eastAsia="lv-LV"/>
              </w:rPr>
              <w:t>www.vestnesis.lv</w:t>
            </w:r>
            <w:r>
              <w:fldChar w:fldCharType="end"/>
            </w:r>
            <w:r w:rsidRPr="002F04A5">
              <w:rPr>
                <w:szCs w:val="28"/>
                <w:lang w:eastAsia="lv-LV"/>
              </w:rPr>
              <w:t>.</w:t>
            </w:r>
          </w:p>
        </w:tc>
      </w:tr>
      <w:tr w14:paraId="3C34B23A" w14:textId="77777777" w:rsidTr="00DD0609">
        <w:tblPrEx>
          <w:tblW w:w="8931" w:type="dxa"/>
          <w:tblInd w:w="-289" w:type="dxa"/>
          <w:tblLook w:val="04A0"/>
        </w:tblPrEx>
        <w:tc>
          <w:tcPr>
            <w:tcW w:w="8931" w:type="dxa"/>
            <w:gridSpan w:val="3"/>
            <w:tcBorders>
              <w:top w:val="single" w:sz="4" w:space="0" w:color="auto"/>
              <w:left w:val="nil"/>
              <w:bottom w:val="single" w:sz="4" w:space="0" w:color="auto"/>
              <w:right w:val="nil"/>
            </w:tcBorders>
          </w:tcPr>
          <w:p w:rsidR="00A77503" w:rsidRPr="002F04A5" w:rsidP="00A77503" w14:paraId="0A7B6DEC" w14:textId="77777777">
            <w:pPr>
              <w:jc w:val="both"/>
              <w:rPr>
                <w:szCs w:val="28"/>
              </w:rPr>
            </w:pPr>
          </w:p>
        </w:tc>
      </w:tr>
      <w:tr w14:paraId="20905193" w14:textId="77777777" w:rsidTr="00DD0609">
        <w:tblPrEx>
          <w:tblW w:w="8931" w:type="dxa"/>
          <w:tblInd w:w="-289" w:type="dxa"/>
          <w:tblLook w:val="04A0"/>
        </w:tblPrEx>
        <w:tc>
          <w:tcPr>
            <w:tcW w:w="8931" w:type="dxa"/>
            <w:gridSpan w:val="3"/>
            <w:tcBorders>
              <w:top w:val="single" w:sz="4" w:space="0" w:color="auto"/>
            </w:tcBorders>
          </w:tcPr>
          <w:p w:rsidR="00A77503" w:rsidRPr="002F04A5" w:rsidP="00DD4C36" w14:paraId="4CA63D73" w14:textId="77777777">
            <w:pPr>
              <w:jc w:val="center"/>
              <w:rPr>
                <w:szCs w:val="28"/>
              </w:rPr>
            </w:pPr>
            <w:r w:rsidRPr="002F04A5">
              <w:rPr>
                <w:b/>
                <w:bCs/>
                <w:szCs w:val="28"/>
                <w:lang w:eastAsia="lv-LV"/>
              </w:rPr>
              <w:t>VII. Tiesību akta projekta izpildes nodrošināšana un tās ietekme uz institūcijām</w:t>
            </w:r>
          </w:p>
        </w:tc>
      </w:tr>
      <w:tr w14:paraId="3EFDD80C" w14:textId="77777777" w:rsidTr="004C55FC">
        <w:tblPrEx>
          <w:tblW w:w="8931" w:type="dxa"/>
          <w:tblInd w:w="-289" w:type="dxa"/>
          <w:tblLook w:val="04A0"/>
        </w:tblPrEx>
        <w:tc>
          <w:tcPr>
            <w:tcW w:w="568" w:type="dxa"/>
          </w:tcPr>
          <w:p w:rsidR="00A77503" w:rsidRPr="002F04A5" w14:paraId="5B964459" w14:textId="77777777">
            <w:pPr>
              <w:jc w:val="center"/>
              <w:rPr>
                <w:szCs w:val="28"/>
              </w:rPr>
            </w:pPr>
            <w:r w:rsidRPr="002F04A5">
              <w:rPr>
                <w:szCs w:val="28"/>
              </w:rPr>
              <w:t>1.</w:t>
            </w:r>
          </w:p>
        </w:tc>
        <w:tc>
          <w:tcPr>
            <w:tcW w:w="2977" w:type="dxa"/>
          </w:tcPr>
          <w:p w:rsidR="00A77503" w:rsidRPr="002F04A5" w:rsidP="00A77503" w14:paraId="2EC90345" w14:textId="77777777">
            <w:pPr>
              <w:tabs>
                <w:tab w:val="left" w:pos="375"/>
              </w:tabs>
              <w:jc w:val="both"/>
              <w:rPr>
                <w:szCs w:val="28"/>
              </w:rPr>
            </w:pPr>
            <w:r w:rsidRPr="002F04A5">
              <w:rPr>
                <w:szCs w:val="28"/>
                <w:lang w:eastAsia="lv-LV"/>
              </w:rPr>
              <w:t>Projekta izpildē iesaistītās institūcijas</w:t>
            </w:r>
          </w:p>
        </w:tc>
        <w:tc>
          <w:tcPr>
            <w:tcW w:w="5386" w:type="dxa"/>
          </w:tcPr>
          <w:p w:rsidR="00A77503" w:rsidRPr="002F04A5" w:rsidP="005C4509" w14:paraId="708F27FC" w14:textId="7999DA3B">
            <w:pPr>
              <w:jc w:val="both"/>
              <w:rPr>
                <w:szCs w:val="28"/>
              </w:rPr>
            </w:pPr>
            <w:r w:rsidRPr="002F04A5">
              <w:rPr>
                <w:szCs w:val="28"/>
                <w:lang w:eastAsia="lv-LV"/>
              </w:rPr>
              <w:t>Par rīkojuma projekta izpildi atbildīgā ir V</w:t>
            </w:r>
            <w:r w:rsidRPr="002F04A5" w:rsidR="005C4509">
              <w:rPr>
                <w:szCs w:val="28"/>
                <w:lang w:eastAsia="lv-LV"/>
              </w:rPr>
              <w:t xml:space="preserve">ARAM </w:t>
            </w:r>
            <w:r w:rsidRPr="002F04A5">
              <w:rPr>
                <w:szCs w:val="28"/>
                <w:lang w:eastAsia="lv-LV"/>
              </w:rPr>
              <w:t xml:space="preserve"> un </w:t>
            </w:r>
            <w:r w:rsidRPr="002F04A5" w:rsidR="005C6B2F">
              <w:rPr>
                <w:szCs w:val="28"/>
                <w:lang w:eastAsia="lv-LV"/>
              </w:rPr>
              <w:t>Finanšu ministrija</w:t>
            </w:r>
            <w:r w:rsidRPr="002F04A5" w:rsidR="00CD5876">
              <w:rPr>
                <w:szCs w:val="28"/>
                <w:lang w:eastAsia="lv-LV"/>
              </w:rPr>
              <w:t xml:space="preserve"> (VNĪ)</w:t>
            </w:r>
            <w:r w:rsidRPr="002F04A5" w:rsidR="005C6B2F">
              <w:rPr>
                <w:szCs w:val="28"/>
                <w:lang w:eastAsia="lv-LV"/>
              </w:rPr>
              <w:t>.</w:t>
            </w:r>
          </w:p>
        </w:tc>
      </w:tr>
      <w:tr w14:paraId="185490A5" w14:textId="77777777" w:rsidTr="004C55FC">
        <w:tblPrEx>
          <w:tblW w:w="8931" w:type="dxa"/>
          <w:tblInd w:w="-289" w:type="dxa"/>
          <w:tblLook w:val="04A0"/>
        </w:tblPrEx>
        <w:tc>
          <w:tcPr>
            <w:tcW w:w="568" w:type="dxa"/>
          </w:tcPr>
          <w:p w:rsidR="00A77503" w:rsidRPr="002F04A5" w14:paraId="2B56149C" w14:textId="77777777">
            <w:pPr>
              <w:jc w:val="center"/>
              <w:rPr>
                <w:szCs w:val="28"/>
              </w:rPr>
            </w:pPr>
            <w:r w:rsidRPr="002F04A5">
              <w:rPr>
                <w:szCs w:val="28"/>
              </w:rPr>
              <w:t>2.</w:t>
            </w:r>
          </w:p>
        </w:tc>
        <w:tc>
          <w:tcPr>
            <w:tcW w:w="2977" w:type="dxa"/>
          </w:tcPr>
          <w:p w:rsidR="00A77503" w:rsidRPr="002F04A5" w:rsidP="00A77503" w14:paraId="20616CC1" w14:textId="77777777">
            <w:pPr>
              <w:spacing w:before="100" w:beforeAutospacing="1" w:after="100" w:afterAutospacing="1"/>
              <w:jc w:val="both"/>
              <w:rPr>
                <w:szCs w:val="28"/>
              </w:rPr>
            </w:pPr>
            <w:r w:rsidRPr="002F04A5">
              <w:rPr>
                <w:szCs w:val="28"/>
                <w:lang w:eastAsia="lv-LV"/>
              </w:rPr>
              <w:t>Projekta izpildes ietekme uz pārvaldes funkcijām un institucionālo struktūru. Jaunu institūciju izveide, esošu institūciju likvidācija vai reorganizācija, to ietekme uz institūcijas cilvēkresursiem</w:t>
            </w:r>
          </w:p>
        </w:tc>
        <w:tc>
          <w:tcPr>
            <w:tcW w:w="5386" w:type="dxa"/>
          </w:tcPr>
          <w:p w:rsidR="00A77503" w:rsidRPr="002F04A5" w:rsidP="005A6D1D" w14:paraId="5495F7E9" w14:textId="77777777">
            <w:pPr>
              <w:rPr>
                <w:szCs w:val="28"/>
              </w:rPr>
            </w:pPr>
            <w:r w:rsidRPr="002F04A5">
              <w:rPr>
                <w:szCs w:val="28"/>
                <w:lang w:eastAsia="lv-LV"/>
              </w:rPr>
              <w:t>Projekts šo jomu neskar.</w:t>
            </w:r>
          </w:p>
        </w:tc>
      </w:tr>
      <w:tr w14:paraId="3801AE2D" w14:textId="77777777" w:rsidTr="004C55FC">
        <w:tblPrEx>
          <w:tblW w:w="8931" w:type="dxa"/>
          <w:tblInd w:w="-289" w:type="dxa"/>
          <w:tblLook w:val="04A0"/>
        </w:tblPrEx>
        <w:tc>
          <w:tcPr>
            <w:tcW w:w="568" w:type="dxa"/>
          </w:tcPr>
          <w:p w:rsidR="00A77503" w:rsidRPr="002F04A5" w14:paraId="7F3DCC19" w14:textId="77777777">
            <w:pPr>
              <w:jc w:val="center"/>
              <w:rPr>
                <w:szCs w:val="28"/>
              </w:rPr>
            </w:pPr>
            <w:r w:rsidRPr="002F04A5">
              <w:rPr>
                <w:szCs w:val="28"/>
              </w:rPr>
              <w:t>3.</w:t>
            </w:r>
          </w:p>
        </w:tc>
        <w:tc>
          <w:tcPr>
            <w:tcW w:w="2977" w:type="dxa"/>
          </w:tcPr>
          <w:p w:rsidR="00A77503" w:rsidRPr="002F04A5" w:rsidP="00A77503" w14:paraId="00CBEA33" w14:textId="77777777">
            <w:pPr>
              <w:tabs>
                <w:tab w:val="left" w:pos="330"/>
              </w:tabs>
              <w:jc w:val="both"/>
              <w:rPr>
                <w:szCs w:val="28"/>
              </w:rPr>
            </w:pPr>
            <w:r w:rsidRPr="002F04A5">
              <w:rPr>
                <w:szCs w:val="28"/>
                <w:lang w:eastAsia="lv-LV"/>
              </w:rPr>
              <w:t>Cita informācija</w:t>
            </w:r>
          </w:p>
        </w:tc>
        <w:tc>
          <w:tcPr>
            <w:tcW w:w="5386" w:type="dxa"/>
          </w:tcPr>
          <w:p w:rsidR="00A77503" w:rsidRPr="002F04A5" w:rsidP="005A6D1D" w14:paraId="29E4579B" w14:textId="77777777">
            <w:pPr>
              <w:rPr>
                <w:szCs w:val="28"/>
              </w:rPr>
            </w:pPr>
            <w:r w:rsidRPr="002F04A5">
              <w:rPr>
                <w:szCs w:val="28"/>
              </w:rPr>
              <w:t>Nav</w:t>
            </w:r>
            <w:r w:rsidRPr="002F04A5" w:rsidR="0097570B">
              <w:rPr>
                <w:szCs w:val="28"/>
              </w:rPr>
              <w:t>.</w:t>
            </w:r>
          </w:p>
        </w:tc>
      </w:tr>
    </w:tbl>
    <w:p w:rsidR="00A77503" w:rsidRPr="002F04A5" w:rsidP="004C55FC" w14:paraId="60F5FB51" w14:textId="77777777">
      <w:pPr>
        <w:rPr>
          <w:szCs w:val="28"/>
        </w:rPr>
      </w:pPr>
    </w:p>
    <w:p w:rsidR="00A77503" w:rsidRPr="002F04A5" w:rsidP="00A77503" w14:paraId="57B732DB" w14:textId="77777777">
      <w:pPr>
        <w:spacing w:after="0" w:line="240" w:lineRule="auto"/>
        <w:rPr>
          <w:szCs w:val="28"/>
          <w:lang w:eastAsia="lv-LV"/>
        </w:rPr>
      </w:pPr>
      <w:r w:rsidRPr="002F04A5">
        <w:rPr>
          <w:szCs w:val="28"/>
          <w:lang w:eastAsia="lv-LV"/>
        </w:rPr>
        <w:t xml:space="preserve">Vides aizsardzības un reģionālās attīstības ministrs                 </w:t>
      </w:r>
      <w:r w:rsidRPr="002F04A5" w:rsidR="0097570B">
        <w:rPr>
          <w:szCs w:val="28"/>
          <w:lang w:eastAsia="lv-LV"/>
        </w:rPr>
        <w:t xml:space="preserve">        </w:t>
      </w:r>
      <w:r w:rsidRPr="002F04A5">
        <w:rPr>
          <w:szCs w:val="28"/>
          <w:lang w:eastAsia="lv-LV"/>
        </w:rPr>
        <w:t xml:space="preserve"> K.Gerhards</w:t>
      </w:r>
    </w:p>
    <w:p w:rsidR="00235291" w:rsidRPr="002F04A5" w:rsidP="00A77503" w14:paraId="3344E8A5" w14:textId="77777777">
      <w:pPr>
        <w:spacing w:after="0" w:line="240" w:lineRule="auto"/>
        <w:rPr>
          <w:szCs w:val="28"/>
          <w:lang w:eastAsia="lv-LV"/>
        </w:rPr>
      </w:pPr>
    </w:p>
    <w:p w:rsidR="007B2D0D" w:rsidRPr="002F04A5" w:rsidP="00A77503" w14:paraId="759DCAC5" w14:textId="77777777">
      <w:pPr>
        <w:spacing w:after="0" w:line="240" w:lineRule="auto"/>
        <w:rPr>
          <w:szCs w:val="28"/>
          <w:lang w:eastAsia="lv-LV"/>
        </w:rPr>
      </w:pPr>
      <w:r w:rsidRPr="002F04A5">
        <w:rPr>
          <w:szCs w:val="28"/>
          <w:lang w:eastAsia="lv-LV"/>
        </w:rPr>
        <w:t>Vides aizsardzības un reģionālās attīstības ministrijas</w:t>
      </w:r>
    </w:p>
    <w:p w:rsidR="007B2D0D" w:rsidRPr="002F04A5" w:rsidP="00A77503" w14:paraId="4178D6AF" w14:textId="77777777">
      <w:pPr>
        <w:spacing w:after="0" w:line="240" w:lineRule="auto"/>
        <w:rPr>
          <w:szCs w:val="28"/>
          <w:lang w:eastAsia="lv-LV"/>
        </w:rPr>
      </w:pPr>
      <w:r w:rsidRPr="002F04A5">
        <w:rPr>
          <w:szCs w:val="28"/>
          <w:lang w:eastAsia="lv-LV"/>
        </w:rPr>
        <w:t xml:space="preserve">valsts sekretārs                                                                                </w:t>
      </w:r>
      <w:r w:rsidRPr="002F04A5" w:rsidR="00735D2C">
        <w:rPr>
          <w:szCs w:val="28"/>
          <w:lang w:eastAsia="lv-LV"/>
        </w:rPr>
        <w:t xml:space="preserve"> </w:t>
      </w:r>
      <w:r w:rsidRPr="002F04A5">
        <w:rPr>
          <w:szCs w:val="28"/>
          <w:lang w:eastAsia="lv-LV"/>
        </w:rPr>
        <w:t xml:space="preserve">  R.Muciņš</w:t>
      </w:r>
    </w:p>
    <w:p w:rsidR="00A77503" w:rsidRPr="002F04A5" w:rsidP="00A77503" w14:paraId="53D0DFCC" w14:textId="77777777">
      <w:pPr>
        <w:spacing w:after="0" w:line="240" w:lineRule="auto"/>
        <w:rPr>
          <w:sz w:val="26"/>
          <w:szCs w:val="28"/>
          <w:lang w:eastAsia="lv-LV"/>
        </w:rPr>
      </w:pPr>
    </w:p>
    <w:p w:rsidR="00A77503" w:rsidRPr="002F04A5" w:rsidP="00A77503" w14:paraId="5CF27315" w14:textId="77777777">
      <w:pPr>
        <w:spacing w:after="0" w:line="240" w:lineRule="auto"/>
        <w:rPr>
          <w:sz w:val="26"/>
          <w:szCs w:val="28"/>
          <w:lang w:eastAsia="lv-LV"/>
        </w:rPr>
      </w:pPr>
    </w:p>
    <w:p w:rsidR="00A77503" w:rsidRPr="002F04A5" w:rsidP="00A77503" w14:paraId="5C35DA2C" w14:textId="77777777">
      <w:pPr>
        <w:spacing w:after="0" w:line="240" w:lineRule="auto"/>
        <w:rPr>
          <w:sz w:val="18"/>
          <w:szCs w:val="18"/>
          <w:lang w:eastAsia="lv-LV"/>
        </w:rPr>
      </w:pPr>
      <w:r w:rsidRPr="002F04A5">
        <w:rPr>
          <w:sz w:val="18"/>
          <w:szCs w:val="18"/>
          <w:lang w:eastAsia="lv-LV"/>
        </w:rPr>
        <w:t>Priede, 67026915</w:t>
      </w:r>
    </w:p>
    <w:p w:rsidR="00A77503" w:rsidRPr="00C15644" w:rsidP="00C15644" w14:paraId="3E964146" w14:textId="6599950C">
      <w:pPr>
        <w:spacing w:after="0" w:line="240" w:lineRule="auto"/>
        <w:rPr>
          <w:sz w:val="18"/>
          <w:szCs w:val="18"/>
          <w:lang w:eastAsia="lv-LV"/>
        </w:rPr>
      </w:pPr>
      <w:r>
        <w:fldChar w:fldCharType="begin"/>
      </w:r>
      <w:r>
        <w:instrText xml:space="preserve"> HYPERLINK "mailto:arta.tupina@vni.lv" </w:instrText>
      </w:r>
      <w:r>
        <w:fldChar w:fldCharType="separate"/>
      </w:r>
      <w:r w:rsidRPr="002F04A5">
        <w:rPr>
          <w:rStyle w:val="Hyperlink"/>
          <w:sz w:val="18"/>
          <w:szCs w:val="18"/>
          <w:lang w:eastAsia="lv-LV"/>
        </w:rPr>
        <w:t>marite.priede@vara</w:t>
      </w:r>
      <w:bookmarkStart w:id="0" w:name="_GoBack"/>
      <w:bookmarkEnd w:id="0"/>
      <w:r w:rsidRPr="002F04A5">
        <w:rPr>
          <w:rStyle w:val="Hyperlink"/>
          <w:sz w:val="18"/>
          <w:szCs w:val="18"/>
          <w:lang w:eastAsia="lv-LV"/>
        </w:rPr>
        <w:t>m.gov.lv</w:t>
      </w:r>
      <w:r>
        <w:fldChar w:fldCharType="end"/>
      </w:r>
    </w:p>
    <w:sectPr w:rsidSect="008E2111">
      <w:headerReference w:type="default" r:id="rId5"/>
      <w:footerReference w:type="default" r:id="rId6"/>
      <w:footerReference w:type="first" r:id="rId7"/>
      <w:pgSz w:w="11906" w:h="16838"/>
      <w:pgMar w:top="851" w:right="1134" w:bottom="1134" w:left="1701" w:header="708" w:footer="708"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74B" w:rsidRPr="008D31C7" w:rsidP="008D31C7" w14:paraId="70686B9A" w14:textId="2E5A538B">
    <w:pPr>
      <w:pStyle w:val="Footer"/>
    </w:pPr>
    <w:r>
      <w:rPr>
        <w:sz w:val="20"/>
        <w:szCs w:val="20"/>
        <w:lang w:eastAsia="lv-LV"/>
      </w:rPr>
      <w:t>VARAMAnot_120218_atsavinasana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474B" w14:paraId="43F7B463" w14:textId="075E524D">
    <w:pPr>
      <w:pStyle w:val="Footer"/>
    </w:pPr>
    <w:r>
      <w:rPr>
        <w:sz w:val="20"/>
        <w:szCs w:val="20"/>
        <w:lang w:eastAsia="lv-LV"/>
      </w:rPr>
      <w:t>VARAMAnot_120218_atsavinasana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2001190088"/>
      <w:docPartObj>
        <w:docPartGallery w:val="Page Numbers (Top of Page)"/>
        <w:docPartUnique/>
      </w:docPartObj>
    </w:sdtPr>
    <w:sdtEndPr>
      <w:rPr>
        <w:noProof/>
      </w:rPr>
    </w:sdtEndPr>
    <w:sdtContent>
      <w:p w:rsidR="0096474B" w:rsidRPr="004C55FC" w14:paraId="5F9BD72A" w14:textId="0F864A9D">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F12A35">
          <w:rPr>
            <w:noProof/>
            <w:sz w:val="24"/>
            <w:szCs w:val="24"/>
          </w:rPr>
          <w:t>8</w:t>
        </w:r>
        <w:r w:rsidRPr="004C55FC">
          <w:rPr>
            <w:noProof/>
            <w:sz w:val="24"/>
            <w:szCs w:val="24"/>
          </w:rPr>
          <w:fldChar w:fldCharType="end"/>
        </w:r>
      </w:p>
    </w:sdtContent>
  </w:sdt>
  <w:p w:rsidR="0096474B" w14:paraId="789A58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C0353A"/>
    <w:multiLevelType w:val="hybridMultilevel"/>
    <w:tmpl w:val="647EB772"/>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252705DD"/>
    <w:multiLevelType w:val="hybridMultilevel"/>
    <w:tmpl w:val="1968EB22"/>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2" w15:restartNumberingAfterBreak="1">
    <w:nsid w:val="6E3F444B"/>
    <w:multiLevelType w:val="hybridMultilevel"/>
    <w:tmpl w:val="7CA6492A"/>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15174"/>
    <w:rsid w:val="00036629"/>
    <w:rsid w:val="000565D3"/>
    <w:rsid w:val="00080949"/>
    <w:rsid w:val="0008291F"/>
    <w:rsid w:val="00084C79"/>
    <w:rsid w:val="000B305C"/>
    <w:rsid w:val="000C29C0"/>
    <w:rsid w:val="001162A2"/>
    <w:rsid w:val="00117E11"/>
    <w:rsid w:val="00142F1C"/>
    <w:rsid w:val="00156F9D"/>
    <w:rsid w:val="00180905"/>
    <w:rsid w:val="001828CB"/>
    <w:rsid w:val="001D2809"/>
    <w:rsid w:val="001E5BE8"/>
    <w:rsid w:val="001E7D77"/>
    <w:rsid w:val="001F5261"/>
    <w:rsid w:val="0020046D"/>
    <w:rsid w:val="00202304"/>
    <w:rsid w:val="00216277"/>
    <w:rsid w:val="00235291"/>
    <w:rsid w:val="00235D30"/>
    <w:rsid w:val="00244279"/>
    <w:rsid w:val="002452D5"/>
    <w:rsid w:val="002548F4"/>
    <w:rsid w:val="00256476"/>
    <w:rsid w:val="00266EF6"/>
    <w:rsid w:val="00280653"/>
    <w:rsid w:val="00285C22"/>
    <w:rsid w:val="002B4EE8"/>
    <w:rsid w:val="002E62FF"/>
    <w:rsid w:val="002F04A5"/>
    <w:rsid w:val="00324F45"/>
    <w:rsid w:val="00333033"/>
    <w:rsid w:val="003562D0"/>
    <w:rsid w:val="00356B9D"/>
    <w:rsid w:val="00372420"/>
    <w:rsid w:val="00373E07"/>
    <w:rsid w:val="00377E76"/>
    <w:rsid w:val="00385EB8"/>
    <w:rsid w:val="003B480B"/>
    <w:rsid w:val="003E4420"/>
    <w:rsid w:val="004248FD"/>
    <w:rsid w:val="00457ED8"/>
    <w:rsid w:val="004C55FC"/>
    <w:rsid w:val="005224BE"/>
    <w:rsid w:val="005334AA"/>
    <w:rsid w:val="005400DB"/>
    <w:rsid w:val="0054464B"/>
    <w:rsid w:val="005725EF"/>
    <w:rsid w:val="005739FC"/>
    <w:rsid w:val="005A5271"/>
    <w:rsid w:val="005A688F"/>
    <w:rsid w:val="005A6D1D"/>
    <w:rsid w:val="005C05BD"/>
    <w:rsid w:val="005C4509"/>
    <w:rsid w:val="005C6B2F"/>
    <w:rsid w:val="005F7CF4"/>
    <w:rsid w:val="0060777C"/>
    <w:rsid w:val="00615780"/>
    <w:rsid w:val="00626526"/>
    <w:rsid w:val="00640FDF"/>
    <w:rsid w:val="006530D0"/>
    <w:rsid w:val="00666688"/>
    <w:rsid w:val="00674804"/>
    <w:rsid w:val="006869B4"/>
    <w:rsid w:val="006964BF"/>
    <w:rsid w:val="006A3331"/>
    <w:rsid w:val="006B6C93"/>
    <w:rsid w:val="006E3AF0"/>
    <w:rsid w:val="006F25AA"/>
    <w:rsid w:val="006F4716"/>
    <w:rsid w:val="0071269F"/>
    <w:rsid w:val="00714D56"/>
    <w:rsid w:val="007162A3"/>
    <w:rsid w:val="00717CF1"/>
    <w:rsid w:val="00721BC1"/>
    <w:rsid w:val="0073105E"/>
    <w:rsid w:val="00735D2C"/>
    <w:rsid w:val="00742FB6"/>
    <w:rsid w:val="00751AEB"/>
    <w:rsid w:val="00770977"/>
    <w:rsid w:val="00772D8C"/>
    <w:rsid w:val="007812BE"/>
    <w:rsid w:val="007A0024"/>
    <w:rsid w:val="007B0F4A"/>
    <w:rsid w:val="007B2D0D"/>
    <w:rsid w:val="007C4DD7"/>
    <w:rsid w:val="007E2E46"/>
    <w:rsid w:val="007F1C1E"/>
    <w:rsid w:val="007F2F37"/>
    <w:rsid w:val="007F7BBE"/>
    <w:rsid w:val="00810BE7"/>
    <w:rsid w:val="00813C15"/>
    <w:rsid w:val="00823228"/>
    <w:rsid w:val="0083748C"/>
    <w:rsid w:val="008506A0"/>
    <w:rsid w:val="00867D4A"/>
    <w:rsid w:val="00894A0C"/>
    <w:rsid w:val="008B0056"/>
    <w:rsid w:val="008B00DC"/>
    <w:rsid w:val="008B072C"/>
    <w:rsid w:val="008B329B"/>
    <w:rsid w:val="008B5A6D"/>
    <w:rsid w:val="008D31C7"/>
    <w:rsid w:val="008D59E6"/>
    <w:rsid w:val="008E2111"/>
    <w:rsid w:val="008E477E"/>
    <w:rsid w:val="009243C8"/>
    <w:rsid w:val="009340C5"/>
    <w:rsid w:val="0096411C"/>
    <w:rsid w:val="0096474B"/>
    <w:rsid w:val="00973BB4"/>
    <w:rsid w:val="00973FC4"/>
    <w:rsid w:val="0097570B"/>
    <w:rsid w:val="00975CC4"/>
    <w:rsid w:val="009967EB"/>
    <w:rsid w:val="009A2A77"/>
    <w:rsid w:val="009B18A0"/>
    <w:rsid w:val="009B555E"/>
    <w:rsid w:val="009C10FA"/>
    <w:rsid w:val="009F5C52"/>
    <w:rsid w:val="009F6347"/>
    <w:rsid w:val="00A03A72"/>
    <w:rsid w:val="00A149ED"/>
    <w:rsid w:val="00A468DF"/>
    <w:rsid w:val="00A51A59"/>
    <w:rsid w:val="00A56AD6"/>
    <w:rsid w:val="00A77503"/>
    <w:rsid w:val="00A96B7F"/>
    <w:rsid w:val="00AB3B69"/>
    <w:rsid w:val="00B01E0B"/>
    <w:rsid w:val="00B045DC"/>
    <w:rsid w:val="00B06DF2"/>
    <w:rsid w:val="00B078E7"/>
    <w:rsid w:val="00B11486"/>
    <w:rsid w:val="00B2427E"/>
    <w:rsid w:val="00B562BB"/>
    <w:rsid w:val="00B7065D"/>
    <w:rsid w:val="00BD0923"/>
    <w:rsid w:val="00BD32D5"/>
    <w:rsid w:val="00BD56E9"/>
    <w:rsid w:val="00BE03E5"/>
    <w:rsid w:val="00BE1840"/>
    <w:rsid w:val="00C117E3"/>
    <w:rsid w:val="00C15644"/>
    <w:rsid w:val="00C56506"/>
    <w:rsid w:val="00C9280C"/>
    <w:rsid w:val="00CB470D"/>
    <w:rsid w:val="00CD5876"/>
    <w:rsid w:val="00D13494"/>
    <w:rsid w:val="00D17BB4"/>
    <w:rsid w:val="00D3393B"/>
    <w:rsid w:val="00D623CD"/>
    <w:rsid w:val="00D6434E"/>
    <w:rsid w:val="00D731D1"/>
    <w:rsid w:val="00DA2B67"/>
    <w:rsid w:val="00DB055E"/>
    <w:rsid w:val="00DB061F"/>
    <w:rsid w:val="00DB7315"/>
    <w:rsid w:val="00DD0609"/>
    <w:rsid w:val="00DD163C"/>
    <w:rsid w:val="00DD4C36"/>
    <w:rsid w:val="00DD619E"/>
    <w:rsid w:val="00DE62C9"/>
    <w:rsid w:val="00DF10A2"/>
    <w:rsid w:val="00DF185E"/>
    <w:rsid w:val="00E076FB"/>
    <w:rsid w:val="00E114A5"/>
    <w:rsid w:val="00E17F12"/>
    <w:rsid w:val="00E96F37"/>
    <w:rsid w:val="00EA5907"/>
    <w:rsid w:val="00ED0B3F"/>
    <w:rsid w:val="00ED275F"/>
    <w:rsid w:val="00EE0D61"/>
    <w:rsid w:val="00EE4BFB"/>
    <w:rsid w:val="00F07315"/>
    <w:rsid w:val="00F12A35"/>
    <w:rsid w:val="00F164C9"/>
    <w:rsid w:val="00F67854"/>
    <w:rsid w:val="00F71A88"/>
    <w:rsid w:val="00F833BC"/>
    <w:rsid w:val="00F834B4"/>
    <w:rsid w:val="00F84B55"/>
    <w:rsid w:val="00F87AE9"/>
    <w:rsid w:val="00F91A83"/>
    <w:rsid w:val="00FB1BB0"/>
    <w:rsid w:val="00FB70D5"/>
    <w:rsid w:val="00FC423C"/>
    <w:rsid w:val="00FF5151"/>
    <w:rsid w:val="00FF58A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C4EC-D721-40E4-A41D-5B3B41CC0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7842</Words>
  <Characters>4470</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Par valsts nekustamā īpašuma Gleznotāja Miervalža Ķemera gatvē 5, Jūrmalā atsavināšanu</vt:lpstr>
    </vt:vector>
  </TitlesOfParts>
  <Company>VARAM</Company>
  <LinksUpToDate>false</LinksUpToDate>
  <CharactersWithSpaces>12288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valsts nekustamā īpašuma Gleznotāja Miervalža Ķemera gatvē 5, Jūrmalā atsavināšanu</dc:title>
  <dc:subject>Ministru kabineta rīkojuma projekta anotācija</dc:subject>
  <dc:creator>Mārīte Priede</dc:creator>
  <dc:description>67026915_x000D_
marite.priede@varam.gov.lv</dc:description>
  <cp:lastModifiedBy>Madara Gaile</cp:lastModifiedBy>
  <cp:revision>9</cp:revision>
  <cp:lastPrinted>2018-01-11T13:49:00Z</cp:lastPrinted>
  <dcterms:created xsi:type="dcterms:W3CDTF">2018-02-06T08:17:00Z</dcterms:created>
  <dcterms:modified xsi:type="dcterms:W3CDTF">2018-02-13T09:37:00Z</dcterms:modified>
</cp:coreProperties>
</file>