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F74E6" w:rsidRPr="00117616" w:rsidP="009F74E6" w14:paraId="00F2D358" w14:textId="32B9DD38">
      <w:pPr>
        <w:tabs>
          <w:tab w:val="center" w:pos="4153"/>
          <w:tab w:val="right" w:pos="8306"/>
        </w:tabs>
        <w:jc w:val="center"/>
        <w:rPr>
          <w:b/>
          <w:sz w:val="28"/>
          <w:szCs w:val="28"/>
          <w:lang w:eastAsia="lv-LV"/>
        </w:rPr>
      </w:pPr>
      <w:bookmarkStart w:id="0" w:name="OLE_LINK13"/>
      <w:bookmarkStart w:id="1" w:name="OLE_LINK14"/>
      <w:bookmarkStart w:id="2" w:name="OLE_LINK1"/>
      <w:bookmarkStart w:id="3" w:name="OLE_LINK2"/>
      <w:bookmarkStart w:id="4" w:name="OLE_LINK3"/>
      <w:bookmarkStart w:id="5" w:name="OLE_LINK10"/>
      <w:r w:rsidRPr="00117616">
        <w:rPr>
          <w:b/>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42pt;height:25.5pt;margin-top:-42.55pt;margin-left:204.35pt;mso-height-percent:0;mso-height-relative:page;mso-width-percent:0;mso-width-relative:page;mso-wrap-distance-bottom:0;mso-wrap-distance-left:9pt;mso-wrap-distance-right:9pt;mso-wrap-distance-top:0;mso-wrap-style:square;position:absolute;visibility:visible;v-text-anchor:top;z-index:251659264" strokecolor="white"/>
            </w:pict>
          </mc:Fallback>
        </mc:AlternateContent>
      </w:r>
      <w:bookmarkEnd w:id="0"/>
      <w:bookmarkEnd w:id="1"/>
      <w:bookmarkEnd w:id="2"/>
      <w:r w:rsidRPr="00117616">
        <w:rPr>
          <w:b/>
          <w:lang w:eastAsia="lv-LV"/>
        </w:rPr>
        <w:t xml:space="preserve"> </w:t>
      </w:r>
      <w:r w:rsidRPr="00117616">
        <w:rPr>
          <w:b/>
          <w:sz w:val="28"/>
          <w:szCs w:val="28"/>
          <w:lang w:eastAsia="lv-LV"/>
        </w:rPr>
        <w:t>Ministru kabineta noteikumu projekta „</w:t>
      </w:r>
      <w:bookmarkStart w:id="6" w:name="OLE_LINK26"/>
      <w:bookmarkStart w:id="7" w:name="OLE_LINK27"/>
      <w:bookmarkStart w:id="8" w:name="OLE_LINK11"/>
      <w:bookmarkStart w:id="9" w:name="OLE_LINK12"/>
      <w:r w:rsidRPr="00117616">
        <w:rPr>
          <w:b/>
          <w:sz w:val="28"/>
          <w:szCs w:val="28"/>
          <w:lang w:eastAsia="lv-LV"/>
        </w:rPr>
        <w:t>Grozījum</w:t>
      </w:r>
      <w:r w:rsidRPr="00117616" w:rsidR="00D44AD1">
        <w:rPr>
          <w:b/>
          <w:sz w:val="28"/>
          <w:szCs w:val="28"/>
          <w:lang w:eastAsia="lv-LV"/>
        </w:rPr>
        <w:t>i</w:t>
      </w:r>
      <w:r w:rsidRPr="00117616">
        <w:rPr>
          <w:b/>
          <w:sz w:val="28"/>
          <w:szCs w:val="28"/>
          <w:lang w:eastAsia="lv-LV"/>
        </w:rPr>
        <w:t xml:space="preserve"> Ministru kabineta </w:t>
      </w:r>
      <w:bookmarkEnd w:id="6"/>
      <w:bookmarkEnd w:id="7"/>
      <w:r w:rsidRPr="00117616">
        <w:rPr>
          <w:b/>
          <w:sz w:val="28"/>
          <w:szCs w:val="28"/>
          <w:lang w:eastAsia="lv-LV"/>
        </w:rPr>
        <w:t>2014. gada 28. oktobra noteikumos Nr.666 „</w:t>
      </w:r>
      <w:bookmarkEnd w:id="8"/>
      <w:bookmarkEnd w:id="9"/>
      <w:r w:rsidRPr="00117616" w:rsidR="002C7028">
        <w:rPr>
          <w:b/>
          <w:bCs/>
          <w:sz w:val="28"/>
          <w:szCs w:val="28"/>
        </w:rPr>
        <w:t xml:space="preserve">Darbības programmas “Izaugsme un nodarbinātība” 9.2.3. specifiskā atbalsta mērķa “Atbalstīt prioritāro (sirds un asinsvadu, onkoloģijas, bērnu (sākot no perinatālā un </w:t>
      </w:r>
      <w:r w:rsidRPr="00117616" w:rsidR="002C7028">
        <w:rPr>
          <w:b/>
          <w:bCs/>
          <w:sz w:val="28"/>
          <w:szCs w:val="28"/>
        </w:rPr>
        <w:t>neonatālā</w:t>
      </w:r>
      <w:r w:rsidRPr="00117616" w:rsidR="002C7028">
        <w:rPr>
          <w:b/>
          <w:bCs/>
          <w:sz w:val="28"/>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rsidRPr="00117616">
        <w:rPr>
          <w:b/>
          <w:sz w:val="28"/>
          <w:szCs w:val="28"/>
          <w:lang w:eastAsia="lv-LV"/>
        </w:rPr>
        <w:t>” sākotnējās ietekmes novērtējuma ziņojums (anotācija)</w:t>
      </w:r>
    </w:p>
    <w:p w:rsidR="00EC63C8" w:rsidRPr="00117616" w:rsidP="00EC63C8" w14:paraId="7EA27A08" w14:textId="77777777">
      <w:pPr>
        <w:tabs>
          <w:tab w:val="center" w:pos="4153"/>
          <w:tab w:val="right" w:pos="8306"/>
        </w:tabs>
        <w:jc w:val="center"/>
        <w:rPr>
          <w:b/>
          <w:sz w:val="28"/>
          <w:szCs w:val="28"/>
        </w:rPr>
      </w:pPr>
    </w:p>
    <w:p w:rsidR="00C1591C" w:rsidRPr="00117616" w:rsidP="00E224D1" w14:paraId="3A308569" w14:textId="77777777">
      <w:pPr>
        <w:autoSpaceDE w:val="0"/>
        <w:autoSpaceDN w:val="0"/>
        <w:adjustRightInd w:val="0"/>
        <w:jc w:val="both"/>
        <w:outlineLvl w:val="0"/>
      </w:pPr>
      <w:bookmarkEnd w:id="3"/>
      <w:bookmarkEnd w:id="4"/>
      <w:bookmarkEnd w:id="5"/>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8"/>
        <w:gridCol w:w="2414"/>
        <w:gridCol w:w="6054"/>
      </w:tblGrid>
      <w:tr w14:paraId="6EEDEF5F" w14:textId="77777777" w:rsidTr="00C1591C">
        <w:tblPrEx>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419"/>
        </w:trPr>
        <w:tc>
          <w:tcPr>
            <w:tcW w:w="5000" w:type="pct"/>
            <w:gridSpan w:val="3"/>
            <w:vAlign w:val="center"/>
          </w:tcPr>
          <w:p w:rsidR="003735C6" w:rsidRPr="00117616" w:rsidP="00C1591C" w14:paraId="727ADFF0" w14:textId="77777777">
            <w:pPr>
              <w:pStyle w:val="naisnod"/>
              <w:spacing w:before="0" w:beforeAutospacing="0" w:after="0" w:afterAutospacing="0"/>
              <w:ind w:left="57" w:right="57"/>
              <w:jc w:val="center"/>
              <w:rPr>
                <w:b/>
              </w:rPr>
            </w:pPr>
            <w:r w:rsidRPr="00117616">
              <w:rPr>
                <w:b/>
              </w:rPr>
              <w:t>I</w:t>
            </w:r>
            <w:r w:rsidRPr="00117616" w:rsidR="00D46E0B">
              <w:rPr>
                <w:b/>
              </w:rPr>
              <w:t xml:space="preserve">. </w:t>
            </w:r>
            <w:r w:rsidRPr="00117616">
              <w:rPr>
                <w:b/>
              </w:rPr>
              <w:t>Tiesību akta projekta izstrādes nepieciešamība</w:t>
            </w:r>
          </w:p>
        </w:tc>
      </w:tr>
      <w:tr w14:paraId="6EC6B4FC" w14:textId="77777777" w:rsidTr="00C1591C">
        <w:tblPrEx>
          <w:tblW w:w="4920" w:type="pct"/>
          <w:tblLayout w:type="fixed"/>
          <w:tblCellMar>
            <w:left w:w="0" w:type="dxa"/>
            <w:right w:w="0" w:type="dxa"/>
          </w:tblCellMar>
          <w:tblLook w:val="0000"/>
        </w:tblPrEx>
        <w:trPr>
          <w:trHeight w:val="415"/>
        </w:trPr>
        <w:tc>
          <w:tcPr>
            <w:tcW w:w="251" w:type="pct"/>
          </w:tcPr>
          <w:p w:rsidR="003735C6" w:rsidRPr="00117616" w:rsidP="00C1591C" w14:paraId="39051303" w14:textId="77777777">
            <w:pPr>
              <w:pStyle w:val="naiskr"/>
              <w:spacing w:before="0" w:beforeAutospacing="0" w:after="0" w:afterAutospacing="0"/>
              <w:ind w:left="57" w:right="57"/>
              <w:jc w:val="center"/>
            </w:pPr>
            <w:r w:rsidRPr="00117616">
              <w:t>1</w:t>
            </w:r>
            <w:r w:rsidRPr="00117616" w:rsidR="00D46E0B">
              <w:t xml:space="preserve">. </w:t>
            </w:r>
          </w:p>
        </w:tc>
        <w:tc>
          <w:tcPr>
            <w:tcW w:w="1354" w:type="pct"/>
          </w:tcPr>
          <w:p w:rsidR="003735C6" w:rsidRPr="00117616" w:rsidP="00C1591C" w14:paraId="12B72B8A" w14:textId="77777777">
            <w:pPr>
              <w:pStyle w:val="naiskr"/>
              <w:spacing w:before="0" w:beforeAutospacing="0" w:after="0" w:afterAutospacing="0"/>
              <w:ind w:left="57" w:right="57"/>
              <w:rPr>
                <w:rFonts w:eastAsiaTheme="minorHAnsi"/>
                <w:lang w:eastAsia="en-US"/>
              </w:rPr>
            </w:pPr>
            <w:r w:rsidRPr="00117616">
              <w:rPr>
                <w:rFonts w:eastAsiaTheme="minorHAnsi"/>
                <w:lang w:eastAsia="en-US"/>
              </w:rPr>
              <w:t>Pamatojums</w:t>
            </w:r>
          </w:p>
        </w:tc>
        <w:tc>
          <w:tcPr>
            <w:tcW w:w="3395" w:type="pct"/>
          </w:tcPr>
          <w:p w:rsidR="00933F41" w:rsidRPr="00117616" w:rsidP="0041736D" w14:paraId="180E119F" w14:textId="4CBDBB1D">
            <w:pPr>
              <w:pStyle w:val="naiskr"/>
              <w:spacing w:before="40" w:beforeAutospacing="0" w:after="40" w:afterAutospacing="0"/>
              <w:ind w:left="57" w:right="57" w:firstLine="284"/>
              <w:jc w:val="both"/>
              <w:rPr>
                <w:bCs/>
              </w:rPr>
            </w:pPr>
            <w:r w:rsidRPr="00117616">
              <w:t>Grozījum</w:t>
            </w:r>
            <w:r w:rsidRPr="00117616" w:rsidR="00E92419">
              <w:t>u</w:t>
            </w:r>
            <w:r w:rsidRPr="00117616">
              <w:t xml:space="preserve"> Ministru kabineta 2014. gada 28. oktobra noteikumos Nr.666 “</w:t>
            </w:r>
            <w:r w:rsidRPr="00117616" w:rsidR="0013565E">
              <w:t xml:space="preserve">Darbības programmas “Izaugsme un nodarbinātība” 9.2.3. specifiskā atbalsta mērķa “Atbalstīt prioritāro (sirds un asinsvadu, onkoloģijas, bērnu (sākot no perinatālā un </w:t>
            </w:r>
            <w:r w:rsidRPr="00117616" w:rsidR="0013565E">
              <w:t>neonatālā</w:t>
            </w:r>
            <w:r w:rsidRPr="00117616" w:rsidR="0013565E">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w:t>
            </w:r>
            <w:r w:rsidRPr="00117616">
              <w:t xml:space="preserve"> (turpmāk – MK noteikumi Nr.666) projekts (turpmā</w:t>
            </w:r>
            <w:r w:rsidRPr="00117616" w:rsidR="00F05FA0">
              <w:t>k</w:t>
            </w:r>
            <w:r w:rsidRPr="00117616">
              <w:t xml:space="preserve"> – noteikumu projekts) izstrādāt</w:t>
            </w:r>
            <w:r w:rsidRPr="00117616" w:rsidR="00E92419">
              <w:t>s</w:t>
            </w:r>
            <w:r w:rsidRPr="00117616">
              <w:t xml:space="preserve"> pamatojoties </w:t>
            </w:r>
            <w:r w:rsidRPr="00117616" w:rsidR="00B8030C">
              <w:t xml:space="preserve">uz </w:t>
            </w:r>
            <w:r w:rsidRPr="00117616">
              <w:t xml:space="preserve">Eiropas Savienības struktūrfondu un Kohēzijas fonda 2014.-2020. gada plānošanas perioda vadības likuma 20. panta 6. un 13. </w:t>
            </w:r>
            <w:r w:rsidRPr="00117616" w:rsidR="00B8030C">
              <w:t xml:space="preserve">punktu un Eiropas Sociālā fonda ietvaros Nacionālā veselības dienesta īstenotā projekta </w:t>
            </w:r>
            <w:r w:rsidRPr="00117616" w:rsidR="00876DDE">
              <w:rPr>
                <w:i/>
              </w:rPr>
              <w:t xml:space="preserve"> Nr.9.2.3.0/15/I/001 „Veselības tīklu attīstības vadlīniju un kvalitātes nodrošināšanas sistēmas izstrāde un ieviešana prioritāro veselības jomu ietvaros” </w:t>
            </w:r>
            <w:r w:rsidRPr="00117616" w:rsidR="00876DDE">
              <w:t>(turpmāk – projekts)</w:t>
            </w:r>
            <w:r w:rsidRPr="00117616" w:rsidR="00B8030C">
              <w:t xml:space="preserve"> īstenošanas laikā konstatētajām nepieciešamībām.</w:t>
            </w:r>
            <w:r w:rsidRPr="00117616" w:rsidR="0041736D">
              <w:rPr>
                <w:bCs/>
              </w:rPr>
              <w:t xml:space="preserve"> </w:t>
            </w:r>
          </w:p>
        </w:tc>
      </w:tr>
      <w:tr w14:paraId="4E2D3F81" w14:textId="77777777" w:rsidTr="001767BB">
        <w:tblPrEx>
          <w:tblW w:w="4920" w:type="pct"/>
          <w:tblLayout w:type="fixed"/>
          <w:tblCellMar>
            <w:left w:w="0" w:type="dxa"/>
            <w:right w:w="0" w:type="dxa"/>
          </w:tblCellMar>
          <w:tblLook w:val="0000"/>
        </w:tblPrEx>
        <w:trPr>
          <w:trHeight w:val="56"/>
        </w:trPr>
        <w:tc>
          <w:tcPr>
            <w:tcW w:w="251" w:type="pct"/>
          </w:tcPr>
          <w:p w:rsidR="003735C6" w:rsidRPr="00117616" w:rsidP="00C1591C" w14:paraId="581A188A" w14:textId="77777777">
            <w:pPr>
              <w:pStyle w:val="naiskr"/>
              <w:spacing w:before="0" w:beforeAutospacing="0" w:after="0" w:afterAutospacing="0"/>
              <w:ind w:left="57" w:right="57"/>
              <w:jc w:val="center"/>
            </w:pPr>
            <w:r w:rsidRPr="00117616">
              <w:t>2</w:t>
            </w:r>
            <w:r w:rsidRPr="00117616" w:rsidR="00D46E0B">
              <w:t xml:space="preserve">. </w:t>
            </w:r>
          </w:p>
        </w:tc>
        <w:tc>
          <w:tcPr>
            <w:tcW w:w="1354" w:type="pct"/>
          </w:tcPr>
          <w:p w:rsidR="003735C6" w:rsidRPr="00117616" w:rsidP="00C1591C" w14:paraId="7C2C3CAC" w14:textId="77777777">
            <w:pPr>
              <w:pStyle w:val="naiskr"/>
              <w:tabs>
                <w:tab w:val="left" w:pos="170"/>
              </w:tabs>
              <w:spacing w:before="0" w:beforeAutospacing="0" w:after="0" w:afterAutospacing="0"/>
              <w:ind w:left="57" w:right="57"/>
            </w:pPr>
            <w:r w:rsidRPr="00117616">
              <w:t>Pašreizējā situācija un problēmas, kuru risināšanai tiesību akta projekts izstrādāts, tiesiskā regulējuma mērķis un būtība</w:t>
            </w:r>
          </w:p>
        </w:tc>
        <w:tc>
          <w:tcPr>
            <w:tcW w:w="3395" w:type="pct"/>
          </w:tcPr>
          <w:p w:rsidR="000650AF" w:rsidRPr="00117616" w:rsidP="00E6304F" w14:paraId="21E6F573" w14:textId="77777777">
            <w:pPr>
              <w:pStyle w:val="naiskr"/>
              <w:spacing w:before="40" w:beforeAutospacing="0" w:after="40" w:afterAutospacing="0"/>
              <w:ind w:left="57" w:right="57" w:firstLine="284"/>
              <w:jc w:val="both"/>
            </w:pPr>
            <w:r w:rsidRPr="00117616">
              <w:t>Ministru kabineta 2014. gada 28. oktobra noteikumu Nr.666 “</w:t>
            </w:r>
            <w:r w:rsidRPr="00117616" w:rsidR="002F63D0">
              <w:rPr>
                <w:i/>
              </w:rPr>
              <w:t>D</w:t>
            </w:r>
            <w:r w:rsidRPr="00117616">
              <w:rPr>
                <w:i/>
              </w:rPr>
              <w:t xml:space="preserve">arbības programmas “Izaugsme un nodarbinātība” 9.2.3. specifiskā atbalsta mērķa “Atbalstīt prioritāro (sirds un asinsvadu, onkoloģijas, </w:t>
            </w:r>
            <w:r w:rsidRPr="00117616" w:rsidR="002F63D0">
              <w:rPr>
                <w:i/>
              </w:rPr>
              <w:t xml:space="preserve">bērnu (sākot no </w:t>
            </w:r>
            <w:r w:rsidRPr="00117616">
              <w:rPr>
                <w:i/>
              </w:rPr>
              <w:t xml:space="preserve">perinatālā un </w:t>
            </w:r>
            <w:r w:rsidRPr="00117616">
              <w:rPr>
                <w:i/>
              </w:rPr>
              <w:t>neonatālā</w:t>
            </w:r>
            <w:r w:rsidRPr="00117616">
              <w:rPr>
                <w:i/>
              </w:rPr>
              <w:t xml:space="preserve"> perioda</w:t>
            </w:r>
            <w:r w:rsidRPr="00117616" w:rsidR="002F63D0">
              <w:rPr>
                <w:i/>
              </w:rPr>
              <w:t>)</w:t>
            </w:r>
            <w:r w:rsidRPr="00117616">
              <w:rPr>
                <w:i/>
              </w:rPr>
              <w:t xml:space="preserve"> aprūpes un garīgās veselības) veselības jomu veselības tīklu attīstības vadlīniju un kvalitātes nodrošināšanas sistēmas izstrādi un ieviešanu, jo īpaši sociālās atstumtības un nabadzības riskam pakļauto iedzīvotāju veselības uzlabošanai” īstenošan</w:t>
            </w:r>
            <w:r w:rsidRPr="00117616" w:rsidR="00B3547F">
              <w:rPr>
                <w:i/>
              </w:rPr>
              <w:t>as noteikumi</w:t>
            </w:r>
            <w:r w:rsidRPr="00117616">
              <w:t>” (turpmāk – MK noteikumi Nr.666) šobrīd spēkā esošās redakcijas 27.2. apakšpunkts nosaka, ka darbība „</w:t>
            </w:r>
            <w:r w:rsidRPr="00117616" w:rsidR="002F63D0">
              <w:t>V</w:t>
            </w:r>
            <w:r w:rsidRPr="00117616">
              <w:t xml:space="preserve">ienotas nacionālās veselības aprūpes kvalitātes nodrošināšanas sistēmas izveide un ieviešana” ieviešama līdz 2018. gada 31. decembrim. </w:t>
            </w:r>
            <w:r w:rsidRPr="00117616" w:rsidR="008A4F6C">
              <w:t xml:space="preserve">Minētās darbības ietvaros bija paredzēts izstrādāt vienotu nacionālu veselības aprūpes kvalitātes nodrošināšanas sistēmas koncepciju un veikt tās </w:t>
            </w:r>
            <w:r w:rsidRPr="00117616" w:rsidR="008A4F6C">
              <w:t>pilotdarbināšanu</w:t>
            </w:r>
            <w:r w:rsidRPr="00117616" w:rsidR="008A4F6C">
              <w:t>.</w:t>
            </w:r>
          </w:p>
          <w:p w:rsidR="00CD0082" w:rsidRPr="00117616" w:rsidP="00E6304F" w14:paraId="72E86F26" w14:textId="77777777">
            <w:pPr>
              <w:pStyle w:val="naiskr"/>
              <w:spacing w:before="40" w:beforeAutospacing="0" w:after="40" w:afterAutospacing="0"/>
              <w:ind w:left="57" w:right="57" w:firstLine="284"/>
              <w:jc w:val="both"/>
            </w:pPr>
            <w:r w:rsidRPr="00117616">
              <w:t xml:space="preserve">Jāņem vērā, ka 2017.gada 20.janvārī ar veselības ministres rīkojumu Nr.22 “Par Veselības aprūpes sistēmas kvalitātes pilnveidošanas un pacientu drošības koncepcijas apstiprināšanu” tika  apstiprināts </w:t>
            </w:r>
            <w:r w:rsidRPr="00117616" w:rsidR="008A4F6C">
              <w:t xml:space="preserve">Veselības ministrijas izveidotās darba grupas izstrādāts </w:t>
            </w:r>
            <w:r w:rsidRPr="00117616">
              <w:t xml:space="preserve">konceptuāls dokuments, kurā norādīti galvenie rīcības virzieni un aktivitātes, lai uzlabotu veselības aprūpes pakalpojumu kvalitāti un pacientu drošību. </w:t>
            </w:r>
            <w:r w:rsidRPr="00117616" w:rsidR="008A4F6C">
              <w:t xml:space="preserve">Līdz ar to zuda nepieciešamība projekta ietvaros finansēt līdzīga dokumenta izstrādi, kā arī tapa skaidrs, kādas konkrētas aktivitātes jāveic, lai veiktu sistēmas </w:t>
            </w:r>
            <w:r w:rsidRPr="00117616" w:rsidR="008A4F6C">
              <w:t>pilotdarbināšanu</w:t>
            </w:r>
            <w:r w:rsidRPr="00117616" w:rsidR="008A4F6C">
              <w:t xml:space="preserve">. </w:t>
            </w:r>
            <w:r w:rsidRPr="00117616" w:rsidR="00A05EBB">
              <w:t>Atbilstoši konceptuālajā dokumentā noteiktajam tika veikti grozījumi projekta iesniegumā un uzsākta šo aktivitāšu ieviešanas plānošana.</w:t>
            </w:r>
            <w:r w:rsidRPr="00117616" w:rsidR="008A4F6C">
              <w:t xml:space="preserve"> </w:t>
            </w:r>
          </w:p>
          <w:p w:rsidR="002A4800" w:rsidRPr="00117616" w:rsidP="00E6304F" w14:paraId="51AED9CF" w14:textId="765340C3">
            <w:pPr>
              <w:pStyle w:val="naiskr"/>
              <w:spacing w:before="40" w:beforeAutospacing="0" w:after="40" w:afterAutospacing="0"/>
              <w:ind w:left="57" w:right="57" w:firstLine="284"/>
              <w:jc w:val="both"/>
            </w:pPr>
            <w:r w:rsidRPr="00117616">
              <w:t xml:space="preserve">Līdz ar to šobrīd  darbības “Vienotas nacionālās veselības aprūpes kvalitātes nodrošināšanas sistēmas izveide un ieviešana” īstenošanai paredzētas sekojošas </w:t>
            </w:r>
            <w:r w:rsidRPr="00117616" w:rsidR="00F811B3">
              <w:t xml:space="preserve">aktivitātes </w:t>
            </w:r>
            <w:r w:rsidRPr="00117616">
              <w:t>(iepirkumi):</w:t>
            </w:r>
          </w:p>
          <w:p w:rsidR="002A4800" w:rsidRPr="00117616" w:rsidP="002A4800" w14:paraId="2477777E" w14:textId="411B33D1">
            <w:pPr>
              <w:shd w:val="clear" w:color="auto" w:fill="FFFFFF"/>
              <w:ind w:left="112"/>
            </w:pPr>
            <w:r w:rsidRPr="00117616">
              <w:t>1.Apmācību programmu izstrāde un apmācību organizēšana pacientu drošības un kvalitātes vadības jomā;</w:t>
            </w:r>
          </w:p>
          <w:p w:rsidR="002A4800" w:rsidRPr="00117616" w:rsidP="002A4800" w14:paraId="3F49E0F1" w14:textId="6EBB86E5">
            <w:pPr>
              <w:shd w:val="clear" w:color="auto" w:fill="FFFFFF"/>
              <w:ind w:left="112"/>
            </w:pPr>
            <w:r w:rsidRPr="00117616">
              <w:t>2.Ekspertu pakalpojumi veselības aprūpes kvalitātes un pacientu drošības jomā;</w:t>
            </w:r>
          </w:p>
          <w:p w:rsidR="002A4800" w:rsidRPr="00117616" w:rsidP="002A4800" w14:paraId="4897AC55" w14:textId="1E11AB12">
            <w:pPr>
              <w:shd w:val="clear" w:color="auto" w:fill="FFFFFF"/>
              <w:ind w:left="112"/>
            </w:pPr>
            <w:r w:rsidRPr="00117616">
              <w:t>3.Klīnisko vadlīniju identificēšana un tām atbilstošo klīnisko algoritmu, klīnisko ceļu un indikatoru izstrāde prioritārajās veselības jomās;</w:t>
            </w:r>
          </w:p>
          <w:p w:rsidR="002A4800" w:rsidRPr="00117616" w:rsidP="002A4800" w14:paraId="7DBB18E5" w14:textId="5C6ED904">
            <w:pPr>
              <w:shd w:val="clear" w:color="auto" w:fill="FFFFFF"/>
              <w:ind w:left="112"/>
            </w:pPr>
            <w:r w:rsidRPr="00117616">
              <w:t>4.Pētījumu veikšana par pacientu apmierinātību ar veselības aprūpes pakalpojumu kvalitāti;</w:t>
            </w:r>
          </w:p>
          <w:p w:rsidR="002A4800" w:rsidRPr="00117616" w:rsidP="002A4800" w14:paraId="56268A43" w14:textId="58C762D9">
            <w:pPr>
              <w:pStyle w:val="ListParagraph"/>
              <w:spacing w:after="160" w:line="259" w:lineRule="auto"/>
              <w:ind w:left="112" w:right="142"/>
              <w:jc w:val="both"/>
            </w:pPr>
            <w:r w:rsidRPr="00117616">
              <w:t>5.Konferences par veselības aprūpes kvalitātes jautājumiem organizēšana.</w:t>
            </w:r>
          </w:p>
          <w:p w:rsidR="00F22D0F" w:rsidP="00E6304F" w14:paraId="5C9CCB04" w14:textId="1AF63699">
            <w:pPr>
              <w:pStyle w:val="naiskr"/>
              <w:spacing w:before="40" w:beforeAutospacing="0" w:after="40" w:afterAutospacing="0"/>
              <w:ind w:left="57" w:right="57" w:firstLine="284"/>
              <w:jc w:val="both"/>
            </w:pPr>
            <w:r w:rsidRPr="00117616">
              <w:t>Tāpat atbilstoši konceptuālajā dokumentā noteiktajam</w:t>
            </w:r>
            <w:r w:rsidRPr="00117616" w:rsidR="00DA76E4">
              <w:t xml:space="preserve">, lai </w:t>
            </w:r>
            <w:r w:rsidRPr="00117616">
              <w:t xml:space="preserve"> </w:t>
            </w:r>
            <w:r w:rsidRPr="00117616" w:rsidR="00DA76E4">
              <w:t xml:space="preserve">nodrošinātu </w:t>
            </w:r>
            <w:r w:rsidRPr="00117616" w:rsidR="00F811B3">
              <w:t xml:space="preserve">projekta ietvaros izstrādājamās dokumentācijas (klīnisko vadlīniju, tām atbilstošo algoritmu un klīnisko ceļu) </w:t>
            </w:r>
            <w:r w:rsidRPr="00117616" w:rsidR="00112F10">
              <w:t>efektīv</w:t>
            </w:r>
            <w:r w:rsidRPr="00117616" w:rsidR="000650AF">
              <w:t xml:space="preserve">āku </w:t>
            </w:r>
            <w:r w:rsidRPr="00117616" w:rsidR="00F811B3">
              <w:t>pie</w:t>
            </w:r>
            <w:r w:rsidRPr="00117616" w:rsidR="00882347">
              <w:t>lietošanu veselības aprūpes pakalpojumu sniegšanā</w:t>
            </w:r>
            <w:r w:rsidRPr="00117616" w:rsidR="00F811B3">
              <w:t xml:space="preserve">, </w:t>
            </w:r>
            <w:r w:rsidRPr="00117616" w:rsidR="00E6304F">
              <w:t xml:space="preserve">pēc klīniskās dokumentācijas izstrādes </w:t>
            </w:r>
            <w:r w:rsidRPr="00117616" w:rsidR="00882347">
              <w:t>paredzēt</w:t>
            </w:r>
            <w:r w:rsidRPr="00117616" w:rsidR="00E6304F">
              <w:t>a</w:t>
            </w:r>
            <w:r w:rsidRPr="00117616" w:rsidR="00882347">
              <w:t xml:space="preserve"> informāciju tehnoloģiju (IT) risinājum</w:t>
            </w:r>
            <w:r w:rsidRPr="00117616" w:rsidR="00F811B3">
              <w:t xml:space="preserve">a </w:t>
            </w:r>
            <w:r w:rsidRPr="006B68A8" w:rsidR="006B68A8">
              <w:t>kvalitātes nodrošināšanas sistēmas izstrādei un ieviešanai</w:t>
            </w:r>
            <w:r w:rsidRPr="00117616" w:rsidR="006B68A8">
              <w:t xml:space="preserve"> </w:t>
            </w:r>
            <w:r w:rsidRPr="00117616" w:rsidR="00E6304F">
              <w:t>iegāde</w:t>
            </w:r>
            <w:r w:rsidRPr="00117616" w:rsidR="00F811B3">
              <w:t xml:space="preserve"> un ievie</w:t>
            </w:r>
            <w:r w:rsidRPr="00117616" w:rsidR="00882347">
              <w:t>šana</w:t>
            </w:r>
            <w:r w:rsidR="006B68A8">
              <w:t xml:space="preserve"> (turpmāk – IT risinājums)</w:t>
            </w:r>
            <w:r w:rsidRPr="00117616" w:rsidR="00882347">
              <w:t xml:space="preserve">. </w:t>
            </w:r>
            <w:r w:rsidRPr="00117616" w:rsidR="00F811B3">
              <w:t xml:space="preserve"> </w:t>
            </w:r>
            <w:r w:rsidRPr="00117616" w:rsidR="00882347">
              <w:t xml:space="preserve">IT risinājums paredz, </w:t>
            </w:r>
            <w:r w:rsidRPr="00117616">
              <w:t>ka projekta ietvaros identificētās klīniskās vadlīnijas, izstrādātie klīniskie ceļi un klīniskie algoritmi  prioritārajās veselības jomās</w:t>
            </w:r>
            <w:r w:rsidRPr="00117616">
              <w:t xml:space="preserve"> </w:t>
            </w:r>
            <w:r w:rsidRPr="00117616">
              <w:t>ārstniecības personām būs pieejami elektroniskā datubāzē</w:t>
            </w:r>
            <w:r w:rsidRPr="00117616" w:rsidR="00882347">
              <w:t>, nodrošinot to pieejamību un ērtu lietošanu.</w:t>
            </w:r>
            <w:r w:rsidRPr="00117616">
              <w:t xml:space="preserve"> </w:t>
            </w:r>
            <w:r w:rsidRPr="00117616" w:rsidR="00882347">
              <w:t xml:space="preserve">Minētais IT </w:t>
            </w:r>
            <w:r w:rsidR="006B68A8">
              <w:t xml:space="preserve">risinājums jeb </w:t>
            </w:r>
            <w:r w:rsidRPr="00117616" w:rsidR="00882347">
              <w:t>konfigurācijas pārvaldības rīks</w:t>
            </w:r>
            <w:r w:rsidRPr="00117616">
              <w:t xml:space="preserve">, balstoties uz ārstniecības personas sistēmā ievadīto informāciju un datubāzē esošo informāciju, sniegs uz pierādījumiem balstītus klīniskos ieteikumus, tādejādi nodrošinot, ka pacients saņem  kvalitatīvus un drošus veselības aprūpes pakalpojumus. </w:t>
            </w:r>
            <w:r w:rsidR="006B68A8">
              <w:t>IT risinājums</w:t>
            </w:r>
            <w:r w:rsidRPr="00117616">
              <w:t xml:space="preserve"> palīdzēs ārstniecības personai </w:t>
            </w:r>
            <w:r w:rsidRPr="00117616" w:rsidR="000650AF">
              <w:t>pacientu ārstēšanas procesā izmantot</w:t>
            </w:r>
            <w:r w:rsidRPr="00117616">
              <w:t xml:space="preserve"> klīnisko praksi, tostarp personalizējot aprūpi, un vienlaikus  samazinot risku, ka tiek pieņemti lēmumi, kas neatbilst klīniskajās vadlīnijās ieteiktajam. IT risinājuma veiksmīgas ieviešanas rezultātā tiks ievērojami </w:t>
            </w:r>
            <w:r w:rsidRPr="00117616">
              <w:t>paaugstināta projekta ietvaros izstrādājamas klīniskās dokumentācijas (klīnisko algoritmu, klīnisko ceļu un indikatoru) izmantošana, tādējādi nodrošin</w:t>
            </w:r>
            <w:r w:rsidRPr="00117616" w:rsidR="000E2DAE">
              <w:t>o</w:t>
            </w:r>
            <w:r w:rsidRPr="00117616">
              <w:t xml:space="preserve">t </w:t>
            </w:r>
            <w:r w:rsidRPr="00117616" w:rsidR="000E2DAE">
              <w:t xml:space="preserve">projekta ietvaros </w:t>
            </w:r>
            <w:r w:rsidRPr="00117616">
              <w:t xml:space="preserve">ieguldīto </w:t>
            </w:r>
            <w:r w:rsidRPr="00117616" w:rsidR="000E2DAE">
              <w:t xml:space="preserve">naudas </w:t>
            </w:r>
            <w:r w:rsidRPr="00117616">
              <w:t>līdzekļu augstāku efektivitāti.</w:t>
            </w:r>
          </w:p>
          <w:p w:rsidR="006B68A8" w:rsidRPr="00117616" w:rsidP="00E6304F" w14:paraId="38CBBF0C" w14:textId="58315C91">
            <w:pPr>
              <w:pStyle w:val="naiskr"/>
              <w:spacing w:before="40" w:beforeAutospacing="0" w:after="40" w:afterAutospacing="0"/>
              <w:ind w:left="57" w:right="57" w:firstLine="284"/>
              <w:jc w:val="both"/>
            </w:pPr>
            <w:r>
              <w:rPr>
                <w:color w:val="212121"/>
                <w:shd w:val="clear" w:color="auto" w:fill="FFFFFF"/>
              </w:rPr>
              <w:t xml:space="preserve">Plānotais IT risinājums nedublēs IT risinājumus, kurus paredzēts izstrādāt un ieviest DP 2.2.1.specifiskā atbalsta mērķa “Nodrošināt publisko datu </w:t>
            </w:r>
            <w:r>
              <w:rPr>
                <w:color w:val="212121"/>
                <w:shd w:val="clear" w:color="auto" w:fill="FFFFFF"/>
              </w:rPr>
              <w:t>atkalizmantošanas</w:t>
            </w:r>
            <w:r>
              <w:rPr>
                <w:color w:val="212121"/>
                <w:shd w:val="clear" w:color="auto" w:fill="FFFFFF"/>
              </w:rPr>
              <w:t xml:space="preserve"> pieaugumu un efektīvu publiskās pārvaldes un privātā sektora mijiedarbību” 2.2.1.1. pasākuma “Centralizētu publiskās pārvaldes IKT platformu izveide, publiskās pārvaldes procesu optimizēšana un attīstība” projektos.</w:t>
            </w:r>
          </w:p>
          <w:p w:rsidR="000E2DAE" w:rsidRPr="00117616" w:rsidP="00E6304F" w14:paraId="36DF2B40" w14:textId="21CA19B9">
            <w:pPr>
              <w:pStyle w:val="naiskr"/>
              <w:spacing w:before="40" w:beforeAutospacing="0" w:after="40" w:afterAutospacing="0"/>
              <w:ind w:left="57" w:right="57" w:firstLine="284"/>
              <w:jc w:val="both"/>
            </w:pPr>
            <w:r w:rsidRPr="00117616">
              <w:t>Izpētot tirgu</w:t>
            </w:r>
            <w:r w:rsidRPr="00117616" w:rsidR="00BD2228">
              <w:t>, tostarp atkārtoti uzrunājot potenciālos piegādātājus no dažādām valstīm</w:t>
            </w:r>
            <w:r w:rsidRPr="00117616">
              <w:t xml:space="preserve">, </w:t>
            </w:r>
            <w:r w:rsidRPr="00117616" w:rsidR="00BD2228">
              <w:t xml:space="preserve">tika noskaidrots, ka </w:t>
            </w:r>
            <w:r w:rsidRPr="00117616">
              <w:t>plānotās aptuvenās izmaksas IT risinājuma</w:t>
            </w:r>
            <w:r w:rsidRPr="00117616" w:rsidR="000650AF">
              <w:t xml:space="preserve"> iegādei un klīniskās dokumentācijas transformācijai IT risinājumā</w:t>
            </w:r>
            <w:r w:rsidRPr="00117616">
              <w:t xml:space="preserve"> ir 700 tūkstoši EUR. </w:t>
            </w:r>
            <w:r w:rsidRPr="00117616" w:rsidR="00525416">
              <w:t xml:space="preserve">Nepieciešamais finansējums IT risinājumu izstrādei tiks pārdalīts no projekta ietvaros pieejamā kopēja finansējuma, kas šobrīd iekļauts projekta darbības Nr.3 “Vienotas nacionālās veselības aprūpes kvalitātes nodrošināšanas sistēmas izveide un ieviešana” </w:t>
            </w:r>
            <w:r w:rsidRPr="00117616" w:rsidR="00525416">
              <w:t>apakšdarbības</w:t>
            </w:r>
            <w:r w:rsidRPr="00117616" w:rsidR="00525416">
              <w:t xml:space="preserve"> Nr.3.2. “Klīnisko vadlīniju identificēšana un tām atbilstošo klīnisko algoritmu, klīnisko ceļu un indikatoru izstrāde prioritārajās veselības jomās” izmaksās, attiecīgi veicot projekta</w:t>
            </w:r>
            <w:r w:rsidRPr="00117616" w:rsidR="00882606">
              <w:t xml:space="preserve"> iesnieguma</w:t>
            </w:r>
            <w:r w:rsidRPr="00117616" w:rsidR="00525416">
              <w:t xml:space="preserve"> grozījumus.</w:t>
            </w:r>
            <w:r w:rsidRPr="00117616" w:rsidR="00BD2228">
              <w:t xml:space="preserve"> </w:t>
            </w:r>
            <w:r w:rsidRPr="00117616" w:rsidR="005A541D">
              <w:t xml:space="preserve"> IT risinājumi būs finansējuma saņēmēja </w:t>
            </w:r>
            <w:r w:rsidR="004B371E">
              <w:t xml:space="preserve">īpašumā IT risinājumu lietos finansējuma saņēmējs un nepieciešamības gadījumā lietos arī sadarbības partneris. </w:t>
            </w:r>
            <w:r w:rsidRPr="00117616" w:rsidR="00BD2228">
              <w:t xml:space="preserve">IT risinājuma uzturēšanas izmaksas gadā pēc projekta pabeigšanas plānotas 15% apmērā no izstrādes izmaksām, kas sastāda ~ 105 000 </w:t>
            </w:r>
            <w:r w:rsidRPr="00117616" w:rsidR="00BD2228">
              <w:t>eur</w:t>
            </w:r>
            <w:r w:rsidRPr="00117616" w:rsidR="00D92CCB">
              <w:t xml:space="preserve">, tās plānots pieprasīt </w:t>
            </w:r>
            <w:r w:rsidRPr="00117616" w:rsidR="00BD2228">
              <w:t xml:space="preserve"> valsts budžeta</w:t>
            </w:r>
            <w:r w:rsidRPr="00117616" w:rsidR="005A541D">
              <w:t xml:space="preserve">  pēc projekta beigām sākot ar 2023.gadu</w:t>
            </w:r>
            <w:r w:rsidRPr="00117616" w:rsidR="00BD2228">
              <w:t>.</w:t>
            </w:r>
          </w:p>
          <w:p w:rsidR="0041736D" w:rsidRPr="00117616" w:rsidP="00E6304F" w14:paraId="48208AD2" w14:textId="5603F34D">
            <w:pPr>
              <w:pStyle w:val="naiskr"/>
              <w:spacing w:before="40" w:beforeAutospacing="0" w:after="40" w:afterAutospacing="0"/>
              <w:ind w:left="57" w:right="57" w:firstLine="284"/>
              <w:jc w:val="both"/>
            </w:pPr>
            <w:r w:rsidRPr="00117616">
              <w:t>Apzinoties</w:t>
            </w:r>
            <w:r w:rsidRPr="00117616">
              <w:t xml:space="preserve">, ka </w:t>
            </w:r>
            <w:r w:rsidRPr="00117616" w:rsidR="003C5804">
              <w:t xml:space="preserve">projektā </w:t>
            </w:r>
            <w:r w:rsidRPr="00117616">
              <w:t>ir</w:t>
            </w:r>
            <w:r w:rsidRPr="00117616" w:rsidR="003C5804">
              <w:t xml:space="preserve"> iekļautas aktivitātes, kuras s</w:t>
            </w:r>
            <w:r w:rsidRPr="00117616">
              <w:t>ākotnēji netika plānotas</w:t>
            </w:r>
            <w:r w:rsidRPr="00117616" w:rsidR="006D2DAA">
              <w:t>,</w:t>
            </w:r>
            <w:r w:rsidRPr="00117616">
              <w:t xml:space="preserve"> </w:t>
            </w:r>
            <w:r w:rsidRPr="00117616" w:rsidR="00126F6E">
              <w:t xml:space="preserve"> tostarp IT risinājuma iegāde un </w:t>
            </w:r>
            <w:r w:rsidRPr="00117616" w:rsidR="00E6304F">
              <w:t>klīniskās dokumentācijas transformācija IT risinājumā</w:t>
            </w:r>
            <w:r w:rsidRPr="00117616" w:rsidR="00126F6E">
              <w:t xml:space="preserve">, </w:t>
            </w:r>
            <w:r w:rsidRPr="00117616">
              <w:t xml:space="preserve">secināts, ka </w:t>
            </w:r>
            <w:r w:rsidRPr="00117616" w:rsidR="006D2DAA">
              <w:t>nav iespējams īstenot projekta trešo darbību MK noteikumos Nr.666 noteiktajā termiņā</w:t>
            </w:r>
            <w:r w:rsidRPr="00117616" w:rsidR="003C5804">
              <w:t>. Līdz ar to ir</w:t>
            </w:r>
            <w:r w:rsidRPr="00117616">
              <w:t xml:space="preserve"> nepieciešams pagarināt </w:t>
            </w:r>
            <w:r w:rsidRPr="00117616" w:rsidR="00F05FA0">
              <w:t xml:space="preserve">vienotas nacionālas veselības aprūpes </w:t>
            </w:r>
            <w:r w:rsidRPr="00117616">
              <w:t>kvalitātes nodrošināšanas sistēmas izveides</w:t>
            </w:r>
            <w:r w:rsidRPr="00117616" w:rsidR="00F05FA0">
              <w:t xml:space="preserve"> un </w:t>
            </w:r>
            <w:r w:rsidRPr="00117616">
              <w:t xml:space="preserve"> ieviešanas termiņu līdz 202</w:t>
            </w:r>
            <w:r w:rsidRPr="00117616" w:rsidR="005A541D">
              <w:t>2</w:t>
            </w:r>
            <w:r w:rsidRPr="00117616">
              <w:t>. gada 31. decembrim.</w:t>
            </w:r>
            <w:r w:rsidRPr="00117616" w:rsidR="00C26355">
              <w:t xml:space="preserve"> Faktiski  IT risinājuma iegāde un klīniskās dokumentācijas transformācija IT risinājumā plānota līdz 2021.gada beigām, bet ņemot kopējo pieredzi iepirkumos un līgumu izpildēs, kas saistītas ar IT risinājumiem, darbības gala termiņš noteikts 2022.gada 31.decembris jeb piemērojot 12 mēnešu rezervi. Rezerves termiņā netiek plānotas projekta izmaksas ne projekta vadības nodrošināšanai, ne vienotas nacionālas veselības aprūpes kvalitātes nodrošināšanas sistēmas izveides un  ieviešanas  projekta darbībai, tādejādi rezerves projekta īstenošanas termiņa izmantošana būs iespējama, ja projektā iepriekšējos gados (līdz 2021.gada 31.decembrim) būs neapgūts projektam pieejamais finansējums projekta vadības un īstenošanas nodrošināšanai.</w:t>
            </w:r>
            <w:r w:rsidR="00AE41C2">
              <w:t xml:space="preserve"> Tādejādi </w:t>
            </w:r>
            <w:r w:rsidRPr="007D10F6" w:rsidR="00AE41C2">
              <w:t>projekta vadības izmaksas</w:t>
            </w:r>
            <w:r w:rsidR="00AE41C2">
              <w:t xml:space="preserve"> (projekta </w:t>
            </w:r>
            <w:r w:rsidR="00AE41C2">
              <w:t>administrēšanas izmaksas) un īstenošanas izmaksas (īstenošanas personāla izmaksas un IT risinājuma izmaksas), kas ietaupīsies iepriekšējos gados, nepieciešamības gadījumā tiks izmantotas rezerves laikā.</w:t>
            </w:r>
          </w:p>
          <w:p w:rsidR="0072357C" w:rsidRPr="00117616" w:rsidP="00E6304F" w14:paraId="1F29BCF7" w14:textId="71057C8A">
            <w:pPr>
              <w:pStyle w:val="naiskr"/>
              <w:spacing w:before="40" w:beforeAutospacing="0" w:after="40" w:afterAutospacing="0"/>
              <w:ind w:left="57" w:right="57" w:firstLine="284"/>
              <w:jc w:val="both"/>
            </w:pPr>
            <w:r w:rsidRPr="00117616">
              <w:t xml:space="preserve"> </w:t>
            </w:r>
            <w:r w:rsidRPr="00117616" w:rsidR="005F3585">
              <w:t>Atbilstoši spēkā esošajai projekta redakcijai p</w:t>
            </w:r>
            <w:r w:rsidRPr="00117616" w:rsidR="00370EA2">
              <w:t>rojekta administrēšan</w:t>
            </w:r>
            <w:r w:rsidRPr="00117616" w:rsidR="005F3585">
              <w:t>ā</w:t>
            </w:r>
            <w:r w:rsidRPr="00117616" w:rsidR="00C34163">
              <w:t xml:space="preserve"> laika</w:t>
            </w:r>
            <w:r w:rsidRPr="00117616" w:rsidR="00370EA2">
              <w:t xml:space="preserve"> period</w:t>
            </w:r>
            <w:r w:rsidRPr="00117616" w:rsidR="00C34163">
              <w:t>ā</w:t>
            </w:r>
            <w:r w:rsidRPr="00117616" w:rsidR="00370EA2">
              <w:t xml:space="preserve"> 05.11.2014.-31.12.2018 ir iesaistīt</w:t>
            </w:r>
            <w:r w:rsidRPr="00117616" w:rsidR="005F3585">
              <w:t>s</w:t>
            </w:r>
            <w:r w:rsidRPr="00117616" w:rsidR="00370EA2">
              <w:t xml:space="preserve"> </w:t>
            </w:r>
            <w:r w:rsidRPr="00117616" w:rsidR="005F3585">
              <w:t>projekta vadītājs un vecākais eksperts</w:t>
            </w:r>
            <w:r w:rsidRPr="00117616" w:rsidR="00370EA2">
              <w:t xml:space="preserve"> (</w:t>
            </w:r>
            <w:r w:rsidRPr="00117616" w:rsidR="005F3585">
              <w:t xml:space="preserve">katrs </w:t>
            </w:r>
            <w:r w:rsidRPr="00117616" w:rsidR="00370EA2">
              <w:t>50 mēneš</w:t>
            </w:r>
            <w:r w:rsidRPr="00117616" w:rsidR="005F3585">
              <w:t>us</w:t>
            </w:r>
            <w:r w:rsidRPr="00117616" w:rsidR="00370EA2">
              <w:t>)</w:t>
            </w:r>
            <w:r w:rsidRPr="00117616" w:rsidR="005F3585">
              <w:t>,</w:t>
            </w:r>
            <w:r w:rsidRPr="00117616" w:rsidR="00370EA2">
              <w:t xml:space="preserve"> un viens </w:t>
            </w:r>
            <w:r w:rsidRPr="00117616" w:rsidR="005F3585">
              <w:t xml:space="preserve">papildus eksperts </w:t>
            </w:r>
            <w:r w:rsidRPr="00117616" w:rsidR="00370EA2">
              <w:t>(</w:t>
            </w:r>
            <w:r w:rsidRPr="00117616" w:rsidR="00E92419">
              <w:t>7</w:t>
            </w:r>
            <w:r w:rsidRPr="00117616" w:rsidR="00370EA2">
              <w:t xml:space="preserve"> mēneši)</w:t>
            </w:r>
            <w:r w:rsidRPr="00117616" w:rsidR="005F3585">
              <w:t>.</w:t>
            </w:r>
            <w:r w:rsidRPr="00117616" w:rsidR="00370EA2">
              <w:t xml:space="preserve"> </w:t>
            </w:r>
            <w:r w:rsidRPr="00117616" w:rsidR="00C34163">
              <w:t xml:space="preserve"> MK noteikumu Nr.666 noteikumu </w:t>
            </w:r>
            <w:r w:rsidRPr="00117616" w:rsidR="00370EA2">
              <w:t xml:space="preserve">17.punkts nosaka, ka ir attiecināmas projekta vadības personāla atlīdzības izmaksas, kas nepārsniedz 5,83% no projekta tiešajām attiecināmajām izmaksām. </w:t>
            </w:r>
            <w:r w:rsidRPr="00117616">
              <w:t xml:space="preserve">Ņemot vērā to, ka projekta ieviešanas termiņš tiek pagarināts par </w:t>
            </w:r>
            <w:r w:rsidRPr="00117616" w:rsidR="00C34163">
              <w:t xml:space="preserve">36 </w:t>
            </w:r>
            <w:r w:rsidRPr="00117616">
              <w:t xml:space="preserve">mēnešiem, nepalielinot kopējo attiecināmo finansējuma apmēru, </w:t>
            </w:r>
            <w:r w:rsidRPr="00117616" w:rsidR="00A87779">
              <w:t>projekta administrēšana periodam 01.01.2019.-31.12.202</w:t>
            </w:r>
            <w:r w:rsidRPr="00117616" w:rsidR="00C34163">
              <w:t>1.</w:t>
            </w:r>
            <w:r w:rsidRPr="00117616" w:rsidR="00A87779">
              <w:t xml:space="preserve">, pieņemot, ka </w:t>
            </w:r>
            <w:r w:rsidRPr="00117616" w:rsidR="00C34163">
              <w:t xml:space="preserve">projekta </w:t>
            </w:r>
            <w:r w:rsidRPr="00117616" w:rsidR="00A87779">
              <w:t>vadībā tiks iesaistīti divi darbinieki</w:t>
            </w:r>
            <w:r w:rsidRPr="00117616" w:rsidR="00C34163">
              <w:t xml:space="preserve"> – projekta vadītājs un vecākais eksperts</w:t>
            </w:r>
            <w:r w:rsidRPr="00117616" w:rsidR="00A87779">
              <w:t xml:space="preserve">, </w:t>
            </w:r>
            <w:r w:rsidRPr="00117616">
              <w:t xml:space="preserve">ir nepieciešams palielināt projekta vadības personāla atlīdzību izmaksu īpatsvaru līdz </w:t>
            </w:r>
            <w:r w:rsidRPr="00117616" w:rsidR="00CD54EA">
              <w:t>7,74</w:t>
            </w:r>
            <w:r w:rsidRPr="00117616">
              <w:t xml:space="preserve"> procentiem no MK noteikumu Nr.666 noteikumu 16.</w:t>
            </w:r>
            <w:r w:rsidRPr="00117616">
              <w:rPr>
                <w:vertAlign w:val="superscript"/>
              </w:rPr>
              <w:t>1</w:t>
            </w:r>
            <w:r w:rsidRPr="00117616">
              <w:t xml:space="preserve"> 2. apakšpunktā minētajām projekta tiešajām attiecināmajām īstenošanas izmaksām. Projekta </w:t>
            </w:r>
            <w:r w:rsidRPr="00117616" w:rsidR="00586FFC">
              <w:t xml:space="preserve">darbības “Vienotas nacionālās veselības aprūpes kvalitātes nodrošināšanas sistēmas izveide un ieviešana” paredzētais īstenošanas personāla atlīdzības </w:t>
            </w:r>
            <w:r w:rsidRPr="00117616">
              <w:t xml:space="preserve">izmaksu ierobežojums  paliek nemainīgs saistībā ar to, ka </w:t>
            </w:r>
            <w:r w:rsidRPr="00117616" w:rsidR="00586FFC">
              <w:t>tika veiktas konceptuālās izmaiņas kvalitātes nodrošināšanas sistēmas izveidē</w:t>
            </w:r>
            <w:r w:rsidRPr="00117616" w:rsidR="00C039CE">
              <w:t xml:space="preserve"> un ieplānotais un neizmantotais īstenošanas personāla atalgojums tiks izmantots</w:t>
            </w:r>
            <w:r w:rsidRPr="00117616" w:rsidR="00BE25A9">
              <w:t xml:space="preserve"> pagarinātajā Vienotas nacionālās veselības aprūpes kvalitātes nodrošināšanas sistēmas izveide un ieviešana periodā</w:t>
            </w:r>
            <w:r w:rsidRPr="00117616" w:rsidR="00586FFC">
              <w:t>.</w:t>
            </w:r>
          </w:p>
          <w:p w:rsidR="0072357C" w:rsidRPr="00117616" w:rsidP="00E6304F" w14:paraId="05346539" w14:textId="77777777">
            <w:pPr>
              <w:pStyle w:val="naiskr"/>
              <w:spacing w:before="40" w:beforeAutospacing="0" w:after="40" w:afterAutospacing="0"/>
              <w:ind w:left="57" w:right="57" w:firstLine="284"/>
              <w:jc w:val="both"/>
            </w:pPr>
            <w:r w:rsidRPr="00117616">
              <w:t>Attiecīgi noteikumu projekts paredz</w:t>
            </w:r>
            <w:r w:rsidRPr="00117616">
              <w:t>:</w:t>
            </w:r>
          </w:p>
          <w:p w:rsidR="0072357C" w:rsidRPr="00117616" w:rsidP="00CA6D5F" w14:paraId="305BBEA7" w14:textId="50DCCCE7">
            <w:pPr>
              <w:pStyle w:val="naiskr"/>
              <w:numPr>
                <w:ilvl w:val="0"/>
                <w:numId w:val="2"/>
              </w:numPr>
              <w:spacing w:before="40" w:beforeAutospacing="0" w:after="40" w:afterAutospacing="0"/>
              <w:ind w:right="57"/>
              <w:jc w:val="both"/>
            </w:pPr>
            <w:r w:rsidRPr="00117616">
              <w:t xml:space="preserve">papildināt noteikumus ar jaunu izmaksu pozīciju </w:t>
            </w:r>
            <w:r w:rsidRPr="00117616" w:rsidR="00844F4A">
              <w:t>–</w:t>
            </w:r>
            <w:r w:rsidRPr="00117616">
              <w:t xml:space="preserve"> </w:t>
            </w:r>
            <w:r w:rsidRPr="00117616" w:rsidR="00844F4A">
              <w:t>“</w:t>
            </w:r>
            <w:r w:rsidRPr="00117616">
              <w:t xml:space="preserve">20.3. </w:t>
            </w:r>
            <w:r w:rsidRPr="00117616" w:rsidR="00DA76E4">
              <w:rPr>
                <w:sz w:val="28"/>
                <w:szCs w:val="28"/>
              </w:rPr>
              <w:t xml:space="preserve"> </w:t>
            </w:r>
            <w:r w:rsidRPr="00117616" w:rsidR="00DA76E4">
              <w:t>IT risinājumu izmaksas kvalitātes nodrošināšanas sistēmas izstrādei un ieviešanai</w:t>
            </w:r>
            <w:r w:rsidRPr="00117616">
              <w:t>.</w:t>
            </w:r>
            <w:r w:rsidRPr="00117616" w:rsidR="00844F4A">
              <w:t>”</w:t>
            </w:r>
          </w:p>
          <w:p w:rsidR="00E70D72" w:rsidRPr="00117616" w:rsidP="00CA6D5F" w14:paraId="5AB98787" w14:textId="0C9CFB52">
            <w:pPr>
              <w:pStyle w:val="naiskr"/>
              <w:numPr>
                <w:ilvl w:val="0"/>
                <w:numId w:val="2"/>
              </w:numPr>
              <w:spacing w:before="40" w:beforeAutospacing="0" w:after="40" w:afterAutospacing="0"/>
              <w:ind w:right="57"/>
              <w:jc w:val="both"/>
            </w:pPr>
            <w:r w:rsidRPr="00117616">
              <w:t>a</w:t>
            </w:r>
            <w:r w:rsidRPr="00117616" w:rsidR="00C32077">
              <w:t>izstāt 27.2. apakšpunktā skaitļus un vārdus "2018. gada 31. decembrim" ar skaitļiem un vārdiem "202</w:t>
            </w:r>
            <w:r w:rsidRPr="00117616" w:rsidR="00C26355">
              <w:t>2</w:t>
            </w:r>
            <w:r w:rsidRPr="00117616" w:rsidR="00C32077">
              <w:t>.  gada 31.  decembrim</w:t>
            </w:r>
            <w:r w:rsidRPr="00117616">
              <w:t>.</w:t>
            </w:r>
            <w:r w:rsidRPr="00117616" w:rsidR="00C32077">
              <w:t xml:space="preserve"> </w:t>
            </w:r>
          </w:p>
          <w:p w:rsidR="0072357C" w:rsidRPr="00117616" w:rsidP="00CA6D5F" w14:paraId="32C0B71B" w14:textId="3641C32C">
            <w:pPr>
              <w:pStyle w:val="naiskr"/>
              <w:numPr>
                <w:ilvl w:val="0"/>
                <w:numId w:val="2"/>
              </w:numPr>
              <w:spacing w:before="40" w:beforeAutospacing="0" w:after="40" w:afterAutospacing="0"/>
              <w:ind w:right="57"/>
              <w:jc w:val="both"/>
            </w:pPr>
            <w:r w:rsidRPr="00117616">
              <w:t>aizstāt 17.punktā</w:t>
            </w:r>
            <w:r w:rsidRPr="00117616">
              <w:rPr>
                <w:sz w:val="28"/>
                <w:szCs w:val="28"/>
              </w:rPr>
              <w:t xml:space="preserve"> </w:t>
            </w:r>
            <w:r w:rsidRPr="00117616">
              <w:t>skaitli “5,83” ar skaitli “</w:t>
            </w:r>
            <w:r w:rsidRPr="00117616" w:rsidR="00844F4A">
              <w:t>7</w:t>
            </w:r>
            <w:r w:rsidRPr="00117616">
              <w:t>,</w:t>
            </w:r>
            <w:r w:rsidRPr="00117616" w:rsidR="00844F4A">
              <w:t>74</w:t>
            </w:r>
            <w:r w:rsidRPr="00117616">
              <w:t>”.</w:t>
            </w:r>
          </w:p>
          <w:p w:rsidR="003C5804" w:rsidRPr="00117616" w:rsidP="00E6304F" w14:paraId="1A912B0D" w14:textId="70BB1A9F">
            <w:pPr>
              <w:pStyle w:val="naiskr"/>
              <w:spacing w:before="40" w:beforeAutospacing="0" w:after="40" w:afterAutospacing="0"/>
              <w:ind w:left="57" w:right="57" w:firstLine="284"/>
              <w:jc w:val="both"/>
            </w:pPr>
            <w:r w:rsidRPr="00117616">
              <w:t xml:space="preserve">Ņemot vērā, ka noteikumu projekts sagatavots pēc projektu iesniegumu atlases izsludināšanas jau projekta īstenošanas stadijā, noteikumu projekts izstrādāts </w:t>
            </w:r>
            <w:r w:rsidRPr="00117616" w:rsidR="00D64736">
              <w:t xml:space="preserve">faktisku problēmu risināšanai, tas </w:t>
            </w:r>
            <w:r w:rsidRPr="00117616">
              <w:t xml:space="preserve">neietekmēs nelabvēlīgāk projekta īstenošanu un ar konceptuālas pieejas izmaiņām un termiņa pagarināšanu nodrošinās jau iepriekš nosprausto projekta mērķa sasniegšanu. </w:t>
            </w:r>
            <w:r w:rsidRPr="00117616" w:rsidR="00B3547F">
              <w:t xml:space="preserve">Noteikumu projekts atrisina radušos situāciju un paredz tehniskus grozījumus, kas </w:t>
            </w:r>
            <w:r w:rsidRPr="00117616" w:rsidR="00DF5968">
              <w:t>pēc būtības nemaina</w:t>
            </w:r>
            <w:r w:rsidRPr="00117616" w:rsidR="00B3547F">
              <w:t xml:space="preserve"> specifiskā atbalsta īstenošanas nosacījumus.</w:t>
            </w:r>
          </w:p>
        </w:tc>
      </w:tr>
      <w:tr w14:paraId="3A41624B" w14:textId="77777777" w:rsidTr="00C1591C">
        <w:tblPrEx>
          <w:tblW w:w="4920" w:type="pct"/>
          <w:tblLayout w:type="fixed"/>
          <w:tblCellMar>
            <w:left w:w="0" w:type="dxa"/>
            <w:right w:w="0" w:type="dxa"/>
          </w:tblCellMar>
          <w:tblLook w:val="0000"/>
        </w:tblPrEx>
        <w:trPr>
          <w:trHeight w:val="476"/>
        </w:trPr>
        <w:tc>
          <w:tcPr>
            <w:tcW w:w="251" w:type="pct"/>
          </w:tcPr>
          <w:p w:rsidR="003735C6" w:rsidRPr="00117616" w:rsidP="00C1591C" w14:paraId="38EA1107" w14:textId="77777777">
            <w:pPr>
              <w:pStyle w:val="naiskr"/>
              <w:spacing w:before="0" w:beforeAutospacing="0" w:after="0" w:afterAutospacing="0"/>
              <w:ind w:left="57" w:right="57"/>
              <w:jc w:val="center"/>
            </w:pPr>
            <w:r w:rsidRPr="00117616">
              <w:t>3</w:t>
            </w:r>
            <w:r w:rsidRPr="00117616" w:rsidR="00D46E0B">
              <w:t xml:space="preserve">. </w:t>
            </w:r>
          </w:p>
        </w:tc>
        <w:tc>
          <w:tcPr>
            <w:tcW w:w="1354" w:type="pct"/>
          </w:tcPr>
          <w:p w:rsidR="003735C6" w:rsidRPr="00117616" w:rsidP="00C1591C" w14:paraId="069C193B" w14:textId="77777777">
            <w:pPr>
              <w:pStyle w:val="naiskr"/>
              <w:spacing w:before="0" w:beforeAutospacing="0" w:after="0" w:afterAutospacing="0"/>
              <w:ind w:left="57" w:right="57"/>
            </w:pPr>
            <w:r w:rsidRPr="00117616">
              <w:t>Projekta izstrādē iesaistītās institūcijas</w:t>
            </w:r>
          </w:p>
        </w:tc>
        <w:tc>
          <w:tcPr>
            <w:tcW w:w="3395" w:type="pct"/>
          </w:tcPr>
          <w:p w:rsidR="00C44299" w:rsidRPr="00117616" w:rsidP="00E70D72" w14:paraId="2D809E30" w14:textId="77777777">
            <w:pPr>
              <w:pStyle w:val="naiskr"/>
              <w:spacing w:before="40" w:beforeAutospacing="0" w:after="40" w:afterAutospacing="0"/>
              <w:ind w:left="57" w:right="57" w:firstLine="284"/>
              <w:jc w:val="both"/>
              <w:rPr>
                <w:szCs w:val="28"/>
              </w:rPr>
            </w:pPr>
            <w:r w:rsidRPr="00117616">
              <w:t xml:space="preserve">MK noteikumu Nr.666 grozījumu izstrādes ietvaros tika </w:t>
            </w:r>
            <w:r w:rsidRPr="00117616">
              <w:rPr>
                <w:szCs w:val="28"/>
              </w:rPr>
              <w:t>iesaistīta</w:t>
            </w:r>
            <w:r w:rsidRPr="00117616">
              <w:t xml:space="preserve"> Veselības ministrija</w:t>
            </w:r>
            <w:r w:rsidRPr="00117616" w:rsidR="00E70D72">
              <w:t xml:space="preserve"> un </w:t>
            </w:r>
            <w:r w:rsidRPr="00117616">
              <w:t>Nacionālais veselības dienests.</w:t>
            </w:r>
          </w:p>
        </w:tc>
      </w:tr>
      <w:tr w14:paraId="4B0FF8BC" w14:textId="77777777" w:rsidTr="00C1591C">
        <w:tblPrEx>
          <w:tblW w:w="4920" w:type="pct"/>
          <w:tblLayout w:type="fixed"/>
          <w:tblCellMar>
            <w:left w:w="0" w:type="dxa"/>
            <w:right w:w="0" w:type="dxa"/>
          </w:tblCellMar>
          <w:tblLook w:val="0000"/>
        </w:tblPrEx>
        <w:tc>
          <w:tcPr>
            <w:tcW w:w="251" w:type="pct"/>
          </w:tcPr>
          <w:p w:rsidR="003735C6" w:rsidRPr="00117616" w:rsidP="00C1591C" w14:paraId="79649C54" w14:textId="77777777">
            <w:pPr>
              <w:pStyle w:val="naiskr"/>
              <w:spacing w:before="0" w:beforeAutospacing="0" w:after="0" w:afterAutospacing="0"/>
              <w:ind w:left="57" w:right="57"/>
              <w:jc w:val="center"/>
            </w:pPr>
            <w:r w:rsidRPr="00117616">
              <w:t>4</w:t>
            </w:r>
            <w:r w:rsidRPr="00117616" w:rsidR="00D46E0B">
              <w:t xml:space="preserve">. </w:t>
            </w:r>
          </w:p>
        </w:tc>
        <w:tc>
          <w:tcPr>
            <w:tcW w:w="1354" w:type="pct"/>
          </w:tcPr>
          <w:p w:rsidR="003735C6" w:rsidRPr="00117616" w:rsidP="00C1591C" w14:paraId="23CE2E7D" w14:textId="77777777">
            <w:pPr>
              <w:pStyle w:val="naiskr"/>
              <w:spacing w:before="0" w:beforeAutospacing="0" w:after="0" w:afterAutospacing="0"/>
              <w:ind w:left="57" w:right="57"/>
            </w:pPr>
            <w:r w:rsidRPr="00117616">
              <w:t>Cita informācija</w:t>
            </w:r>
          </w:p>
        </w:tc>
        <w:tc>
          <w:tcPr>
            <w:tcW w:w="3395" w:type="pct"/>
          </w:tcPr>
          <w:p w:rsidR="00A9277C" w:rsidRPr="00117616" w:rsidP="00C1591C" w14:paraId="37DA4182" w14:textId="77777777">
            <w:pPr>
              <w:pStyle w:val="naiskr"/>
              <w:spacing w:before="40" w:beforeAutospacing="0" w:after="40" w:afterAutospacing="0"/>
              <w:ind w:left="57" w:right="57" w:firstLine="284"/>
              <w:jc w:val="both"/>
            </w:pPr>
            <w:r w:rsidRPr="00117616">
              <w:t>Nav</w:t>
            </w:r>
            <w:r w:rsidRPr="00117616" w:rsidR="00D46E0B">
              <w:t xml:space="preserve">. </w:t>
            </w:r>
          </w:p>
        </w:tc>
      </w:tr>
    </w:tbl>
    <w:p w:rsidR="00C1591C" w:rsidRPr="00117616" w:rsidP="00E224D1" w14:paraId="3EC61C57" w14:textId="77777777">
      <w:pPr>
        <w:autoSpaceDE w:val="0"/>
        <w:autoSpaceDN w:val="0"/>
        <w:adjustRightInd w:val="0"/>
        <w:jc w:val="both"/>
        <w:outlineLvl w:val="0"/>
      </w:pPr>
    </w:p>
    <w:p w:rsidR="00513043" w:rsidRPr="00117616" w:rsidP="00E224D1" w14:paraId="5139F97D" w14:textId="77777777">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1"/>
        <w:gridCol w:w="1842"/>
        <w:gridCol w:w="6808"/>
      </w:tblGrid>
      <w:tr w14:paraId="14FECD6B" w14:textId="77777777" w:rsidTr="00673D11">
        <w:tblPrEx>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trHeight w:val="556"/>
        </w:trPr>
        <w:tc>
          <w:tcPr>
            <w:tcW w:w="9081" w:type="dxa"/>
            <w:gridSpan w:val="3"/>
            <w:vAlign w:val="center"/>
          </w:tcPr>
          <w:p w:rsidR="003735C6" w:rsidRPr="00117616" w:rsidP="00C1591C" w14:paraId="38251FFB" w14:textId="77777777">
            <w:pPr>
              <w:pStyle w:val="naisnod"/>
              <w:spacing w:before="0" w:beforeAutospacing="0" w:after="0" w:afterAutospacing="0"/>
              <w:ind w:left="57" w:right="57"/>
              <w:jc w:val="center"/>
              <w:rPr>
                <w:b/>
              </w:rPr>
            </w:pPr>
            <w:r w:rsidRPr="00117616">
              <w:rPr>
                <w:b/>
              </w:rPr>
              <w:t>II</w:t>
            </w:r>
            <w:r w:rsidRPr="00117616" w:rsidR="00D46E0B">
              <w:rPr>
                <w:b/>
              </w:rPr>
              <w:t xml:space="preserve">. </w:t>
            </w:r>
            <w:r w:rsidRPr="00117616">
              <w:rPr>
                <w:b/>
              </w:rPr>
              <w:t>Tiesību akta projekta ietekme uz sabiedrību, tautsaimniecības attīstību</w:t>
            </w:r>
          </w:p>
          <w:p w:rsidR="003735C6" w:rsidRPr="00117616" w:rsidP="00C1591C" w14:paraId="0348A56C" w14:textId="77777777">
            <w:pPr>
              <w:pStyle w:val="naisnod"/>
              <w:spacing w:before="0" w:beforeAutospacing="0" w:after="0" w:afterAutospacing="0"/>
              <w:ind w:left="57" w:right="57"/>
              <w:jc w:val="center"/>
              <w:rPr>
                <w:b/>
              </w:rPr>
            </w:pPr>
            <w:r w:rsidRPr="00117616">
              <w:rPr>
                <w:b/>
              </w:rPr>
              <w:t>un administratīvo slogu</w:t>
            </w:r>
          </w:p>
        </w:tc>
      </w:tr>
      <w:tr w14:paraId="3EF7B1B9" w14:textId="77777777" w:rsidTr="000E3406">
        <w:tblPrEx>
          <w:tblW w:w="9081" w:type="dxa"/>
          <w:tblLayout w:type="fixed"/>
          <w:tblCellMar>
            <w:left w:w="0" w:type="dxa"/>
            <w:right w:w="0" w:type="dxa"/>
          </w:tblCellMar>
          <w:tblLook w:val="0000"/>
        </w:tblPrEx>
        <w:trPr>
          <w:trHeight w:val="467"/>
        </w:trPr>
        <w:tc>
          <w:tcPr>
            <w:tcW w:w="431" w:type="dxa"/>
          </w:tcPr>
          <w:p w:rsidR="001C4D3E" w:rsidRPr="00117616" w:rsidP="001C4D3E" w14:paraId="0E1B49A8" w14:textId="77777777">
            <w:pPr>
              <w:pStyle w:val="naiskr"/>
              <w:spacing w:before="0" w:beforeAutospacing="0" w:after="0" w:afterAutospacing="0"/>
              <w:ind w:left="57" w:right="57"/>
              <w:jc w:val="both"/>
            </w:pPr>
            <w:r w:rsidRPr="00117616">
              <w:t xml:space="preserve">1. </w:t>
            </w:r>
          </w:p>
        </w:tc>
        <w:tc>
          <w:tcPr>
            <w:tcW w:w="1842" w:type="dxa"/>
          </w:tcPr>
          <w:p w:rsidR="001C4D3E" w:rsidRPr="00117616" w:rsidP="001C4D3E" w14:paraId="47E57CF6" w14:textId="77777777">
            <w:pPr>
              <w:pStyle w:val="naiskr"/>
              <w:spacing w:before="0" w:beforeAutospacing="0" w:after="0" w:afterAutospacing="0"/>
              <w:ind w:left="57" w:right="57"/>
            </w:pPr>
            <w:r w:rsidRPr="00117616">
              <w:t xml:space="preserve">Sabiedrības </w:t>
            </w:r>
            <w:r w:rsidRPr="00117616">
              <w:t>mērķgrupas</w:t>
            </w:r>
            <w:r w:rsidRPr="00117616">
              <w:t>, kuras tiesiskais regulējums ietekmē vai varētu ietekmēt</w:t>
            </w:r>
          </w:p>
        </w:tc>
        <w:tc>
          <w:tcPr>
            <w:tcW w:w="6808" w:type="dxa"/>
          </w:tcPr>
          <w:p w:rsidR="001C4D3E" w:rsidRPr="00117616" w:rsidP="001C4D3E" w14:paraId="49F7B56B" w14:textId="77777777">
            <w:pPr>
              <w:pStyle w:val="naiskr"/>
              <w:spacing w:before="40" w:beforeAutospacing="0" w:after="40" w:afterAutospacing="0"/>
              <w:ind w:left="57" w:right="57" w:firstLine="284"/>
              <w:jc w:val="both"/>
            </w:pPr>
            <w:bookmarkStart w:id="10" w:name="p21"/>
            <w:bookmarkEnd w:id="10"/>
            <w:r w:rsidRPr="00117616">
              <w:t>Tiesiskais regulējums ietekmē Veselības ministriju, Nacionālo veselības dienestu, Neatliekamās medicīniskās palīdzības dienestu, Veselības inspekciju, Slimību profilakses un kontroles centru, Centrālo finanšu un līgumu aģentūru.</w:t>
            </w:r>
          </w:p>
        </w:tc>
      </w:tr>
      <w:tr w14:paraId="649C8249" w14:textId="77777777" w:rsidTr="000E3406">
        <w:tblPrEx>
          <w:tblW w:w="9081" w:type="dxa"/>
          <w:tblLayout w:type="fixed"/>
          <w:tblCellMar>
            <w:left w:w="0" w:type="dxa"/>
            <w:right w:w="0" w:type="dxa"/>
          </w:tblCellMar>
          <w:tblLook w:val="0000"/>
        </w:tblPrEx>
        <w:trPr>
          <w:trHeight w:val="523"/>
        </w:trPr>
        <w:tc>
          <w:tcPr>
            <w:tcW w:w="431" w:type="dxa"/>
          </w:tcPr>
          <w:p w:rsidR="001C4D3E" w:rsidRPr="00117616" w:rsidP="001C4D3E" w14:paraId="3F69D69B" w14:textId="77777777">
            <w:pPr>
              <w:pStyle w:val="naiskr"/>
              <w:spacing w:before="0" w:beforeAutospacing="0" w:after="0" w:afterAutospacing="0"/>
              <w:ind w:left="57" w:right="57"/>
              <w:jc w:val="both"/>
            </w:pPr>
            <w:r w:rsidRPr="00117616">
              <w:t xml:space="preserve">2. </w:t>
            </w:r>
          </w:p>
        </w:tc>
        <w:tc>
          <w:tcPr>
            <w:tcW w:w="1842" w:type="dxa"/>
          </w:tcPr>
          <w:p w:rsidR="001C4D3E" w:rsidRPr="00117616" w:rsidP="001C4D3E" w14:paraId="5A5ACE53" w14:textId="77777777">
            <w:pPr>
              <w:pStyle w:val="naiskr"/>
              <w:spacing w:before="0" w:beforeAutospacing="0" w:after="0" w:afterAutospacing="0"/>
              <w:ind w:left="57" w:right="57"/>
            </w:pPr>
            <w:r w:rsidRPr="00117616">
              <w:t>Tiesiskā regulējuma ietekme uz tautsaimniecību un administratīvo slogu</w:t>
            </w:r>
          </w:p>
        </w:tc>
        <w:tc>
          <w:tcPr>
            <w:tcW w:w="6808" w:type="dxa"/>
          </w:tcPr>
          <w:p w:rsidR="001C4D3E" w:rsidRPr="00117616" w:rsidP="001C4D3E" w14:paraId="68AA3412" w14:textId="77777777">
            <w:pPr>
              <w:pStyle w:val="naiskr"/>
              <w:spacing w:before="40" w:beforeAutospacing="0" w:after="40" w:afterAutospacing="0"/>
              <w:ind w:left="57" w:right="57" w:firstLine="284"/>
              <w:jc w:val="both"/>
            </w:pPr>
            <w:r w:rsidRPr="00117616">
              <w:rPr>
                <w:szCs w:val="28"/>
              </w:rPr>
              <w:t>Sabiedrības</w:t>
            </w:r>
            <w:r w:rsidRPr="00117616">
              <w:t xml:space="preserve"> grupām un institūcijām projekta tiesiskais regulējums nemaina tiesības un pienākumus, kā arī veicamās darbības pēc būtības. Tiesiskā regulējuma ietvaros noteiktie pienākumi tiks īstenoti esošo finanšu un darbinieku kapacitātes ietvaros.</w:t>
            </w:r>
          </w:p>
        </w:tc>
      </w:tr>
      <w:tr w14:paraId="3A0C2614" w14:textId="77777777" w:rsidTr="000E3406">
        <w:tblPrEx>
          <w:tblW w:w="9081" w:type="dxa"/>
          <w:tblLayout w:type="fixed"/>
          <w:tblCellMar>
            <w:left w:w="0" w:type="dxa"/>
            <w:right w:w="0" w:type="dxa"/>
          </w:tblCellMar>
          <w:tblLook w:val="0000"/>
        </w:tblPrEx>
        <w:trPr>
          <w:trHeight w:val="523"/>
        </w:trPr>
        <w:tc>
          <w:tcPr>
            <w:tcW w:w="431" w:type="dxa"/>
          </w:tcPr>
          <w:p w:rsidR="001C4D3E" w:rsidRPr="00117616" w:rsidP="001C4D3E" w14:paraId="633F0C00" w14:textId="77777777">
            <w:pPr>
              <w:pStyle w:val="naiskr"/>
              <w:spacing w:before="0" w:beforeAutospacing="0" w:after="0" w:afterAutospacing="0"/>
              <w:ind w:left="57" w:right="57"/>
              <w:jc w:val="both"/>
            </w:pPr>
            <w:r w:rsidRPr="00117616">
              <w:t xml:space="preserve">3. </w:t>
            </w:r>
          </w:p>
        </w:tc>
        <w:tc>
          <w:tcPr>
            <w:tcW w:w="1842" w:type="dxa"/>
          </w:tcPr>
          <w:p w:rsidR="001C4D3E" w:rsidRPr="00117616" w:rsidP="001C4D3E" w14:paraId="04BC41E8" w14:textId="77777777">
            <w:pPr>
              <w:pStyle w:val="naiskr"/>
              <w:spacing w:before="0" w:beforeAutospacing="0" w:after="0" w:afterAutospacing="0"/>
              <w:ind w:left="57" w:right="57"/>
            </w:pPr>
            <w:r w:rsidRPr="00117616">
              <w:t>Administratīvo izmaksu monetārs novērtējums</w:t>
            </w:r>
          </w:p>
        </w:tc>
        <w:tc>
          <w:tcPr>
            <w:tcW w:w="6808" w:type="dxa"/>
          </w:tcPr>
          <w:p w:rsidR="001C4D3E" w:rsidRPr="00117616" w:rsidP="001C4D3E" w14:paraId="453915F5" w14:textId="77777777">
            <w:pPr>
              <w:pStyle w:val="naiskr"/>
              <w:spacing w:before="40" w:beforeAutospacing="0" w:after="40" w:afterAutospacing="0"/>
              <w:ind w:left="57" w:right="57" w:firstLine="284"/>
              <w:jc w:val="both"/>
            </w:pPr>
            <w:r w:rsidRPr="00117616">
              <w:t xml:space="preserve">MK </w:t>
            </w:r>
            <w:r w:rsidRPr="00117616">
              <w:rPr>
                <w:szCs w:val="28"/>
              </w:rPr>
              <w:t>noteikumu</w:t>
            </w:r>
            <w:r w:rsidRPr="00117616">
              <w:t xml:space="preserve"> projekts šo jomu neskar.</w:t>
            </w:r>
          </w:p>
        </w:tc>
      </w:tr>
      <w:tr w14:paraId="42B2D31C" w14:textId="77777777" w:rsidTr="000E3406">
        <w:tblPrEx>
          <w:tblW w:w="9081" w:type="dxa"/>
          <w:tblLayout w:type="fixed"/>
          <w:tblCellMar>
            <w:left w:w="0" w:type="dxa"/>
            <w:right w:w="0" w:type="dxa"/>
          </w:tblCellMar>
          <w:tblLook w:val="0000"/>
        </w:tblPrEx>
        <w:trPr>
          <w:trHeight w:val="357"/>
        </w:trPr>
        <w:tc>
          <w:tcPr>
            <w:tcW w:w="431" w:type="dxa"/>
          </w:tcPr>
          <w:p w:rsidR="001C4D3E" w:rsidRPr="00117616" w:rsidP="001C4D3E" w14:paraId="7F1DB171" w14:textId="77777777">
            <w:pPr>
              <w:pStyle w:val="naiskr"/>
              <w:spacing w:before="0" w:beforeAutospacing="0" w:after="0" w:afterAutospacing="0"/>
              <w:ind w:left="57" w:right="57"/>
              <w:jc w:val="both"/>
            </w:pPr>
            <w:r w:rsidRPr="00117616">
              <w:t xml:space="preserve">4. </w:t>
            </w:r>
          </w:p>
        </w:tc>
        <w:tc>
          <w:tcPr>
            <w:tcW w:w="1842" w:type="dxa"/>
          </w:tcPr>
          <w:p w:rsidR="001C4D3E" w:rsidRPr="00117616" w:rsidP="001C4D3E" w14:paraId="312D36A2" w14:textId="77777777">
            <w:pPr>
              <w:pStyle w:val="naiskr"/>
              <w:spacing w:before="0" w:beforeAutospacing="0" w:after="0" w:afterAutospacing="0"/>
              <w:ind w:left="57" w:right="57"/>
            </w:pPr>
            <w:r w:rsidRPr="00117616">
              <w:t>Cita informācija</w:t>
            </w:r>
          </w:p>
        </w:tc>
        <w:tc>
          <w:tcPr>
            <w:tcW w:w="6808" w:type="dxa"/>
          </w:tcPr>
          <w:p w:rsidR="001C4D3E" w:rsidRPr="00117616" w:rsidP="001C4D3E" w14:paraId="2E95C4FC" w14:textId="77777777">
            <w:pPr>
              <w:pStyle w:val="naiskr"/>
              <w:spacing w:before="40" w:beforeAutospacing="0" w:after="40" w:afterAutospacing="0"/>
              <w:ind w:left="57" w:right="57" w:firstLine="284"/>
              <w:jc w:val="both"/>
            </w:pPr>
            <w:r w:rsidRPr="00117616">
              <w:rPr>
                <w:szCs w:val="28"/>
              </w:rPr>
              <w:t>Nav</w:t>
            </w:r>
            <w:r w:rsidRPr="00117616">
              <w:t>.</w:t>
            </w:r>
          </w:p>
        </w:tc>
      </w:tr>
    </w:tbl>
    <w:p w:rsidR="003735C6" w:rsidRPr="00117616" w:rsidP="00E224D1" w14:paraId="6159B1A9" w14:textId="0AFE9F48">
      <w:pPr>
        <w:autoSpaceDE w:val="0"/>
        <w:autoSpaceDN w:val="0"/>
        <w:adjustRightInd w:val="0"/>
        <w:jc w:val="both"/>
        <w:outlineLvl w:val="0"/>
      </w:pPr>
    </w:p>
    <w:p w:rsidR="00432C7E" w:rsidRPr="00117616" w:rsidP="00E224D1" w14:paraId="653155AF" w14:textId="77777777">
      <w:pPr>
        <w:autoSpaceDE w:val="0"/>
        <w:autoSpaceDN w:val="0"/>
        <w:adjustRightInd w:val="0"/>
        <w:jc w:val="both"/>
        <w:outlineLvl w:val="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1304"/>
        <w:gridCol w:w="1276"/>
        <w:gridCol w:w="1276"/>
        <w:gridCol w:w="1275"/>
        <w:gridCol w:w="1276"/>
      </w:tblGrid>
      <w:tr w14:paraId="51F5E3BE" w14:textId="77777777" w:rsidTr="004F6F02">
        <w:tblPrEx>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1"/>
        </w:trPr>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306FF424" w14:textId="77777777">
            <w:pPr>
              <w:pStyle w:val="naisnod"/>
              <w:spacing w:before="0" w:beforeAutospacing="0" w:after="0" w:afterAutospacing="0"/>
              <w:ind w:left="57" w:right="57"/>
              <w:jc w:val="center"/>
              <w:rPr>
                <w:b/>
              </w:rPr>
            </w:pPr>
            <w:r w:rsidRPr="00117616">
              <w:rPr>
                <w:b/>
              </w:rPr>
              <w:br w:type="page"/>
              <w:t>III. Tiesību akta projekta ietekme uz valsts budžetu un pašvaldību budžetiem</w:t>
            </w:r>
          </w:p>
        </w:tc>
      </w:tr>
      <w:tr w14:paraId="464EBDD6" w14:textId="77777777" w:rsidTr="004F6F02">
        <w:tblPrEx>
          <w:tblW w:w="9214" w:type="dxa"/>
          <w:tblInd w:w="-5" w:type="dxa"/>
          <w:tblLayout w:type="fixed"/>
          <w:tblLook w:val="01E0"/>
        </w:tblPrEx>
        <w:tc>
          <w:tcPr>
            <w:tcW w:w="2807" w:type="dxa"/>
            <w:vMerge w:val="restart"/>
            <w:tcBorders>
              <w:top w:val="single" w:sz="4" w:space="0" w:color="auto"/>
              <w:left w:val="single" w:sz="4" w:space="0" w:color="auto"/>
              <w:bottom w:val="single" w:sz="4" w:space="0" w:color="auto"/>
              <w:right w:val="single" w:sz="4" w:space="0" w:color="auto"/>
            </w:tcBorders>
            <w:vAlign w:val="center"/>
          </w:tcPr>
          <w:p w:rsidR="00432C7E" w:rsidRPr="00117616" w:rsidP="00617007" w14:paraId="612EC19E" w14:textId="77777777">
            <w:pPr>
              <w:pStyle w:val="naisf"/>
              <w:spacing w:before="0" w:beforeAutospacing="0" w:after="0" w:afterAutospacing="0"/>
              <w:jc w:val="center"/>
              <w:rPr>
                <w:b/>
                <w:lang w:val="lv-LV"/>
              </w:rPr>
            </w:pPr>
            <w:r w:rsidRPr="00117616">
              <w:rPr>
                <w:b/>
                <w:lang w:val="lv-LV"/>
              </w:rPr>
              <w:t>Rādītāji</w:t>
            </w:r>
          </w:p>
          <w:p w:rsidR="00432C7E" w:rsidRPr="00117616" w:rsidP="00617007" w14:paraId="59C6C32E" w14:textId="77777777">
            <w:pPr>
              <w:rPr>
                <w:lang w:eastAsia="lv-LV"/>
              </w:rPr>
            </w:pPr>
          </w:p>
          <w:p w:rsidR="00432C7E" w:rsidRPr="00117616" w:rsidP="00617007" w14:paraId="393AB46C" w14:textId="77777777">
            <w:pPr>
              <w:rPr>
                <w:lang w:eastAsia="lv-LV"/>
              </w:rPr>
            </w:pPr>
          </w:p>
          <w:p w:rsidR="00432C7E" w:rsidRPr="00117616" w:rsidP="00617007" w14:paraId="1C285E9D" w14:textId="77777777">
            <w:pPr>
              <w:ind w:left="-142" w:firstLine="142"/>
              <w:rPr>
                <w:lang w:eastAsia="lv-LV"/>
              </w:rPr>
            </w:pPr>
          </w:p>
        </w:tc>
        <w:tc>
          <w:tcPr>
            <w:tcW w:w="258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53C27C88" w14:textId="0C6AE9AB">
            <w:pPr>
              <w:pStyle w:val="naisf"/>
              <w:spacing w:before="0" w:beforeAutospacing="0" w:after="0" w:afterAutospacing="0"/>
              <w:jc w:val="center"/>
              <w:rPr>
                <w:b/>
                <w:lang w:val="lv-LV"/>
              </w:rPr>
            </w:pPr>
            <w:r w:rsidRPr="00117616">
              <w:rPr>
                <w:b/>
                <w:lang w:val="lv-LV"/>
              </w:rPr>
              <w:t>201</w:t>
            </w:r>
            <w:r w:rsidRPr="00117616" w:rsidR="004F6F02">
              <w:rPr>
                <w:b/>
                <w:lang w:val="lv-LV"/>
              </w:rPr>
              <w:t>8</w:t>
            </w:r>
            <w:r w:rsidRPr="00117616">
              <w:rPr>
                <w:b/>
                <w:lang w:val="lv-LV"/>
              </w:rPr>
              <w:t>. gads</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673062E4" w14:textId="77777777">
            <w:pPr>
              <w:pStyle w:val="naisf"/>
              <w:spacing w:before="0" w:beforeAutospacing="0" w:after="0" w:afterAutospacing="0"/>
              <w:jc w:val="center"/>
              <w:rPr>
                <w:b/>
                <w:i/>
                <w:lang w:val="lv-LV"/>
              </w:rPr>
            </w:pPr>
            <w:r w:rsidRPr="00117616">
              <w:rPr>
                <w:lang w:val="lv-LV"/>
              </w:rPr>
              <w:t>Turpmākie trīs gadi (</w:t>
            </w:r>
            <w:r w:rsidRPr="00117616">
              <w:rPr>
                <w:i/>
                <w:lang w:val="lv-LV"/>
              </w:rPr>
              <w:t>euro</w:t>
            </w:r>
            <w:r w:rsidRPr="00117616">
              <w:rPr>
                <w:lang w:val="lv-LV"/>
              </w:rPr>
              <w:t>)</w:t>
            </w:r>
          </w:p>
        </w:tc>
      </w:tr>
      <w:tr w14:paraId="1EFAB734" w14:textId="77777777" w:rsidTr="004F6F02">
        <w:tblPrEx>
          <w:tblW w:w="9214" w:type="dxa"/>
          <w:tblInd w:w="-5" w:type="dxa"/>
          <w:tblLayout w:type="fixed"/>
          <w:tblLook w:val="01E0"/>
        </w:tblPrEx>
        <w:tc>
          <w:tcPr>
            <w:tcW w:w="2807" w:type="dxa"/>
            <w:vMerge/>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55D5A1FE" w14:textId="77777777">
            <w:pPr>
              <w:rPr>
                <w:lang w:eastAsia="lv-LV"/>
              </w:rPr>
            </w:pPr>
          </w:p>
        </w:tc>
        <w:tc>
          <w:tcPr>
            <w:tcW w:w="2580" w:type="dxa"/>
            <w:gridSpan w:val="2"/>
            <w:vMerge/>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7FB472A6" w14:textId="77777777">
            <w:pPr>
              <w:rPr>
                <w:rFonts w:eastAsia="Arial Unicode MS"/>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489F414A" w14:textId="2624A154">
            <w:pPr>
              <w:pStyle w:val="naisf"/>
              <w:spacing w:before="0" w:beforeAutospacing="0" w:after="0" w:afterAutospacing="0"/>
              <w:jc w:val="center"/>
              <w:rPr>
                <w:b/>
                <w:i/>
                <w:lang w:val="lv-LV"/>
              </w:rPr>
            </w:pPr>
            <w:r w:rsidRPr="00117616">
              <w:rPr>
                <w:b/>
                <w:bCs/>
                <w:lang w:val="lv-LV"/>
              </w:rPr>
              <w:t>201</w:t>
            </w:r>
            <w:r w:rsidRPr="00117616" w:rsidR="004F6F02">
              <w:rPr>
                <w:b/>
                <w:bCs/>
                <w:lang w:val="lv-LV"/>
              </w:rPr>
              <w:t>9</w:t>
            </w:r>
            <w:r w:rsidRPr="00117616">
              <w:rPr>
                <w:b/>
                <w:bCs/>
                <w:lang w:val="lv-LV"/>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20989ECF" w14:textId="30B74FA5">
            <w:pPr>
              <w:pStyle w:val="naisf"/>
              <w:spacing w:before="0" w:beforeAutospacing="0" w:after="0" w:afterAutospacing="0"/>
              <w:jc w:val="center"/>
              <w:rPr>
                <w:b/>
                <w:i/>
                <w:lang w:val="lv-LV"/>
              </w:rPr>
            </w:pPr>
            <w:r w:rsidRPr="00117616">
              <w:rPr>
                <w:b/>
                <w:bCs/>
                <w:lang w:val="lv-LV"/>
              </w:rPr>
              <w:t>20</w:t>
            </w:r>
            <w:r w:rsidRPr="00117616" w:rsidR="004F6F02">
              <w:rPr>
                <w:b/>
                <w:bCs/>
                <w:lang w:val="lv-LV"/>
              </w:rPr>
              <w:t>20</w:t>
            </w:r>
            <w:r w:rsidRPr="00117616">
              <w:rPr>
                <w:b/>
                <w:bCs/>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1A112665" w14:textId="25D4863E">
            <w:pPr>
              <w:pStyle w:val="naisf"/>
              <w:spacing w:before="0" w:beforeAutospacing="0" w:after="0" w:afterAutospacing="0"/>
              <w:jc w:val="center"/>
              <w:rPr>
                <w:b/>
                <w:i/>
                <w:lang w:val="lv-LV"/>
              </w:rPr>
            </w:pPr>
            <w:r w:rsidRPr="00117616">
              <w:rPr>
                <w:b/>
                <w:bCs/>
                <w:lang w:val="lv-LV"/>
              </w:rPr>
              <w:t>20</w:t>
            </w:r>
            <w:r w:rsidRPr="00117616" w:rsidR="00503B22">
              <w:rPr>
                <w:b/>
                <w:bCs/>
                <w:lang w:val="lv-LV"/>
              </w:rPr>
              <w:t>2</w:t>
            </w:r>
            <w:r w:rsidRPr="00117616" w:rsidR="004F6F02">
              <w:rPr>
                <w:b/>
                <w:bCs/>
                <w:lang w:val="lv-LV"/>
              </w:rPr>
              <w:t>1</w:t>
            </w:r>
            <w:r w:rsidRPr="00117616">
              <w:rPr>
                <w:b/>
                <w:bCs/>
                <w:lang w:val="lv-LV"/>
              </w:rPr>
              <w:t xml:space="preserve">. </w:t>
            </w:r>
          </w:p>
        </w:tc>
      </w:tr>
      <w:tr w14:paraId="35D4DCA0" w14:textId="77777777" w:rsidTr="004F6F02">
        <w:tblPrEx>
          <w:tblW w:w="9214" w:type="dxa"/>
          <w:tblInd w:w="-5" w:type="dxa"/>
          <w:tblLayout w:type="fixed"/>
          <w:tblLook w:val="01E0"/>
        </w:tblPrEx>
        <w:tc>
          <w:tcPr>
            <w:tcW w:w="2807" w:type="dxa"/>
            <w:vMerge/>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1352F672" w14:textId="77777777">
            <w:pPr>
              <w:rPr>
                <w:lang w:eastAsia="lv-LV"/>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70C541DD" w14:textId="77777777">
            <w:pPr>
              <w:pStyle w:val="naisf"/>
              <w:spacing w:before="0" w:beforeAutospacing="0" w:after="0" w:afterAutospacing="0"/>
              <w:jc w:val="center"/>
              <w:rPr>
                <w:b/>
                <w:i/>
                <w:lang w:val="lv-LV"/>
              </w:rPr>
            </w:pPr>
            <w:r w:rsidRPr="00117616">
              <w:rPr>
                <w:lang w:val="lv-LV"/>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5A7C9BF1" w14:textId="77777777">
            <w:pPr>
              <w:pStyle w:val="naisf"/>
              <w:spacing w:before="0" w:beforeAutospacing="0" w:after="0" w:afterAutospacing="0"/>
              <w:jc w:val="center"/>
              <w:rPr>
                <w:b/>
                <w:i/>
                <w:lang w:val="lv-LV"/>
              </w:rPr>
            </w:pPr>
            <w:r w:rsidRPr="00117616">
              <w:rPr>
                <w:lang w:val="lv-LV"/>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797752AD" w14:textId="77777777">
            <w:pPr>
              <w:pStyle w:val="naisf"/>
              <w:spacing w:before="0" w:beforeAutospacing="0" w:after="0" w:afterAutospacing="0"/>
              <w:jc w:val="center"/>
              <w:rPr>
                <w:b/>
                <w:i/>
                <w:lang w:val="lv-LV"/>
              </w:rPr>
            </w:pPr>
            <w:r w:rsidRPr="00117616">
              <w:rPr>
                <w:lang w:val="lv-LV"/>
              </w:rPr>
              <w:t>izmaiņas, salīdzinot ar kārtējo (n) gadu</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71ABA6CA" w14:textId="77777777">
            <w:pPr>
              <w:pStyle w:val="naisf"/>
              <w:spacing w:before="0" w:beforeAutospacing="0" w:after="0" w:afterAutospacing="0"/>
              <w:jc w:val="center"/>
              <w:rPr>
                <w:b/>
                <w:i/>
                <w:lang w:val="lv-LV"/>
              </w:rPr>
            </w:pPr>
            <w:r w:rsidRPr="00117616">
              <w:rPr>
                <w:lang w:val="lv-LV"/>
              </w:rPr>
              <w:t>izmaiņas, salīdzinot 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612A7B9B" w14:textId="77777777">
            <w:pPr>
              <w:pStyle w:val="naisf"/>
              <w:spacing w:before="0" w:beforeAutospacing="0" w:after="0" w:afterAutospacing="0"/>
              <w:jc w:val="center"/>
              <w:rPr>
                <w:b/>
                <w:i/>
                <w:lang w:val="lv-LV"/>
              </w:rPr>
            </w:pPr>
            <w:r w:rsidRPr="00117616">
              <w:rPr>
                <w:lang w:val="lv-LV"/>
              </w:rPr>
              <w:t>izmaiņas, salīdzinot ar kārtējo (n) gadu</w:t>
            </w:r>
          </w:p>
        </w:tc>
      </w:tr>
      <w:tr w14:paraId="466EAA62" w14:textId="77777777" w:rsidTr="004F6F02">
        <w:tblPrEx>
          <w:tblW w:w="9214" w:type="dxa"/>
          <w:tblInd w:w="-5" w:type="dxa"/>
          <w:tblLayout w:type="fixed"/>
          <w:tblLook w:val="01E0"/>
        </w:tblPrEx>
        <w:trPr>
          <w:trHeight w:val="393"/>
        </w:trPr>
        <w:tc>
          <w:tcPr>
            <w:tcW w:w="2807"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4220AE82" w14:textId="77777777">
            <w:pPr>
              <w:pStyle w:val="naisf"/>
              <w:spacing w:before="0" w:beforeAutospacing="0" w:after="0" w:afterAutospacing="0"/>
              <w:jc w:val="center"/>
              <w:rPr>
                <w:bCs/>
                <w:lang w:val="lv-LV"/>
              </w:rPr>
            </w:pPr>
            <w:r w:rsidRPr="00117616">
              <w:rPr>
                <w:bCs/>
                <w:lang w:val="lv-LV"/>
              </w:rPr>
              <w:t>1</w:t>
            </w:r>
          </w:p>
        </w:tc>
        <w:tc>
          <w:tcPr>
            <w:tcW w:w="1304"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7AD37688" w14:textId="77777777">
            <w:pPr>
              <w:pStyle w:val="naisf"/>
              <w:spacing w:before="0" w:beforeAutospacing="0" w:after="0" w:afterAutospacing="0"/>
              <w:jc w:val="center"/>
              <w:rPr>
                <w:bCs/>
                <w:lang w:val="lv-LV"/>
              </w:rPr>
            </w:pPr>
            <w:r w:rsidRPr="00117616">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1D774049" w14:textId="77777777">
            <w:pPr>
              <w:pStyle w:val="naisf"/>
              <w:spacing w:before="0" w:beforeAutospacing="0" w:after="0" w:afterAutospacing="0"/>
              <w:jc w:val="center"/>
              <w:rPr>
                <w:bCs/>
                <w:lang w:val="lv-LV"/>
              </w:rPr>
            </w:pPr>
            <w:r w:rsidRPr="00117616">
              <w:rPr>
                <w:bCs/>
                <w:lang w:val="lv-LV"/>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02E9F42F" w14:textId="77777777">
            <w:pPr>
              <w:pStyle w:val="naisf"/>
              <w:spacing w:before="0" w:beforeAutospacing="0" w:after="0" w:afterAutospacing="0"/>
              <w:jc w:val="center"/>
              <w:rPr>
                <w:bCs/>
                <w:lang w:val="lv-LV"/>
              </w:rPr>
            </w:pPr>
            <w:r w:rsidRPr="00117616">
              <w:rPr>
                <w:bCs/>
                <w:lang w:val="lv-LV"/>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6449635F" w14:textId="77777777">
            <w:pPr>
              <w:pStyle w:val="naisf"/>
              <w:spacing w:before="0" w:beforeAutospacing="0" w:after="0" w:afterAutospacing="0"/>
              <w:jc w:val="center"/>
              <w:rPr>
                <w:bCs/>
                <w:lang w:val="lv-LV"/>
              </w:rPr>
            </w:pPr>
            <w:r w:rsidRPr="00117616">
              <w:rPr>
                <w:bCs/>
                <w:lang w:val="lv-LV"/>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6E762B79" w14:textId="77777777">
            <w:pPr>
              <w:pStyle w:val="naisf"/>
              <w:spacing w:before="0" w:beforeAutospacing="0" w:after="0" w:afterAutospacing="0"/>
              <w:jc w:val="center"/>
              <w:rPr>
                <w:bCs/>
                <w:lang w:val="lv-LV"/>
              </w:rPr>
            </w:pPr>
            <w:r w:rsidRPr="00117616">
              <w:rPr>
                <w:bCs/>
                <w:lang w:val="lv-LV"/>
              </w:rPr>
              <w:t>6</w:t>
            </w:r>
          </w:p>
        </w:tc>
      </w:tr>
      <w:tr w14:paraId="4C99144D" w14:textId="77777777" w:rsidTr="004F6F02">
        <w:tblPrEx>
          <w:tblW w:w="9214" w:type="dxa"/>
          <w:tblInd w:w="-5" w:type="dxa"/>
          <w:tblLayout w:type="fixed"/>
          <w:tblLook w:val="01E0"/>
        </w:tblPrEx>
        <w:tc>
          <w:tcPr>
            <w:tcW w:w="2807" w:type="dxa"/>
            <w:tcBorders>
              <w:top w:val="single" w:sz="4" w:space="0" w:color="auto"/>
              <w:left w:val="single" w:sz="4" w:space="0" w:color="auto"/>
              <w:bottom w:val="single" w:sz="4" w:space="0" w:color="auto"/>
              <w:right w:val="single" w:sz="4" w:space="0" w:color="auto"/>
            </w:tcBorders>
            <w:hideMark/>
          </w:tcPr>
          <w:p w:rsidR="00611AC3" w:rsidRPr="00117616" w:rsidP="00611AC3" w14:paraId="1E8B3AF5" w14:textId="77777777">
            <w:pPr>
              <w:pStyle w:val="naisf"/>
              <w:spacing w:before="0" w:beforeAutospacing="0" w:after="0" w:afterAutospacing="0"/>
              <w:rPr>
                <w:i/>
                <w:lang w:val="lv-LV"/>
              </w:rPr>
            </w:pPr>
            <w:r w:rsidRPr="00117616">
              <w:rPr>
                <w:lang w:val="lv-LV"/>
              </w:rPr>
              <w:t>1. Budžeta ieņēmumi:</w:t>
            </w:r>
          </w:p>
        </w:tc>
        <w:tc>
          <w:tcPr>
            <w:tcW w:w="1304"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5E619C2C" w14:textId="40A91378">
            <w:pPr>
              <w:jc w:val="right"/>
              <w:rPr>
                <w:color w:val="000000"/>
              </w:rPr>
            </w:pPr>
            <w:r w:rsidRPr="00117616">
              <w:rPr>
                <w:color w:val="000000"/>
              </w:rPr>
              <w:t>1 901 568</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61B135A6" w14:textId="2F78C582">
            <w:pPr>
              <w:jc w:val="right"/>
              <w:rPr>
                <w:color w:val="000000"/>
              </w:rPr>
            </w:pPr>
            <w:r w:rsidRPr="00117616">
              <w:rPr>
                <w:color w:val="000000"/>
              </w:rPr>
              <w:t>-</w:t>
            </w:r>
            <w:r w:rsidRPr="00117616" w:rsidR="004F6F02">
              <w:rPr>
                <w:color w:val="000000"/>
              </w:rPr>
              <w:t>1 180 492</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66641032" w14:textId="0FD97A3A">
            <w:pPr>
              <w:autoSpaceDE w:val="0"/>
              <w:autoSpaceDN w:val="0"/>
              <w:adjustRightInd w:val="0"/>
              <w:jc w:val="right"/>
              <w:rPr>
                <w:color w:val="000000"/>
                <w:lang w:eastAsia="lv-LV"/>
              </w:rPr>
            </w:pPr>
            <w:r w:rsidRPr="00117616">
              <w:rPr>
                <w:color w:val="000000"/>
              </w:rPr>
              <w:t>-912</w:t>
            </w:r>
            <w:r w:rsidRPr="00117616">
              <w:rPr>
                <w:color w:val="000000"/>
              </w:rPr>
              <w:t xml:space="preserve"> </w:t>
            </w:r>
            <w:r w:rsidRPr="00117616">
              <w:rPr>
                <w:color w:val="000000"/>
              </w:rPr>
              <w:t>698</w:t>
            </w:r>
          </w:p>
        </w:tc>
        <w:tc>
          <w:tcPr>
            <w:tcW w:w="1275"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27CE47C6" w14:textId="27E3AD40">
            <w:pPr>
              <w:autoSpaceDE w:val="0"/>
              <w:autoSpaceDN w:val="0"/>
              <w:adjustRightInd w:val="0"/>
              <w:jc w:val="right"/>
              <w:rPr>
                <w:color w:val="000000"/>
                <w:lang w:eastAsia="lv-LV"/>
              </w:rPr>
            </w:pPr>
            <w:r w:rsidRPr="00117616">
              <w:rPr>
                <w:color w:val="000000"/>
              </w:rPr>
              <w:t>-</w:t>
            </w:r>
            <w:r w:rsidRPr="00117616" w:rsidR="004F6F02">
              <w:rPr>
                <w:color w:val="000000"/>
              </w:rPr>
              <w:t>1 386</w:t>
            </w:r>
            <w:r w:rsidRPr="00117616">
              <w:rPr>
                <w:color w:val="000000"/>
              </w:rPr>
              <w:t xml:space="preserve"> </w:t>
            </w:r>
            <w:r w:rsidRPr="00117616" w:rsidR="004F6F02">
              <w:rPr>
                <w:color w:val="000000"/>
              </w:rPr>
              <w:t>527</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2FA44934" w14:textId="02555E1E">
            <w:pPr>
              <w:autoSpaceDE w:val="0"/>
              <w:autoSpaceDN w:val="0"/>
              <w:adjustRightInd w:val="0"/>
              <w:jc w:val="right"/>
              <w:rPr>
                <w:color w:val="000000"/>
                <w:lang w:eastAsia="lv-LV"/>
              </w:rPr>
            </w:pPr>
            <w:r w:rsidRPr="00117616">
              <w:rPr>
                <w:color w:val="000000"/>
              </w:rPr>
              <w:t>-</w:t>
            </w:r>
            <w:r w:rsidRPr="00117616" w:rsidR="004F6F02">
              <w:rPr>
                <w:color w:val="000000"/>
              </w:rPr>
              <w:t>1 678</w:t>
            </w:r>
            <w:r w:rsidRPr="00117616">
              <w:rPr>
                <w:color w:val="000000"/>
              </w:rPr>
              <w:t xml:space="preserve"> </w:t>
            </w:r>
            <w:r w:rsidRPr="00117616" w:rsidR="004F6F02">
              <w:rPr>
                <w:color w:val="000000"/>
              </w:rPr>
              <w:t>708</w:t>
            </w:r>
          </w:p>
        </w:tc>
      </w:tr>
      <w:tr w14:paraId="49A76880" w14:textId="77777777" w:rsidTr="004F6F02">
        <w:tblPrEx>
          <w:tblW w:w="9214" w:type="dxa"/>
          <w:tblInd w:w="-5" w:type="dxa"/>
          <w:tblLayout w:type="fixed"/>
          <w:tblLook w:val="01E0"/>
        </w:tblPrEx>
        <w:tc>
          <w:tcPr>
            <w:tcW w:w="2807" w:type="dxa"/>
            <w:tcBorders>
              <w:top w:val="single" w:sz="4" w:space="0" w:color="auto"/>
              <w:left w:val="single" w:sz="4" w:space="0" w:color="auto"/>
              <w:bottom w:val="single" w:sz="4" w:space="0" w:color="auto"/>
              <w:right w:val="single" w:sz="4" w:space="0" w:color="auto"/>
            </w:tcBorders>
            <w:hideMark/>
          </w:tcPr>
          <w:p w:rsidR="00611AC3" w:rsidRPr="00117616" w:rsidP="00611AC3" w14:paraId="27ACA198" w14:textId="77777777">
            <w:r w:rsidRPr="00117616">
              <w:t>2. Budžeta izdevumi:</w:t>
            </w:r>
          </w:p>
        </w:tc>
        <w:tc>
          <w:tcPr>
            <w:tcW w:w="1304"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24C012F8" w14:textId="047D7635">
            <w:pPr>
              <w:jc w:val="right"/>
              <w:rPr>
                <w:color w:val="000000"/>
              </w:rPr>
            </w:pPr>
            <w:r w:rsidRPr="00117616">
              <w:rPr>
                <w:color w:val="000000"/>
              </w:rPr>
              <w:t>2 237</w:t>
            </w:r>
            <w:r w:rsidRPr="00117616">
              <w:rPr>
                <w:color w:val="000000"/>
              </w:rPr>
              <w:t xml:space="preserve"> </w:t>
            </w:r>
            <w:r w:rsidRPr="00117616">
              <w:rPr>
                <w:color w:val="000000"/>
              </w:rPr>
              <w:t>139</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77A48A42" w14:textId="3AB78416">
            <w:pPr>
              <w:jc w:val="right"/>
              <w:rPr>
                <w:color w:val="000000"/>
                <w:lang w:val="en-GB"/>
              </w:rPr>
            </w:pPr>
            <w:r w:rsidRPr="00117616">
              <w:rPr>
                <w:color w:val="000000"/>
              </w:rPr>
              <w:t>-</w:t>
            </w:r>
            <w:r w:rsidRPr="00117616" w:rsidR="004F6F02">
              <w:rPr>
                <w:color w:val="000000"/>
              </w:rPr>
              <w:t>1 388</w:t>
            </w:r>
            <w:r w:rsidRPr="00117616">
              <w:rPr>
                <w:color w:val="000000"/>
              </w:rPr>
              <w:t xml:space="preserve"> </w:t>
            </w:r>
            <w:r w:rsidRPr="00117616" w:rsidR="004F6F02">
              <w:rPr>
                <w:color w:val="000000"/>
              </w:rPr>
              <w:t>814</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7E5901D4" w14:textId="54EA8853">
            <w:pPr>
              <w:autoSpaceDE w:val="0"/>
              <w:autoSpaceDN w:val="0"/>
              <w:adjustRightInd w:val="0"/>
              <w:jc w:val="right"/>
              <w:rPr>
                <w:color w:val="000000"/>
                <w:lang w:eastAsia="lv-LV"/>
              </w:rPr>
            </w:pPr>
            <w:r w:rsidRPr="00117616">
              <w:rPr>
                <w:color w:val="000000"/>
              </w:rPr>
              <w:t>-1 073</w:t>
            </w:r>
            <w:r w:rsidRPr="00117616">
              <w:rPr>
                <w:color w:val="000000"/>
              </w:rPr>
              <w:t xml:space="preserve"> </w:t>
            </w:r>
            <w:r w:rsidRPr="00117616">
              <w:rPr>
                <w:color w:val="000000"/>
              </w:rPr>
              <w:t>763</w:t>
            </w:r>
          </w:p>
        </w:tc>
        <w:tc>
          <w:tcPr>
            <w:tcW w:w="1275"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37A82BF6" w14:textId="2DE70EEB">
            <w:pPr>
              <w:autoSpaceDE w:val="0"/>
              <w:autoSpaceDN w:val="0"/>
              <w:adjustRightInd w:val="0"/>
              <w:jc w:val="right"/>
              <w:rPr>
                <w:color w:val="000000"/>
                <w:lang w:eastAsia="lv-LV"/>
              </w:rPr>
            </w:pPr>
            <w:r w:rsidRPr="00117616">
              <w:rPr>
                <w:color w:val="000000"/>
              </w:rPr>
              <w:t>-</w:t>
            </w:r>
            <w:r w:rsidRPr="00117616" w:rsidR="004F6F02">
              <w:rPr>
                <w:color w:val="000000"/>
              </w:rPr>
              <w:t>1 631</w:t>
            </w:r>
            <w:r w:rsidRPr="00117616">
              <w:rPr>
                <w:color w:val="000000"/>
              </w:rPr>
              <w:t xml:space="preserve"> </w:t>
            </w:r>
            <w:r w:rsidRPr="00117616" w:rsidR="004F6F02">
              <w:rPr>
                <w:color w:val="000000"/>
              </w:rPr>
              <w:t>208</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49AB3F47" w14:textId="4B1B26DA">
            <w:pPr>
              <w:autoSpaceDE w:val="0"/>
              <w:autoSpaceDN w:val="0"/>
              <w:adjustRightInd w:val="0"/>
              <w:jc w:val="right"/>
              <w:rPr>
                <w:color w:val="000000"/>
                <w:lang w:eastAsia="lv-LV"/>
              </w:rPr>
            </w:pPr>
            <w:r w:rsidRPr="00117616">
              <w:rPr>
                <w:color w:val="000000"/>
              </w:rPr>
              <w:t>-</w:t>
            </w:r>
            <w:r w:rsidRPr="00117616" w:rsidR="004F6F02">
              <w:rPr>
                <w:color w:val="000000"/>
              </w:rPr>
              <w:t>1 974</w:t>
            </w:r>
            <w:r w:rsidRPr="00117616">
              <w:rPr>
                <w:color w:val="000000"/>
              </w:rPr>
              <w:t xml:space="preserve"> </w:t>
            </w:r>
            <w:r w:rsidRPr="00117616" w:rsidR="004F6F02">
              <w:rPr>
                <w:color w:val="000000"/>
              </w:rPr>
              <w:t>951</w:t>
            </w:r>
          </w:p>
        </w:tc>
      </w:tr>
      <w:tr w14:paraId="17EB05C6" w14:textId="77777777" w:rsidTr="004F6F02">
        <w:tblPrEx>
          <w:tblW w:w="9214" w:type="dxa"/>
          <w:tblInd w:w="-5" w:type="dxa"/>
          <w:tblLayout w:type="fixed"/>
          <w:tblLook w:val="01E0"/>
        </w:tblPrEx>
        <w:tc>
          <w:tcPr>
            <w:tcW w:w="2807" w:type="dxa"/>
            <w:tcBorders>
              <w:top w:val="single" w:sz="4" w:space="0" w:color="auto"/>
              <w:left w:val="single" w:sz="4" w:space="0" w:color="auto"/>
              <w:bottom w:val="single" w:sz="4" w:space="0" w:color="auto"/>
              <w:right w:val="single" w:sz="4" w:space="0" w:color="auto"/>
            </w:tcBorders>
            <w:hideMark/>
          </w:tcPr>
          <w:p w:rsidR="00611AC3" w:rsidRPr="00117616" w:rsidP="00611AC3" w14:paraId="3660CAF2" w14:textId="77777777">
            <w:r w:rsidRPr="00117616">
              <w:t>3. Finansiālā ietekme:</w:t>
            </w:r>
          </w:p>
        </w:tc>
        <w:tc>
          <w:tcPr>
            <w:tcW w:w="1304"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3A567497" w14:textId="0DB72B99">
            <w:pPr>
              <w:jc w:val="right"/>
              <w:rPr>
                <w:color w:val="000000"/>
              </w:rPr>
            </w:pPr>
            <w:r w:rsidRPr="00117616">
              <w:rPr>
                <w:color w:val="000000"/>
              </w:rPr>
              <w:t>-</w:t>
            </w:r>
            <w:r w:rsidRPr="00117616" w:rsidR="004F6F02">
              <w:rPr>
                <w:color w:val="000000"/>
              </w:rPr>
              <w:t>335</w:t>
            </w:r>
            <w:r w:rsidRPr="00117616">
              <w:rPr>
                <w:color w:val="000000"/>
              </w:rPr>
              <w:t xml:space="preserve"> </w:t>
            </w:r>
            <w:r w:rsidRPr="00117616" w:rsidR="004F6F02">
              <w:rPr>
                <w:color w:val="000000"/>
              </w:rPr>
              <w:t>571</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21C3940F" w14:textId="18F0085F">
            <w:pPr>
              <w:jc w:val="right"/>
              <w:rPr>
                <w:color w:val="000000"/>
              </w:rPr>
            </w:pPr>
            <w:r w:rsidRPr="00117616">
              <w:rPr>
                <w:color w:val="000000"/>
              </w:rPr>
              <w:t>208</w:t>
            </w:r>
            <w:r w:rsidRPr="00117616">
              <w:rPr>
                <w:color w:val="000000"/>
              </w:rPr>
              <w:t xml:space="preserve"> </w:t>
            </w:r>
            <w:r w:rsidRPr="00117616">
              <w:rPr>
                <w:color w:val="000000"/>
              </w:rPr>
              <w:t>322</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6713B6B3" w14:textId="7B4B74CE">
            <w:pPr>
              <w:autoSpaceDE w:val="0"/>
              <w:autoSpaceDN w:val="0"/>
              <w:adjustRightInd w:val="0"/>
              <w:jc w:val="right"/>
              <w:rPr>
                <w:color w:val="000000"/>
                <w:lang w:eastAsia="lv-LV"/>
              </w:rPr>
            </w:pPr>
            <w:r w:rsidRPr="00117616">
              <w:rPr>
                <w:color w:val="000000"/>
              </w:rPr>
              <w:t>161</w:t>
            </w:r>
            <w:r w:rsidRPr="00117616">
              <w:rPr>
                <w:color w:val="000000"/>
              </w:rPr>
              <w:t xml:space="preserve"> </w:t>
            </w:r>
            <w:r w:rsidRPr="00117616">
              <w:rPr>
                <w:color w:val="000000"/>
              </w:rPr>
              <w:t>065</w:t>
            </w:r>
          </w:p>
        </w:tc>
        <w:tc>
          <w:tcPr>
            <w:tcW w:w="1275"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7A54D427" w14:textId="1E43F442">
            <w:pPr>
              <w:autoSpaceDE w:val="0"/>
              <w:autoSpaceDN w:val="0"/>
              <w:adjustRightInd w:val="0"/>
              <w:jc w:val="right"/>
              <w:rPr>
                <w:color w:val="000000"/>
                <w:lang w:eastAsia="lv-LV"/>
              </w:rPr>
            </w:pPr>
            <w:r w:rsidRPr="00117616">
              <w:rPr>
                <w:color w:val="000000"/>
              </w:rPr>
              <w:t>244</w:t>
            </w:r>
            <w:r w:rsidRPr="00117616">
              <w:rPr>
                <w:color w:val="000000"/>
              </w:rPr>
              <w:t xml:space="preserve"> </w:t>
            </w:r>
            <w:r w:rsidRPr="00117616">
              <w:rPr>
                <w:color w:val="000000"/>
              </w:rPr>
              <w:t>681</w:t>
            </w:r>
          </w:p>
        </w:tc>
        <w:tc>
          <w:tcPr>
            <w:tcW w:w="1276" w:type="dxa"/>
            <w:tcBorders>
              <w:top w:val="single" w:sz="4" w:space="0" w:color="auto"/>
              <w:left w:val="single" w:sz="4" w:space="0" w:color="auto"/>
              <w:bottom w:val="single" w:sz="4" w:space="0" w:color="auto"/>
              <w:right w:val="single" w:sz="4" w:space="0" w:color="auto"/>
            </w:tcBorders>
            <w:vAlign w:val="center"/>
          </w:tcPr>
          <w:p w:rsidR="00611AC3" w:rsidRPr="00117616" w:rsidP="00611AC3" w14:paraId="235BE849" w14:textId="30680F16">
            <w:pPr>
              <w:autoSpaceDE w:val="0"/>
              <w:autoSpaceDN w:val="0"/>
              <w:adjustRightInd w:val="0"/>
              <w:jc w:val="right"/>
              <w:rPr>
                <w:color w:val="000000"/>
                <w:lang w:eastAsia="lv-LV"/>
              </w:rPr>
            </w:pPr>
            <w:r w:rsidRPr="00117616">
              <w:rPr>
                <w:color w:val="000000"/>
              </w:rPr>
              <w:t>296</w:t>
            </w:r>
            <w:r w:rsidRPr="00117616">
              <w:rPr>
                <w:color w:val="000000"/>
              </w:rPr>
              <w:t xml:space="preserve"> </w:t>
            </w:r>
            <w:r w:rsidRPr="00117616">
              <w:rPr>
                <w:color w:val="000000"/>
              </w:rPr>
              <w:t>243</w:t>
            </w:r>
          </w:p>
        </w:tc>
      </w:tr>
      <w:tr w14:paraId="029F57B1" w14:textId="77777777" w:rsidTr="004F6F02">
        <w:tblPrEx>
          <w:tblW w:w="9214" w:type="dxa"/>
          <w:tblInd w:w="-5" w:type="dxa"/>
          <w:tblLayout w:type="fixed"/>
          <w:tblLook w:val="01E0"/>
        </w:tblPrEx>
        <w:trPr>
          <w:trHeight w:val="1380"/>
        </w:trPr>
        <w:tc>
          <w:tcPr>
            <w:tcW w:w="2807" w:type="dxa"/>
            <w:tcBorders>
              <w:top w:val="single" w:sz="4" w:space="0" w:color="auto"/>
              <w:left w:val="single" w:sz="4" w:space="0" w:color="auto"/>
              <w:bottom w:val="single" w:sz="4" w:space="0" w:color="auto"/>
              <w:right w:val="single" w:sz="4" w:space="0" w:color="auto"/>
            </w:tcBorders>
            <w:hideMark/>
          </w:tcPr>
          <w:p w:rsidR="00432C7E" w:rsidRPr="00117616" w:rsidP="00617007" w14:paraId="2E493AD2" w14:textId="77777777">
            <w:r w:rsidRPr="00117616">
              <w:t>4. Finanšu līdzekļi papildu izdevumu finansēšanai (kompensējošu izdevumu samazinājumu norāda ar "+" zīmi)</w:t>
            </w:r>
          </w:p>
        </w:tc>
        <w:tc>
          <w:tcPr>
            <w:tcW w:w="1304" w:type="dxa"/>
            <w:tcBorders>
              <w:top w:val="single" w:sz="4" w:space="0" w:color="auto"/>
              <w:left w:val="single" w:sz="4" w:space="0" w:color="auto"/>
              <w:bottom w:val="single" w:sz="4" w:space="0" w:color="auto"/>
              <w:right w:val="single" w:sz="4" w:space="0" w:color="auto"/>
            </w:tcBorders>
            <w:hideMark/>
          </w:tcPr>
          <w:p w:rsidR="00432C7E" w:rsidRPr="00117616" w:rsidP="00617007" w14:paraId="4A62657A" w14:textId="77777777">
            <w:pPr>
              <w:pStyle w:val="naisf"/>
              <w:spacing w:before="0" w:beforeAutospacing="0" w:after="0" w:afterAutospacing="0"/>
              <w:jc w:val="center"/>
              <w:rPr>
                <w:lang w:val="lv-LV"/>
              </w:rPr>
            </w:pPr>
            <w:r w:rsidRPr="00117616">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32C7E" w:rsidRPr="00117616" w:rsidP="00617007" w14:paraId="3BDBD555" w14:textId="77777777">
            <w:pPr>
              <w:pStyle w:val="naisf"/>
              <w:spacing w:before="0" w:beforeAutospacing="0" w:after="0" w:afterAutospacing="0"/>
              <w:jc w:val="center"/>
              <w:rPr>
                <w:lang w:val="lv-LV"/>
              </w:rPr>
            </w:pPr>
            <w:r w:rsidRPr="00117616">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32C7E" w:rsidRPr="00117616" w:rsidP="00617007" w14:paraId="7B93F9D0" w14:textId="77777777">
            <w:pPr>
              <w:pStyle w:val="naisf"/>
              <w:spacing w:before="0" w:beforeAutospacing="0" w:after="0" w:afterAutospacing="0"/>
              <w:jc w:val="center"/>
              <w:rPr>
                <w:lang w:val="lv-LV"/>
              </w:rPr>
            </w:pPr>
            <w:r w:rsidRPr="00117616">
              <w:rPr>
                <w:lang w:val="lv-LV"/>
              </w:rPr>
              <w:t>0</w:t>
            </w:r>
          </w:p>
        </w:tc>
        <w:tc>
          <w:tcPr>
            <w:tcW w:w="1275" w:type="dxa"/>
            <w:tcBorders>
              <w:top w:val="single" w:sz="4" w:space="0" w:color="auto"/>
              <w:left w:val="single" w:sz="4" w:space="0" w:color="auto"/>
              <w:bottom w:val="single" w:sz="4" w:space="0" w:color="auto"/>
              <w:right w:val="single" w:sz="4" w:space="0" w:color="auto"/>
            </w:tcBorders>
            <w:hideMark/>
          </w:tcPr>
          <w:p w:rsidR="00432C7E" w:rsidRPr="00117616" w:rsidP="00617007" w14:paraId="76E39BE4" w14:textId="2A883693">
            <w:pPr>
              <w:pStyle w:val="naisf"/>
              <w:spacing w:before="0" w:beforeAutospacing="0" w:after="0" w:afterAutospacing="0"/>
              <w:jc w:val="center"/>
              <w:rPr>
                <w:lang w:val="lv-LV"/>
              </w:rPr>
            </w:pPr>
            <w:r w:rsidRPr="00117616">
              <w:rPr>
                <w:color w:val="000000"/>
                <w:lang w:eastAsia="lv-LV"/>
              </w:rPr>
              <w:t>0</w:t>
            </w:r>
          </w:p>
        </w:tc>
        <w:tc>
          <w:tcPr>
            <w:tcW w:w="1276" w:type="dxa"/>
            <w:tcBorders>
              <w:top w:val="single" w:sz="4" w:space="0" w:color="auto"/>
              <w:left w:val="single" w:sz="4" w:space="0" w:color="auto"/>
              <w:bottom w:val="single" w:sz="4" w:space="0" w:color="auto"/>
              <w:right w:val="single" w:sz="4" w:space="0" w:color="auto"/>
            </w:tcBorders>
            <w:hideMark/>
          </w:tcPr>
          <w:p w:rsidR="00432C7E" w:rsidRPr="00117616" w:rsidP="00617007" w14:paraId="14E0796F" w14:textId="77777777">
            <w:pPr>
              <w:pStyle w:val="naisf"/>
              <w:spacing w:before="0" w:beforeAutospacing="0" w:after="0" w:afterAutospacing="0"/>
              <w:jc w:val="center"/>
              <w:rPr>
                <w:lang w:val="lv-LV"/>
              </w:rPr>
            </w:pPr>
            <w:r w:rsidRPr="00117616">
              <w:rPr>
                <w:lang w:val="lv-LV"/>
              </w:rPr>
              <w:t>0</w:t>
            </w:r>
          </w:p>
        </w:tc>
      </w:tr>
      <w:tr w14:paraId="56010847" w14:textId="77777777" w:rsidTr="004F6F02">
        <w:tblPrEx>
          <w:tblW w:w="9214" w:type="dxa"/>
          <w:tblInd w:w="-5" w:type="dxa"/>
          <w:tblLayout w:type="fixed"/>
          <w:tblLook w:val="01E0"/>
        </w:tblPrEx>
        <w:tc>
          <w:tcPr>
            <w:tcW w:w="2807" w:type="dxa"/>
            <w:tcBorders>
              <w:top w:val="single" w:sz="4" w:space="0" w:color="auto"/>
              <w:left w:val="single" w:sz="4" w:space="0" w:color="auto"/>
              <w:bottom w:val="single" w:sz="4" w:space="0" w:color="auto"/>
              <w:right w:val="single" w:sz="4" w:space="0" w:color="auto"/>
            </w:tcBorders>
            <w:hideMark/>
          </w:tcPr>
          <w:p w:rsidR="00432C7E" w:rsidRPr="00117616" w:rsidP="00617007" w14:paraId="35F3D5E7" w14:textId="77777777">
            <w:r w:rsidRPr="00117616">
              <w:t>5. Precizēta finansiālā ietekme:</w:t>
            </w:r>
          </w:p>
        </w:tc>
        <w:tc>
          <w:tcPr>
            <w:tcW w:w="1304" w:type="dxa"/>
            <w:tcBorders>
              <w:top w:val="single" w:sz="4" w:space="0" w:color="auto"/>
              <w:left w:val="single" w:sz="4" w:space="0" w:color="auto"/>
              <w:bottom w:val="single" w:sz="4" w:space="0" w:color="auto"/>
              <w:right w:val="single" w:sz="4" w:space="0" w:color="auto"/>
            </w:tcBorders>
            <w:hideMark/>
          </w:tcPr>
          <w:p w:rsidR="00432C7E" w:rsidRPr="00117616" w:rsidP="00617007" w14:paraId="6661C606" w14:textId="77777777">
            <w:pPr>
              <w:pStyle w:val="naisf"/>
              <w:spacing w:before="0" w:beforeAutospacing="0" w:after="0" w:afterAutospacing="0"/>
              <w:jc w:val="center"/>
              <w:rPr>
                <w:lang w:val="lv-LV"/>
              </w:rPr>
            </w:pPr>
            <w:r w:rsidRPr="00117616">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32C7E" w:rsidRPr="00117616" w:rsidP="00617007" w14:paraId="4FF6D37B" w14:textId="77777777">
            <w:pPr>
              <w:pStyle w:val="naisf"/>
              <w:spacing w:before="0" w:beforeAutospacing="0" w:after="0" w:afterAutospacing="0"/>
              <w:jc w:val="center"/>
              <w:rPr>
                <w:lang w:val="lv-LV"/>
              </w:rPr>
            </w:pPr>
            <w:r w:rsidRPr="00117616">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rsidR="00432C7E" w:rsidRPr="00117616" w:rsidP="00617007" w14:paraId="4B1C06D3" w14:textId="77777777">
            <w:pPr>
              <w:jc w:val="center"/>
            </w:pPr>
            <w:r w:rsidRPr="00117616">
              <w:t>0</w:t>
            </w:r>
          </w:p>
        </w:tc>
        <w:tc>
          <w:tcPr>
            <w:tcW w:w="1275" w:type="dxa"/>
            <w:tcBorders>
              <w:top w:val="single" w:sz="4" w:space="0" w:color="auto"/>
              <w:left w:val="single" w:sz="4" w:space="0" w:color="auto"/>
              <w:bottom w:val="single" w:sz="4" w:space="0" w:color="auto"/>
              <w:right w:val="single" w:sz="4" w:space="0" w:color="auto"/>
            </w:tcBorders>
            <w:hideMark/>
          </w:tcPr>
          <w:p w:rsidR="00432C7E" w:rsidRPr="00117616" w:rsidP="00617007" w14:paraId="0D3EB122" w14:textId="77777777">
            <w:pPr>
              <w:jc w:val="center"/>
            </w:pPr>
            <w:r w:rsidRPr="00117616">
              <w:t>0</w:t>
            </w:r>
          </w:p>
        </w:tc>
        <w:tc>
          <w:tcPr>
            <w:tcW w:w="1276" w:type="dxa"/>
            <w:tcBorders>
              <w:top w:val="single" w:sz="4" w:space="0" w:color="auto"/>
              <w:left w:val="single" w:sz="4" w:space="0" w:color="auto"/>
              <w:bottom w:val="single" w:sz="4" w:space="0" w:color="auto"/>
              <w:right w:val="single" w:sz="4" w:space="0" w:color="auto"/>
            </w:tcBorders>
            <w:hideMark/>
          </w:tcPr>
          <w:p w:rsidR="00432C7E" w:rsidRPr="00117616" w:rsidP="00617007" w14:paraId="391E2F15" w14:textId="77777777">
            <w:pPr>
              <w:jc w:val="center"/>
            </w:pPr>
            <w:r w:rsidRPr="00117616">
              <w:t>0</w:t>
            </w:r>
          </w:p>
        </w:tc>
      </w:tr>
      <w:tr w14:paraId="2A041FC3" w14:textId="77777777" w:rsidTr="004F6F02">
        <w:tblPrEx>
          <w:tblW w:w="9214" w:type="dxa"/>
          <w:tblInd w:w="-5" w:type="dxa"/>
          <w:tblLayout w:type="fixed"/>
          <w:tblLook w:val="01E0"/>
        </w:tblPrEx>
        <w:tc>
          <w:tcPr>
            <w:tcW w:w="2807" w:type="dxa"/>
            <w:tcBorders>
              <w:top w:val="single" w:sz="4" w:space="0" w:color="auto"/>
              <w:left w:val="single" w:sz="4" w:space="0" w:color="auto"/>
              <w:bottom w:val="single" w:sz="4" w:space="0" w:color="auto"/>
              <w:right w:val="single" w:sz="4" w:space="0" w:color="auto"/>
            </w:tcBorders>
            <w:hideMark/>
          </w:tcPr>
          <w:p w:rsidR="00432C7E" w:rsidRPr="00117616" w:rsidP="00617007" w14:paraId="00A768DC" w14:textId="77777777">
            <w:r w:rsidRPr="00117616">
              <w:t>6. Detalizēts ieņēmumu un izdevumu aprēķins (ja nepie</w:t>
            </w:r>
            <w:r w:rsidRPr="00117616">
              <w:softHyphen/>
              <w:t xml:space="preserve">ciešams, detalizētu ieņēmumu un izdevumu </w:t>
            </w:r>
            <w:r w:rsidRPr="00117616">
              <w:t>aprēķinu var pie</w:t>
            </w:r>
            <w:r w:rsidRPr="00117616">
              <w:softHyphen/>
              <w:t>vienot anotācijas pielikumā):</w:t>
            </w:r>
          </w:p>
        </w:tc>
        <w:tc>
          <w:tcPr>
            <w:tcW w:w="6407" w:type="dxa"/>
            <w:gridSpan w:val="5"/>
            <w:vMerge w:val="restart"/>
            <w:tcBorders>
              <w:top w:val="single" w:sz="4" w:space="0" w:color="auto"/>
              <w:left w:val="single" w:sz="4" w:space="0" w:color="auto"/>
              <w:bottom w:val="single" w:sz="4" w:space="0" w:color="auto"/>
              <w:right w:val="single" w:sz="4" w:space="0" w:color="auto"/>
            </w:tcBorders>
            <w:vAlign w:val="center"/>
          </w:tcPr>
          <w:p w:rsidR="00CA6D5F" w:rsidRPr="00117616" w:rsidP="00E6304F" w14:paraId="1B09B0EB" w14:textId="0C46DE1E">
            <w:pPr>
              <w:pStyle w:val="naiskr"/>
              <w:spacing w:before="40" w:beforeAutospacing="0" w:after="40" w:afterAutospacing="0"/>
              <w:ind w:left="57" w:right="57" w:firstLine="284"/>
              <w:jc w:val="both"/>
            </w:pPr>
            <w:r w:rsidRPr="00117616">
              <w:rPr>
                <w:bCs/>
              </w:rPr>
              <w:t xml:space="preserve">Budžeta ieņēmumi ir </w:t>
            </w:r>
            <w:r w:rsidRPr="00117616" w:rsidR="00396912">
              <w:rPr>
                <w:bCs/>
              </w:rPr>
              <w:t xml:space="preserve">finansējuma </w:t>
            </w:r>
            <w:r w:rsidRPr="00117616" w:rsidR="00D46D55">
              <w:rPr>
                <w:color w:val="000000"/>
              </w:rPr>
              <w:t>Eiropas Sociālā fonda</w:t>
            </w:r>
            <w:r w:rsidRPr="00117616">
              <w:rPr>
                <w:bCs/>
              </w:rPr>
              <w:t xml:space="preserve"> </w:t>
            </w:r>
            <w:r w:rsidRPr="00117616" w:rsidR="00396912">
              <w:t xml:space="preserve">(turpmāk – ESF) </w:t>
            </w:r>
            <w:r w:rsidRPr="00117616">
              <w:rPr>
                <w:bCs/>
              </w:rPr>
              <w:t xml:space="preserve">daļa </w:t>
            </w:r>
            <w:r w:rsidRPr="00117616" w:rsidR="00396912">
              <w:t>85% apmērā no projekta attiecināmajām izmaksām</w:t>
            </w:r>
            <w:r w:rsidRPr="00117616" w:rsidR="00396912">
              <w:rPr>
                <w:bCs/>
              </w:rPr>
              <w:t xml:space="preserve"> </w:t>
            </w:r>
            <w:r w:rsidRPr="00117616">
              <w:rPr>
                <w:bCs/>
              </w:rPr>
              <w:t xml:space="preserve">un budžeta izdevumi ir kopējie nepieciešamie </w:t>
            </w:r>
            <w:r w:rsidRPr="00117616">
              <w:rPr>
                <w:bCs/>
              </w:rPr>
              <w:t xml:space="preserve">līdzekļi attiecīgajā gadā. </w:t>
            </w:r>
            <w:r w:rsidRPr="00117616" w:rsidR="009F6E4C">
              <w:rPr>
                <w:color w:val="000000"/>
              </w:rPr>
              <w:t>L</w:t>
            </w:r>
            <w:r w:rsidRPr="00117616">
              <w:t xml:space="preserve">ai nodrošinātu </w:t>
            </w:r>
            <w:r w:rsidRPr="00117616" w:rsidR="00D46D55">
              <w:t xml:space="preserve">Eiropas Savienības fondu 2014.-2020.gada plānošanas perioda  ESF 9.2.3. specifiskā atbalsta mērķa "Atbalstīt prioritāro (sirds un asinsvadu, onkoloģijas, perinatālā un </w:t>
            </w:r>
            <w:r w:rsidRPr="00117616" w:rsidR="00D46D55">
              <w:t>neonatālā</w:t>
            </w:r>
            <w:r w:rsidRPr="00117616" w:rsidR="00D46D55">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 ietvaros </w:t>
            </w:r>
            <w:r w:rsidRPr="00117616">
              <w:t xml:space="preserve">paredzēto pasākumu īstenošanu Veselības ministrijas </w:t>
            </w:r>
            <w:r w:rsidRPr="00117616" w:rsidR="00D46D55">
              <w:t>budžeta programmas 63</w:t>
            </w:r>
            <w:r w:rsidRPr="00117616">
              <w:t>.0</w:t>
            </w:r>
            <w:r w:rsidRPr="00117616" w:rsidR="00D46D55">
              <w:t>0</w:t>
            </w:r>
            <w:r w:rsidRPr="00117616">
              <w:t>.00 „</w:t>
            </w:r>
            <w:r w:rsidRPr="00117616" w:rsidR="00D46D55">
              <w:t>Eiropas Sociālā fonda (ESF) projektu un pasākumu īstenošana</w:t>
            </w:r>
            <w:r w:rsidRPr="00117616">
              <w:t xml:space="preserve">” </w:t>
            </w:r>
            <w:r w:rsidRPr="00117616" w:rsidR="00D46D55">
              <w:t>apakšprogrammā 63</w:t>
            </w:r>
            <w:r w:rsidRPr="00117616">
              <w:t>.0</w:t>
            </w:r>
            <w:r w:rsidRPr="00117616" w:rsidR="00D46D55">
              <w:t>7</w:t>
            </w:r>
            <w:r w:rsidRPr="00117616">
              <w:t>.00 „</w:t>
            </w:r>
            <w:r w:rsidRPr="00117616" w:rsidR="00D46D55">
              <w:t>Eiropas Sociālā fonda (ESF) projektu īstenošana (2014-2020)</w:t>
            </w:r>
            <w:r w:rsidRPr="00117616">
              <w:t>” (turpmāk – 6</w:t>
            </w:r>
            <w:r w:rsidRPr="00117616" w:rsidR="00D46D55">
              <w:t>3</w:t>
            </w:r>
            <w:r w:rsidRPr="00117616">
              <w:t>.0</w:t>
            </w:r>
            <w:r w:rsidRPr="00117616" w:rsidR="00D46D55">
              <w:t>7</w:t>
            </w:r>
            <w:r w:rsidRPr="00117616">
              <w:t xml:space="preserve">.00 apakšprogramma) </w:t>
            </w:r>
            <w:r w:rsidRPr="00117616" w:rsidR="009F6E4C">
              <w:t xml:space="preserve">2018.gadā </w:t>
            </w:r>
            <w:r w:rsidRPr="00117616" w:rsidR="00D46D55">
              <w:t xml:space="preserve">tika pārdalīti valsts budžeta līdzekļi </w:t>
            </w:r>
            <w:r w:rsidRPr="00117616" w:rsidR="009F6E4C">
              <w:t>2 237</w:t>
            </w:r>
            <w:r w:rsidRPr="00117616">
              <w:t> </w:t>
            </w:r>
            <w:r w:rsidRPr="00117616" w:rsidR="009F6E4C">
              <w:t>139</w:t>
            </w:r>
            <w:r w:rsidRPr="00117616">
              <w:t xml:space="preserve"> </w:t>
            </w:r>
            <w:r w:rsidRPr="00117616" w:rsidR="00D46D55">
              <w:rPr>
                <w:i/>
              </w:rPr>
              <w:t>euro</w:t>
            </w:r>
            <w:r w:rsidRPr="00117616">
              <w:t xml:space="preserve"> apmērā.</w:t>
            </w:r>
          </w:p>
          <w:p w:rsidR="00CA6D5F" w:rsidRPr="00117616" w:rsidP="00E6304F" w14:paraId="5DD4EEED" w14:textId="1D270912">
            <w:pPr>
              <w:pStyle w:val="naiskr"/>
              <w:spacing w:before="40" w:beforeAutospacing="0" w:after="40" w:afterAutospacing="0"/>
              <w:ind w:left="57" w:right="57" w:firstLine="284"/>
              <w:jc w:val="both"/>
              <w:rPr>
                <w:bCs/>
              </w:rPr>
            </w:pPr>
            <w:r w:rsidRPr="00117616">
              <w:t xml:space="preserve">Savukārt, </w:t>
            </w:r>
            <w:r w:rsidRPr="00117616" w:rsidR="00396912">
              <w:t>specifiskā atbalsta kopējais finansējums (</w:t>
            </w:r>
            <w:r w:rsidRPr="00117616" w:rsidR="00396912">
              <w:rPr>
                <w:i/>
              </w:rPr>
              <w:t>kopējās attiecināmās izmaksas</w:t>
            </w:r>
            <w:r w:rsidRPr="00117616" w:rsidR="00396912">
              <w:t xml:space="preserve">) ir 4 609 777 </w:t>
            </w:r>
            <w:r w:rsidRPr="00117616" w:rsidR="00396912">
              <w:rPr>
                <w:i/>
              </w:rPr>
              <w:t>euro</w:t>
            </w:r>
            <w:r w:rsidRPr="00117616" w:rsidR="00396912">
              <w:t xml:space="preserve">, tai skaitā ESF finansējums – 3 918 310 </w:t>
            </w:r>
            <w:r w:rsidRPr="00117616" w:rsidR="00396912">
              <w:rPr>
                <w:i/>
              </w:rPr>
              <w:t>euro</w:t>
            </w:r>
            <w:r w:rsidRPr="00117616" w:rsidR="00396912">
              <w:t xml:space="preserve"> apmērā un valsts budžeta finansējums 691 467 </w:t>
            </w:r>
            <w:r w:rsidRPr="00117616" w:rsidR="00396912">
              <w:rPr>
                <w:i/>
              </w:rPr>
              <w:t>euro</w:t>
            </w:r>
            <w:r w:rsidRPr="00117616" w:rsidR="00396912">
              <w:t xml:space="preserve"> apmērā. </w:t>
            </w:r>
            <w:r w:rsidRPr="00117616">
              <w:t xml:space="preserve"> </w:t>
            </w:r>
            <w:r w:rsidRPr="00117616" w:rsidR="00396912">
              <w:t>ESF</w:t>
            </w:r>
            <w:r w:rsidRPr="00117616">
              <w:t xml:space="preserve"> finansējuma</w:t>
            </w:r>
            <w:r w:rsidRPr="00117616">
              <w:rPr>
                <w:bCs/>
              </w:rPr>
              <w:t xml:space="preserve"> </w:t>
            </w:r>
            <w:r w:rsidRPr="00117616">
              <w:t>maksimālais</w:t>
            </w:r>
            <w:r w:rsidRPr="00117616">
              <w:rPr>
                <w:bCs/>
              </w:rPr>
              <w:t xml:space="preserve"> apmērs ir 8</w:t>
            </w:r>
            <w:r w:rsidRPr="00117616" w:rsidR="00396912">
              <w:rPr>
                <w:bCs/>
              </w:rPr>
              <w:t>5</w:t>
            </w:r>
            <w:r w:rsidRPr="00117616">
              <w:rPr>
                <w:bCs/>
              </w:rPr>
              <w:t xml:space="preserve">% jeb </w:t>
            </w:r>
            <w:r w:rsidRPr="00117616" w:rsidR="00396912">
              <w:t>3</w:t>
            </w:r>
            <w:r w:rsidRPr="00117616">
              <w:t> </w:t>
            </w:r>
            <w:r w:rsidRPr="00117616" w:rsidR="00396912">
              <w:t>918</w:t>
            </w:r>
            <w:r w:rsidRPr="00117616">
              <w:t xml:space="preserve"> </w:t>
            </w:r>
            <w:r w:rsidRPr="00117616" w:rsidR="00396912">
              <w:t>310</w:t>
            </w:r>
            <w:r w:rsidRPr="00117616">
              <w:t xml:space="preserve"> </w:t>
            </w:r>
            <w:r w:rsidRPr="00117616" w:rsidR="00396912">
              <w:rPr>
                <w:i/>
              </w:rPr>
              <w:t>euro</w:t>
            </w:r>
            <w:r w:rsidRPr="00117616">
              <w:rPr>
                <w:bCs/>
              </w:rPr>
              <w:t xml:space="preserve"> un valsts budžeta līdzfinansējums </w:t>
            </w:r>
            <w:r w:rsidRPr="00117616" w:rsidR="00396912">
              <w:t>691</w:t>
            </w:r>
            <w:r w:rsidRPr="00117616">
              <w:t> </w:t>
            </w:r>
            <w:r w:rsidRPr="00117616" w:rsidR="00396912">
              <w:t>467</w:t>
            </w:r>
            <w:r w:rsidRPr="00117616">
              <w:t xml:space="preserve"> </w:t>
            </w:r>
            <w:r w:rsidRPr="00117616" w:rsidR="00396912">
              <w:rPr>
                <w:i/>
              </w:rPr>
              <w:t>euro</w:t>
            </w:r>
            <w:r w:rsidRPr="00117616">
              <w:rPr>
                <w:bCs/>
              </w:rPr>
              <w:t>.</w:t>
            </w:r>
          </w:p>
          <w:p w:rsidR="00E71B49" w:rsidRPr="00117616" w:rsidP="00E71B49" w14:paraId="624FEE44" w14:textId="14CE110C">
            <w:pPr>
              <w:pStyle w:val="naiskr"/>
              <w:spacing w:before="40" w:beforeAutospacing="0" w:after="40" w:afterAutospacing="0"/>
              <w:ind w:left="57" w:right="57" w:firstLine="284"/>
              <w:jc w:val="both"/>
              <w:rPr>
                <w:bCs/>
              </w:rPr>
            </w:pPr>
            <w:r w:rsidRPr="00117616">
              <w:t xml:space="preserve">Specifiskā atbalsta </w:t>
            </w:r>
            <w:r w:rsidRPr="00117616">
              <w:rPr>
                <w:bCs/>
              </w:rPr>
              <w:t xml:space="preserve">ieviešana uzsākta 2014.gadā un tā ietvaros </w:t>
            </w:r>
            <w:r w:rsidRPr="00117616">
              <w:t xml:space="preserve">projekta Nr.9.2.3.0/15/I/001 “Veselības tīklu attīstības vadlīniju un kvalitātes nodrošināšanas sistēmas izstrāde un ieviešana prioritāro veselības jomu ietvaros” (turpmāk - projekts) īstenošanai </w:t>
            </w:r>
            <w:r>
              <w:t xml:space="preserve">2014.-2017.gadā tika piesaistīts </w:t>
            </w:r>
            <w:r w:rsidRPr="00117616">
              <w:t>finansējum</w:t>
            </w:r>
            <w:r>
              <w:t xml:space="preserve">s 3 615 151 </w:t>
            </w:r>
            <w:r w:rsidRPr="00B038FD">
              <w:rPr>
                <w:i/>
              </w:rPr>
              <w:t>euro</w:t>
            </w:r>
            <w:r>
              <w:t xml:space="preserve"> apmērā, </w:t>
            </w:r>
            <w:r w:rsidRPr="00117616">
              <w:rPr>
                <w:bCs/>
              </w:rPr>
              <w:t>tai skaitā ESF līdzfinansējums</w:t>
            </w:r>
            <w:r>
              <w:rPr>
                <w:bCs/>
              </w:rPr>
              <w:t xml:space="preserve"> – 3 072 877,35 </w:t>
            </w:r>
            <w:r w:rsidRPr="00B038FD">
              <w:rPr>
                <w:bCs/>
                <w:i/>
              </w:rPr>
              <w:t>euro</w:t>
            </w:r>
            <w:r>
              <w:t xml:space="preserve"> un </w:t>
            </w:r>
            <w:r w:rsidRPr="00117616">
              <w:rPr>
                <w:bCs/>
              </w:rPr>
              <w:t xml:space="preserve">valsts budžeta finansējums –  </w:t>
            </w:r>
            <w:r>
              <w:rPr>
                <w:bCs/>
              </w:rPr>
              <w:t>542 273</w:t>
            </w:r>
            <w:r w:rsidRPr="00117616">
              <w:rPr>
                <w:bCs/>
              </w:rPr>
              <w:t>,</w:t>
            </w:r>
            <w:r>
              <w:rPr>
                <w:bCs/>
              </w:rPr>
              <w:t>65</w:t>
            </w:r>
            <w:r w:rsidRPr="00117616">
              <w:rPr>
                <w:bCs/>
              </w:rPr>
              <w:t xml:space="preserve"> </w:t>
            </w:r>
            <w:r w:rsidRPr="00117616">
              <w:rPr>
                <w:i/>
              </w:rPr>
              <w:t>euro</w:t>
            </w:r>
            <w:r>
              <w:t xml:space="preserve">. Savukārt, no 2014.-2017.gadā piešķirtajiem valsts budžeta līdzekļiem tika apgūts 1 703 709,90 </w:t>
            </w:r>
            <w:r w:rsidRPr="00E104A8">
              <w:rPr>
                <w:i/>
              </w:rPr>
              <w:t>euro</w:t>
            </w:r>
            <w:r>
              <w:t xml:space="preserve">, </w:t>
            </w:r>
            <w:r w:rsidRPr="00117616">
              <w:t xml:space="preserve">tai skaitā ESF finansējums – </w:t>
            </w:r>
            <w:r>
              <w:t>1 448 153</w:t>
            </w:r>
            <w:r w:rsidRPr="00117616">
              <w:t>,</w:t>
            </w:r>
            <w:r>
              <w:t>39</w:t>
            </w:r>
            <w:r w:rsidRPr="00117616">
              <w:t xml:space="preserve"> </w:t>
            </w:r>
            <w:r w:rsidRPr="00117616">
              <w:rPr>
                <w:i/>
              </w:rPr>
              <w:t>euro</w:t>
            </w:r>
            <w:r w:rsidRPr="00117616">
              <w:rPr>
                <w:i/>
              </w:rPr>
              <w:t xml:space="preserve"> </w:t>
            </w:r>
            <w:r w:rsidRPr="00117616">
              <w:t xml:space="preserve">un valsts budžeta finansējums – </w:t>
            </w:r>
            <w:r>
              <w:t>255 556</w:t>
            </w:r>
            <w:r w:rsidRPr="00117616">
              <w:t>,</w:t>
            </w:r>
            <w:r>
              <w:t>51</w:t>
            </w:r>
            <w:r w:rsidRPr="00117616">
              <w:t xml:space="preserve"> </w:t>
            </w:r>
            <w:r w:rsidRPr="00117616">
              <w:rPr>
                <w:i/>
              </w:rPr>
              <w:t>euro</w:t>
            </w:r>
            <w:r>
              <w:t xml:space="preserve">. Turpmākajos gados plānots </w:t>
            </w:r>
            <w:r w:rsidRPr="00117616">
              <w:rPr>
                <w:bCs/>
              </w:rPr>
              <w:t>piesaist</w:t>
            </w:r>
            <w:r>
              <w:rPr>
                <w:bCs/>
              </w:rPr>
              <w:t>īt</w:t>
            </w:r>
            <w:r w:rsidRPr="00117616">
              <w:rPr>
                <w:bCs/>
              </w:rPr>
              <w:t>:</w:t>
            </w:r>
          </w:p>
          <w:p w:rsidR="002C1586" w:rsidRPr="00117616" w:rsidP="00B50B61" w14:paraId="7AE05E77" w14:textId="7839B867">
            <w:pPr>
              <w:numPr>
                <w:ilvl w:val="0"/>
                <w:numId w:val="3"/>
              </w:numPr>
              <w:jc w:val="both"/>
              <w:rPr>
                <w:bCs/>
              </w:rPr>
            </w:pPr>
            <w:r w:rsidRPr="00117616">
              <w:rPr>
                <w:bCs/>
              </w:rPr>
              <w:t xml:space="preserve">Projekta īstenošanai </w:t>
            </w:r>
            <w:r w:rsidRPr="00117616">
              <w:rPr>
                <w:b/>
                <w:bCs/>
                <w:u w:val="single"/>
              </w:rPr>
              <w:t>201</w:t>
            </w:r>
            <w:r w:rsidRPr="00117616" w:rsidR="00F270D4">
              <w:rPr>
                <w:b/>
                <w:bCs/>
                <w:u w:val="single"/>
              </w:rPr>
              <w:t>8</w:t>
            </w:r>
            <w:r w:rsidRPr="00117616">
              <w:rPr>
                <w:b/>
                <w:bCs/>
                <w:u w:val="single"/>
              </w:rPr>
              <w:t>.gadā</w:t>
            </w:r>
            <w:r w:rsidRPr="00117616">
              <w:rPr>
                <w:bCs/>
              </w:rPr>
              <w:t xml:space="preserve"> </w:t>
            </w:r>
            <w:r w:rsidRPr="00117616">
              <w:rPr>
                <w:bCs/>
              </w:rPr>
              <w:t>tika</w:t>
            </w:r>
            <w:r w:rsidRPr="00117616">
              <w:rPr>
                <w:bCs/>
              </w:rPr>
              <w:t xml:space="preserve"> piesaistīt</w:t>
            </w:r>
            <w:r w:rsidRPr="00117616">
              <w:rPr>
                <w:bCs/>
              </w:rPr>
              <w:t>s</w:t>
            </w:r>
            <w:r w:rsidRPr="00117616">
              <w:rPr>
                <w:bCs/>
              </w:rPr>
              <w:t xml:space="preserve"> </w:t>
            </w:r>
            <w:r w:rsidRPr="00117616">
              <w:rPr>
                <w:bCs/>
              </w:rPr>
              <w:t>2</w:t>
            </w:r>
            <w:r w:rsidRPr="00117616" w:rsidR="00DC5CD8">
              <w:t> </w:t>
            </w:r>
            <w:r w:rsidRPr="00117616">
              <w:t>237</w:t>
            </w:r>
            <w:r w:rsidRPr="00117616" w:rsidR="00DC5CD8">
              <w:t> </w:t>
            </w:r>
            <w:r w:rsidRPr="00117616">
              <w:t>139</w:t>
            </w:r>
            <w:r w:rsidRPr="00117616" w:rsidR="00DC5CD8">
              <w:t xml:space="preserve">,00 </w:t>
            </w:r>
            <w:r w:rsidRPr="00117616" w:rsidR="00DC5CD8">
              <w:rPr>
                <w:i/>
              </w:rPr>
              <w:t>euro</w:t>
            </w:r>
            <w:r w:rsidRPr="00117616" w:rsidR="00DC5CD8">
              <w:rPr>
                <w:i/>
              </w:rPr>
              <w:t xml:space="preserve">,  </w:t>
            </w:r>
            <w:r w:rsidRPr="00117616" w:rsidR="00DC5CD8">
              <w:t>tai skaitā</w:t>
            </w:r>
            <w:r w:rsidRPr="00117616" w:rsidR="00DC5CD8">
              <w:rPr>
                <w:bCs/>
              </w:rPr>
              <w:t xml:space="preserve"> </w:t>
            </w:r>
            <w:r w:rsidRPr="00117616">
              <w:rPr>
                <w:bCs/>
              </w:rPr>
              <w:t>E</w:t>
            </w:r>
            <w:r w:rsidRPr="00117616" w:rsidR="00F270D4">
              <w:rPr>
                <w:bCs/>
              </w:rPr>
              <w:t>S</w:t>
            </w:r>
            <w:r w:rsidRPr="00117616">
              <w:rPr>
                <w:bCs/>
              </w:rPr>
              <w:t>F  līdzfinansējum</w:t>
            </w:r>
            <w:r w:rsidRPr="00117616" w:rsidR="009F6E4C">
              <w:rPr>
                <w:bCs/>
              </w:rPr>
              <w:t>s</w:t>
            </w:r>
            <w:r w:rsidRPr="00117616">
              <w:t xml:space="preserve"> </w:t>
            </w:r>
            <w:r w:rsidRPr="00117616">
              <w:rPr>
                <w:bCs/>
              </w:rPr>
              <w:t>(</w:t>
            </w:r>
            <w:r w:rsidRPr="00117616" w:rsidR="00F270D4">
              <w:rPr>
                <w:bCs/>
              </w:rPr>
              <w:t>63.07.00 apakšprogrammas ietvaros</w:t>
            </w:r>
            <w:r w:rsidRPr="00117616">
              <w:rPr>
                <w:bCs/>
              </w:rPr>
              <w:t>)</w:t>
            </w:r>
            <w:r w:rsidRPr="00117616" w:rsidR="00595FF6">
              <w:t xml:space="preserve"> </w:t>
            </w:r>
            <w:r w:rsidRPr="00117616" w:rsidR="00595FF6">
              <w:rPr>
                <w:bCs/>
              </w:rPr>
              <w:t xml:space="preserve">– </w:t>
            </w:r>
            <w:r w:rsidRPr="00117616" w:rsidR="00F270D4">
              <w:rPr>
                <w:bCs/>
              </w:rPr>
              <w:t>1</w:t>
            </w:r>
            <w:r w:rsidRPr="00117616">
              <w:t> </w:t>
            </w:r>
            <w:r w:rsidRPr="00117616">
              <w:t>901</w:t>
            </w:r>
            <w:r w:rsidRPr="00117616" w:rsidR="00DC5CD8">
              <w:t> </w:t>
            </w:r>
            <w:r w:rsidRPr="00117616">
              <w:t>568</w:t>
            </w:r>
            <w:r w:rsidRPr="00117616" w:rsidR="00DC5CD8">
              <w:t>,</w:t>
            </w:r>
            <w:r w:rsidRPr="00117616">
              <w:t>15</w:t>
            </w:r>
            <w:r w:rsidRPr="00117616">
              <w:t xml:space="preserve"> </w:t>
            </w:r>
            <w:r w:rsidRPr="00117616" w:rsidR="00F270D4">
              <w:rPr>
                <w:i/>
              </w:rPr>
              <w:t>euro</w:t>
            </w:r>
            <w:r w:rsidRPr="00117616">
              <w:rPr>
                <w:bCs/>
              </w:rPr>
              <w:t xml:space="preserve"> apmērā un valsts budžeta finansējum</w:t>
            </w:r>
            <w:r w:rsidRPr="00117616" w:rsidR="009F6E4C">
              <w:rPr>
                <w:bCs/>
              </w:rPr>
              <w:t>s</w:t>
            </w:r>
            <w:r w:rsidRPr="00117616" w:rsidR="00595FF6">
              <w:rPr>
                <w:bCs/>
              </w:rPr>
              <w:t xml:space="preserve"> – </w:t>
            </w:r>
            <w:r w:rsidRPr="00117616">
              <w:t>335</w:t>
            </w:r>
            <w:r w:rsidRPr="00117616" w:rsidR="00DC5CD8">
              <w:t> </w:t>
            </w:r>
            <w:r w:rsidRPr="00117616">
              <w:t>570</w:t>
            </w:r>
            <w:r w:rsidRPr="00117616" w:rsidR="00DC5CD8">
              <w:t>,</w:t>
            </w:r>
            <w:r w:rsidRPr="00117616">
              <w:t>85</w:t>
            </w:r>
            <w:r w:rsidRPr="00117616" w:rsidR="00DC5CD8">
              <w:rPr>
                <w:i/>
              </w:rPr>
              <w:t xml:space="preserve"> </w:t>
            </w:r>
            <w:r w:rsidRPr="00117616" w:rsidR="00DC5CD8">
              <w:rPr>
                <w:i/>
              </w:rPr>
              <w:t>e</w:t>
            </w:r>
            <w:r w:rsidRPr="00117616" w:rsidR="00F270D4">
              <w:rPr>
                <w:i/>
              </w:rPr>
              <w:t>uro</w:t>
            </w:r>
            <w:r w:rsidRPr="00117616">
              <w:rPr>
                <w:bCs/>
              </w:rPr>
              <w:t xml:space="preserve"> apmērā</w:t>
            </w:r>
            <w:r w:rsidRPr="00117616" w:rsidR="00DC5CD8">
              <w:rPr>
                <w:bCs/>
              </w:rPr>
              <w:t>.</w:t>
            </w:r>
            <w:r w:rsidRPr="00117616" w:rsidR="003E5AEA">
              <w:rPr>
                <w:bCs/>
              </w:rPr>
              <w:t xml:space="preserve"> </w:t>
            </w:r>
            <w:r w:rsidRPr="00117616">
              <w:rPr>
                <w:bCs/>
              </w:rPr>
              <w:t xml:space="preserve">Ņemot vērā, ka  </w:t>
            </w:r>
            <w:r w:rsidRPr="00117616">
              <w:t>tika veiktas konceptuālās izmaiņas kvalitātes nodrošināšanas sistēmas izveidē, paredzot jaunu projekta darbību un pagarinot projekta īstenošanas termiņu līdz 2021.gada 31.decembrim, ieplānotais</w:t>
            </w:r>
            <w:r w:rsidRPr="00117616">
              <w:rPr>
                <w:bCs/>
              </w:rPr>
              <w:t xml:space="preserve"> 2018.gadā apgūstamais finansējums 2018.gadā tiks apgūts tikai 848 325,00 </w:t>
            </w:r>
            <w:r w:rsidRPr="00117616">
              <w:rPr>
                <w:i/>
              </w:rPr>
              <w:t>euro</w:t>
            </w:r>
            <w:r w:rsidRPr="00117616">
              <w:rPr>
                <w:i/>
              </w:rPr>
              <w:t xml:space="preserve"> </w:t>
            </w:r>
            <w:r w:rsidRPr="00117616">
              <w:t xml:space="preserve">apmērā, tai skaitā ESF finansējumu – 721 076,25 </w:t>
            </w:r>
            <w:r w:rsidRPr="00117616">
              <w:rPr>
                <w:i/>
              </w:rPr>
              <w:t>euro</w:t>
            </w:r>
            <w:r w:rsidRPr="00117616">
              <w:rPr>
                <w:i/>
              </w:rPr>
              <w:t xml:space="preserve"> </w:t>
            </w:r>
            <w:r w:rsidRPr="00117616">
              <w:t xml:space="preserve">un valsts budžeta finansējumu – 127 248,75 </w:t>
            </w:r>
            <w:r w:rsidRPr="00117616">
              <w:rPr>
                <w:i/>
              </w:rPr>
              <w:t>euro</w:t>
            </w:r>
            <w:r w:rsidRPr="00117616">
              <w:rPr>
                <w:bCs/>
              </w:rPr>
              <w:t xml:space="preserve">.  Atlikušais finansējums 1 388 814,00 </w:t>
            </w:r>
            <w:r w:rsidRPr="00117616">
              <w:rPr>
                <w:i/>
              </w:rPr>
              <w:t>euro</w:t>
            </w:r>
            <w:r w:rsidRPr="00117616">
              <w:rPr>
                <w:i/>
              </w:rPr>
              <w:t xml:space="preserve"> </w:t>
            </w:r>
            <w:r w:rsidRPr="00117616">
              <w:t xml:space="preserve">apmērā, tai skaitā ESF finansējumu – 1 180 491,90 </w:t>
            </w:r>
            <w:r w:rsidRPr="00117616">
              <w:rPr>
                <w:i/>
              </w:rPr>
              <w:t>euro</w:t>
            </w:r>
            <w:r w:rsidRPr="00117616">
              <w:rPr>
                <w:i/>
              </w:rPr>
              <w:t xml:space="preserve"> </w:t>
            </w:r>
            <w:r w:rsidRPr="00117616">
              <w:t xml:space="preserve">un valsts budžeta finansējumu – 208 322,10 </w:t>
            </w:r>
            <w:r w:rsidRPr="00117616">
              <w:rPr>
                <w:i/>
              </w:rPr>
              <w:t>euro</w:t>
            </w:r>
            <w:r w:rsidRPr="00117616">
              <w:rPr>
                <w:bCs/>
              </w:rPr>
              <w:t xml:space="preserve"> atbilstoši MK noteikumu Nr.464 noteiktajā kārtībā tiks pārdalīts citu Veselības ministrijas administrējamo Eiropas Sociālā fonda specifisko atbalsta mērķu pasākumu īstenošanai 2018.gadā vai atgriezts </w:t>
            </w:r>
            <w:r w:rsidRPr="00117616">
              <w:rPr>
                <w:color w:val="000000"/>
              </w:rPr>
              <w:t xml:space="preserve">74.resora "Gadskārtējā valsts budžeta izpildes procesā </w:t>
            </w:r>
            <w:r w:rsidRPr="00117616">
              <w:t>pārdalāmais</w:t>
            </w:r>
            <w:r w:rsidRPr="00117616">
              <w:rPr>
                <w:color w:val="000000"/>
              </w:rPr>
              <w:t xml:space="preserve"> finansējums” 80.00.00 </w:t>
            </w:r>
            <w:r w:rsidRPr="00117616">
              <w:t>programmā</w:t>
            </w:r>
          </w:p>
          <w:p w:rsidR="00CA6D5F" w:rsidRPr="00117616" w:rsidP="00595FF6" w14:paraId="3FE5C0C7" w14:textId="028D5397">
            <w:pPr>
              <w:numPr>
                <w:ilvl w:val="0"/>
                <w:numId w:val="3"/>
              </w:numPr>
              <w:jc w:val="both"/>
              <w:rPr>
                <w:bCs/>
              </w:rPr>
            </w:pPr>
            <w:r w:rsidRPr="00117616">
              <w:rPr>
                <w:bCs/>
              </w:rPr>
              <w:t xml:space="preserve">Projekta īstenošanai </w:t>
            </w:r>
            <w:r w:rsidRPr="00117616">
              <w:rPr>
                <w:b/>
                <w:bCs/>
                <w:u w:val="single"/>
              </w:rPr>
              <w:t>201</w:t>
            </w:r>
            <w:r w:rsidRPr="00117616" w:rsidR="00F270D4">
              <w:rPr>
                <w:b/>
                <w:bCs/>
                <w:u w:val="single"/>
              </w:rPr>
              <w:t>9</w:t>
            </w:r>
            <w:r w:rsidRPr="00117616">
              <w:rPr>
                <w:b/>
                <w:bCs/>
                <w:u w:val="single"/>
              </w:rPr>
              <w:t>.gadā</w:t>
            </w:r>
            <w:r w:rsidRPr="00117616">
              <w:rPr>
                <w:bCs/>
              </w:rPr>
              <w:t xml:space="preserve"> plānots piesaistīt </w:t>
            </w:r>
            <w:r w:rsidRPr="00117616" w:rsidR="009F6E4C">
              <w:rPr>
                <w:bCs/>
              </w:rPr>
              <w:t>1 163</w:t>
            </w:r>
            <w:r w:rsidRPr="00117616" w:rsidR="00595FF6">
              <w:rPr>
                <w:bCs/>
              </w:rPr>
              <w:t> </w:t>
            </w:r>
            <w:r w:rsidRPr="00117616" w:rsidR="009F6E4C">
              <w:rPr>
                <w:bCs/>
              </w:rPr>
              <w:t>376</w:t>
            </w:r>
            <w:r w:rsidRPr="00117616" w:rsidR="00595FF6">
              <w:rPr>
                <w:bCs/>
              </w:rPr>
              <w:t>,00</w:t>
            </w:r>
            <w:r w:rsidRPr="00117616" w:rsidR="00DC5CD8">
              <w:rPr>
                <w:bCs/>
              </w:rPr>
              <w:t xml:space="preserve"> </w:t>
            </w:r>
            <w:r w:rsidRPr="00117616" w:rsidR="00DC5CD8">
              <w:rPr>
                <w:i/>
              </w:rPr>
              <w:t>euro</w:t>
            </w:r>
            <w:r w:rsidRPr="00117616" w:rsidR="00DC5CD8">
              <w:rPr>
                <w:i/>
              </w:rPr>
              <w:t xml:space="preserve">, </w:t>
            </w:r>
            <w:r w:rsidRPr="00117616" w:rsidR="00DC5CD8">
              <w:t>tai skaitā</w:t>
            </w:r>
            <w:r w:rsidRPr="00117616" w:rsidR="00DC5CD8">
              <w:rPr>
                <w:bCs/>
              </w:rPr>
              <w:t xml:space="preserve"> </w:t>
            </w:r>
            <w:r w:rsidRPr="00117616">
              <w:rPr>
                <w:bCs/>
              </w:rPr>
              <w:t>E</w:t>
            </w:r>
            <w:r w:rsidRPr="00117616" w:rsidR="00F270D4">
              <w:rPr>
                <w:bCs/>
              </w:rPr>
              <w:t>S</w:t>
            </w:r>
            <w:r w:rsidRPr="00117616">
              <w:rPr>
                <w:bCs/>
              </w:rPr>
              <w:t>F  līdzfinansējumu</w:t>
            </w:r>
            <w:r w:rsidRPr="00117616">
              <w:t xml:space="preserve"> </w:t>
            </w:r>
            <w:r w:rsidRPr="00117616">
              <w:rPr>
                <w:bCs/>
              </w:rPr>
              <w:t>(</w:t>
            </w:r>
            <w:r w:rsidRPr="00117616" w:rsidR="00F270D4">
              <w:rPr>
                <w:bCs/>
              </w:rPr>
              <w:t>63.07.00 apakšprogrammas ietvaros</w:t>
            </w:r>
            <w:r w:rsidRPr="00117616">
              <w:rPr>
                <w:bCs/>
              </w:rPr>
              <w:t xml:space="preserve">) </w:t>
            </w:r>
            <w:r w:rsidRPr="00117616" w:rsidR="00595FF6">
              <w:rPr>
                <w:bCs/>
              </w:rPr>
              <w:t xml:space="preserve">– </w:t>
            </w:r>
            <w:r w:rsidRPr="00117616" w:rsidR="009F6E4C">
              <w:rPr>
                <w:bCs/>
              </w:rPr>
              <w:t>988</w:t>
            </w:r>
            <w:r w:rsidRPr="00117616" w:rsidR="00F270D4">
              <w:rPr>
                <w:bCs/>
              </w:rPr>
              <w:t> </w:t>
            </w:r>
            <w:r w:rsidRPr="00117616" w:rsidR="009F6E4C">
              <w:rPr>
                <w:bCs/>
              </w:rPr>
              <w:t>869</w:t>
            </w:r>
            <w:r w:rsidRPr="00117616" w:rsidR="00F270D4">
              <w:rPr>
                <w:bCs/>
              </w:rPr>
              <w:t>,</w:t>
            </w:r>
            <w:r w:rsidRPr="00117616" w:rsidR="009F6E4C">
              <w:rPr>
                <w:bCs/>
              </w:rPr>
              <w:t>60</w:t>
            </w:r>
            <w:r w:rsidRPr="00117616">
              <w:t xml:space="preserve"> </w:t>
            </w:r>
            <w:r w:rsidRPr="00117616" w:rsidR="00F270D4">
              <w:rPr>
                <w:i/>
              </w:rPr>
              <w:t>euro</w:t>
            </w:r>
            <w:r w:rsidRPr="00117616">
              <w:rPr>
                <w:bCs/>
              </w:rPr>
              <w:t xml:space="preserve"> apmērā un valsts budžeta finansējum</w:t>
            </w:r>
            <w:r w:rsidRPr="00117616" w:rsidR="00DC5CD8">
              <w:rPr>
                <w:bCs/>
              </w:rPr>
              <w:t>u</w:t>
            </w:r>
            <w:r w:rsidRPr="00117616" w:rsidR="00595FF6">
              <w:rPr>
                <w:bCs/>
              </w:rPr>
              <w:t xml:space="preserve"> – </w:t>
            </w:r>
            <w:r w:rsidRPr="00117616" w:rsidR="009F6E4C">
              <w:t>174</w:t>
            </w:r>
            <w:r w:rsidRPr="00117616" w:rsidR="00F270D4">
              <w:t> </w:t>
            </w:r>
            <w:r w:rsidRPr="00117616" w:rsidR="009F6E4C">
              <w:t>506</w:t>
            </w:r>
            <w:r w:rsidRPr="00117616" w:rsidR="00F270D4">
              <w:t>,</w:t>
            </w:r>
            <w:r w:rsidRPr="00117616" w:rsidR="009F6E4C">
              <w:t>4</w:t>
            </w:r>
            <w:r w:rsidRPr="00117616" w:rsidR="00F270D4">
              <w:t>0</w:t>
            </w:r>
            <w:r w:rsidRPr="00117616">
              <w:t xml:space="preserve"> </w:t>
            </w:r>
            <w:r w:rsidRPr="00117616" w:rsidR="00F270D4">
              <w:rPr>
                <w:i/>
              </w:rPr>
              <w:t>euro</w:t>
            </w:r>
            <w:r w:rsidRPr="00117616">
              <w:rPr>
                <w:bCs/>
              </w:rPr>
              <w:t xml:space="preserve"> apmērā.</w:t>
            </w:r>
            <w:r w:rsidRPr="00117616" w:rsidR="005C65B3">
              <w:rPr>
                <w:bCs/>
              </w:rPr>
              <w:t xml:space="preserve"> </w:t>
            </w:r>
            <w:r w:rsidRPr="00117616" w:rsidR="005C65B3">
              <w:t>Finansējums 2019.gadam tiks iestrādāts budžeta ilgtermiņa saistībās.</w:t>
            </w:r>
          </w:p>
          <w:p w:rsidR="00F270D4" w:rsidRPr="00117616" w:rsidP="00595FF6" w14:paraId="377DF9BF" w14:textId="20092335">
            <w:pPr>
              <w:numPr>
                <w:ilvl w:val="0"/>
                <w:numId w:val="3"/>
              </w:numPr>
              <w:jc w:val="both"/>
              <w:rPr>
                <w:bCs/>
              </w:rPr>
            </w:pPr>
            <w:r w:rsidRPr="00117616">
              <w:rPr>
                <w:bCs/>
              </w:rPr>
              <w:t xml:space="preserve">Projekta īstenošanai </w:t>
            </w:r>
            <w:r w:rsidRPr="00117616">
              <w:rPr>
                <w:b/>
                <w:bCs/>
                <w:u w:val="single"/>
              </w:rPr>
              <w:t>2020.gadā</w:t>
            </w:r>
            <w:r w:rsidRPr="00117616">
              <w:rPr>
                <w:bCs/>
              </w:rPr>
              <w:t xml:space="preserve"> plānots piesaistīt </w:t>
            </w:r>
            <w:r w:rsidRPr="00117616" w:rsidR="009F6E4C">
              <w:rPr>
                <w:bCs/>
              </w:rPr>
              <w:t>605</w:t>
            </w:r>
            <w:r w:rsidRPr="00117616" w:rsidR="00595FF6">
              <w:rPr>
                <w:bCs/>
              </w:rPr>
              <w:t> </w:t>
            </w:r>
            <w:r w:rsidRPr="00117616" w:rsidR="009F6E4C">
              <w:rPr>
                <w:bCs/>
              </w:rPr>
              <w:t>931</w:t>
            </w:r>
            <w:r w:rsidRPr="00117616" w:rsidR="00595FF6">
              <w:rPr>
                <w:bCs/>
              </w:rPr>
              <w:t>,00</w:t>
            </w:r>
            <w:r w:rsidRPr="00117616" w:rsidR="00DC5CD8">
              <w:rPr>
                <w:bCs/>
              </w:rPr>
              <w:t xml:space="preserve"> </w:t>
            </w:r>
            <w:r w:rsidRPr="00117616" w:rsidR="00DC5CD8">
              <w:rPr>
                <w:i/>
              </w:rPr>
              <w:t>euro</w:t>
            </w:r>
            <w:r w:rsidRPr="00117616" w:rsidR="00DC5CD8">
              <w:rPr>
                <w:bCs/>
              </w:rPr>
              <w:t>,</w:t>
            </w:r>
            <w:r w:rsidR="004A44CA">
              <w:rPr>
                <w:bCs/>
              </w:rPr>
              <w:t xml:space="preserve"> </w:t>
            </w:r>
            <w:r w:rsidRPr="00117616" w:rsidR="00DC5CD8">
              <w:rPr>
                <w:bCs/>
              </w:rPr>
              <w:t xml:space="preserve">tai skaitā </w:t>
            </w:r>
            <w:r w:rsidRPr="00117616">
              <w:rPr>
                <w:bCs/>
              </w:rPr>
              <w:t>ESF  līdzfinansējumu</w:t>
            </w:r>
            <w:r w:rsidRPr="00117616">
              <w:t xml:space="preserve"> </w:t>
            </w:r>
            <w:r w:rsidRPr="00117616">
              <w:rPr>
                <w:bCs/>
              </w:rPr>
              <w:t xml:space="preserve">(63.07.00 apakšprogrammas ietvaros) </w:t>
            </w:r>
            <w:r w:rsidRPr="00117616" w:rsidR="00595FF6">
              <w:rPr>
                <w:bCs/>
              </w:rPr>
              <w:t xml:space="preserve">– </w:t>
            </w:r>
            <w:r w:rsidRPr="00117616" w:rsidR="009F6E4C">
              <w:rPr>
                <w:bCs/>
              </w:rPr>
              <w:t>515</w:t>
            </w:r>
            <w:r w:rsidRPr="00117616">
              <w:rPr>
                <w:bCs/>
              </w:rPr>
              <w:t> </w:t>
            </w:r>
            <w:r w:rsidRPr="00117616" w:rsidR="009F6E4C">
              <w:rPr>
                <w:bCs/>
              </w:rPr>
              <w:t>041</w:t>
            </w:r>
            <w:r w:rsidRPr="00117616">
              <w:rPr>
                <w:bCs/>
              </w:rPr>
              <w:t>,</w:t>
            </w:r>
            <w:r w:rsidRPr="00117616" w:rsidR="009F6E4C">
              <w:rPr>
                <w:bCs/>
              </w:rPr>
              <w:t>35</w:t>
            </w:r>
            <w:r w:rsidRPr="00117616">
              <w:t xml:space="preserve"> </w:t>
            </w:r>
            <w:r w:rsidRPr="00117616">
              <w:rPr>
                <w:i/>
              </w:rPr>
              <w:t>euro</w:t>
            </w:r>
            <w:r w:rsidRPr="00117616">
              <w:rPr>
                <w:bCs/>
              </w:rPr>
              <w:t xml:space="preserve"> apmērā un valsts budžeta finansējums</w:t>
            </w:r>
            <w:r w:rsidRPr="00117616" w:rsidR="00595FF6">
              <w:rPr>
                <w:bCs/>
              </w:rPr>
              <w:t xml:space="preserve"> – </w:t>
            </w:r>
            <w:r w:rsidRPr="00117616" w:rsidR="009F6E4C">
              <w:t>90</w:t>
            </w:r>
            <w:r w:rsidRPr="00117616">
              <w:t> </w:t>
            </w:r>
            <w:r w:rsidRPr="00117616" w:rsidR="009F6E4C">
              <w:t>889</w:t>
            </w:r>
            <w:r w:rsidRPr="00117616">
              <w:t>,</w:t>
            </w:r>
            <w:r w:rsidRPr="00117616" w:rsidR="009F6E4C">
              <w:t>65</w:t>
            </w:r>
            <w:r w:rsidRPr="00117616">
              <w:t xml:space="preserve"> </w:t>
            </w:r>
            <w:r w:rsidRPr="00117616">
              <w:rPr>
                <w:i/>
              </w:rPr>
              <w:t>euro</w:t>
            </w:r>
            <w:r w:rsidRPr="00117616">
              <w:rPr>
                <w:bCs/>
              </w:rPr>
              <w:t xml:space="preserve"> apmērā.</w:t>
            </w:r>
            <w:r w:rsidRPr="00117616" w:rsidR="005C65B3">
              <w:rPr>
                <w:bCs/>
              </w:rPr>
              <w:t xml:space="preserve"> </w:t>
            </w:r>
            <w:r w:rsidRPr="00117616" w:rsidR="005C65B3">
              <w:t>Finansējums 2020.gadam tiks iestrādāts budžeta ilgtermiņa saistībās.</w:t>
            </w:r>
          </w:p>
          <w:p w:rsidR="00432C7E" w:rsidRPr="00117616" w:rsidP="00595FF6" w14:paraId="467E5CDD" w14:textId="0B0B839E">
            <w:pPr>
              <w:numPr>
                <w:ilvl w:val="0"/>
                <w:numId w:val="3"/>
              </w:numPr>
              <w:jc w:val="both"/>
              <w:rPr>
                <w:bCs/>
              </w:rPr>
            </w:pPr>
            <w:r w:rsidRPr="00117616">
              <w:rPr>
                <w:bCs/>
              </w:rPr>
              <w:t xml:space="preserve">Projekta īstenošanai </w:t>
            </w:r>
            <w:r w:rsidRPr="00117616">
              <w:rPr>
                <w:b/>
                <w:bCs/>
                <w:u w:val="single"/>
              </w:rPr>
              <w:t>2021.gadā</w:t>
            </w:r>
            <w:r w:rsidRPr="00117616">
              <w:rPr>
                <w:bCs/>
              </w:rPr>
              <w:t xml:space="preserve"> plānots piesaistīt </w:t>
            </w:r>
            <w:r w:rsidRPr="00117616" w:rsidR="009F6E4C">
              <w:rPr>
                <w:bCs/>
              </w:rPr>
              <w:t>262</w:t>
            </w:r>
            <w:r w:rsidRPr="00117616" w:rsidR="00DC5CD8">
              <w:rPr>
                <w:bCs/>
              </w:rPr>
              <w:t> </w:t>
            </w:r>
            <w:r w:rsidRPr="00117616" w:rsidR="009F6E4C">
              <w:rPr>
                <w:bCs/>
              </w:rPr>
              <w:t>188</w:t>
            </w:r>
            <w:r w:rsidRPr="00117616" w:rsidR="00DC5CD8">
              <w:rPr>
                <w:bCs/>
              </w:rPr>
              <w:t>,0</w:t>
            </w:r>
            <w:r w:rsidRPr="00117616" w:rsidR="009F6E4C">
              <w:rPr>
                <w:bCs/>
              </w:rPr>
              <w:t>0</w:t>
            </w:r>
            <w:r w:rsidRPr="00117616" w:rsidR="00DC5CD8">
              <w:rPr>
                <w:bCs/>
              </w:rPr>
              <w:t xml:space="preserve"> </w:t>
            </w:r>
            <w:r w:rsidRPr="00117616" w:rsidR="00DC5CD8">
              <w:rPr>
                <w:i/>
              </w:rPr>
              <w:t>euro</w:t>
            </w:r>
            <w:r w:rsidRPr="00117616" w:rsidR="00DC5CD8">
              <w:rPr>
                <w:bCs/>
              </w:rPr>
              <w:t xml:space="preserve">, tai skaitā </w:t>
            </w:r>
            <w:r w:rsidRPr="00117616">
              <w:rPr>
                <w:bCs/>
              </w:rPr>
              <w:t>ESF  līdzfinansējumu</w:t>
            </w:r>
            <w:r w:rsidRPr="00117616">
              <w:t xml:space="preserve"> </w:t>
            </w:r>
            <w:r w:rsidRPr="00117616">
              <w:rPr>
                <w:bCs/>
              </w:rPr>
              <w:t>(63.07.00 apakšprogrammas ietvaros)</w:t>
            </w:r>
            <w:r w:rsidRPr="00117616" w:rsidR="00595FF6">
              <w:t xml:space="preserve"> </w:t>
            </w:r>
            <w:r w:rsidRPr="00117616" w:rsidR="00595FF6">
              <w:rPr>
                <w:bCs/>
              </w:rPr>
              <w:t xml:space="preserve">– </w:t>
            </w:r>
            <w:r w:rsidRPr="00117616" w:rsidR="009F6E4C">
              <w:rPr>
                <w:bCs/>
              </w:rPr>
              <w:t>222</w:t>
            </w:r>
            <w:r w:rsidRPr="00117616">
              <w:rPr>
                <w:bCs/>
              </w:rPr>
              <w:t> </w:t>
            </w:r>
            <w:r w:rsidRPr="00117616" w:rsidR="009F6E4C">
              <w:rPr>
                <w:bCs/>
              </w:rPr>
              <w:t>859</w:t>
            </w:r>
            <w:r w:rsidRPr="00117616">
              <w:rPr>
                <w:bCs/>
              </w:rPr>
              <w:t>,</w:t>
            </w:r>
            <w:r w:rsidRPr="00117616" w:rsidR="009F6E4C">
              <w:rPr>
                <w:bCs/>
              </w:rPr>
              <w:t>80</w:t>
            </w:r>
            <w:r w:rsidRPr="00117616">
              <w:t xml:space="preserve"> </w:t>
            </w:r>
            <w:r w:rsidRPr="00117616">
              <w:rPr>
                <w:i/>
              </w:rPr>
              <w:t>euro</w:t>
            </w:r>
            <w:r w:rsidRPr="00117616">
              <w:rPr>
                <w:bCs/>
              </w:rPr>
              <w:t xml:space="preserve"> apmērā un valsts budžeta finansējums </w:t>
            </w:r>
            <w:r w:rsidRPr="00117616" w:rsidR="00595FF6">
              <w:rPr>
                <w:bCs/>
              </w:rPr>
              <w:t xml:space="preserve">– </w:t>
            </w:r>
            <w:r w:rsidRPr="00117616" w:rsidR="009F6E4C">
              <w:t>39</w:t>
            </w:r>
            <w:r w:rsidRPr="00117616" w:rsidR="00C438CC">
              <w:t> </w:t>
            </w:r>
            <w:r w:rsidRPr="00117616" w:rsidR="009F6E4C">
              <w:t>328</w:t>
            </w:r>
            <w:r w:rsidRPr="00117616" w:rsidR="00C438CC">
              <w:t>,</w:t>
            </w:r>
            <w:r w:rsidRPr="00117616" w:rsidR="009F6E4C">
              <w:t>20</w:t>
            </w:r>
            <w:r w:rsidRPr="00117616">
              <w:t xml:space="preserve"> </w:t>
            </w:r>
            <w:r w:rsidRPr="00117616">
              <w:rPr>
                <w:i/>
              </w:rPr>
              <w:t>euro</w:t>
            </w:r>
            <w:r w:rsidRPr="00117616">
              <w:rPr>
                <w:bCs/>
              </w:rPr>
              <w:t xml:space="preserve"> apmērā.</w:t>
            </w:r>
            <w:r w:rsidRPr="00117616" w:rsidR="005C65B3">
              <w:rPr>
                <w:bCs/>
              </w:rPr>
              <w:t xml:space="preserve"> </w:t>
            </w:r>
            <w:r w:rsidRPr="00117616" w:rsidR="005C65B3">
              <w:t>Finansējums 202</w:t>
            </w:r>
            <w:r w:rsidRPr="00117616" w:rsidR="00C438CC">
              <w:t>1</w:t>
            </w:r>
            <w:r w:rsidRPr="00117616" w:rsidR="005C65B3">
              <w:t>.gadam tiks iestrādāts budžeta ilgtermiņa saistībās.</w:t>
            </w:r>
          </w:p>
          <w:p w:rsidR="00C26355" w:rsidRPr="00117616" w:rsidP="00C26355" w14:paraId="60408C16" w14:textId="6303E30B">
            <w:pPr>
              <w:numPr>
                <w:ilvl w:val="0"/>
                <w:numId w:val="3"/>
              </w:numPr>
              <w:jc w:val="both"/>
              <w:rPr>
                <w:bCs/>
              </w:rPr>
            </w:pPr>
            <w:r w:rsidRPr="00117616">
              <w:rPr>
                <w:bCs/>
              </w:rPr>
              <w:t xml:space="preserve">Projekta īstenošanai </w:t>
            </w:r>
            <w:r w:rsidRPr="00117616">
              <w:rPr>
                <w:b/>
                <w:bCs/>
                <w:u w:val="single"/>
              </w:rPr>
              <w:t>2022.gadā</w:t>
            </w:r>
            <w:r w:rsidRPr="00117616">
              <w:rPr>
                <w:bCs/>
              </w:rPr>
              <w:t xml:space="preserve"> šobrīd netiek plānots piesaistīt finansējumu</w:t>
            </w:r>
            <w:r w:rsidRPr="00117616" w:rsidR="00862C38">
              <w:rPr>
                <w:bCs/>
              </w:rPr>
              <w:t>, jo plānots, ka visas darbības tiks īstenotas līdz 2021.gada 31.decembrim, gadījumā, ja projekta ieviešanai būs nepieciešams izmantot termiņu līdz 2022.gada 31.decembrim, būs jāizmanto iepriekšējos gados neapgūtais finansējums</w:t>
            </w:r>
            <w:r w:rsidR="004A44CA">
              <w:t xml:space="preserve"> attiecīgi par veicamajām darbībām.</w:t>
            </w:r>
          </w:p>
          <w:p w:rsidR="003E5AEA" w:rsidRPr="00117616" w:rsidP="003E5AEA" w14:paraId="3D1A0379" w14:textId="4240AECA">
            <w:pPr>
              <w:ind w:left="360"/>
              <w:jc w:val="both"/>
              <w:rPr>
                <w:bCs/>
              </w:rPr>
            </w:pPr>
          </w:p>
        </w:tc>
      </w:tr>
      <w:tr w14:paraId="1FA72CD1" w14:textId="77777777" w:rsidTr="004F6F02">
        <w:tblPrEx>
          <w:tblW w:w="9214" w:type="dxa"/>
          <w:tblInd w:w="-5" w:type="dxa"/>
          <w:tblLayout w:type="fixed"/>
          <w:tblLook w:val="01E0"/>
        </w:tblPrEx>
        <w:tc>
          <w:tcPr>
            <w:tcW w:w="2807" w:type="dxa"/>
            <w:tcBorders>
              <w:top w:val="single" w:sz="4" w:space="0" w:color="auto"/>
              <w:left w:val="single" w:sz="4" w:space="0" w:color="auto"/>
              <w:bottom w:val="single" w:sz="4" w:space="0" w:color="auto"/>
              <w:right w:val="single" w:sz="4" w:space="0" w:color="auto"/>
            </w:tcBorders>
            <w:hideMark/>
          </w:tcPr>
          <w:p w:rsidR="00432C7E" w:rsidRPr="00117616" w:rsidP="00617007" w14:paraId="7B433768" w14:textId="77777777">
            <w:r w:rsidRPr="00117616">
              <w:t>6. 1. detalizēts ieņēmumu aprēķins</w:t>
            </w:r>
          </w:p>
        </w:tc>
        <w:tc>
          <w:tcPr>
            <w:tcW w:w="6407" w:type="dxa"/>
            <w:gridSpan w:val="5"/>
            <w:vMerge/>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5CB17A21" w14:textId="77777777"/>
        </w:tc>
      </w:tr>
      <w:tr w14:paraId="1D19195F" w14:textId="77777777" w:rsidTr="004F6F02">
        <w:tblPrEx>
          <w:tblW w:w="9214" w:type="dxa"/>
          <w:tblInd w:w="-5" w:type="dxa"/>
          <w:tblLayout w:type="fixed"/>
          <w:tblLook w:val="01E0"/>
        </w:tblPrEx>
        <w:tc>
          <w:tcPr>
            <w:tcW w:w="2807" w:type="dxa"/>
            <w:tcBorders>
              <w:top w:val="single" w:sz="4" w:space="0" w:color="auto"/>
              <w:left w:val="single" w:sz="4" w:space="0" w:color="auto"/>
              <w:bottom w:val="single" w:sz="4" w:space="0" w:color="auto"/>
              <w:right w:val="single" w:sz="4" w:space="0" w:color="auto"/>
            </w:tcBorders>
            <w:hideMark/>
          </w:tcPr>
          <w:p w:rsidR="00432C7E" w:rsidRPr="00117616" w:rsidP="00617007" w14:paraId="6B6F05D2" w14:textId="77777777">
            <w:r w:rsidRPr="00117616">
              <w:t>6. 2. apakšpunktu detalizēts izdevumu aprēķins</w:t>
            </w:r>
          </w:p>
        </w:tc>
        <w:tc>
          <w:tcPr>
            <w:tcW w:w="6407" w:type="dxa"/>
            <w:gridSpan w:val="5"/>
            <w:vMerge/>
            <w:tcBorders>
              <w:top w:val="single" w:sz="4" w:space="0" w:color="auto"/>
              <w:left w:val="single" w:sz="4" w:space="0" w:color="auto"/>
              <w:bottom w:val="single" w:sz="4" w:space="0" w:color="auto"/>
              <w:right w:val="single" w:sz="4" w:space="0" w:color="auto"/>
            </w:tcBorders>
            <w:vAlign w:val="center"/>
            <w:hideMark/>
          </w:tcPr>
          <w:p w:rsidR="00432C7E" w:rsidRPr="00117616" w:rsidP="00617007" w14:paraId="1D3F3676" w14:textId="77777777"/>
        </w:tc>
      </w:tr>
      <w:tr w14:paraId="2607A10B" w14:textId="77777777" w:rsidTr="004F6F02">
        <w:tblPrEx>
          <w:tblW w:w="9214" w:type="dxa"/>
          <w:tblInd w:w="-5" w:type="dxa"/>
          <w:tblLayout w:type="fixed"/>
          <w:tblLook w:val="01E0"/>
        </w:tblPrEx>
        <w:trPr>
          <w:trHeight w:val="556"/>
        </w:trPr>
        <w:tc>
          <w:tcPr>
            <w:tcW w:w="2807" w:type="dxa"/>
            <w:tcBorders>
              <w:top w:val="single" w:sz="4" w:space="0" w:color="auto"/>
              <w:left w:val="single" w:sz="4" w:space="0" w:color="auto"/>
              <w:bottom w:val="single" w:sz="4" w:space="0" w:color="auto"/>
              <w:right w:val="single" w:sz="4" w:space="0" w:color="auto"/>
            </w:tcBorders>
            <w:hideMark/>
          </w:tcPr>
          <w:p w:rsidR="00432C7E" w:rsidRPr="00117616" w:rsidP="00617007" w14:paraId="66EF1672" w14:textId="77777777">
            <w:r w:rsidRPr="00117616">
              <w:t>7. Cita informācija</w:t>
            </w:r>
          </w:p>
        </w:tc>
        <w:tc>
          <w:tcPr>
            <w:tcW w:w="6407" w:type="dxa"/>
            <w:gridSpan w:val="5"/>
            <w:tcBorders>
              <w:top w:val="single" w:sz="4" w:space="0" w:color="auto"/>
              <w:left w:val="single" w:sz="4" w:space="0" w:color="auto"/>
              <w:bottom w:val="single" w:sz="4" w:space="0" w:color="auto"/>
              <w:right w:val="single" w:sz="4" w:space="0" w:color="auto"/>
            </w:tcBorders>
            <w:hideMark/>
          </w:tcPr>
          <w:p w:rsidR="00432C7E" w:rsidRPr="00117616" w:rsidP="00617007" w14:paraId="7D3CF172" w14:textId="685B0418">
            <w:pPr>
              <w:pStyle w:val="naiskr"/>
              <w:spacing w:before="40" w:beforeAutospacing="0" w:after="40" w:afterAutospacing="0"/>
              <w:ind w:left="57" w:right="57" w:firstLine="284"/>
              <w:jc w:val="both"/>
              <w:rPr>
                <w:b/>
                <w:i/>
              </w:rPr>
            </w:pPr>
            <w:r>
              <w:t xml:space="preserve">Saskaņā ar </w:t>
            </w:r>
            <w:r w:rsidRPr="00117616">
              <w:t>MK noteikumi Nr.666</w:t>
            </w:r>
            <w:r>
              <w:t xml:space="preserve"> </w:t>
            </w:r>
            <w:r w:rsidRPr="0002636E">
              <w:t>7.3.apakšpunktā noteikto, specifiskā atbalsta mērķa ietvaros noteikts finanšu rādītājs – līdz 2018. gadam sertificēti izdevumi 4 348 638 </w:t>
            </w:r>
            <w:r w:rsidRPr="0002636E">
              <w:t>euro</w:t>
            </w:r>
            <w:r w:rsidRPr="0002636E">
              <w:t> apmērā. Ņemot vērā kopējos kavējumus projekta ietvaros ir identificēts risks nesasniegt šo rādītāju, attiecīgi Veselības ministrija ir ierosinājusi grozījumus darbības progr</w:t>
            </w:r>
            <w:r w:rsidR="00C41918">
              <w:t xml:space="preserve">ammā “Izaugsme un nodarbinātība”. Attiecīgi ar </w:t>
            </w:r>
            <w:r w:rsidRPr="007D10F6" w:rsidR="00C41918">
              <w:t>Eiropas Savienības fondu uzraudzības komitejas 2018.gada 25.janvāra lēmumu Nr.L-2018/02 “Par darbības programmā “Izaugsme un nodarbinātība” grozījumu Nr.3 apstiprināšanu”” grozījum</w:t>
            </w:r>
            <w:r w:rsidR="00C41918">
              <w:t>i</w:t>
            </w:r>
            <w:r w:rsidRPr="007D10F6" w:rsidR="00C41918">
              <w:t xml:space="preserve"> </w:t>
            </w:r>
            <w:r w:rsidR="00C41918">
              <w:t xml:space="preserve">tiek </w:t>
            </w:r>
            <w:r w:rsidR="00C41918">
              <w:rPr>
                <w:color w:val="000000"/>
                <w:shd w:val="clear" w:color="auto" w:fill="FFFFFF"/>
              </w:rPr>
              <w:t>virzīti</w:t>
            </w:r>
            <w:r w:rsidRPr="007D10F6" w:rsidR="00C41918">
              <w:rPr>
                <w:color w:val="000000"/>
                <w:shd w:val="clear" w:color="auto" w:fill="FFFFFF"/>
              </w:rPr>
              <w:t xml:space="preserve"> apstiprināšanai Ministru kabineta sēdē līdz februāra vidum un pēc tam attiecīgi </w:t>
            </w:r>
            <w:r w:rsidR="00C41918">
              <w:rPr>
                <w:color w:val="000000"/>
                <w:shd w:val="clear" w:color="auto" w:fill="FFFFFF"/>
              </w:rPr>
              <w:t xml:space="preserve">tiks iesniegti </w:t>
            </w:r>
            <w:r w:rsidRPr="007D10F6" w:rsidR="00C41918">
              <w:rPr>
                <w:color w:val="000000"/>
                <w:shd w:val="clear" w:color="auto" w:fill="FFFFFF"/>
              </w:rPr>
              <w:t xml:space="preserve">apstiprināšanai Eiropas Komisijai, </w:t>
            </w:r>
            <w:r w:rsidRPr="007D10F6" w:rsidR="00C41918">
              <w:t>ir ierosināts grozīt s</w:t>
            </w:r>
            <w:r w:rsidRPr="007D10F6" w:rsidR="00C41918">
              <w:rPr>
                <w:rFonts w:eastAsiaTheme="minorHAnsi"/>
              </w:rPr>
              <w:t>tarpposma vērtību 2018. gadam: sertificētie izdevumi 1 326 600 EUR</w:t>
            </w:r>
            <w:r w:rsidR="00C41918">
              <w:rPr>
                <w:rFonts w:eastAsiaTheme="minorHAnsi"/>
              </w:rPr>
              <w:t>.</w:t>
            </w:r>
          </w:p>
        </w:tc>
      </w:tr>
    </w:tbl>
    <w:p w:rsidR="00513043" w:rsidRPr="00117616" w:rsidP="003735C6" w14:paraId="49018E17" w14:textId="77777777"/>
    <w:p w:rsidR="00835E58" w:rsidRPr="00117616" w:rsidP="00835E58" w14:paraId="5BB4DF32" w14:textId="72BA09E1">
      <w:pPr>
        <w:pStyle w:val="naisnod"/>
        <w:spacing w:before="0" w:beforeAutospacing="0" w:after="0" w:afterAutospacing="0"/>
        <w:ind w:left="57" w:right="57"/>
        <w:rPr>
          <w:b/>
        </w:rPr>
      </w:pPr>
      <w:r w:rsidRPr="00117616">
        <w:rPr>
          <w:b/>
        </w:rPr>
        <w:t>Anotācijas IV, V un VI sadaļas – projekts šo jomu neskar.</w:t>
      </w:r>
    </w:p>
    <w:p w:rsidR="00C1591C" w:rsidRPr="00117616" w:rsidP="003735C6" w14:paraId="44E36F02" w14:textId="77777777"/>
    <w:p w:rsidR="00513043" w:rsidRPr="00117616" w:rsidP="003735C6" w14:paraId="64268481" w14:textId="77777777"/>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12"/>
        <w:gridCol w:w="3249"/>
        <w:gridCol w:w="5353"/>
      </w:tblGrid>
      <w:tr w14:paraId="4C2170C2" w14:textId="77777777" w:rsidTr="00432C7E">
        <w:tblPrEx>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trPr>
        <w:tc>
          <w:tcPr>
            <w:tcW w:w="9214" w:type="dxa"/>
            <w:gridSpan w:val="3"/>
            <w:vAlign w:val="center"/>
          </w:tcPr>
          <w:p w:rsidR="003735C6" w:rsidRPr="00117616" w:rsidP="0009253D" w14:paraId="34B62E78" w14:textId="77777777">
            <w:pPr>
              <w:pStyle w:val="naisnod"/>
              <w:spacing w:before="0" w:beforeAutospacing="0" w:after="0" w:afterAutospacing="0"/>
              <w:ind w:left="57" w:right="57"/>
              <w:jc w:val="center"/>
              <w:rPr>
                <w:b/>
              </w:rPr>
            </w:pPr>
            <w:r w:rsidRPr="00117616">
              <w:rPr>
                <w:b/>
              </w:rPr>
              <w:t>VII</w:t>
            </w:r>
            <w:r w:rsidRPr="00117616" w:rsidR="00D46E0B">
              <w:rPr>
                <w:b/>
              </w:rPr>
              <w:t xml:space="preserve">. </w:t>
            </w:r>
            <w:r w:rsidRPr="00117616">
              <w:rPr>
                <w:b/>
              </w:rPr>
              <w:t>Tiesību akta projekta izpildes nodrošināšana un tās ietekme uz institūcijām</w:t>
            </w:r>
          </w:p>
        </w:tc>
      </w:tr>
      <w:tr w14:paraId="1C854DF5" w14:textId="77777777" w:rsidTr="00432C7E">
        <w:tblPrEx>
          <w:tblW w:w="9214" w:type="dxa"/>
          <w:tblInd w:w="-147" w:type="dxa"/>
          <w:tblCellMar>
            <w:top w:w="28" w:type="dxa"/>
            <w:left w:w="28" w:type="dxa"/>
            <w:bottom w:w="28" w:type="dxa"/>
            <w:right w:w="28" w:type="dxa"/>
          </w:tblCellMar>
          <w:tblLook w:val="0000"/>
        </w:tblPrEx>
        <w:trPr>
          <w:trHeight w:val="427"/>
        </w:trPr>
        <w:tc>
          <w:tcPr>
            <w:tcW w:w="612" w:type="dxa"/>
          </w:tcPr>
          <w:p w:rsidR="00D3577B" w:rsidRPr="00117616" w:rsidP="00D3577B" w14:paraId="39EFA109" w14:textId="77777777">
            <w:pPr>
              <w:pStyle w:val="naisnod"/>
              <w:spacing w:before="0" w:beforeAutospacing="0" w:after="0" w:afterAutospacing="0"/>
              <w:ind w:left="57" w:right="57"/>
              <w:jc w:val="both"/>
            </w:pPr>
            <w:r w:rsidRPr="00117616">
              <w:t xml:space="preserve">1. </w:t>
            </w:r>
          </w:p>
        </w:tc>
        <w:tc>
          <w:tcPr>
            <w:tcW w:w="3249" w:type="dxa"/>
          </w:tcPr>
          <w:p w:rsidR="00D3577B" w:rsidRPr="00117616" w:rsidP="00D3577B" w14:paraId="3901B8F3" w14:textId="77777777">
            <w:pPr>
              <w:pStyle w:val="naisf"/>
              <w:spacing w:before="0" w:beforeAutospacing="0" w:after="0" w:afterAutospacing="0"/>
              <w:ind w:left="57" w:right="57"/>
              <w:rPr>
                <w:lang w:val="lv-LV"/>
              </w:rPr>
            </w:pPr>
            <w:r w:rsidRPr="00117616">
              <w:rPr>
                <w:lang w:val="lv-LV"/>
              </w:rPr>
              <w:t>Projekta izpildē iesaistītās institūcijas</w:t>
            </w:r>
          </w:p>
        </w:tc>
        <w:tc>
          <w:tcPr>
            <w:tcW w:w="5353" w:type="dxa"/>
          </w:tcPr>
          <w:p w:rsidR="00D3577B" w:rsidRPr="00117616" w:rsidP="00D3577B" w14:paraId="12212496" w14:textId="77777777">
            <w:pPr>
              <w:pStyle w:val="naiskr"/>
              <w:spacing w:before="40" w:beforeAutospacing="0" w:after="40" w:afterAutospacing="0"/>
              <w:ind w:left="57" w:right="57" w:firstLine="284"/>
              <w:jc w:val="both"/>
            </w:pPr>
            <w:bookmarkStart w:id="11" w:name="p66"/>
            <w:bookmarkStart w:id="12" w:name="p67"/>
            <w:bookmarkStart w:id="13" w:name="p68"/>
            <w:bookmarkStart w:id="14" w:name="p69"/>
            <w:bookmarkEnd w:id="11"/>
            <w:bookmarkEnd w:id="12"/>
            <w:bookmarkEnd w:id="13"/>
            <w:bookmarkEnd w:id="14"/>
            <w:r w:rsidRPr="00117616">
              <w:rPr>
                <w:szCs w:val="28"/>
              </w:rPr>
              <w:t>Atbildīgās</w:t>
            </w:r>
            <w:r w:rsidRPr="00117616">
              <w:t xml:space="preserve"> iestādes funkcijas pilda Veselības ministrija, sadarbības iestādes funkcijas – Centrālā finanšu un līgumu aģentūra. Projekta iesniedzējs ir Nacionālais veselības dienests. Projekta sadarbības partneri ir Veselības ministrija un tās padotības iestādes Veselības inspekcija, Neatliekamās </w:t>
            </w:r>
            <w:r w:rsidRPr="00117616">
              <w:t>medicīniskās palīdzības dienests un Slimību profilakses un kontroles centrs.</w:t>
            </w:r>
          </w:p>
        </w:tc>
      </w:tr>
      <w:tr w14:paraId="2FA5F8A1" w14:textId="77777777" w:rsidTr="00432C7E">
        <w:tblPrEx>
          <w:tblW w:w="9214" w:type="dxa"/>
          <w:tblInd w:w="-147" w:type="dxa"/>
          <w:tblCellMar>
            <w:top w:w="28" w:type="dxa"/>
            <w:left w:w="28" w:type="dxa"/>
            <w:bottom w:w="28" w:type="dxa"/>
            <w:right w:w="28" w:type="dxa"/>
          </w:tblCellMar>
          <w:tblLook w:val="0000"/>
        </w:tblPrEx>
        <w:trPr>
          <w:trHeight w:val="463"/>
        </w:trPr>
        <w:tc>
          <w:tcPr>
            <w:tcW w:w="612" w:type="dxa"/>
          </w:tcPr>
          <w:p w:rsidR="00D3577B" w:rsidRPr="00117616" w:rsidP="00D3577B" w14:paraId="410C8413" w14:textId="77777777">
            <w:pPr>
              <w:pStyle w:val="naisnod"/>
              <w:spacing w:before="0" w:beforeAutospacing="0" w:after="0" w:afterAutospacing="0"/>
              <w:ind w:left="57" w:right="57"/>
              <w:jc w:val="both"/>
            </w:pPr>
            <w:r w:rsidRPr="00117616">
              <w:t xml:space="preserve">2. </w:t>
            </w:r>
          </w:p>
        </w:tc>
        <w:tc>
          <w:tcPr>
            <w:tcW w:w="3249" w:type="dxa"/>
          </w:tcPr>
          <w:p w:rsidR="00D3577B" w:rsidRPr="00117616" w:rsidP="00D3577B" w14:paraId="18339F1A" w14:textId="77777777">
            <w:pPr>
              <w:pStyle w:val="naisf"/>
              <w:spacing w:before="0" w:beforeAutospacing="0" w:after="0" w:afterAutospacing="0"/>
              <w:ind w:left="57" w:right="57"/>
              <w:rPr>
                <w:lang w:val="lv-LV"/>
              </w:rPr>
            </w:pPr>
            <w:r w:rsidRPr="00117616">
              <w:rPr>
                <w:lang w:val="lv-LV"/>
              </w:rPr>
              <w:t>Projekta izpildes ietekme uz pār</w:t>
            </w:r>
            <w:r w:rsidRPr="00117616">
              <w:rPr>
                <w:lang w:val="lv-LV"/>
              </w:rPr>
              <w:softHyphen/>
              <w:t xml:space="preserve">valdes funkcijām un institucionālo struktūru. </w:t>
            </w:r>
          </w:p>
          <w:p w:rsidR="00D3577B" w:rsidRPr="00117616" w:rsidP="00D3577B" w14:paraId="0F6B65E4" w14:textId="77777777">
            <w:pPr>
              <w:pStyle w:val="naisf"/>
              <w:spacing w:before="0" w:beforeAutospacing="0" w:after="0" w:afterAutospacing="0"/>
              <w:ind w:left="57" w:right="57"/>
              <w:rPr>
                <w:lang w:val="lv-LV"/>
              </w:rPr>
            </w:pPr>
            <w:r w:rsidRPr="00117616">
              <w:rPr>
                <w:lang w:val="lv-LV"/>
              </w:rPr>
              <w:t>Jaunu institūciju izveide, esošu institūciju likvidācija vai reorga</w:t>
            </w:r>
            <w:r w:rsidRPr="00117616">
              <w:rPr>
                <w:lang w:val="lv-LV"/>
              </w:rPr>
              <w:softHyphen/>
              <w:t>nizācija, to ietekme uz institūcijas cilvēkresursiem</w:t>
            </w:r>
          </w:p>
        </w:tc>
        <w:tc>
          <w:tcPr>
            <w:tcW w:w="5353" w:type="dxa"/>
          </w:tcPr>
          <w:p w:rsidR="00D3577B" w:rsidRPr="00117616" w:rsidP="00D3577B" w14:paraId="26308D35" w14:textId="77777777">
            <w:pPr>
              <w:pStyle w:val="naiskr"/>
              <w:spacing w:before="40" w:beforeAutospacing="0" w:after="40" w:afterAutospacing="0"/>
              <w:ind w:left="57" w:right="57" w:firstLine="284"/>
              <w:jc w:val="both"/>
            </w:pPr>
            <w:r w:rsidRPr="00117616">
              <w:t>Ar MK noteikumu projektu noteiktie institūciju  pienākumi  tiks veikti esošo finanšu un darbinieku kapacitātes ietvaros, nepalielinot kopējās izmaksas.</w:t>
            </w:r>
          </w:p>
        </w:tc>
      </w:tr>
      <w:tr w14:paraId="2B6296E9" w14:textId="77777777" w:rsidTr="00432C7E">
        <w:tblPrEx>
          <w:tblW w:w="9214" w:type="dxa"/>
          <w:tblInd w:w="-147" w:type="dxa"/>
          <w:tblCellMar>
            <w:top w:w="28" w:type="dxa"/>
            <w:left w:w="28" w:type="dxa"/>
            <w:bottom w:w="28" w:type="dxa"/>
            <w:right w:w="28" w:type="dxa"/>
          </w:tblCellMar>
          <w:tblLook w:val="0000"/>
        </w:tblPrEx>
        <w:trPr>
          <w:trHeight w:val="402"/>
        </w:trPr>
        <w:tc>
          <w:tcPr>
            <w:tcW w:w="612" w:type="dxa"/>
            <w:tcBorders>
              <w:top w:val="single" w:sz="4" w:space="0" w:color="auto"/>
              <w:left w:val="single" w:sz="4" w:space="0" w:color="auto"/>
              <w:bottom w:val="single" w:sz="4" w:space="0" w:color="auto"/>
              <w:right w:val="single" w:sz="4" w:space="0" w:color="auto"/>
            </w:tcBorders>
          </w:tcPr>
          <w:p w:rsidR="003735C6" w:rsidRPr="00117616" w:rsidP="0009253D" w14:paraId="0D40122E" w14:textId="77777777">
            <w:pPr>
              <w:pStyle w:val="naisnod"/>
              <w:spacing w:before="0" w:beforeAutospacing="0" w:after="0" w:afterAutospacing="0"/>
              <w:ind w:left="57" w:right="57"/>
              <w:jc w:val="both"/>
            </w:pPr>
            <w:r w:rsidRPr="00117616">
              <w:t>3</w:t>
            </w:r>
            <w:r w:rsidRPr="00117616" w:rsidR="00D46E0B">
              <w:t xml:space="preserve">. </w:t>
            </w:r>
          </w:p>
        </w:tc>
        <w:tc>
          <w:tcPr>
            <w:tcW w:w="3249" w:type="dxa"/>
            <w:tcBorders>
              <w:top w:val="single" w:sz="4" w:space="0" w:color="auto"/>
              <w:left w:val="single" w:sz="4" w:space="0" w:color="auto"/>
              <w:bottom w:val="single" w:sz="4" w:space="0" w:color="auto"/>
              <w:right w:val="single" w:sz="4" w:space="0" w:color="auto"/>
            </w:tcBorders>
          </w:tcPr>
          <w:p w:rsidR="003735C6" w:rsidRPr="00117616" w:rsidP="0009253D" w14:paraId="6E063272" w14:textId="77777777">
            <w:pPr>
              <w:pStyle w:val="naisf"/>
              <w:spacing w:before="0" w:beforeAutospacing="0" w:after="0" w:afterAutospacing="0"/>
              <w:ind w:left="57" w:right="57"/>
              <w:rPr>
                <w:lang w:val="lv-LV"/>
              </w:rPr>
            </w:pPr>
            <w:r w:rsidRPr="00117616">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rsidR="003735C6" w:rsidRPr="00117616" w:rsidP="004A44CA" w14:paraId="7ECA210B" w14:textId="69B27925">
            <w:pPr>
              <w:pStyle w:val="naiskr"/>
              <w:spacing w:before="40" w:beforeAutospacing="0" w:after="40" w:afterAutospacing="0"/>
              <w:ind w:left="57" w:right="57"/>
              <w:jc w:val="both"/>
            </w:pPr>
            <w:r>
              <w:t>P</w:t>
            </w:r>
            <w:r w:rsidR="001F1653">
              <w:t xml:space="preserve">ēc projekta pabeigšanas izstrādātā </w:t>
            </w:r>
            <w:r w:rsidRPr="00117616" w:rsidR="001F1653">
              <w:t>IT risinājuma uzturēšana</w:t>
            </w:r>
            <w:r w:rsidR="001F1653">
              <w:t xml:space="preserve">i ik gadu no valsts budžeta tiks pieprasīti </w:t>
            </w:r>
            <w:r w:rsidRPr="00117616" w:rsidR="001F1653">
              <w:t xml:space="preserve">~ 105 000 </w:t>
            </w:r>
            <w:r w:rsidRPr="00117616" w:rsidR="001F1653">
              <w:t>eur</w:t>
            </w:r>
            <w:r w:rsidR="001F1653">
              <w:t>.</w:t>
            </w:r>
          </w:p>
        </w:tc>
      </w:tr>
    </w:tbl>
    <w:p w:rsidR="00513043" w:rsidRPr="00117616" w:rsidP="003735C6" w14:paraId="0044427D" w14:textId="77777777"/>
    <w:p w:rsidR="00D82FAD" w:rsidP="00B04D76" w14:paraId="402FF753" w14:textId="77777777">
      <w:pPr>
        <w:ind w:right="-766"/>
        <w:rPr>
          <w:rFonts w:eastAsia="Calibri"/>
          <w:sz w:val="28"/>
          <w:szCs w:val="28"/>
          <w:lang w:eastAsia="lv-LV"/>
        </w:rPr>
      </w:pPr>
    </w:p>
    <w:p w:rsidR="00D82FAD" w:rsidP="00B04D76" w14:paraId="5B8EEF99" w14:textId="77777777">
      <w:pPr>
        <w:ind w:right="-766"/>
        <w:rPr>
          <w:rFonts w:eastAsia="Calibri"/>
          <w:sz w:val="28"/>
          <w:szCs w:val="28"/>
          <w:lang w:eastAsia="lv-LV"/>
        </w:rPr>
      </w:pPr>
    </w:p>
    <w:p w:rsidR="00B04D76" w:rsidRPr="00117616" w:rsidP="00B04D76" w14:paraId="321932C8" w14:textId="50C61E8D">
      <w:pPr>
        <w:ind w:right="-766"/>
        <w:rPr>
          <w:rFonts w:eastAsia="Calibri"/>
          <w:sz w:val="28"/>
          <w:szCs w:val="28"/>
          <w:lang w:eastAsia="lv-LV"/>
        </w:rPr>
      </w:pPr>
      <w:bookmarkStart w:id="15" w:name="_GoBack"/>
      <w:bookmarkEnd w:id="15"/>
      <w:r>
        <w:rPr>
          <w:rFonts w:eastAsia="Calibri"/>
          <w:sz w:val="28"/>
          <w:szCs w:val="28"/>
          <w:lang w:eastAsia="lv-LV"/>
        </w:rPr>
        <w:t>M</w:t>
      </w:r>
      <w:r w:rsidRPr="00117616">
        <w:rPr>
          <w:rFonts w:eastAsia="Calibri"/>
          <w:sz w:val="28"/>
          <w:szCs w:val="28"/>
          <w:lang w:eastAsia="lv-LV"/>
        </w:rPr>
        <w:t>inistru prezidents,</w:t>
      </w:r>
    </w:p>
    <w:p w:rsidR="00B04D76" w:rsidRPr="00117616" w:rsidP="00B04D76" w14:paraId="0BBDDF34" w14:textId="4113EE62">
      <w:pPr>
        <w:tabs>
          <w:tab w:val="right" w:pos="9072"/>
        </w:tabs>
        <w:spacing w:after="480"/>
        <w:ind w:right="-766"/>
        <w:rPr>
          <w:rFonts w:eastAsia="Calibri"/>
          <w:sz w:val="28"/>
          <w:szCs w:val="28"/>
          <w:lang w:eastAsia="lv-LV"/>
        </w:rPr>
      </w:pPr>
      <w:r w:rsidRPr="00117616">
        <w:rPr>
          <w:rFonts w:eastAsia="Calibri"/>
          <w:sz w:val="28"/>
          <w:szCs w:val="28"/>
          <w:lang w:eastAsia="lv-LV"/>
        </w:rPr>
        <w:t>veselības ministra pienākumu izpildītājs</w:t>
      </w:r>
      <w:r w:rsidRPr="00117616">
        <w:rPr>
          <w:rFonts w:eastAsia="Calibri"/>
          <w:sz w:val="28"/>
          <w:szCs w:val="28"/>
          <w:lang w:eastAsia="lv-LV"/>
        </w:rPr>
        <w:tab/>
        <w:t>Māris Kučinskis</w:t>
      </w:r>
    </w:p>
    <w:p w:rsidR="00B04D76" w:rsidRPr="00117616" w:rsidP="00B04D76" w14:paraId="0E287861" w14:textId="77777777">
      <w:pPr>
        <w:tabs>
          <w:tab w:val="right" w:pos="9072"/>
        </w:tabs>
        <w:ind w:right="-1"/>
        <w:rPr>
          <w:rFonts w:eastAsia="Calibri"/>
          <w:sz w:val="28"/>
          <w:szCs w:val="28"/>
        </w:rPr>
      </w:pPr>
      <w:r w:rsidRPr="00117616">
        <w:rPr>
          <w:rFonts w:eastAsia="Calibri"/>
          <w:sz w:val="28"/>
          <w:szCs w:val="28"/>
        </w:rPr>
        <w:t xml:space="preserve">Vīza: Valsts sekretārs                                         </w:t>
      </w:r>
      <w:r w:rsidRPr="00117616">
        <w:rPr>
          <w:rFonts w:eastAsia="Calibri"/>
          <w:sz w:val="28"/>
          <w:szCs w:val="28"/>
        </w:rPr>
        <w:tab/>
        <w:t>Aivars Lapiņš</w:t>
      </w:r>
    </w:p>
    <w:p w:rsidR="00B04D76" w:rsidRPr="00117616" w:rsidP="00B04D76" w14:paraId="419ED457" w14:textId="77777777">
      <w:pPr>
        <w:tabs>
          <w:tab w:val="right" w:pos="9072"/>
        </w:tabs>
        <w:ind w:right="-766"/>
        <w:rPr>
          <w:rFonts w:eastAsia="Calibri"/>
          <w:sz w:val="28"/>
          <w:szCs w:val="28"/>
        </w:rPr>
      </w:pPr>
    </w:p>
    <w:p w:rsidR="00B04D76" w:rsidRPr="00117616" w:rsidP="00B04D76" w14:paraId="0544E2CE" w14:textId="77777777">
      <w:pPr>
        <w:contextualSpacing/>
        <w:jc w:val="both"/>
      </w:pPr>
    </w:p>
    <w:p w:rsidR="00B04D76" w:rsidRPr="00117616" w:rsidP="00B04D76" w14:paraId="3EBD9A1B" w14:textId="77777777">
      <w:pPr>
        <w:ind w:right="4818"/>
      </w:pPr>
    </w:p>
    <w:p w:rsidR="00B04D76" w:rsidRPr="00117616" w:rsidP="00B04D76" w14:paraId="0ACDCA2A" w14:textId="77777777">
      <w:pPr>
        <w:ind w:right="4818"/>
        <w:rPr>
          <w:sz w:val="20"/>
        </w:rPr>
      </w:pPr>
      <w:r w:rsidRPr="00117616">
        <w:rPr>
          <w:sz w:val="20"/>
        </w:rPr>
        <w:t>A.Tomsone</w:t>
      </w:r>
      <w:r w:rsidRPr="00117616">
        <w:rPr>
          <w:sz w:val="20"/>
        </w:rPr>
        <w:t xml:space="preserve">  67 876 181</w:t>
      </w:r>
    </w:p>
    <w:p w:rsidR="00B04D76" w:rsidRPr="00720FFD" w:rsidP="00B04D76" w14:paraId="13D16442" w14:textId="77777777">
      <w:pPr>
        <w:ind w:right="4818"/>
        <w:rPr>
          <w:sz w:val="20"/>
          <w:szCs w:val="20"/>
        </w:rPr>
      </w:pPr>
      <w:r w:rsidRPr="00117616">
        <w:rPr>
          <w:sz w:val="20"/>
        </w:rPr>
        <w:t>Agnese.Tomsone@vm.gov.lv</w:t>
      </w:r>
    </w:p>
    <w:p w:rsidR="00B04D76" w:rsidRPr="00720FFD" w:rsidP="00B04D76" w14:paraId="62FFF7E3" w14:textId="77777777">
      <w:pPr>
        <w:rPr>
          <w:sz w:val="20"/>
          <w:szCs w:val="20"/>
        </w:rPr>
      </w:pPr>
    </w:p>
    <w:p w:rsidR="00E516B6" w:rsidP="00B04D76" w14:paraId="7060D877" w14:textId="1F4433AE">
      <w:pPr>
        <w:tabs>
          <w:tab w:val="left" w:pos="7230"/>
        </w:tabs>
        <w:spacing w:after="720"/>
        <w:ind w:right="-766"/>
      </w:pPr>
    </w:p>
    <w:sectPr w:rsidSect="00E516B6">
      <w:headerReference w:type="even" r:id="rId6"/>
      <w:headerReference w:type="default" r:id="rId7"/>
      <w:footerReference w:type="default" r:id="rId8"/>
      <w:footerReference w:type="first" r:id="rId9"/>
      <w:pgSz w:w="11906" w:h="16838" w:code="9"/>
      <w:pgMar w:top="1418" w:right="1134" w:bottom="1134" w:left="1701" w:header="720" w:footer="68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406" w:rsidRPr="0068261C" w:rsidP="0068261C" w14:paraId="0C522EB2" w14:textId="1166BE5E">
    <w:pPr>
      <w:tabs>
        <w:tab w:val="center" w:pos="4153"/>
        <w:tab w:val="right" w:pos="8306"/>
      </w:tabs>
      <w:jc w:val="both"/>
      <w:rPr>
        <w:sz w:val="20"/>
        <w:szCs w:val="20"/>
        <w:lang w:eastAsia="lv-LV"/>
      </w:rPr>
    </w:pPr>
    <w:r w:rsidRPr="000F65F0">
      <w:rPr>
        <w:sz w:val="20"/>
        <w:szCs w:val="20"/>
        <w:lang w:eastAsia="lv-LV"/>
      </w:rPr>
      <w:t>VManot_</w:t>
    </w:r>
    <w:r w:rsidR="00D82FAD">
      <w:rPr>
        <w:sz w:val="20"/>
        <w:szCs w:val="20"/>
        <w:lang w:eastAsia="lv-LV"/>
      </w:rPr>
      <w:t>13</w:t>
    </w:r>
    <w:r w:rsidR="00367EF9">
      <w:rPr>
        <w:sz w:val="20"/>
        <w:szCs w:val="20"/>
        <w:lang w:eastAsia="lv-LV"/>
      </w:rPr>
      <w:t>02</w:t>
    </w:r>
    <w:r w:rsidR="004D3A18">
      <w:rPr>
        <w:sz w:val="20"/>
        <w:szCs w:val="20"/>
        <w:lang w:eastAsia="lv-LV"/>
      </w:rPr>
      <w:t>118</w:t>
    </w:r>
    <w:r w:rsidRPr="000F65F0">
      <w:rPr>
        <w:sz w:val="20"/>
        <w:szCs w:val="20"/>
        <w:lang w:eastAsia="lv-LV"/>
      </w:rPr>
      <w:t>_SAM</w:t>
    </w:r>
    <w:r>
      <w:rPr>
        <w:sz w:val="20"/>
        <w:szCs w:val="20"/>
        <w:lang w:eastAsia="lv-LV"/>
      </w:rPr>
      <w:t>9</w:t>
    </w:r>
    <w:r w:rsidR="00835E58">
      <w:rPr>
        <w:sz w:val="20"/>
        <w:szCs w:val="20"/>
        <w:lang w:eastAsia="lv-LV"/>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406" w:rsidRPr="00A94F44" w:rsidP="00A94F44" w14:paraId="7A7B3BFD" w14:textId="77777777">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406" w14:paraId="707670B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E3406" w14:paraId="0ACE92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3406" w14:paraId="6E2A4938" w14:textId="629023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0E3406" w14:paraId="6747DC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E32A9B"/>
    <w:multiLevelType w:val="hybridMultilevel"/>
    <w:tmpl w:val="4B800560"/>
    <w:lvl w:ilvl="0">
      <w:start w:val="1"/>
      <w:numFmt w:val="decimal"/>
      <w:lvlText w:val="%1."/>
      <w:lvlJc w:val="left"/>
      <w:pPr>
        <w:ind w:left="469" w:hanging="360"/>
      </w:pPr>
      <w:rPr>
        <w:rFonts w:hint="default"/>
      </w:rPr>
    </w:lvl>
    <w:lvl w:ilvl="1" w:tentative="1">
      <w:start w:val="1"/>
      <w:numFmt w:val="lowerLetter"/>
      <w:lvlText w:val="%2."/>
      <w:lvlJc w:val="left"/>
      <w:pPr>
        <w:ind w:left="1189" w:hanging="360"/>
      </w:pPr>
    </w:lvl>
    <w:lvl w:ilvl="2" w:tentative="1">
      <w:start w:val="1"/>
      <w:numFmt w:val="lowerRoman"/>
      <w:lvlText w:val="%3."/>
      <w:lvlJc w:val="right"/>
      <w:pPr>
        <w:ind w:left="1909" w:hanging="180"/>
      </w:pPr>
    </w:lvl>
    <w:lvl w:ilvl="3" w:tentative="1">
      <w:start w:val="1"/>
      <w:numFmt w:val="decimal"/>
      <w:lvlText w:val="%4."/>
      <w:lvlJc w:val="left"/>
      <w:pPr>
        <w:ind w:left="2629" w:hanging="360"/>
      </w:pPr>
    </w:lvl>
    <w:lvl w:ilvl="4" w:tentative="1">
      <w:start w:val="1"/>
      <w:numFmt w:val="lowerLetter"/>
      <w:lvlText w:val="%5."/>
      <w:lvlJc w:val="left"/>
      <w:pPr>
        <w:ind w:left="3349" w:hanging="360"/>
      </w:pPr>
    </w:lvl>
    <w:lvl w:ilvl="5" w:tentative="1">
      <w:start w:val="1"/>
      <w:numFmt w:val="lowerRoman"/>
      <w:lvlText w:val="%6."/>
      <w:lvlJc w:val="right"/>
      <w:pPr>
        <w:ind w:left="4069" w:hanging="180"/>
      </w:pPr>
    </w:lvl>
    <w:lvl w:ilvl="6" w:tentative="1">
      <w:start w:val="1"/>
      <w:numFmt w:val="decimal"/>
      <w:lvlText w:val="%7."/>
      <w:lvlJc w:val="left"/>
      <w:pPr>
        <w:ind w:left="4789" w:hanging="360"/>
      </w:pPr>
    </w:lvl>
    <w:lvl w:ilvl="7" w:tentative="1">
      <w:start w:val="1"/>
      <w:numFmt w:val="lowerLetter"/>
      <w:lvlText w:val="%8."/>
      <w:lvlJc w:val="left"/>
      <w:pPr>
        <w:ind w:left="5509" w:hanging="360"/>
      </w:pPr>
    </w:lvl>
    <w:lvl w:ilvl="8" w:tentative="1">
      <w:start w:val="1"/>
      <w:numFmt w:val="lowerRoman"/>
      <w:lvlText w:val="%9."/>
      <w:lvlJc w:val="right"/>
      <w:pPr>
        <w:ind w:left="6229" w:hanging="180"/>
      </w:pPr>
    </w:lvl>
  </w:abstractNum>
  <w:abstractNum w:abstractNumId="1" w15:restartNumberingAfterBreak="1">
    <w:nsid w:val="3FDD423D"/>
    <w:multiLevelType w:val="hybridMultilevel"/>
    <w:tmpl w:val="DDAEF8D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694D0D6B"/>
    <w:multiLevelType w:val="hybridMultilevel"/>
    <w:tmpl w:val="397E187C"/>
    <w:lvl w:ilvl="0">
      <w:start w:val="1"/>
      <w:numFmt w:val="bullet"/>
      <w:lvlText w:val=""/>
      <w:lvlJc w:val="left"/>
      <w:pPr>
        <w:ind w:left="360" w:hanging="360"/>
      </w:pPr>
      <w:rPr>
        <w:rFonts w:ascii="Wingdings" w:hAnsi="Wingdings" w:hint="default"/>
      </w:rPr>
    </w:lvl>
    <w:lvl w:ilvl="1">
      <w:start w:val="19"/>
      <w:numFmt w:val="bullet"/>
      <w:lvlText w:val="-"/>
      <w:lvlJc w:val="left"/>
      <w:pPr>
        <w:ind w:left="752" w:hanging="360"/>
      </w:pPr>
      <w:rPr>
        <w:rFonts w:ascii="Times New Roman" w:eastAsia="Times New Roman" w:hAnsi="Times New Roman"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381"/>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07F"/>
    <w:rsid w:val="000006CF"/>
    <w:rsid w:val="00006A21"/>
    <w:rsid w:val="00006CA3"/>
    <w:rsid w:val="000077CA"/>
    <w:rsid w:val="00007B90"/>
    <w:rsid w:val="00010573"/>
    <w:rsid w:val="0001075C"/>
    <w:rsid w:val="00011564"/>
    <w:rsid w:val="00013B7C"/>
    <w:rsid w:val="000142AB"/>
    <w:rsid w:val="0001496E"/>
    <w:rsid w:val="00014D04"/>
    <w:rsid w:val="00016BD9"/>
    <w:rsid w:val="000177D7"/>
    <w:rsid w:val="00017DF7"/>
    <w:rsid w:val="00022205"/>
    <w:rsid w:val="00022523"/>
    <w:rsid w:val="000229B1"/>
    <w:rsid w:val="00023A89"/>
    <w:rsid w:val="00023BA6"/>
    <w:rsid w:val="00023EAD"/>
    <w:rsid w:val="0002480A"/>
    <w:rsid w:val="000258B0"/>
    <w:rsid w:val="0002636E"/>
    <w:rsid w:val="00027C89"/>
    <w:rsid w:val="00030AEE"/>
    <w:rsid w:val="000311C0"/>
    <w:rsid w:val="00031A28"/>
    <w:rsid w:val="00031B47"/>
    <w:rsid w:val="00032A9F"/>
    <w:rsid w:val="000331F5"/>
    <w:rsid w:val="000332FD"/>
    <w:rsid w:val="00033885"/>
    <w:rsid w:val="000349F4"/>
    <w:rsid w:val="000350F7"/>
    <w:rsid w:val="00035304"/>
    <w:rsid w:val="00036003"/>
    <w:rsid w:val="0003665B"/>
    <w:rsid w:val="000372A0"/>
    <w:rsid w:val="000379CD"/>
    <w:rsid w:val="000401EE"/>
    <w:rsid w:val="00040261"/>
    <w:rsid w:val="00040280"/>
    <w:rsid w:val="0004188B"/>
    <w:rsid w:val="000419AE"/>
    <w:rsid w:val="0004341C"/>
    <w:rsid w:val="00043510"/>
    <w:rsid w:val="00044751"/>
    <w:rsid w:val="00044811"/>
    <w:rsid w:val="000451EF"/>
    <w:rsid w:val="00045588"/>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879"/>
    <w:rsid w:val="00062E81"/>
    <w:rsid w:val="000637E3"/>
    <w:rsid w:val="00063FD8"/>
    <w:rsid w:val="00064018"/>
    <w:rsid w:val="000648AB"/>
    <w:rsid w:val="000650AF"/>
    <w:rsid w:val="00065BE4"/>
    <w:rsid w:val="00065DC8"/>
    <w:rsid w:val="00066554"/>
    <w:rsid w:val="000700EC"/>
    <w:rsid w:val="000703FA"/>
    <w:rsid w:val="000705DB"/>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1CB3"/>
    <w:rsid w:val="0009253D"/>
    <w:rsid w:val="00092C08"/>
    <w:rsid w:val="00092C69"/>
    <w:rsid w:val="000938BC"/>
    <w:rsid w:val="00093955"/>
    <w:rsid w:val="00093C1E"/>
    <w:rsid w:val="00093E32"/>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5324"/>
    <w:rsid w:val="000B54AE"/>
    <w:rsid w:val="000B5BC8"/>
    <w:rsid w:val="000B5C3B"/>
    <w:rsid w:val="000B5E3A"/>
    <w:rsid w:val="000B6F32"/>
    <w:rsid w:val="000B7E2F"/>
    <w:rsid w:val="000C0654"/>
    <w:rsid w:val="000C075A"/>
    <w:rsid w:val="000C0894"/>
    <w:rsid w:val="000C0BFF"/>
    <w:rsid w:val="000C11F7"/>
    <w:rsid w:val="000C1806"/>
    <w:rsid w:val="000C1E94"/>
    <w:rsid w:val="000C1ED2"/>
    <w:rsid w:val="000C228E"/>
    <w:rsid w:val="000C326C"/>
    <w:rsid w:val="000C328B"/>
    <w:rsid w:val="000C3992"/>
    <w:rsid w:val="000C467C"/>
    <w:rsid w:val="000C5995"/>
    <w:rsid w:val="000C61CE"/>
    <w:rsid w:val="000C62B6"/>
    <w:rsid w:val="000C69A8"/>
    <w:rsid w:val="000C6E9B"/>
    <w:rsid w:val="000C7F03"/>
    <w:rsid w:val="000C7F3E"/>
    <w:rsid w:val="000D0F10"/>
    <w:rsid w:val="000D10A0"/>
    <w:rsid w:val="000D3507"/>
    <w:rsid w:val="000D40AC"/>
    <w:rsid w:val="000D4C80"/>
    <w:rsid w:val="000D507B"/>
    <w:rsid w:val="000D5A1E"/>
    <w:rsid w:val="000D63FE"/>
    <w:rsid w:val="000D7EB0"/>
    <w:rsid w:val="000E0B74"/>
    <w:rsid w:val="000E176D"/>
    <w:rsid w:val="000E2002"/>
    <w:rsid w:val="000E24E4"/>
    <w:rsid w:val="000E2DAE"/>
    <w:rsid w:val="000E32B4"/>
    <w:rsid w:val="000E3406"/>
    <w:rsid w:val="000E345E"/>
    <w:rsid w:val="000E38F1"/>
    <w:rsid w:val="000E3AFD"/>
    <w:rsid w:val="000E5F1E"/>
    <w:rsid w:val="000E6C7B"/>
    <w:rsid w:val="000E6D22"/>
    <w:rsid w:val="000E7EBD"/>
    <w:rsid w:val="000E7F58"/>
    <w:rsid w:val="000F079B"/>
    <w:rsid w:val="000F080D"/>
    <w:rsid w:val="000F099A"/>
    <w:rsid w:val="000F0B0D"/>
    <w:rsid w:val="000F12E4"/>
    <w:rsid w:val="000F18D4"/>
    <w:rsid w:val="000F2E5B"/>
    <w:rsid w:val="000F42B4"/>
    <w:rsid w:val="000F58BA"/>
    <w:rsid w:val="000F6127"/>
    <w:rsid w:val="000F65F0"/>
    <w:rsid w:val="000F6C48"/>
    <w:rsid w:val="000F6CA0"/>
    <w:rsid w:val="000F6F70"/>
    <w:rsid w:val="000F7117"/>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2F10"/>
    <w:rsid w:val="0011391E"/>
    <w:rsid w:val="00113E50"/>
    <w:rsid w:val="00114608"/>
    <w:rsid w:val="00115124"/>
    <w:rsid w:val="001157B2"/>
    <w:rsid w:val="00115996"/>
    <w:rsid w:val="00115C48"/>
    <w:rsid w:val="00117616"/>
    <w:rsid w:val="00117BB9"/>
    <w:rsid w:val="0012089E"/>
    <w:rsid w:val="00120CE6"/>
    <w:rsid w:val="00121058"/>
    <w:rsid w:val="00121170"/>
    <w:rsid w:val="00121300"/>
    <w:rsid w:val="00121708"/>
    <w:rsid w:val="001219BE"/>
    <w:rsid w:val="00122240"/>
    <w:rsid w:val="001228BD"/>
    <w:rsid w:val="00124003"/>
    <w:rsid w:val="00125CC0"/>
    <w:rsid w:val="001268E7"/>
    <w:rsid w:val="00126F6E"/>
    <w:rsid w:val="001271A7"/>
    <w:rsid w:val="001301D8"/>
    <w:rsid w:val="00130286"/>
    <w:rsid w:val="0013083A"/>
    <w:rsid w:val="00130B15"/>
    <w:rsid w:val="0013167A"/>
    <w:rsid w:val="00132010"/>
    <w:rsid w:val="00132477"/>
    <w:rsid w:val="00132673"/>
    <w:rsid w:val="0013287B"/>
    <w:rsid w:val="00132D78"/>
    <w:rsid w:val="001342F6"/>
    <w:rsid w:val="001343E2"/>
    <w:rsid w:val="0013473F"/>
    <w:rsid w:val="001349E0"/>
    <w:rsid w:val="00135104"/>
    <w:rsid w:val="0013565E"/>
    <w:rsid w:val="001357B2"/>
    <w:rsid w:val="001364D4"/>
    <w:rsid w:val="001366D7"/>
    <w:rsid w:val="00136FE2"/>
    <w:rsid w:val="00141485"/>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4651"/>
    <w:rsid w:val="001647CA"/>
    <w:rsid w:val="00164C8C"/>
    <w:rsid w:val="00164EDE"/>
    <w:rsid w:val="001654DC"/>
    <w:rsid w:val="001671FC"/>
    <w:rsid w:val="0016725E"/>
    <w:rsid w:val="00167576"/>
    <w:rsid w:val="00171E70"/>
    <w:rsid w:val="00172C6E"/>
    <w:rsid w:val="00172E1B"/>
    <w:rsid w:val="00173657"/>
    <w:rsid w:val="00173DB7"/>
    <w:rsid w:val="00174BEF"/>
    <w:rsid w:val="00174F93"/>
    <w:rsid w:val="00175FE2"/>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363"/>
    <w:rsid w:val="001866A5"/>
    <w:rsid w:val="00187801"/>
    <w:rsid w:val="00187BCA"/>
    <w:rsid w:val="00190113"/>
    <w:rsid w:val="0019043A"/>
    <w:rsid w:val="0019057E"/>
    <w:rsid w:val="001906D4"/>
    <w:rsid w:val="001908EB"/>
    <w:rsid w:val="00190946"/>
    <w:rsid w:val="001909F3"/>
    <w:rsid w:val="00190E51"/>
    <w:rsid w:val="00191D21"/>
    <w:rsid w:val="001928F8"/>
    <w:rsid w:val="00192C03"/>
    <w:rsid w:val="001932DB"/>
    <w:rsid w:val="00193692"/>
    <w:rsid w:val="001942EB"/>
    <w:rsid w:val="001950B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446A"/>
    <w:rsid w:val="001C457A"/>
    <w:rsid w:val="001C4854"/>
    <w:rsid w:val="001C493F"/>
    <w:rsid w:val="001C4D3E"/>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3E56"/>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653"/>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428A"/>
    <w:rsid w:val="00205006"/>
    <w:rsid w:val="0020696D"/>
    <w:rsid w:val="00206AB9"/>
    <w:rsid w:val="002070E9"/>
    <w:rsid w:val="00207ED4"/>
    <w:rsid w:val="002105B1"/>
    <w:rsid w:val="002106BC"/>
    <w:rsid w:val="00210B37"/>
    <w:rsid w:val="00210C61"/>
    <w:rsid w:val="0021148A"/>
    <w:rsid w:val="00212558"/>
    <w:rsid w:val="002131A0"/>
    <w:rsid w:val="00214A11"/>
    <w:rsid w:val="00214EE0"/>
    <w:rsid w:val="0021632A"/>
    <w:rsid w:val="00216724"/>
    <w:rsid w:val="002169BD"/>
    <w:rsid w:val="00217705"/>
    <w:rsid w:val="0021798C"/>
    <w:rsid w:val="00217BB5"/>
    <w:rsid w:val="002209CB"/>
    <w:rsid w:val="002211D7"/>
    <w:rsid w:val="00221434"/>
    <w:rsid w:val="00221576"/>
    <w:rsid w:val="0022195A"/>
    <w:rsid w:val="00221ABB"/>
    <w:rsid w:val="00223255"/>
    <w:rsid w:val="00223471"/>
    <w:rsid w:val="002239E1"/>
    <w:rsid w:val="0022598A"/>
    <w:rsid w:val="0022598E"/>
    <w:rsid w:val="00226A38"/>
    <w:rsid w:val="00226A91"/>
    <w:rsid w:val="00226F77"/>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CF2"/>
    <w:rsid w:val="00260F8B"/>
    <w:rsid w:val="00261745"/>
    <w:rsid w:val="002629D3"/>
    <w:rsid w:val="00262B6A"/>
    <w:rsid w:val="0026440F"/>
    <w:rsid w:val="00265FF6"/>
    <w:rsid w:val="002668EC"/>
    <w:rsid w:val="00266AD1"/>
    <w:rsid w:val="00266DAD"/>
    <w:rsid w:val="0026728B"/>
    <w:rsid w:val="0027053B"/>
    <w:rsid w:val="00270B5B"/>
    <w:rsid w:val="00272DE6"/>
    <w:rsid w:val="00273157"/>
    <w:rsid w:val="002742A1"/>
    <w:rsid w:val="002745DA"/>
    <w:rsid w:val="00275599"/>
    <w:rsid w:val="00276190"/>
    <w:rsid w:val="002775DA"/>
    <w:rsid w:val="00277830"/>
    <w:rsid w:val="002779D8"/>
    <w:rsid w:val="00277DFA"/>
    <w:rsid w:val="00281321"/>
    <w:rsid w:val="002821D4"/>
    <w:rsid w:val="00282642"/>
    <w:rsid w:val="0028281D"/>
    <w:rsid w:val="00283496"/>
    <w:rsid w:val="002845C6"/>
    <w:rsid w:val="0028551C"/>
    <w:rsid w:val="00285C1F"/>
    <w:rsid w:val="0028615F"/>
    <w:rsid w:val="0028669B"/>
    <w:rsid w:val="00286F76"/>
    <w:rsid w:val="0029042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00"/>
    <w:rsid w:val="002A4811"/>
    <w:rsid w:val="002A49D0"/>
    <w:rsid w:val="002A51D1"/>
    <w:rsid w:val="002A725C"/>
    <w:rsid w:val="002A7525"/>
    <w:rsid w:val="002B0032"/>
    <w:rsid w:val="002B20CA"/>
    <w:rsid w:val="002B2135"/>
    <w:rsid w:val="002B2650"/>
    <w:rsid w:val="002B29C1"/>
    <w:rsid w:val="002B3DFA"/>
    <w:rsid w:val="002B40D0"/>
    <w:rsid w:val="002B5A80"/>
    <w:rsid w:val="002B5D9A"/>
    <w:rsid w:val="002B5E6A"/>
    <w:rsid w:val="002B5E8D"/>
    <w:rsid w:val="002B646B"/>
    <w:rsid w:val="002B6C72"/>
    <w:rsid w:val="002C13CF"/>
    <w:rsid w:val="002C1586"/>
    <w:rsid w:val="002C1C61"/>
    <w:rsid w:val="002C3857"/>
    <w:rsid w:val="002C3F14"/>
    <w:rsid w:val="002C5612"/>
    <w:rsid w:val="002C58CF"/>
    <w:rsid w:val="002C5D12"/>
    <w:rsid w:val="002C5F79"/>
    <w:rsid w:val="002C605B"/>
    <w:rsid w:val="002C6AD5"/>
    <w:rsid w:val="002C6B64"/>
    <w:rsid w:val="002C6CFF"/>
    <w:rsid w:val="002C7028"/>
    <w:rsid w:val="002D0144"/>
    <w:rsid w:val="002D0DEF"/>
    <w:rsid w:val="002D0EC7"/>
    <w:rsid w:val="002D2859"/>
    <w:rsid w:val="002D2960"/>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3D0"/>
    <w:rsid w:val="002F6C5D"/>
    <w:rsid w:val="002F6DDC"/>
    <w:rsid w:val="002F7D03"/>
    <w:rsid w:val="00301BEE"/>
    <w:rsid w:val="00302E22"/>
    <w:rsid w:val="00303ECC"/>
    <w:rsid w:val="0030406D"/>
    <w:rsid w:val="003040AC"/>
    <w:rsid w:val="00304659"/>
    <w:rsid w:val="003049B9"/>
    <w:rsid w:val="00304CAD"/>
    <w:rsid w:val="00304FB3"/>
    <w:rsid w:val="003053E2"/>
    <w:rsid w:val="00305C7A"/>
    <w:rsid w:val="00312F4F"/>
    <w:rsid w:val="003148E2"/>
    <w:rsid w:val="003155DF"/>
    <w:rsid w:val="00315984"/>
    <w:rsid w:val="00316EC1"/>
    <w:rsid w:val="003171D8"/>
    <w:rsid w:val="00317C42"/>
    <w:rsid w:val="0032178A"/>
    <w:rsid w:val="00322138"/>
    <w:rsid w:val="003225AA"/>
    <w:rsid w:val="003233AF"/>
    <w:rsid w:val="00323DD9"/>
    <w:rsid w:val="00323E40"/>
    <w:rsid w:val="00323F11"/>
    <w:rsid w:val="00325C93"/>
    <w:rsid w:val="00326D94"/>
    <w:rsid w:val="003270A8"/>
    <w:rsid w:val="003278BE"/>
    <w:rsid w:val="00327F2F"/>
    <w:rsid w:val="003312B4"/>
    <w:rsid w:val="00332010"/>
    <w:rsid w:val="00332500"/>
    <w:rsid w:val="003345AC"/>
    <w:rsid w:val="0033534F"/>
    <w:rsid w:val="0033566F"/>
    <w:rsid w:val="00335E2F"/>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A99"/>
    <w:rsid w:val="00350BD6"/>
    <w:rsid w:val="00351794"/>
    <w:rsid w:val="003519D9"/>
    <w:rsid w:val="0035355E"/>
    <w:rsid w:val="003536A6"/>
    <w:rsid w:val="003536D5"/>
    <w:rsid w:val="003541D1"/>
    <w:rsid w:val="003542B0"/>
    <w:rsid w:val="0035501A"/>
    <w:rsid w:val="00356259"/>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321"/>
    <w:rsid w:val="00365A5C"/>
    <w:rsid w:val="00365F3F"/>
    <w:rsid w:val="003669C2"/>
    <w:rsid w:val="003677E4"/>
    <w:rsid w:val="00367A86"/>
    <w:rsid w:val="00367EF9"/>
    <w:rsid w:val="00370604"/>
    <w:rsid w:val="00370EA2"/>
    <w:rsid w:val="00371CAB"/>
    <w:rsid w:val="003720ED"/>
    <w:rsid w:val="00372200"/>
    <w:rsid w:val="003735C6"/>
    <w:rsid w:val="003736CE"/>
    <w:rsid w:val="00374B1F"/>
    <w:rsid w:val="00374D59"/>
    <w:rsid w:val="00374E68"/>
    <w:rsid w:val="00375726"/>
    <w:rsid w:val="00376CD4"/>
    <w:rsid w:val="003773CC"/>
    <w:rsid w:val="00377438"/>
    <w:rsid w:val="003820EE"/>
    <w:rsid w:val="0038256D"/>
    <w:rsid w:val="00383602"/>
    <w:rsid w:val="00384797"/>
    <w:rsid w:val="003849EB"/>
    <w:rsid w:val="00384D18"/>
    <w:rsid w:val="0038533F"/>
    <w:rsid w:val="00386E5C"/>
    <w:rsid w:val="0038720A"/>
    <w:rsid w:val="00387602"/>
    <w:rsid w:val="00387A6A"/>
    <w:rsid w:val="00391A0D"/>
    <w:rsid w:val="00391DD4"/>
    <w:rsid w:val="003923A2"/>
    <w:rsid w:val="00392AD8"/>
    <w:rsid w:val="00394632"/>
    <w:rsid w:val="00394AC9"/>
    <w:rsid w:val="00395167"/>
    <w:rsid w:val="00396912"/>
    <w:rsid w:val="00396C3C"/>
    <w:rsid w:val="00397320"/>
    <w:rsid w:val="003979EF"/>
    <w:rsid w:val="00397A86"/>
    <w:rsid w:val="00397E92"/>
    <w:rsid w:val="003A0162"/>
    <w:rsid w:val="003A06DF"/>
    <w:rsid w:val="003A0D9D"/>
    <w:rsid w:val="003A1BB5"/>
    <w:rsid w:val="003A1D5A"/>
    <w:rsid w:val="003A23E9"/>
    <w:rsid w:val="003A251E"/>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ED4"/>
    <w:rsid w:val="003B7F45"/>
    <w:rsid w:val="003C0045"/>
    <w:rsid w:val="003C0241"/>
    <w:rsid w:val="003C1A61"/>
    <w:rsid w:val="003C1A7F"/>
    <w:rsid w:val="003C3911"/>
    <w:rsid w:val="003C509F"/>
    <w:rsid w:val="003C5804"/>
    <w:rsid w:val="003C6583"/>
    <w:rsid w:val="003C676D"/>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552E"/>
    <w:rsid w:val="003E5AEA"/>
    <w:rsid w:val="003E5FE9"/>
    <w:rsid w:val="003E65C9"/>
    <w:rsid w:val="003E6BA0"/>
    <w:rsid w:val="003E7513"/>
    <w:rsid w:val="003E7680"/>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AD9"/>
    <w:rsid w:val="004106D1"/>
    <w:rsid w:val="00411F3B"/>
    <w:rsid w:val="00412639"/>
    <w:rsid w:val="004127CC"/>
    <w:rsid w:val="00413FE9"/>
    <w:rsid w:val="00415074"/>
    <w:rsid w:val="00415285"/>
    <w:rsid w:val="004163B4"/>
    <w:rsid w:val="0041736D"/>
    <w:rsid w:val="00417592"/>
    <w:rsid w:val="004176B8"/>
    <w:rsid w:val="00417AAF"/>
    <w:rsid w:val="0042127A"/>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2C7E"/>
    <w:rsid w:val="0043426C"/>
    <w:rsid w:val="00434456"/>
    <w:rsid w:val="00435509"/>
    <w:rsid w:val="00436025"/>
    <w:rsid w:val="00437493"/>
    <w:rsid w:val="00437540"/>
    <w:rsid w:val="0043756A"/>
    <w:rsid w:val="004375F7"/>
    <w:rsid w:val="00437975"/>
    <w:rsid w:val="00440839"/>
    <w:rsid w:val="004408EA"/>
    <w:rsid w:val="0044099E"/>
    <w:rsid w:val="00440FB6"/>
    <w:rsid w:val="00442323"/>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E21"/>
    <w:rsid w:val="00451DF3"/>
    <w:rsid w:val="00452170"/>
    <w:rsid w:val="0045270C"/>
    <w:rsid w:val="00452AA8"/>
    <w:rsid w:val="00452DC4"/>
    <w:rsid w:val="0045306C"/>
    <w:rsid w:val="00453806"/>
    <w:rsid w:val="0045425B"/>
    <w:rsid w:val="004543BF"/>
    <w:rsid w:val="004543CC"/>
    <w:rsid w:val="0045495E"/>
    <w:rsid w:val="00455035"/>
    <w:rsid w:val="004556DF"/>
    <w:rsid w:val="0045670D"/>
    <w:rsid w:val="00457472"/>
    <w:rsid w:val="00460ED6"/>
    <w:rsid w:val="00460FE0"/>
    <w:rsid w:val="004612BD"/>
    <w:rsid w:val="004614BE"/>
    <w:rsid w:val="00461752"/>
    <w:rsid w:val="0046222A"/>
    <w:rsid w:val="004632E6"/>
    <w:rsid w:val="0046332B"/>
    <w:rsid w:val="00463530"/>
    <w:rsid w:val="00463BCC"/>
    <w:rsid w:val="00463E49"/>
    <w:rsid w:val="00463F25"/>
    <w:rsid w:val="00465A6A"/>
    <w:rsid w:val="0047035C"/>
    <w:rsid w:val="0047129B"/>
    <w:rsid w:val="00472279"/>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89F"/>
    <w:rsid w:val="004A303C"/>
    <w:rsid w:val="004A3942"/>
    <w:rsid w:val="004A41D5"/>
    <w:rsid w:val="004A44CA"/>
    <w:rsid w:val="004A455D"/>
    <w:rsid w:val="004A4E6C"/>
    <w:rsid w:val="004A5AC1"/>
    <w:rsid w:val="004A60A4"/>
    <w:rsid w:val="004A60DF"/>
    <w:rsid w:val="004A68D0"/>
    <w:rsid w:val="004B0DBD"/>
    <w:rsid w:val="004B232E"/>
    <w:rsid w:val="004B2405"/>
    <w:rsid w:val="004B298D"/>
    <w:rsid w:val="004B3557"/>
    <w:rsid w:val="004B371E"/>
    <w:rsid w:val="004B4C51"/>
    <w:rsid w:val="004B4E58"/>
    <w:rsid w:val="004B4ED5"/>
    <w:rsid w:val="004B5FCF"/>
    <w:rsid w:val="004B6222"/>
    <w:rsid w:val="004B6226"/>
    <w:rsid w:val="004B676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14F"/>
    <w:rsid w:val="004D07DB"/>
    <w:rsid w:val="004D1F78"/>
    <w:rsid w:val="004D2CB9"/>
    <w:rsid w:val="004D3A18"/>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DEA"/>
    <w:rsid w:val="004E5738"/>
    <w:rsid w:val="004E7530"/>
    <w:rsid w:val="004E79CD"/>
    <w:rsid w:val="004E7C20"/>
    <w:rsid w:val="004F1237"/>
    <w:rsid w:val="004F2B51"/>
    <w:rsid w:val="004F3397"/>
    <w:rsid w:val="004F3D53"/>
    <w:rsid w:val="004F3F9F"/>
    <w:rsid w:val="004F4692"/>
    <w:rsid w:val="004F5F76"/>
    <w:rsid w:val="004F6013"/>
    <w:rsid w:val="004F68A9"/>
    <w:rsid w:val="004F6F02"/>
    <w:rsid w:val="00500BDB"/>
    <w:rsid w:val="00500D8F"/>
    <w:rsid w:val="00502C2B"/>
    <w:rsid w:val="00503B22"/>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416"/>
    <w:rsid w:val="00525855"/>
    <w:rsid w:val="00527A13"/>
    <w:rsid w:val="00530D0A"/>
    <w:rsid w:val="00531C98"/>
    <w:rsid w:val="00533845"/>
    <w:rsid w:val="00534EF5"/>
    <w:rsid w:val="00536990"/>
    <w:rsid w:val="00536F46"/>
    <w:rsid w:val="00537D74"/>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60744"/>
    <w:rsid w:val="00560C9E"/>
    <w:rsid w:val="0056168A"/>
    <w:rsid w:val="00562116"/>
    <w:rsid w:val="0056303D"/>
    <w:rsid w:val="005649C4"/>
    <w:rsid w:val="00564B00"/>
    <w:rsid w:val="00564FCF"/>
    <w:rsid w:val="00565755"/>
    <w:rsid w:val="00565F33"/>
    <w:rsid w:val="0056678A"/>
    <w:rsid w:val="00566B43"/>
    <w:rsid w:val="00567885"/>
    <w:rsid w:val="0057029D"/>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F96"/>
    <w:rsid w:val="00586566"/>
    <w:rsid w:val="00586E36"/>
    <w:rsid w:val="00586FFC"/>
    <w:rsid w:val="005876A0"/>
    <w:rsid w:val="0059023B"/>
    <w:rsid w:val="00590345"/>
    <w:rsid w:val="00592472"/>
    <w:rsid w:val="00592B8E"/>
    <w:rsid w:val="00593E48"/>
    <w:rsid w:val="0059541B"/>
    <w:rsid w:val="00595890"/>
    <w:rsid w:val="00595DFB"/>
    <w:rsid w:val="00595FF6"/>
    <w:rsid w:val="005968B7"/>
    <w:rsid w:val="005976C1"/>
    <w:rsid w:val="005979E3"/>
    <w:rsid w:val="005A0203"/>
    <w:rsid w:val="005A0358"/>
    <w:rsid w:val="005A456B"/>
    <w:rsid w:val="005A4B47"/>
    <w:rsid w:val="005A541D"/>
    <w:rsid w:val="005A5899"/>
    <w:rsid w:val="005A5968"/>
    <w:rsid w:val="005A64CD"/>
    <w:rsid w:val="005A6ABF"/>
    <w:rsid w:val="005A6E26"/>
    <w:rsid w:val="005A7100"/>
    <w:rsid w:val="005B073D"/>
    <w:rsid w:val="005B0C40"/>
    <w:rsid w:val="005B121C"/>
    <w:rsid w:val="005B143B"/>
    <w:rsid w:val="005B1B69"/>
    <w:rsid w:val="005B1F50"/>
    <w:rsid w:val="005B2AF4"/>
    <w:rsid w:val="005B2CE0"/>
    <w:rsid w:val="005B2F32"/>
    <w:rsid w:val="005B4A53"/>
    <w:rsid w:val="005B4AA4"/>
    <w:rsid w:val="005B6123"/>
    <w:rsid w:val="005B6ADF"/>
    <w:rsid w:val="005B7AA5"/>
    <w:rsid w:val="005C0F88"/>
    <w:rsid w:val="005C2152"/>
    <w:rsid w:val="005C23C5"/>
    <w:rsid w:val="005C4E2D"/>
    <w:rsid w:val="005C5317"/>
    <w:rsid w:val="005C544F"/>
    <w:rsid w:val="005C65B3"/>
    <w:rsid w:val="005C68D5"/>
    <w:rsid w:val="005C71D2"/>
    <w:rsid w:val="005C78B3"/>
    <w:rsid w:val="005D106F"/>
    <w:rsid w:val="005D18B6"/>
    <w:rsid w:val="005D1C88"/>
    <w:rsid w:val="005D244C"/>
    <w:rsid w:val="005D2CAC"/>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585"/>
    <w:rsid w:val="005F383A"/>
    <w:rsid w:val="005F3954"/>
    <w:rsid w:val="005F512B"/>
    <w:rsid w:val="005F5711"/>
    <w:rsid w:val="005F6F4A"/>
    <w:rsid w:val="00600132"/>
    <w:rsid w:val="006007D6"/>
    <w:rsid w:val="00601201"/>
    <w:rsid w:val="0060137D"/>
    <w:rsid w:val="006017BB"/>
    <w:rsid w:val="00602F2F"/>
    <w:rsid w:val="00603A61"/>
    <w:rsid w:val="00603B17"/>
    <w:rsid w:val="006045C5"/>
    <w:rsid w:val="006051AF"/>
    <w:rsid w:val="00605C51"/>
    <w:rsid w:val="00611AC3"/>
    <w:rsid w:val="00611B0E"/>
    <w:rsid w:val="00612914"/>
    <w:rsid w:val="00612FE3"/>
    <w:rsid w:val="00613EF1"/>
    <w:rsid w:val="00614DEA"/>
    <w:rsid w:val="0061544F"/>
    <w:rsid w:val="00617007"/>
    <w:rsid w:val="00617813"/>
    <w:rsid w:val="00617EAE"/>
    <w:rsid w:val="006200EC"/>
    <w:rsid w:val="00621791"/>
    <w:rsid w:val="00621CE5"/>
    <w:rsid w:val="00622ACC"/>
    <w:rsid w:val="00622D42"/>
    <w:rsid w:val="00623154"/>
    <w:rsid w:val="006234E7"/>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EE7"/>
    <w:rsid w:val="00641585"/>
    <w:rsid w:val="0064167F"/>
    <w:rsid w:val="006419FF"/>
    <w:rsid w:val="006427FC"/>
    <w:rsid w:val="0064310B"/>
    <w:rsid w:val="0064331E"/>
    <w:rsid w:val="00643D50"/>
    <w:rsid w:val="00643EA4"/>
    <w:rsid w:val="006440A2"/>
    <w:rsid w:val="006446A6"/>
    <w:rsid w:val="006450C2"/>
    <w:rsid w:val="00645213"/>
    <w:rsid w:val="0064550E"/>
    <w:rsid w:val="00645C03"/>
    <w:rsid w:val="00646421"/>
    <w:rsid w:val="00646424"/>
    <w:rsid w:val="00646938"/>
    <w:rsid w:val="00650C8D"/>
    <w:rsid w:val="00652215"/>
    <w:rsid w:val="006526A1"/>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E0E"/>
    <w:rsid w:val="0068261C"/>
    <w:rsid w:val="00682A99"/>
    <w:rsid w:val="00683AEF"/>
    <w:rsid w:val="0068418D"/>
    <w:rsid w:val="0068450E"/>
    <w:rsid w:val="00684A4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9CA"/>
    <w:rsid w:val="00696EFF"/>
    <w:rsid w:val="0069702A"/>
    <w:rsid w:val="00697672"/>
    <w:rsid w:val="006A0071"/>
    <w:rsid w:val="006A14BD"/>
    <w:rsid w:val="006A35B8"/>
    <w:rsid w:val="006A415D"/>
    <w:rsid w:val="006A4472"/>
    <w:rsid w:val="006A4F15"/>
    <w:rsid w:val="006A5026"/>
    <w:rsid w:val="006A508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68A8"/>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2DAA"/>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23A"/>
    <w:rsid w:val="006F13BE"/>
    <w:rsid w:val="006F19AE"/>
    <w:rsid w:val="006F291D"/>
    <w:rsid w:val="006F45D6"/>
    <w:rsid w:val="006F507E"/>
    <w:rsid w:val="006F535A"/>
    <w:rsid w:val="006F55BB"/>
    <w:rsid w:val="006F5E00"/>
    <w:rsid w:val="006F75C1"/>
    <w:rsid w:val="00700CA2"/>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2928"/>
    <w:rsid w:val="00712DA1"/>
    <w:rsid w:val="007137F3"/>
    <w:rsid w:val="00713B2C"/>
    <w:rsid w:val="00713DE8"/>
    <w:rsid w:val="00713FE4"/>
    <w:rsid w:val="007145F2"/>
    <w:rsid w:val="00714795"/>
    <w:rsid w:val="00715B84"/>
    <w:rsid w:val="00715FAC"/>
    <w:rsid w:val="00717D11"/>
    <w:rsid w:val="00720097"/>
    <w:rsid w:val="00720FFD"/>
    <w:rsid w:val="00721C3B"/>
    <w:rsid w:val="00722800"/>
    <w:rsid w:val="00722A98"/>
    <w:rsid w:val="0072357C"/>
    <w:rsid w:val="00723AD0"/>
    <w:rsid w:val="007247F1"/>
    <w:rsid w:val="00724E7D"/>
    <w:rsid w:val="00727B39"/>
    <w:rsid w:val="00730693"/>
    <w:rsid w:val="007319AA"/>
    <w:rsid w:val="00732646"/>
    <w:rsid w:val="00732F6F"/>
    <w:rsid w:val="00733524"/>
    <w:rsid w:val="00733C28"/>
    <w:rsid w:val="00734F11"/>
    <w:rsid w:val="0073560E"/>
    <w:rsid w:val="007357B6"/>
    <w:rsid w:val="0073585F"/>
    <w:rsid w:val="007358F4"/>
    <w:rsid w:val="00735911"/>
    <w:rsid w:val="00735F67"/>
    <w:rsid w:val="007364C7"/>
    <w:rsid w:val="007379D6"/>
    <w:rsid w:val="00737E8D"/>
    <w:rsid w:val="00740F76"/>
    <w:rsid w:val="00742C51"/>
    <w:rsid w:val="00742FDD"/>
    <w:rsid w:val="0074312C"/>
    <w:rsid w:val="00743D5B"/>
    <w:rsid w:val="00744650"/>
    <w:rsid w:val="007454B7"/>
    <w:rsid w:val="0075020C"/>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3AF5"/>
    <w:rsid w:val="007648BF"/>
    <w:rsid w:val="007652CA"/>
    <w:rsid w:val="00765528"/>
    <w:rsid w:val="007656DE"/>
    <w:rsid w:val="00765726"/>
    <w:rsid w:val="007667EC"/>
    <w:rsid w:val="00766FF7"/>
    <w:rsid w:val="00770756"/>
    <w:rsid w:val="007713D1"/>
    <w:rsid w:val="00771460"/>
    <w:rsid w:val="00771DF1"/>
    <w:rsid w:val="0077212E"/>
    <w:rsid w:val="00773135"/>
    <w:rsid w:val="0077373B"/>
    <w:rsid w:val="0077566B"/>
    <w:rsid w:val="0077582E"/>
    <w:rsid w:val="00775DA1"/>
    <w:rsid w:val="00776EED"/>
    <w:rsid w:val="0077788C"/>
    <w:rsid w:val="007808DA"/>
    <w:rsid w:val="007812D1"/>
    <w:rsid w:val="00781671"/>
    <w:rsid w:val="007817EB"/>
    <w:rsid w:val="00781D2C"/>
    <w:rsid w:val="00781F9D"/>
    <w:rsid w:val="00782B61"/>
    <w:rsid w:val="0078572B"/>
    <w:rsid w:val="00785DCD"/>
    <w:rsid w:val="0078645E"/>
    <w:rsid w:val="00786628"/>
    <w:rsid w:val="00786A4E"/>
    <w:rsid w:val="00786B3F"/>
    <w:rsid w:val="00786E51"/>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C0858"/>
    <w:rsid w:val="007C0E17"/>
    <w:rsid w:val="007C0F62"/>
    <w:rsid w:val="007C316D"/>
    <w:rsid w:val="007C4095"/>
    <w:rsid w:val="007C4099"/>
    <w:rsid w:val="007C4A52"/>
    <w:rsid w:val="007C57CD"/>
    <w:rsid w:val="007C782F"/>
    <w:rsid w:val="007D021B"/>
    <w:rsid w:val="007D03DA"/>
    <w:rsid w:val="007D10F6"/>
    <w:rsid w:val="007D132E"/>
    <w:rsid w:val="007D194C"/>
    <w:rsid w:val="007D1DEB"/>
    <w:rsid w:val="007D28CF"/>
    <w:rsid w:val="007D28F1"/>
    <w:rsid w:val="007D318B"/>
    <w:rsid w:val="007D3BCC"/>
    <w:rsid w:val="007D4607"/>
    <w:rsid w:val="007D4B95"/>
    <w:rsid w:val="007D4C79"/>
    <w:rsid w:val="007D4F4F"/>
    <w:rsid w:val="007D5722"/>
    <w:rsid w:val="007D656B"/>
    <w:rsid w:val="007D703B"/>
    <w:rsid w:val="007D7B79"/>
    <w:rsid w:val="007E0B71"/>
    <w:rsid w:val="007E1121"/>
    <w:rsid w:val="007E21EC"/>
    <w:rsid w:val="007E263B"/>
    <w:rsid w:val="007E2AE3"/>
    <w:rsid w:val="007E2BDE"/>
    <w:rsid w:val="007E32B0"/>
    <w:rsid w:val="007E4827"/>
    <w:rsid w:val="007E492B"/>
    <w:rsid w:val="007E5047"/>
    <w:rsid w:val="007E63FA"/>
    <w:rsid w:val="007F08D4"/>
    <w:rsid w:val="007F0B51"/>
    <w:rsid w:val="007F1156"/>
    <w:rsid w:val="007F2A84"/>
    <w:rsid w:val="007F2B5D"/>
    <w:rsid w:val="007F3581"/>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0796F"/>
    <w:rsid w:val="008100A7"/>
    <w:rsid w:val="0081042F"/>
    <w:rsid w:val="0081067C"/>
    <w:rsid w:val="00810B42"/>
    <w:rsid w:val="00810E47"/>
    <w:rsid w:val="00811E7B"/>
    <w:rsid w:val="008134E4"/>
    <w:rsid w:val="0081374A"/>
    <w:rsid w:val="00814750"/>
    <w:rsid w:val="008151A4"/>
    <w:rsid w:val="008164E0"/>
    <w:rsid w:val="00816C1E"/>
    <w:rsid w:val="00816E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C16"/>
    <w:rsid w:val="00835419"/>
    <w:rsid w:val="00835B35"/>
    <w:rsid w:val="00835E58"/>
    <w:rsid w:val="008361C3"/>
    <w:rsid w:val="00837801"/>
    <w:rsid w:val="00837E60"/>
    <w:rsid w:val="0084007F"/>
    <w:rsid w:val="00841D0C"/>
    <w:rsid w:val="00841E0F"/>
    <w:rsid w:val="008422CD"/>
    <w:rsid w:val="00842411"/>
    <w:rsid w:val="00842F1F"/>
    <w:rsid w:val="00843CC2"/>
    <w:rsid w:val="00844751"/>
    <w:rsid w:val="008447F2"/>
    <w:rsid w:val="00844F4A"/>
    <w:rsid w:val="0084592A"/>
    <w:rsid w:val="00845972"/>
    <w:rsid w:val="00846370"/>
    <w:rsid w:val="00847124"/>
    <w:rsid w:val="008509D2"/>
    <w:rsid w:val="00850CA6"/>
    <w:rsid w:val="00850CDB"/>
    <w:rsid w:val="00850D9A"/>
    <w:rsid w:val="00851089"/>
    <w:rsid w:val="00851140"/>
    <w:rsid w:val="00851718"/>
    <w:rsid w:val="008530B9"/>
    <w:rsid w:val="00854D50"/>
    <w:rsid w:val="00854DEE"/>
    <w:rsid w:val="00855289"/>
    <w:rsid w:val="00860888"/>
    <w:rsid w:val="0086170A"/>
    <w:rsid w:val="00861B14"/>
    <w:rsid w:val="00862C38"/>
    <w:rsid w:val="00862C86"/>
    <w:rsid w:val="0086372D"/>
    <w:rsid w:val="00863B70"/>
    <w:rsid w:val="00864C89"/>
    <w:rsid w:val="008651D5"/>
    <w:rsid w:val="0086681C"/>
    <w:rsid w:val="00867D21"/>
    <w:rsid w:val="00870D44"/>
    <w:rsid w:val="0087122C"/>
    <w:rsid w:val="0087292C"/>
    <w:rsid w:val="0087453A"/>
    <w:rsid w:val="00874B9F"/>
    <w:rsid w:val="00874EED"/>
    <w:rsid w:val="0087514B"/>
    <w:rsid w:val="008751D7"/>
    <w:rsid w:val="00875A1F"/>
    <w:rsid w:val="00875B68"/>
    <w:rsid w:val="00875DE7"/>
    <w:rsid w:val="008764D5"/>
    <w:rsid w:val="00876DDE"/>
    <w:rsid w:val="00877171"/>
    <w:rsid w:val="00877E4A"/>
    <w:rsid w:val="00882347"/>
    <w:rsid w:val="00882606"/>
    <w:rsid w:val="0088309F"/>
    <w:rsid w:val="008832A4"/>
    <w:rsid w:val="008832C4"/>
    <w:rsid w:val="00883458"/>
    <w:rsid w:val="00883CA7"/>
    <w:rsid w:val="00884187"/>
    <w:rsid w:val="00885423"/>
    <w:rsid w:val="00885691"/>
    <w:rsid w:val="0088649A"/>
    <w:rsid w:val="00886EA7"/>
    <w:rsid w:val="00890451"/>
    <w:rsid w:val="00890606"/>
    <w:rsid w:val="008908E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7545"/>
    <w:rsid w:val="008A762B"/>
    <w:rsid w:val="008A77D4"/>
    <w:rsid w:val="008B0DFB"/>
    <w:rsid w:val="008B1824"/>
    <w:rsid w:val="008B1DDD"/>
    <w:rsid w:val="008B2B87"/>
    <w:rsid w:val="008B2F47"/>
    <w:rsid w:val="008B3998"/>
    <w:rsid w:val="008B477D"/>
    <w:rsid w:val="008B5597"/>
    <w:rsid w:val="008B67B3"/>
    <w:rsid w:val="008B7445"/>
    <w:rsid w:val="008B75DB"/>
    <w:rsid w:val="008C0C96"/>
    <w:rsid w:val="008C10FA"/>
    <w:rsid w:val="008C1926"/>
    <w:rsid w:val="008C2C5E"/>
    <w:rsid w:val="008C3050"/>
    <w:rsid w:val="008C432F"/>
    <w:rsid w:val="008C4AF9"/>
    <w:rsid w:val="008C5493"/>
    <w:rsid w:val="008C59F5"/>
    <w:rsid w:val="008C5A12"/>
    <w:rsid w:val="008C5A8B"/>
    <w:rsid w:val="008C5DA9"/>
    <w:rsid w:val="008C5F0D"/>
    <w:rsid w:val="008C69AA"/>
    <w:rsid w:val="008C79D1"/>
    <w:rsid w:val="008D228A"/>
    <w:rsid w:val="008D35AB"/>
    <w:rsid w:val="008D3870"/>
    <w:rsid w:val="008D5674"/>
    <w:rsid w:val="008D69E8"/>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6177"/>
    <w:rsid w:val="008F70B4"/>
    <w:rsid w:val="008F738A"/>
    <w:rsid w:val="008F7EE4"/>
    <w:rsid w:val="00900230"/>
    <w:rsid w:val="009006B1"/>
    <w:rsid w:val="00900882"/>
    <w:rsid w:val="00902D04"/>
    <w:rsid w:val="0090369A"/>
    <w:rsid w:val="00903AF4"/>
    <w:rsid w:val="009045B4"/>
    <w:rsid w:val="009048CA"/>
    <w:rsid w:val="0090571A"/>
    <w:rsid w:val="00905EA5"/>
    <w:rsid w:val="00906472"/>
    <w:rsid w:val="009072E8"/>
    <w:rsid w:val="00907682"/>
    <w:rsid w:val="00907FB0"/>
    <w:rsid w:val="00907FDA"/>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21A8D"/>
    <w:rsid w:val="00922DF3"/>
    <w:rsid w:val="009239C5"/>
    <w:rsid w:val="00925616"/>
    <w:rsid w:val="009257DB"/>
    <w:rsid w:val="00926B95"/>
    <w:rsid w:val="00926ECC"/>
    <w:rsid w:val="0092787E"/>
    <w:rsid w:val="00927B54"/>
    <w:rsid w:val="00933DA6"/>
    <w:rsid w:val="00933F41"/>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8C"/>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5014"/>
    <w:rsid w:val="009651E9"/>
    <w:rsid w:val="00965A66"/>
    <w:rsid w:val="00966443"/>
    <w:rsid w:val="009669AC"/>
    <w:rsid w:val="0096765E"/>
    <w:rsid w:val="00971CF8"/>
    <w:rsid w:val="009725B4"/>
    <w:rsid w:val="0097520E"/>
    <w:rsid w:val="00975792"/>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7E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3E22"/>
    <w:rsid w:val="009B3EF7"/>
    <w:rsid w:val="009B42AA"/>
    <w:rsid w:val="009B4456"/>
    <w:rsid w:val="009B4D86"/>
    <w:rsid w:val="009B5142"/>
    <w:rsid w:val="009B5305"/>
    <w:rsid w:val="009B7177"/>
    <w:rsid w:val="009B7188"/>
    <w:rsid w:val="009B78CA"/>
    <w:rsid w:val="009C25C5"/>
    <w:rsid w:val="009C29D8"/>
    <w:rsid w:val="009C3139"/>
    <w:rsid w:val="009C449D"/>
    <w:rsid w:val="009C49B9"/>
    <w:rsid w:val="009C4B63"/>
    <w:rsid w:val="009C4F84"/>
    <w:rsid w:val="009C70D7"/>
    <w:rsid w:val="009C7705"/>
    <w:rsid w:val="009C7AD2"/>
    <w:rsid w:val="009C7DED"/>
    <w:rsid w:val="009C7F06"/>
    <w:rsid w:val="009D02B6"/>
    <w:rsid w:val="009D0F62"/>
    <w:rsid w:val="009D1F4E"/>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DDB"/>
    <w:rsid w:val="009F411E"/>
    <w:rsid w:val="009F51A5"/>
    <w:rsid w:val="009F52EB"/>
    <w:rsid w:val="009F5349"/>
    <w:rsid w:val="009F681B"/>
    <w:rsid w:val="009F68D4"/>
    <w:rsid w:val="009F6950"/>
    <w:rsid w:val="009F697B"/>
    <w:rsid w:val="009F6E4C"/>
    <w:rsid w:val="009F6FFC"/>
    <w:rsid w:val="009F7206"/>
    <w:rsid w:val="009F74E6"/>
    <w:rsid w:val="00A00C4F"/>
    <w:rsid w:val="00A0103E"/>
    <w:rsid w:val="00A019D5"/>
    <w:rsid w:val="00A03770"/>
    <w:rsid w:val="00A05C48"/>
    <w:rsid w:val="00A05CFE"/>
    <w:rsid w:val="00A05EBB"/>
    <w:rsid w:val="00A06121"/>
    <w:rsid w:val="00A0723C"/>
    <w:rsid w:val="00A0772D"/>
    <w:rsid w:val="00A07B3B"/>
    <w:rsid w:val="00A107FA"/>
    <w:rsid w:val="00A11B1F"/>
    <w:rsid w:val="00A11C7F"/>
    <w:rsid w:val="00A11DF0"/>
    <w:rsid w:val="00A12602"/>
    <w:rsid w:val="00A12957"/>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1FF0"/>
    <w:rsid w:val="00A3480D"/>
    <w:rsid w:val="00A34B3F"/>
    <w:rsid w:val="00A35A5F"/>
    <w:rsid w:val="00A35D22"/>
    <w:rsid w:val="00A36037"/>
    <w:rsid w:val="00A374FB"/>
    <w:rsid w:val="00A4000E"/>
    <w:rsid w:val="00A40979"/>
    <w:rsid w:val="00A40C22"/>
    <w:rsid w:val="00A41BF1"/>
    <w:rsid w:val="00A43926"/>
    <w:rsid w:val="00A43D16"/>
    <w:rsid w:val="00A43E90"/>
    <w:rsid w:val="00A43F13"/>
    <w:rsid w:val="00A44A39"/>
    <w:rsid w:val="00A45172"/>
    <w:rsid w:val="00A456AA"/>
    <w:rsid w:val="00A461F4"/>
    <w:rsid w:val="00A463C0"/>
    <w:rsid w:val="00A467DF"/>
    <w:rsid w:val="00A478CF"/>
    <w:rsid w:val="00A47ABD"/>
    <w:rsid w:val="00A47FC5"/>
    <w:rsid w:val="00A5211E"/>
    <w:rsid w:val="00A52390"/>
    <w:rsid w:val="00A52B18"/>
    <w:rsid w:val="00A52F6A"/>
    <w:rsid w:val="00A53705"/>
    <w:rsid w:val="00A537D7"/>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CC2"/>
    <w:rsid w:val="00A82B3C"/>
    <w:rsid w:val="00A83A8C"/>
    <w:rsid w:val="00A848F6"/>
    <w:rsid w:val="00A86DA7"/>
    <w:rsid w:val="00A86F66"/>
    <w:rsid w:val="00A87779"/>
    <w:rsid w:val="00A90124"/>
    <w:rsid w:val="00A90B88"/>
    <w:rsid w:val="00A90BCD"/>
    <w:rsid w:val="00A9277C"/>
    <w:rsid w:val="00A94638"/>
    <w:rsid w:val="00A94F44"/>
    <w:rsid w:val="00A95059"/>
    <w:rsid w:val="00A95CF7"/>
    <w:rsid w:val="00A968DE"/>
    <w:rsid w:val="00A96F65"/>
    <w:rsid w:val="00A97069"/>
    <w:rsid w:val="00A9738B"/>
    <w:rsid w:val="00A9791B"/>
    <w:rsid w:val="00AA07E2"/>
    <w:rsid w:val="00AA0D41"/>
    <w:rsid w:val="00AA135F"/>
    <w:rsid w:val="00AA1869"/>
    <w:rsid w:val="00AA186D"/>
    <w:rsid w:val="00AA328F"/>
    <w:rsid w:val="00AA35B4"/>
    <w:rsid w:val="00AA3995"/>
    <w:rsid w:val="00AA46F7"/>
    <w:rsid w:val="00AA4987"/>
    <w:rsid w:val="00AA7901"/>
    <w:rsid w:val="00AA7968"/>
    <w:rsid w:val="00AA7A23"/>
    <w:rsid w:val="00AB0C3D"/>
    <w:rsid w:val="00AB2A1F"/>
    <w:rsid w:val="00AB2AB3"/>
    <w:rsid w:val="00AB2FEB"/>
    <w:rsid w:val="00AB380B"/>
    <w:rsid w:val="00AB433B"/>
    <w:rsid w:val="00AB4BCB"/>
    <w:rsid w:val="00AB51FD"/>
    <w:rsid w:val="00AB551F"/>
    <w:rsid w:val="00AB6758"/>
    <w:rsid w:val="00AB7CE1"/>
    <w:rsid w:val="00AC0B8D"/>
    <w:rsid w:val="00AC0C69"/>
    <w:rsid w:val="00AC0FDA"/>
    <w:rsid w:val="00AC110A"/>
    <w:rsid w:val="00AC1A0F"/>
    <w:rsid w:val="00AC3A38"/>
    <w:rsid w:val="00AC3BF5"/>
    <w:rsid w:val="00AC51C4"/>
    <w:rsid w:val="00AC5356"/>
    <w:rsid w:val="00AC6313"/>
    <w:rsid w:val="00AC6E8D"/>
    <w:rsid w:val="00AD07E9"/>
    <w:rsid w:val="00AD26F4"/>
    <w:rsid w:val="00AD31CE"/>
    <w:rsid w:val="00AD4A55"/>
    <w:rsid w:val="00AD4AEA"/>
    <w:rsid w:val="00AD527B"/>
    <w:rsid w:val="00AD528C"/>
    <w:rsid w:val="00AD592D"/>
    <w:rsid w:val="00AD63DB"/>
    <w:rsid w:val="00AD7814"/>
    <w:rsid w:val="00AE098F"/>
    <w:rsid w:val="00AE0DCA"/>
    <w:rsid w:val="00AE22DA"/>
    <w:rsid w:val="00AE2E33"/>
    <w:rsid w:val="00AE3150"/>
    <w:rsid w:val="00AE31FA"/>
    <w:rsid w:val="00AE3CB9"/>
    <w:rsid w:val="00AE415C"/>
    <w:rsid w:val="00AE41C2"/>
    <w:rsid w:val="00AE5851"/>
    <w:rsid w:val="00AE5AFB"/>
    <w:rsid w:val="00AE6256"/>
    <w:rsid w:val="00AE6F3D"/>
    <w:rsid w:val="00AE7341"/>
    <w:rsid w:val="00AE7C17"/>
    <w:rsid w:val="00AF0958"/>
    <w:rsid w:val="00AF194D"/>
    <w:rsid w:val="00AF1DE6"/>
    <w:rsid w:val="00AF3EC1"/>
    <w:rsid w:val="00AF44AF"/>
    <w:rsid w:val="00AF46C2"/>
    <w:rsid w:val="00AF53F0"/>
    <w:rsid w:val="00AF5621"/>
    <w:rsid w:val="00AF593E"/>
    <w:rsid w:val="00AF5D85"/>
    <w:rsid w:val="00AF6FBC"/>
    <w:rsid w:val="00B021EF"/>
    <w:rsid w:val="00B023D5"/>
    <w:rsid w:val="00B038FD"/>
    <w:rsid w:val="00B03F74"/>
    <w:rsid w:val="00B04796"/>
    <w:rsid w:val="00B04B2A"/>
    <w:rsid w:val="00B04D76"/>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23EB"/>
    <w:rsid w:val="00B23B86"/>
    <w:rsid w:val="00B23F8F"/>
    <w:rsid w:val="00B24AF2"/>
    <w:rsid w:val="00B2599B"/>
    <w:rsid w:val="00B25A49"/>
    <w:rsid w:val="00B26CA7"/>
    <w:rsid w:val="00B27BFD"/>
    <w:rsid w:val="00B310E7"/>
    <w:rsid w:val="00B31260"/>
    <w:rsid w:val="00B3195A"/>
    <w:rsid w:val="00B31994"/>
    <w:rsid w:val="00B319F8"/>
    <w:rsid w:val="00B3254A"/>
    <w:rsid w:val="00B3344D"/>
    <w:rsid w:val="00B336CA"/>
    <w:rsid w:val="00B33C07"/>
    <w:rsid w:val="00B33CE4"/>
    <w:rsid w:val="00B340B6"/>
    <w:rsid w:val="00B34CB6"/>
    <w:rsid w:val="00B3546D"/>
    <w:rsid w:val="00B3547F"/>
    <w:rsid w:val="00B3574E"/>
    <w:rsid w:val="00B3622E"/>
    <w:rsid w:val="00B36429"/>
    <w:rsid w:val="00B37D3E"/>
    <w:rsid w:val="00B37D46"/>
    <w:rsid w:val="00B4030F"/>
    <w:rsid w:val="00B404FB"/>
    <w:rsid w:val="00B40722"/>
    <w:rsid w:val="00B40890"/>
    <w:rsid w:val="00B412B7"/>
    <w:rsid w:val="00B41CC9"/>
    <w:rsid w:val="00B43465"/>
    <w:rsid w:val="00B43489"/>
    <w:rsid w:val="00B43976"/>
    <w:rsid w:val="00B43D3B"/>
    <w:rsid w:val="00B440B2"/>
    <w:rsid w:val="00B441B5"/>
    <w:rsid w:val="00B44327"/>
    <w:rsid w:val="00B44433"/>
    <w:rsid w:val="00B44F01"/>
    <w:rsid w:val="00B46499"/>
    <w:rsid w:val="00B465E2"/>
    <w:rsid w:val="00B46AD1"/>
    <w:rsid w:val="00B46B4C"/>
    <w:rsid w:val="00B509FB"/>
    <w:rsid w:val="00B50B61"/>
    <w:rsid w:val="00B50FF5"/>
    <w:rsid w:val="00B516DB"/>
    <w:rsid w:val="00B52A17"/>
    <w:rsid w:val="00B52F1B"/>
    <w:rsid w:val="00B5458B"/>
    <w:rsid w:val="00B5520A"/>
    <w:rsid w:val="00B5574F"/>
    <w:rsid w:val="00B55987"/>
    <w:rsid w:val="00B56B24"/>
    <w:rsid w:val="00B56FBC"/>
    <w:rsid w:val="00B57073"/>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030C"/>
    <w:rsid w:val="00B811D7"/>
    <w:rsid w:val="00B81520"/>
    <w:rsid w:val="00B8184B"/>
    <w:rsid w:val="00B818EB"/>
    <w:rsid w:val="00B81D29"/>
    <w:rsid w:val="00B82539"/>
    <w:rsid w:val="00B83AF0"/>
    <w:rsid w:val="00B84473"/>
    <w:rsid w:val="00B8465B"/>
    <w:rsid w:val="00B84FF5"/>
    <w:rsid w:val="00B8503D"/>
    <w:rsid w:val="00B8616B"/>
    <w:rsid w:val="00B86783"/>
    <w:rsid w:val="00B87D57"/>
    <w:rsid w:val="00B923BE"/>
    <w:rsid w:val="00B9292C"/>
    <w:rsid w:val="00B937BE"/>
    <w:rsid w:val="00B93D57"/>
    <w:rsid w:val="00B9454B"/>
    <w:rsid w:val="00B9584E"/>
    <w:rsid w:val="00B95B41"/>
    <w:rsid w:val="00B96CE1"/>
    <w:rsid w:val="00BA02A5"/>
    <w:rsid w:val="00BA0CE5"/>
    <w:rsid w:val="00BA1E77"/>
    <w:rsid w:val="00BA1E7C"/>
    <w:rsid w:val="00BA2CD0"/>
    <w:rsid w:val="00BA3412"/>
    <w:rsid w:val="00BA3F77"/>
    <w:rsid w:val="00BA525D"/>
    <w:rsid w:val="00BA6009"/>
    <w:rsid w:val="00BA6371"/>
    <w:rsid w:val="00BA657E"/>
    <w:rsid w:val="00BA665D"/>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4A7"/>
    <w:rsid w:val="00BC2B38"/>
    <w:rsid w:val="00BC2B59"/>
    <w:rsid w:val="00BC304A"/>
    <w:rsid w:val="00BC3A05"/>
    <w:rsid w:val="00BC3F5B"/>
    <w:rsid w:val="00BC4231"/>
    <w:rsid w:val="00BC458E"/>
    <w:rsid w:val="00BC528F"/>
    <w:rsid w:val="00BC55EF"/>
    <w:rsid w:val="00BC5649"/>
    <w:rsid w:val="00BC7204"/>
    <w:rsid w:val="00BC75FC"/>
    <w:rsid w:val="00BC7AB5"/>
    <w:rsid w:val="00BC7B08"/>
    <w:rsid w:val="00BC7E73"/>
    <w:rsid w:val="00BD1A70"/>
    <w:rsid w:val="00BD2228"/>
    <w:rsid w:val="00BD3728"/>
    <w:rsid w:val="00BD37A4"/>
    <w:rsid w:val="00BD3F80"/>
    <w:rsid w:val="00BD6EEE"/>
    <w:rsid w:val="00BD7E44"/>
    <w:rsid w:val="00BE0217"/>
    <w:rsid w:val="00BE05D8"/>
    <w:rsid w:val="00BE09F3"/>
    <w:rsid w:val="00BE0C68"/>
    <w:rsid w:val="00BE25A9"/>
    <w:rsid w:val="00BE2709"/>
    <w:rsid w:val="00BE2B3E"/>
    <w:rsid w:val="00BE320E"/>
    <w:rsid w:val="00BE3636"/>
    <w:rsid w:val="00BE38A1"/>
    <w:rsid w:val="00BE4343"/>
    <w:rsid w:val="00BE44FA"/>
    <w:rsid w:val="00BE4BE4"/>
    <w:rsid w:val="00BE50E6"/>
    <w:rsid w:val="00BE517A"/>
    <w:rsid w:val="00BE5AAA"/>
    <w:rsid w:val="00BE68F4"/>
    <w:rsid w:val="00BE6C54"/>
    <w:rsid w:val="00BE70F1"/>
    <w:rsid w:val="00BE7B3E"/>
    <w:rsid w:val="00BF1C44"/>
    <w:rsid w:val="00BF2977"/>
    <w:rsid w:val="00BF309E"/>
    <w:rsid w:val="00BF3978"/>
    <w:rsid w:val="00BF3BC6"/>
    <w:rsid w:val="00BF41FA"/>
    <w:rsid w:val="00BF4DB1"/>
    <w:rsid w:val="00BF4EDA"/>
    <w:rsid w:val="00BF5CC3"/>
    <w:rsid w:val="00BF6E9C"/>
    <w:rsid w:val="00BF74B8"/>
    <w:rsid w:val="00C0091F"/>
    <w:rsid w:val="00C00BB6"/>
    <w:rsid w:val="00C01058"/>
    <w:rsid w:val="00C0149B"/>
    <w:rsid w:val="00C01D30"/>
    <w:rsid w:val="00C02558"/>
    <w:rsid w:val="00C026BF"/>
    <w:rsid w:val="00C039CE"/>
    <w:rsid w:val="00C04C2C"/>
    <w:rsid w:val="00C05976"/>
    <w:rsid w:val="00C064DE"/>
    <w:rsid w:val="00C065AA"/>
    <w:rsid w:val="00C06674"/>
    <w:rsid w:val="00C06827"/>
    <w:rsid w:val="00C0771C"/>
    <w:rsid w:val="00C077F6"/>
    <w:rsid w:val="00C11782"/>
    <w:rsid w:val="00C12976"/>
    <w:rsid w:val="00C14961"/>
    <w:rsid w:val="00C1591C"/>
    <w:rsid w:val="00C1604E"/>
    <w:rsid w:val="00C165FB"/>
    <w:rsid w:val="00C17B13"/>
    <w:rsid w:val="00C2015A"/>
    <w:rsid w:val="00C20ACF"/>
    <w:rsid w:val="00C212DB"/>
    <w:rsid w:val="00C2186C"/>
    <w:rsid w:val="00C21D87"/>
    <w:rsid w:val="00C2313A"/>
    <w:rsid w:val="00C23677"/>
    <w:rsid w:val="00C243D7"/>
    <w:rsid w:val="00C24972"/>
    <w:rsid w:val="00C24B96"/>
    <w:rsid w:val="00C24ECD"/>
    <w:rsid w:val="00C25CBF"/>
    <w:rsid w:val="00C26355"/>
    <w:rsid w:val="00C26649"/>
    <w:rsid w:val="00C267DD"/>
    <w:rsid w:val="00C300A6"/>
    <w:rsid w:val="00C30337"/>
    <w:rsid w:val="00C304A8"/>
    <w:rsid w:val="00C3055C"/>
    <w:rsid w:val="00C3082F"/>
    <w:rsid w:val="00C3125C"/>
    <w:rsid w:val="00C31A86"/>
    <w:rsid w:val="00C31F2E"/>
    <w:rsid w:val="00C32077"/>
    <w:rsid w:val="00C3226E"/>
    <w:rsid w:val="00C33018"/>
    <w:rsid w:val="00C33C0F"/>
    <w:rsid w:val="00C34163"/>
    <w:rsid w:val="00C3434D"/>
    <w:rsid w:val="00C34826"/>
    <w:rsid w:val="00C34D6B"/>
    <w:rsid w:val="00C352BE"/>
    <w:rsid w:val="00C36387"/>
    <w:rsid w:val="00C36450"/>
    <w:rsid w:val="00C371C7"/>
    <w:rsid w:val="00C37452"/>
    <w:rsid w:val="00C37760"/>
    <w:rsid w:val="00C37B9D"/>
    <w:rsid w:val="00C40835"/>
    <w:rsid w:val="00C40BF8"/>
    <w:rsid w:val="00C40D44"/>
    <w:rsid w:val="00C40E72"/>
    <w:rsid w:val="00C41918"/>
    <w:rsid w:val="00C41B42"/>
    <w:rsid w:val="00C41D51"/>
    <w:rsid w:val="00C42202"/>
    <w:rsid w:val="00C42A69"/>
    <w:rsid w:val="00C438CC"/>
    <w:rsid w:val="00C439BF"/>
    <w:rsid w:val="00C43A19"/>
    <w:rsid w:val="00C44299"/>
    <w:rsid w:val="00C4486F"/>
    <w:rsid w:val="00C449B0"/>
    <w:rsid w:val="00C45455"/>
    <w:rsid w:val="00C45516"/>
    <w:rsid w:val="00C45B81"/>
    <w:rsid w:val="00C45CF2"/>
    <w:rsid w:val="00C4604F"/>
    <w:rsid w:val="00C461E6"/>
    <w:rsid w:val="00C5021D"/>
    <w:rsid w:val="00C514EE"/>
    <w:rsid w:val="00C52487"/>
    <w:rsid w:val="00C528A7"/>
    <w:rsid w:val="00C53E8C"/>
    <w:rsid w:val="00C541AC"/>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E99"/>
    <w:rsid w:val="00C71E4B"/>
    <w:rsid w:val="00C722E4"/>
    <w:rsid w:val="00C725BD"/>
    <w:rsid w:val="00C72F9A"/>
    <w:rsid w:val="00C73B2D"/>
    <w:rsid w:val="00C74370"/>
    <w:rsid w:val="00C75CB8"/>
    <w:rsid w:val="00C75D52"/>
    <w:rsid w:val="00C772C8"/>
    <w:rsid w:val="00C77E43"/>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C3"/>
    <w:rsid w:val="00CA19D7"/>
    <w:rsid w:val="00CA1A66"/>
    <w:rsid w:val="00CA207A"/>
    <w:rsid w:val="00CA2C99"/>
    <w:rsid w:val="00CA2CE9"/>
    <w:rsid w:val="00CA3654"/>
    <w:rsid w:val="00CA3B03"/>
    <w:rsid w:val="00CA3C15"/>
    <w:rsid w:val="00CA44AB"/>
    <w:rsid w:val="00CA6069"/>
    <w:rsid w:val="00CA6245"/>
    <w:rsid w:val="00CA6D5F"/>
    <w:rsid w:val="00CA718A"/>
    <w:rsid w:val="00CA732A"/>
    <w:rsid w:val="00CB0270"/>
    <w:rsid w:val="00CB1FAD"/>
    <w:rsid w:val="00CB2573"/>
    <w:rsid w:val="00CB34E4"/>
    <w:rsid w:val="00CB4A5A"/>
    <w:rsid w:val="00CB4EB2"/>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082"/>
    <w:rsid w:val="00CD063B"/>
    <w:rsid w:val="00CD1B39"/>
    <w:rsid w:val="00CD1D29"/>
    <w:rsid w:val="00CD1E1F"/>
    <w:rsid w:val="00CD2DAE"/>
    <w:rsid w:val="00CD30A1"/>
    <w:rsid w:val="00CD31C3"/>
    <w:rsid w:val="00CD3741"/>
    <w:rsid w:val="00CD382D"/>
    <w:rsid w:val="00CD424F"/>
    <w:rsid w:val="00CD48F4"/>
    <w:rsid w:val="00CD50C0"/>
    <w:rsid w:val="00CD54EA"/>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0D7"/>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71"/>
    <w:rsid w:val="00D0309B"/>
    <w:rsid w:val="00D0369B"/>
    <w:rsid w:val="00D03D10"/>
    <w:rsid w:val="00D041AD"/>
    <w:rsid w:val="00D04247"/>
    <w:rsid w:val="00D042B6"/>
    <w:rsid w:val="00D050DD"/>
    <w:rsid w:val="00D05230"/>
    <w:rsid w:val="00D057C9"/>
    <w:rsid w:val="00D05E51"/>
    <w:rsid w:val="00D0659C"/>
    <w:rsid w:val="00D06C86"/>
    <w:rsid w:val="00D078A1"/>
    <w:rsid w:val="00D10256"/>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3A77"/>
    <w:rsid w:val="00D240D1"/>
    <w:rsid w:val="00D24255"/>
    <w:rsid w:val="00D2440C"/>
    <w:rsid w:val="00D2651F"/>
    <w:rsid w:val="00D26824"/>
    <w:rsid w:val="00D26FFF"/>
    <w:rsid w:val="00D27A64"/>
    <w:rsid w:val="00D30468"/>
    <w:rsid w:val="00D306F3"/>
    <w:rsid w:val="00D30E2B"/>
    <w:rsid w:val="00D32B01"/>
    <w:rsid w:val="00D33426"/>
    <w:rsid w:val="00D33BEB"/>
    <w:rsid w:val="00D34F90"/>
    <w:rsid w:val="00D35632"/>
    <w:rsid w:val="00D3577B"/>
    <w:rsid w:val="00D359FC"/>
    <w:rsid w:val="00D365AF"/>
    <w:rsid w:val="00D378F0"/>
    <w:rsid w:val="00D41187"/>
    <w:rsid w:val="00D41AA3"/>
    <w:rsid w:val="00D42358"/>
    <w:rsid w:val="00D4246D"/>
    <w:rsid w:val="00D4298D"/>
    <w:rsid w:val="00D4399A"/>
    <w:rsid w:val="00D43D08"/>
    <w:rsid w:val="00D43D35"/>
    <w:rsid w:val="00D43EFB"/>
    <w:rsid w:val="00D443AF"/>
    <w:rsid w:val="00D448F3"/>
    <w:rsid w:val="00D44AD1"/>
    <w:rsid w:val="00D45193"/>
    <w:rsid w:val="00D452F4"/>
    <w:rsid w:val="00D45E3F"/>
    <w:rsid w:val="00D46B63"/>
    <w:rsid w:val="00D46BBB"/>
    <w:rsid w:val="00D46D55"/>
    <w:rsid w:val="00D46E0B"/>
    <w:rsid w:val="00D473C0"/>
    <w:rsid w:val="00D477B5"/>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4736"/>
    <w:rsid w:val="00D65492"/>
    <w:rsid w:val="00D664F3"/>
    <w:rsid w:val="00D66F97"/>
    <w:rsid w:val="00D704F7"/>
    <w:rsid w:val="00D70E1B"/>
    <w:rsid w:val="00D72EC8"/>
    <w:rsid w:val="00D75260"/>
    <w:rsid w:val="00D75358"/>
    <w:rsid w:val="00D75D10"/>
    <w:rsid w:val="00D75E17"/>
    <w:rsid w:val="00D7651B"/>
    <w:rsid w:val="00D800C4"/>
    <w:rsid w:val="00D8093A"/>
    <w:rsid w:val="00D80C2E"/>
    <w:rsid w:val="00D8102D"/>
    <w:rsid w:val="00D81390"/>
    <w:rsid w:val="00D81B3C"/>
    <w:rsid w:val="00D82E71"/>
    <w:rsid w:val="00D82FAD"/>
    <w:rsid w:val="00D83E2F"/>
    <w:rsid w:val="00D84449"/>
    <w:rsid w:val="00D848CA"/>
    <w:rsid w:val="00D857FB"/>
    <w:rsid w:val="00D85DCE"/>
    <w:rsid w:val="00D85FBF"/>
    <w:rsid w:val="00D86C78"/>
    <w:rsid w:val="00D8764F"/>
    <w:rsid w:val="00D877DA"/>
    <w:rsid w:val="00D87BBB"/>
    <w:rsid w:val="00D906B5"/>
    <w:rsid w:val="00D912B1"/>
    <w:rsid w:val="00D92CCB"/>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DF8"/>
    <w:rsid w:val="00DA62C6"/>
    <w:rsid w:val="00DA6465"/>
    <w:rsid w:val="00DA6F59"/>
    <w:rsid w:val="00DA76E4"/>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1D27"/>
    <w:rsid w:val="00DC20BC"/>
    <w:rsid w:val="00DC367D"/>
    <w:rsid w:val="00DC5CD8"/>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0B9"/>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968"/>
    <w:rsid w:val="00DF5B54"/>
    <w:rsid w:val="00DF5BFF"/>
    <w:rsid w:val="00DF6A86"/>
    <w:rsid w:val="00DF6C15"/>
    <w:rsid w:val="00DF6F99"/>
    <w:rsid w:val="00E00A8F"/>
    <w:rsid w:val="00E00B41"/>
    <w:rsid w:val="00E03229"/>
    <w:rsid w:val="00E034A7"/>
    <w:rsid w:val="00E03820"/>
    <w:rsid w:val="00E040BC"/>
    <w:rsid w:val="00E047B2"/>
    <w:rsid w:val="00E04AF5"/>
    <w:rsid w:val="00E04B83"/>
    <w:rsid w:val="00E05863"/>
    <w:rsid w:val="00E0672A"/>
    <w:rsid w:val="00E06749"/>
    <w:rsid w:val="00E068C3"/>
    <w:rsid w:val="00E102C2"/>
    <w:rsid w:val="00E104A8"/>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04F"/>
    <w:rsid w:val="00E63CC0"/>
    <w:rsid w:val="00E65018"/>
    <w:rsid w:val="00E66A0C"/>
    <w:rsid w:val="00E675BE"/>
    <w:rsid w:val="00E7042B"/>
    <w:rsid w:val="00E70D72"/>
    <w:rsid w:val="00E71052"/>
    <w:rsid w:val="00E71719"/>
    <w:rsid w:val="00E71994"/>
    <w:rsid w:val="00E71B49"/>
    <w:rsid w:val="00E7273D"/>
    <w:rsid w:val="00E72F02"/>
    <w:rsid w:val="00E7341F"/>
    <w:rsid w:val="00E738C0"/>
    <w:rsid w:val="00E73B29"/>
    <w:rsid w:val="00E74C0F"/>
    <w:rsid w:val="00E76692"/>
    <w:rsid w:val="00E77306"/>
    <w:rsid w:val="00E804F9"/>
    <w:rsid w:val="00E80B62"/>
    <w:rsid w:val="00E80E9B"/>
    <w:rsid w:val="00E81442"/>
    <w:rsid w:val="00E827D9"/>
    <w:rsid w:val="00E829A3"/>
    <w:rsid w:val="00E84264"/>
    <w:rsid w:val="00E84508"/>
    <w:rsid w:val="00E857FC"/>
    <w:rsid w:val="00E86C4B"/>
    <w:rsid w:val="00E86CDC"/>
    <w:rsid w:val="00E878F0"/>
    <w:rsid w:val="00E87D80"/>
    <w:rsid w:val="00E92419"/>
    <w:rsid w:val="00E925C9"/>
    <w:rsid w:val="00E931DC"/>
    <w:rsid w:val="00E948E4"/>
    <w:rsid w:val="00E96BDC"/>
    <w:rsid w:val="00E97C3D"/>
    <w:rsid w:val="00E97CF8"/>
    <w:rsid w:val="00EA0248"/>
    <w:rsid w:val="00EA0FE0"/>
    <w:rsid w:val="00EA12B1"/>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49C6"/>
    <w:rsid w:val="00EC5193"/>
    <w:rsid w:val="00EC6394"/>
    <w:rsid w:val="00EC63C8"/>
    <w:rsid w:val="00EC6D23"/>
    <w:rsid w:val="00EC7219"/>
    <w:rsid w:val="00ED00BD"/>
    <w:rsid w:val="00ED0196"/>
    <w:rsid w:val="00ED0AC1"/>
    <w:rsid w:val="00ED159C"/>
    <w:rsid w:val="00ED1F3B"/>
    <w:rsid w:val="00ED2CD1"/>
    <w:rsid w:val="00ED3B4C"/>
    <w:rsid w:val="00ED3D5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5FA0"/>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D0F"/>
    <w:rsid w:val="00F232F5"/>
    <w:rsid w:val="00F23F39"/>
    <w:rsid w:val="00F24DDE"/>
    <w:rsid w:val="00F25980"/>
    <w:rsid w:val="00F25F18"/>
    <w:rsid w:val="00F25F69"/>
    <w:rsid w:val="00F26BD3"/>
    <w:rsid w:val="00F26FA6"/>
    <w:rsid w:val="00F270D4"/>
    <w:rsid w:val="00F27CC5"/>
    <w:rsid w:val="00F3068A"/>
    <w:rsid w:val="00F309C6"/>
    <w:rsid w:val="00F30BA4"/>
    <w:rsid w:val="00F31326"/>
    <w:rsid w:val="00F33964"/>
    <w:rsid w:val="00F33D25"/>
    <w:rsid w:val="00F344EF"/>
    <w:rsid w:val="00F362C5"/>
    <w:rsid w:val="00F36C7D"/>
    <w:rsid w:val="00F40558"/>
    <w:rsid w:val="00F411C1"/>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10C5"/>
    <w:rsid w:val="00F811B3"/>
    <w:rsid w:val="00F81DBE"/>
    <w:rsid w:val="00F821A9"/>
    <w:rsid w:val="00F8247D"/>
    <w:rsid w:val="00F82EF7"/>
    <w:rsid w:val="00F83BC8"/>
    <w:rsid w:val="00F83C8A"/>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285"/>
    <w:rsid w:val="00FA153E"/>
    <w:rsid w:val="00FA15E0"/>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1B1"/>
    <w:rsid w:val="00FB5271"/>
    <w:rsid w:val="00FB56EA"/>
    <w:rsid w:val="00FB61D2"/>
    <w:rsid w:val="00FB6BE5"/>
    <w:rsid w:val="00FB6D84"/>
    <w:rsid w:val="00FB7556"/>
    <w:rsid w:val="00FC23EB"/>
    <w:rsid w:val="00FC2EFF"/>
    <w:rsid w:val="00FC3A20"/>
    <w:rsid w:val="00FC3FE2"/>
    <w:rsid w:val="00FC430C"/>
    <w:rsid w:val="00FC5807"/>
    <w:rsid w:val="00FC6213"/>
    <w:rsid w:val="00FC62CC"/>
    <w:rsid w:val="00FC65F0"/>
    <w:rsid w:val="00FC763D"/>
    <w:rsid w:val="00FC7E86"/>
    <w:rsid w:val="00FD036F"/>
    <w:rsid w:val="00FD056E"/>
    <w:rsid w:val="00FD080B"/>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9C9"/>
    <w:rsid w:val="00FF29AD"/>
    <w:rsid w:val="00FF3A09"/>
    <w:rsid w:val="00FF3B3C"/>
    <w:rsid w:val="00FF3E8A"/>
    <w:rsid w:val="00FF471C"/>
    <w:rsid w:val="00FF5BD9"/>
    <w:rsid w:val="00FF6C9C"/>
    <w:rsid w:val="00FF719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Char Char,Char Rakstz. Rakstz. Rakstz. Rakstz. Rakstz. Rakstz. Char,Char Rakstz. Rakstz. Rakstz. Rakstz. Rakstz. Rakstz. Rakstz. Char,Footnote Char,Fußnote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 Spacing1,Normal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 Spacing1 Char,Normal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6969C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B574-0593-4E94-8D92-9FB0C262EEAC}">
  <ds:schemaRefs>
    <ds:schemaRef ds:uri="http://schemas.openxmlformats.org/officeDocument/2006/bibliography"/>
  </ds:schemaRefs>
</ds:datastoreItem>
</file>

<file path=customXml/itemProps2.xml><?xml version="1.0" encoding="utf-8"?>
<ds:datastoreItem xmlns:ds="http://schemas.openxmlformats.org/officeDocument/2006/customXml" ds:itemID="{B22FCFEA-EAD8-4481-ACD8-AD84E508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2323</Words>
  <Characters>16893</Characters>
  <Application>Microsoft Office Word</Application>
  <DocSecurity>0</DocSecurity>
  <Lines>140</Lines>
  <Paragraphs>38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2014. gada 28. oktobra noteikumos Nr.666 „Darbības programmas “Izaugsme un nodarbinātība” 9.2.3. specifiskā atbalsta mērķa “Atbalstīt prioritāro (sirds un asinsvadu, onkoloģijas, bērnu (sāk</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28. oktobra noteikumos Nr.666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 sākotnējās ietekmes novērtējuma ziņojums (anotācija)</dc:title>
  <dc:subject>Anotācija</dc:subject>
  <dc:creator>Jūlija Grabovska</dc:creator>
  <dc:description>Jūlija Grabovska_x000D_
Investīciju un Eiropas Savienības fondu _x000D_
uzraudzības departamenta ES fondu ieviešanas nodaļas vecākā referente_x000D_
Tālr.:  67 876 173_x000D_
Julija.Grabovska@vm.gov.lv</dc:description>
  <cp:lastModifiedBy>Agnese Tomsone</cp:lastModifiedBy>
  <cp:revision>33</cp:revision>
  <cp:lastPrinted>2017-08-01T07:32:00Z</cp:lastPrinted>
  <dcterms:created xsi:type="dcterms:W3CDTF">2017-08-02T07:04:00Z</dcterms:created>
  <dcterms:modified xsi:type="dcterms:W3CDTF">2018-02-13T14:54:00Z</dcterms:modified>
</cp:coreProperties>
</file>