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8696" w14:textId="54F499D0" w:rsidR="00FB65D8" w:rsidRPr="00003586" w:rsidRDefault="00FB65D8" w:rsidP="00FB65D8">
      <w:pPr>
        <w:pStyle w:val="Bezatstarpm"/>
        <w:jc w:val="center"/>
        <w:rPr>
          <w:b/>
          <w:bCs/>
          <w:sz w:val="28"/>
        </w:rPr>
      </w:pPr>
      <w:bookmarkStart w:id="0" w:name="_GoBack"/>
      <w:bookmarkEnd w:id="0"/>
      <w:r w:rsidRPr="00003586">
        <w:rPr>
          <w:b/>
          <w:sz w:val="28"/>
        </w:rPr>
        <w:t xml:space="preserve">Ministru kabineta </w:t>
      </w:r>
      <w:r w:rsidR="00CB57F2">
        <w:rPr>
          <w:b/>
          <w:sz w:val="28"/>
        </w:rPr>
        <w:t>rīkojuma</w:t>
      </w:r>
      <w:r w:rsidR="00CB57F2" w:rsidRPr="00003586">
        <w:rPr>
          <w:b/>
          <w:sz w:val="28"/>
        </w:rPr>
        <w:t xml:space="preserve"> </w:t>
      </w:r>
      <w:r w:rsidRPr="00003586">
        <w:rPr>
          <w:b/>
          <w:sz w:val="28"/>
        </w:rPr>
        <w:t>projekt</w:t>
      </w:r>
      <w:r w:rsidR="0022273A" w:rsidRPr="00003586">
        <w:rPr>
          <w:b/>
          <w:sz w:val="28"/>
        </w:rPr>
        <w:t>s</w:t>
      </w:r>
      <w:r w:rsidRPr="00003586">
        <w:rPr>
          <w:b/>
          <w:sz w:val="28"/>
        </w:rPr>
        <w:t xml:space="preserve"> „</w:t>
      </w:r>
      <w:r w:rsidR="00BC3A60" w:rsidRPr="00BC3A60">
        <w:t xml:space="preserve"> </w:t>
      </w:r>
      <w:r w:rsidR="00BC3A60" w:rsidRPr="00BC3A60">
        <w:rPr>
          <w:b/>
          <w:sz w:val="28"/>
        </w:rPr>
        <w:t>Par atļauju veikt mežacūku līķu un to blakusproduktu savākšanu, pārstrādi un likvidēšanu, nepiemērojot Publisko iepirkumu likuma prasības</w:t>
      </w:r>
      <w:r w:rsidRPr="00BC3A60">
        <w:rPr>
          <w:b/>
          <w:sz w:val="28"/>
        </w:rPr>
        <w:t>”</w:t>
      </w:r>
    </w:p>
    <w:p w14:paraId="78BDEC4D" w14:textId="77777777" w:rsidR="00FB65D8" w:rsidRPr="00003586" w:rsidRDefault="00FB65D8" w:rsidP="00FB65D8">
      <w:pPr>
        <w:pStyle w:val="Bezatstarpm"/>
        <w:jc w:val="center"/>
        <w:rPr>
          <w:b/>
          <w:bCs/>
          <w:sz w:val="28"/>
        </w:rPr>
      </w:pPr>
      <w:r w:rsidRPr="00003586">
        <w:rPr>
          <w:b/>
          <w:bCs/>
          <w:sz w:val="28"/>
        </w:rPr>
        <w:t>sākotnējās ietekmes novērtējuma ziņojums (anotācija)</w:t>
      </w:r>
    </w:p>
    <w:p w14:paraId="291F2E93" w14:textId="77777777" w:rsidR="00A035B4" w:rsidRPr="000A242C" w:rsidRDefault="00A035B4" w:rsidP="00FB65D8">
      <w:pPr>
        <w:pStyle w:val="Bezatstarpm"/>
        <w:jc w:val="center"/>
        <w:rPr>
          <w:bCs/>
        </w:rPr>
      </w:pPr>
    </w:p>
    <w:tbl>
      <w:tblPr>
        <w:tblStyle w:val="Reatabula"/>
        <w:tblW w:w="4785" w:type="pct"/>
        <w:tblLayout w:type="fixed"/>
        <w:tblLook w:val="04A0" w:firstRow="1" w:lastRow="0" w:firstColumn="1" w:lastColumn="0" w:noHBand="0" w:noVBand="1"/>
      </w:tblPr>
      <w:tblGrid>
        <w:gridCol w:w="373"/>
        <w:gridCol w:w="1759"/>
        <w:gridCol w:w="6268"/>
      </w:tblGrid>
      <w:tr w:rsidR="00A035B4" w:rsidRPr="00D46E60" w14:paraId="422093A6" w14:textId="77777777" w:rsidTr="00461EE3">
        <w:tc>
          <w:tcPr>
            <w:tcW w:w="5000" w:type="pct"/>
            <w:gridSpan w:val="3"/>
          </w:tcPr>
          <w:p w14:paraId="2C4A86C2" w14:textId="77777777" w:rsidR="00A035B4" w:rsidRPr="00A035B4" w:rsidRDefault="00A035B4" w:rsidP="00236DC9">
            <w:pPr>
              <w:jc w:val="center"/>
              <w:rPr>
                <w:rFonts w:ascii="Times New Roman" w:hAnsi="Times New Roman" w:cs="Times New Roman"/>
                <w:b/>
                <w:bCs/>
                <w:sz w:val="24"/>
                <w:szCs w:val="24"/>
                <w:lang w:eastAsia="lv-LV"/>
              </w:rPr>
            </w:pPr>
            <w:r w:rsidRPr="00A035B4">
              <w:rPr>
                <w:rFonts w:ascii="Times New Roman" w:hAnsi="Times New Roman" w:cs="Times New Roman"/>
                <w:b/>
                <w:bCs/>
                <w:sz w:val="24"/>
                <w:szCs w:val="24"/>
                <w:lang w:eastAsia="lv-LV"/>
              </w:rPr>
              <w:t>Tiesību akta projekta anotācijas kopsavilkums</w:t>
            </w:r>
          </w:p>
        </w:tc>
      </w:tr>
      <w:tr w:rsidR="00A035B4" w:rsidRPr="00D46E60" w14:paraId="77BE01FC" w14:textId="77777777" w:rsidTr="00461EE3">
        <w:tc>
          <w:tcPr>
            <w:tcW w:w="1269" w:type="pct"/>
            <w:gridSpan w:val="2"/>
          </w:tcPr>
          <w:p w14:paraId="76CD129B" w14:textId="77777777" w:rsidR="00A035B4" w:rsidRPr="00A035B4" w:rsidRDefault="00A035B4" w:rsidP="00236DC9">
            <w:pPr>
              <w:jc w:val="both"/>
              <w:rPr>
                <w:rFonts w:ascii="Times New Roman" w:hAnsi="Times New Roman" w:cs="Times New Roman"/>
                <w:sz w:val="24"/>
                <w:szCs w:val="24"/>
                <w:highlight w:val="yellow"/>
                <w:lang w:eastAsia="lv-LV"/>
              </w:rPr>
            </w:pPr>
            <w:r w:rsidRPr="00A035B4">
              <w:rPr>
                <w:rFonts w:ascii="Times New Roman" w:hAnsi="Times New Roman" w:cs="Times New Roman"/>
                <w:sz w:val="24"/>
                <w:szCs w:val="24"/>
              </w:rPr>
              <w:t>Mērķis, risinājums un projekta spēkā stāšanās laiks (500 zīmes bez atstarpēm)</w:t>
            </w:r>
          </w:p>
        </w:tc>
        <w:tc>
          <w:tcPr>
            <w:tcW w:w="3731" w:type="pct"/>
          </w:tcPr>
          <w:p w14:paraId="709AA522" w14:textId="33AD7C7C" w:rsidR="00F610AA" w:rsidRPr="00D7585F" w:rsidRDefault="00FB217B" w:rsidP="00FB217B">
            <w:pPr>
              <w:jc w:val="both"/>
              <w:rPr>
                <w:rFonts w:ascii="Times New Roman" w:hAnsi="Times New Roman" w:cs="Times New Roman"/>
                <w:sz w:val="24"/>
                <w:szCs w:val="24"/>
                <w:lang w:eastAsia="lv-LV"/>
              </w:rPr>
            </w:pPr>
            <w:r>
              <w:rPr>
                <w:rFonts w:ascii="Times New Roman" w:hAnsi="Times New Roman" w:cs="Times New Roman"/>
                <w:sz w:val="24"/>
                <w:szCs w:val="24"/>
              </w:rPr>
              <w:t>Projekts šo jomu neskar.</w:t>
            </w:r>
          </w:p>
        </w:tc>
      </w:tr>
      <w:tr w:rsidR="00FB65D8" w:rsidRPr="000A242C" w14:paraId="0C47DC3B" w14:textId="77777777" w:rsidTr="00461EE3">
        <w:tc>
          <w:tcPr>
            <w:tcW w:w="5000" w:type="pct"/>
            <w:gridSpan w:val="3"/>
          </w:tcPr>
          <w:p w14:paraId="4F5F0B78" w14:textId="77777777" w:rsidR="00FB65D8" w:rsidRPr="00A035B4" w:rsidRDefault="00FB65D8" w:rsidP="00F62526">
            <w:pPr>
              <w:pStyle w:val="Bezatstarpm"/>
              <w:jc w:val="center"/>
              <w:rPr>
                <w:b/>
              </w:rPr>
            </w:pPr>
            <w:r w:rsidRPr="00A035B4">
              <w:rPr>
                <w:b/>
              </w:rPr>
              <w:t>I. Tiesību akta projekta izstrādes nepieciešamība</w:t>
            </w:r>
          </w:p>
        </w:tc>
      </w:tr>
      <w:tr w:rsidR="00FB65D8" w:rsidRPr="000A242C" w14:paraId="6C28E4B1" w14:textId="77777777" w:rsidTr="00461EE3">
        <w:tc>
          <w:tcPr>
            <w:tcW w:w="222" w:type="pct"/>
          </w:tcPr>
          <w:p w14:paraId="3BD86A8C" w14:textId="77777777" w:rsidR="00FB65D8" w:rsidRPr="000A242C" w:rsidRDefault="00FB65D8" w:rsidP="00F62526">
            <w:pPr>
              <w:pStyle w:val="Bezatstarpm"/>
            </w:pPr>
            <w:r w:rsidRPr="000A242C">
              <w:t>1.</w:t>
            </w:r>
          </w:p>
        </w:tc>
        <w:tc>
          <w:tcPr>
            <w:tcW w:w="1046" w:type="pct"/>
          </w:tcPr>
          <w:p w14:paraId="787C4FA7" w14:textId="77777777" w:rsidR="00FB65D8" w:rsidRPr="000A242C" w:rsidRDefault="00FB65D8" w:rsidP="00F62526">
            <w:pPr>
              <w:pStyle w:val="Bezatstarpm"/>
            </w:pPr>
            <w:r w:rsidRPr="000A242C">
              <w:t>Pamatojums</w:t>
            </w:r>
          </w:p>
        </w:tc>
        <w:tc>
          <w:tcPr>
            <w:tcW w:w="3731" w:type="pct"/>
          </w:tcPr>
          <w:p w14:paraId="5408AEDB" w14:textId="7D71744F" w:rsidR="00FB65D8" w:rsidRPr="000A242C" w:rsidRDefault="00CB57F2" w:rsidP="00CB57F2">
            <w:pPr>
              <w:pStyle w:val="Bezatstarpm"/>
              <w:jc w:val="both"/>
            </w:pPr>
            <w:r>
              <w:t xml:space="preserve">Publisko iepirkumu likuma 3. panta astotā daļa un </w:t>
            </w:r>
            <w:r w:rsidR="001253C8">
              <w:t>Ministru kabineta 2004. gada 17. februāra noteikum</w:t>
            </w:r>
            <w:r>
              <w:t>i</w:t>
            </w:r>
            <w:r w:rsidR="001253C8">
              <w:t xml:space="preserve"> Nr.83 “Āfrikas cūku mēra likvidēšanas un draudu novēršanas kārtība”</w:t>
            </w:r>
            <w:r>
              <w:t>.</w:t>
            </w:r>
            <w:r w:rsidR="001253C8">
              <w:t xml:space="preserve"> </w:t>
            </w:r>
          </w:p>
        </w:tc>
      </w:tr>
      <w:tr w:rsidR="00FB65D8" w:rsidRPr="00A25835" w14:paraId="716A9ABE" w14:textId="77777777" w:rsidTr="00461EE3">
        <w:tc>
          <w:tcPr>
            <w:tcW w:w="222" w:type="pct"/>
          </w:tcPr>
          <w:p w14:paraId="77DA5208" w14:textId="77777777" w:rsidR="00FB65D8" w:rsidRPr="000A242C" w:rsidRDefault="00FB65D8" w:rsidP="00F62526">
            <w:pPr>
              <w:pStyle w:val="Bezatstarpm"/>
            </w:pPr>
            <w:r w:rsidRPr="000A242C">
              <w:t>2.</w:t>
            </w:r>
          </w:p>
        </w:tc>
        <w:tc>
          <w:tcPr>
            <w:tcW w:w="1046" w:type="pct"/>
          </w:tcPr>
          <w:p w14:paraId="0D8A074D" w14:textId="77777777" w:rsidR="00FB65D8" w:rsidRPr="000A242C" w:rsidRDefault="00FB65D8" w:rsidP="00F62526">
            <w:pPr>
              <w:pStyle w:val="Bezatstarpm"/>
              <w:jc w:val="both"/>
            </w:pPr>
            <w:r w:rsidRPr="000A242C">
              <w:t>Pašreizējā situācija un problēmas, kuru risināšanai tiesību akta projekts izstrādāts, tiesiskā regulējuma mērķis un būtība</w:t>
            </w:r>
          </w:p>
        </w:tc>
        <w:tc>
          <w:tcPr>
            <w:tcW w:w="3731" w:type="pct"/>
          </w:tcPr>
          <w:p w14:paraId="0346DB56" w14:textId="37AB7DB4" w:rsidR="00D70D14" w:rsidRPr="00D70D14" w:rsidRDefault="001B3498" w:rsidP="00D70D14">
            <w:pPr>
              <w:pStyle w:val="Bezatstarpm"/>
              <w:jc w:val="both"/>
            </w:pPr>
            <w:r>
              <w:t xml:space="preserve">Kopš 2014. gada Latvijā </w:t>
            </w:r>
            <w:r w:rsidR="009616EF">
              <w:t>ir konstatēts</w:t>
            </w:r>
            <w:r>
              <w:t xml:space="preserve"> </w:t>
            </w:r>
            <w:r w:rsidR="001253C8" w:rsidRPr="001B3498">
              <w:t>Āfrikas cūku mēris (turpmāk – ĀCM) ir epizootiska rakstura slimība, kas ļoti strauji izplatās cūku sugas dzīvnieku vidū. Slimība cūkām nav ārstējama.</w:t>
            </w:r>
            <w:r w:rsidR="001253C8" w:rsidRPr="00D70D14">
              <w:t xml:space="preserve"> Ievērojot ĀCM izplatīšanās draudus, dzīvnieku izcelsmes blakusproduktus (</w:t>
            </w:r>
            <w:r w:rsidR="00F610AA">
              <w:t>tostarp</w:t>
            </w:r>
            <w:r w:rsidR="001253C8" w:rsidRPr="00D70D14">
              <w:t xml:space="preserve"> dzīvnieku līķus) nepieciešams likvidēt pēc iespējas </w:t>
            </w:r>
            <w:r w:rsidR="00D70D14" w:rsidRPr="00D70D14">
              <w:t>ātrāk</w:t>
            </w:r>
            <w:r w:rsidR="001253C8" w:rsidRPr="00D70D14">
              <w:t xml:space="preserve">. </w:t>
            </w:r>
            <w:r w:rsidR="00F610AA">
              <w:t xml:space="preserve">Pārtikas un veterinārais dienests (turpmāk – </w:t>
            </w:r>
            <w:r w:rsidR="001253C8" w:rsidRPr="00D70D14">
              <w:t>PVD</w:t>
            </w:r>
            <w:r w:rsidR="00F610AA">
              <w:t>)</w:t>
            </w:r>
            <w:r w:rsidR="001253C8" w:rsidRPr="00D70D14">
              <w:t xml:space="preserve"> ir izvērtējis </w:t>
            </w:r>
            <w:r w:rsidR="00EB271D" w:rsidRPr="00EB271D">
              <w:t xml:space="preserve">dzīvnieku izcelsmes </w:t>
            </w:r>
            <w:r w:rsidR="001253C8" w:rsidRPr="00D70D14">
              <w:t>blakusproduktu uzņēmēju un uzņēmumu atbilstību normatīvo aktu prasībām par dzīvnieku izcelsmes blakusproduktu apriti. Normatīvo aktu prasībām atbilstošajiem uzņēmumiem ir piešķirts PVD atzīšanas numurs.</w:t>
            </w:r>
          </w:p>
          <w:p w14:paraId="505914DC" w14:textId="73F602CF" w:rsidR="00D70D14" w:rsidRPr="00D70D14" w:rsidRDefault="00D70D14" w:rsidP="00D70D14">
            <w:pPr>
              <w:pStyle w:val="Bezatstarpm"/>
              <w:jc w:val="both"/>
            </w:pPr>
            <w:r w:rsidRPr="00D70D14">
              <w:t>Mežacūku līķus, kas ir nobeigušies no ĀCM, līdz šim likvidēja sadedzinot PVD Dienvidlatgales pārvaldes dzīvnieku izcelsmes blakusproduktu sadedzināšanas iekārtā “Hurikan PRO 1000”</w:t>
            </w:r>
            <w:r w:rsidR="00E55D6D">
              <w:t xml:space="preserve"> (</w:t>
            </w:r>
            <w:r w:rsidR="00E55D6D" w:rsidRPr="00E55D6D">
              <w:t>P</w:t>
            </w:r>
            <w:r w:rsidR="00E55D6D">
              <w:t>VD</w:t>
            </w:r>
            <w:r w:rsidR="00E55D6D" w:rsidRPr="00E55D6D">
              <w:t xml:space="preserve"> atzīšanas numurs A 066990</w:t>
            </w:r>
            <w:r w:rsidR="00E55D6D">
              <w:t>)</w:t>
            </w:r>
            <w:r w:rsidR="00CB57F2">
              <w:t xml:space="preserve"> (turpmāk – </w:t>
            </w:r>
            <w:r w:rsidR="00937506">
              <w:t xml:space="preserve">iekārta </w:t>
            </w:r>
            <w:r w:rsidR="00CB57F2">
              <w:t>“Hurikan PRO 1000”)</w:t>
            </w:r>
            <w:r w:rsidRPr="00D70D14">
              <w:t>. Sākot ar šā gada 1. martu iekārta</w:t>
            </w:r>
            <w:r w:rsidR="00937506">
              <w:t>s</w:t>
            </w:r>
            <w:r w:rsidRPr="00D70D14">
              <w:t xml:space="preserve"> “Hurikan PRO 1000” darbība ir apturēta, jo</w:t>
            </w:r>
            <w:r w:rsidR="00EB271D">
              <w:t xml:space="preserve"> </w:t>
            </w:r>
            <w:r w:rsidR="00EB271D" w:rsidRPr="00EB271D">
              <w:t xml:space="preserve">Valsts vides dienesta Daugavpils reģionālā pārvalde </w:t>
            </w:r>
            <w:r w:rsidR="00EB271D">
              <w:t xml:space="preserve">un </w:t>
            </w:r>
            <w:r w:rsidR="00EB271D" w:rsidRPr="00D70D14">
              <w:t>Latvijas Republikas Valsts kontrole</w:t>
            </w:r>
            <w:r w:rsidR="00EB271D" w:rsidRPr="00EB271D">
              <w:t xml:space="preserve"> </w:t>
            </w:r>
            <w:r w:rsidR="00EB271D">
              <w:t xml:space="preserve">norādīja, ka </w:t>
            </w:r>
            <w:r w:rsidR="00EB271D" w:rsidRPr="00D70D14">
              <w:t>iekārta</w:t>
            </w:r>
            <w:r w:rsidR="00EB271D">
              <w:t>s</w:t>
            </w:r>
            <w:r w:rsidR="00937506">
              <w:t xml:space="preserve"> </w:t>
            </w:r>
            <w:r w:rsidR="00EB271D" w:rsidRPr="00D70D14">
              <w:t xml:space="preserve">“Hurikan PRO 1000” </w:t>
            </w:r>
            <w:r w:rsidR="00EB271D">
              <w:t xml:space="preserve">darbība neatbilst </w:t>
            </w:r>
            <w:r w:rsidR="00EB271D" w:rsidRPr="00EB271D">
              <w:t>normatīvo aktu prasībām</w:t>
            </w:r>
            <w:r w:rsidR="00EB271D">
              <w:t xml:space="preserve"> par</w:t>
            </w:r>
            <w:r w:rsidR="00EB271D" w:rsidRPr="00EB271D">
              <w:t xml:space="preserve"> </w:t>
            </w:r>
            <w:r w:rsidR="00EB271D">
              <w:t>a</w:t>
            </w:r>
            <w:r w:rsidR="00EB271D" w:rsidRPr="00D70D14">
              <w:t>tkritumu apsaimniekošan</w:t>
            </w:r>
            <w:r w:rsidR="00EB271D">
              <w:t xml:space="preserve">u. </w:t>
            </w:r>
            <w:r w:rsidR="00BA488A">
              <w:t>Lai varētu darbināt i</w:t>
            </w:r>
            <w:r w:rsidR="00BA488A" w:rsidRPr="00BA488A">
              <w:t>ekārt</w:t>
            </w:r>
            <w:r w:rsidR="00BA488A">
              <w:t>u</w:t>
            </w:r>
            <w:r w:rsidR="00BA488A" w:rsidRPr="00BA488A">
              <w:t xml:space="preserve"> “Hurikan PRO 1000”</w:t>
            </w:r>
            <w:r w:rsidR="00EB271D" w:rsidRPr="00EB271D">
              <w:t xml:space="preserve"> </w:t>
            </w:r>
            <w:r w:rsidR="00BA488A">
              <w:t xml:space="preserve">PVD bija jāsaņem </w:t>
            </w:r>
            <w:r w:rsidR="00BA488A" w:rsidRPr="00BA488A">
              <w:t xml:space="preserve">B kategorijas piesārņojošas darbības atļauja </w:t>
            </w:r>
            <w:r w:rsidR="00BA488A">
              <w:t xml:space="preserve">saskaņā ar </w:t>
            </w:r>
            <w:r w:rsidR="00BA488A" w:rsidRPr="00BA488A">
              <w:t xml:space="preserve">Ministru kabineta </w:t>
            </w:r>
            <w:r w:rsidR="00BA488A">
              <w:t>2010. gada 30. novembra noteikum</w:t>
            </w:r>
            <w:r w:rsidR="00BA488A" w:rsidRPr="00BA488A">
              <w:t>os Nr. 1082 "Kārtība, kādā piesakāmas A, B un C kategorijas piesārņojošas darbības un izsniedzamas atļaujas A un B kategorijas piesārņojošo darbību veikšanai"”</w:t>
            </w:r>
            <w:r w:rsidR="00BA488A">
              <w:t xml:space="preserve"> noteikto. </w:t>
            </w:r>
            <w:r w:rsidR="00BC3A60">
              <w:t>Saskaņā ar normatīvajos aktos noteikto, Zemkopības ministrija uzskata</w:t>
            </w:r>
            <w:r w:rsidR="00BA488A" w:rsidRPr="00BA488A">
              <w:t xml:space="preserve">, ka </w:t>
            </w:r>
            <w:r w:rsidR="00BA488A">
              <w:t>dzīvnieku izcelsmes blakusproduktu sadedzināšanas iekārtām šāda atļauja nav nepieciešama.</w:t>
            </w:r>
            <w:r w:rsidR="00E91490">
              <w:t xml:space="preserve"> </w:t>
            </w:r>
            <w:r w:rsidR="00BC3A60">
              <w:t xml:space="preserve">Tomēr </w:t>
            </w:r>
            <w:r w:rsidR="00EB271D" w:rsidRPr="00EB271D">
              <w:t xml:space="preserve">Valsts vides dienesta Daugavpils reģionālā pārvalde </w:t>
            </w:r>
            <w:r w:rsidR="00EB271D">
              <w:t xml:space="preserve">un </w:t>
            </w:r>
            <w:r w:rsidR="00EB271D" w:rsidRPr="00EB271D">
              <w:t>Latvijas Republikas Valsts kontrole</w:t>
            </w:r>
            <w:r w:rsidR="00BC3A60">
              <w:t xml:space="preserve"> uztur spēkā prasību par </w:t>
            </w:r>
            <w:r w:rsidR="00BC3A60" w:rsidRPr="00BC3A60">
              <w:t>B kategorijas piesārņojošas darbības atļaujas</w:t>
            </w:r>
            <w:r w:rsidR="00BC3A60">
              <w:t xml:space="preserve"> nepieciešamību. </w:t>
            </w:r>
            <w:r w:rsidR="00BC3A60" w:rsidRPr="00EB271D">
              <w:t>Šādi</w:t>
            </w:r>
            <w:r w:rsidR="00BC3A60">
              <w:t xml:space="preserve"> </w:t>
            </w:r>
            <w:r w:rsidR="00BC3A60" w:rsidRPr="00BC3A60">
              <w:t>Valsts vides dienesta Daugavpils reģionālā pārvalde</w:t>
            </w:r>
            <w:r w:rsidR="00BC3A60">
              <w:t>s</w:t>
            </w:r>
            <w:r w:rsidR="00BC3A60" w:rsidRPr="00BC3A60">
              <w:t xml:space="preserve"> un Latvijas Republikas Valsts kontrole</w:t>
            </w:r>
            <w:r w:rsidR="00BC3A60">
              <w:t xml:space="preserve">s </w:t>
            </w:r>
            <w:r w:rsidR="00EB271D" w:rsidRPr="00EB271D">
              <w:t>uzliktie tiesiskie pienākumi pras</w:t>
            </w:r>
            <w:r w:rsidR="00EB271D">
              <w:t>īja</w:t>
            </w:r>
            <w:r w:rsidR="00EB271D" w:rsidRPr="00EB271D">
              <w:t xml:space="preserve"> nesamērīgi lielus </w:t>
            </w:r>
            <w:r w:rsidR="00EB271D" w:rsidRPr="00EB271D">
              <w:lastRenderedPageBreak/>
              <w:t xml:space="preserve">resursu ieguldījumus no </w:t>
            </w:r>
            <w:r w:rsidR="00937506">
              <w:t>valsts budžeta</w:t>
            </w:r>
            <w:r>
              <w:t xml:space="preserve">, </w:t>
            </w:r>
            <w:r w:rsidR="00EB271D">
              <w:t xml:space="preserve">tāpēc PVD </w:t>
            </w:r>
            <w:r w:rsidR="00EB271D" w:rsidRPr="00EB271D">
              <w:rPr>
                <w:rFonts w:eastAsiaTheme="minorHAnsi"/>
                <w:lang w:eastAsia="en-US"/>
              </w:rPr>
              <w:t xml:space="preserve">pieņēma lēmumu par iekārtas </w:t>
            </w:r>
            <w:r w:rsidR="00CB57F2">
              <w:rPr>
                <w:rFonts w:eastAsiaTheme="minorHAnsi"/>
                <w:lang w:eastAsia="en-US"/>
              </w:rPr>
              <w:t xml:space="preserve">“Hurikan PRO 1000” </w:t>
            </w:r>
            <w:r w:rsidR="00EB271D" w:rsidRPr="00EB271D">
              <w:rPr>
                <w:rFonts w:eastAsiaTheme="minorHAnsi"/>
                <w:lang w:eastAsia="en-US"/>
              </w:rPr>
              <w:t>darbības apturēšanu.</w:t>
            </w:r>
            <w:r w:rsidR="00EB271D">
              <w:rPr>
                <w:rFonts w:eastAsiaTheme="minorHAnsi"/>
                <w:lang w:eastAsia="en-US"/>
              </w:rPr>
              <w:t xml:space="preserve"> </w:t>
            </w:r>
            <w:r w:rsidR="00EB271D" w:rsidRPr="00EB271D">
              <w:rPr>
                <w:rFonts w:eastAsiaTheme="minorHAnsi"/>
                <w:lang w:eastAsia="en-US"/>
              </w:rPr>
              <w:t xml:space="preserve"> </w:t>
            </w:r>
            <w:r w:rsidRPr="00D70D14">
              <w:t xml:space="preserve"> </w:t>
            </w:r>
          </w:p>
          <w:p w14:paraId="2ADC3F17" w14:textId="3F3C06C2" w:rsidR="00132809" w:rsidRPr="009416B7" w:rsidRDefault="00FE3EF2" w:rsidP="00132809">
            <w:pPr>
              <w:pStyle w:val="Bezatstarpm"/>
              <w:jc w:val="both"/>
            </w:pPr>
            <w:r w:rsidRPr="00F05DD5">
              <w:t>2017.</w:t>
            </w:r>
            <w:r>
              <w:t xml:space="preserve"> </w:t>
            </w:r>
            <w:r w:rsidRPr="00F05DD5">
              <w:t>gada 8.</w:t>
            </w:r>
            <w:r>
              <w:t xml:space="preserve"> </w:t>
            </w:r>
            <w:r w:rsidRPr="00F05DD5">
              <w:t>decembrī P</w:t>
            </w:r>
            <w:r>
              <w:t>VD</w:t>
            </w:r>
            <w:r w:rsidRPr="00F05DD5">
              <w:t xml:space="preserve"> izsludināja iepirkumu par savvaļas cūku līķu un savvaļas cūku izcelsmes blakusproduktu likvidēšanu. </w:t>
            </w:r>
            <w:r>
              <w:t xml:space="preserve"> </w:t>
            </w:r>
            <w:r w:rsidRPr="00F05DD5">
              <w:t>2018.</w:t>
            </w:r>
            <w:r>
              <w:t xml:space="preserve"> </w:t>
            </w:r>
            <w:r w:rsidRPr="00F05DD5">
              <w:t>gada 12.</w:t>
            </w:r>
            <w:r>
              <w:t xml:space="preserve"> </w:t>
            </w:r>
            <w:r w:rsidRPr="00F05DD5">
              <w:t xml:space="preserve">janvārī tika noslēgts līgums ar vienīgo pretendentu – SIA “Entalpija”, </w:t>
            </w:r>
            <w:r w:rsidRPr="00E55D6D">
              <w:t>(reģistrācijas numurs 50003275621, adrese: Inčukalna nov</w:t>
            </w:r>
            <w:r w:rsidR="00B60DB4">
              <w:t>ads</w:t>
            </w:r>
            <w:r w:rsidRPr="00E55D6D">
              <w:t>, Vangaži, Gaujas iela 24, LV-21</w:t>
            </w:r>
            <w:r>
              <w:t>36</w:t>
            </w:r>
            <w:r w:rsidRPr="00E55D6D">
              <w:t>, P</w:t>
            </w:r>
            <w:r>
              <w:t>VD a</w:t>
            </w:r>
            <w:r w:rsidRPr="00E55D6D">
              <w:t>tzīšanas numurs A 057013</w:t>
            </w:r>
            <w:r>
              <w:t xml:space="preserve">), </w:t>
            </w:r>
            <w:r w:rsidRPr="00F05DD5">
              <w:t xml:space="preserve">nosakot maksu </w:t>
            </w:r>
            <w:r w:rsidR="00B60DB4">
              <w:t xml:space="preserve">EUR </w:t>
            </w:r>
            <w:r w:rsidRPr="00F05DD5">
              <w:t>242</w:t>
            </w:r>
            <w:r w:rsidR="00B60DB4">
              <w:t>,</w:t>
            </w:r>
            <w:r w:rsidRPr="00F05DD5">
              <w:t>50 bez PVN par vienas tonnas iznīcināšanu.</w:t>
            </w:r>
            <w:r>
              <w:t xml:space="preserve"> </w:t>
            </w:r>
            <w:r w:rsidRPr="00F05DD5">
              <w:t>2018.</w:t>
            </w:r>
            <w:r>
              <w:t xml:space="preserve"> </w:t>
            </w:r>
            <w:r w:rsidRPr="00F05DD5">
              <w:t xml:space="preserve">gada janvāra mēnesī uzņēmums pieņēma </w:t>
            </w:r>
            <w:r w:rsidR="00B60DB4">
              <w:t>trīs</w:t>
            </w:r>
            <w:r w:rsidRPr="00F05DD5">
              <w:t xml:space="preserve"> kravas (kopā 5380 kg) un veica cūku izcelsmes blakusproduktu likvidāciju.</w:t>
            </w:r>
            <w:r>
              <w:t xml:space="preserve"> </w:t>
            </w:r>
            <w:r w:rsidRPr="00F05DD5">
              <w:t>2018.</w:t>
            </w:r>
            <w:r>
              <w:t xml:space="preserve"> </w:t>
            </w:r>
            <w:r w:rsidRPr="00F05DD5">
              <w:t>gada  9.</w:t>
            </w:r>
            <w:r>
              <w:t xml:space="preserve"> </w:t>
            </w:r>
            <w:r w:rsidRPr="00F05DD5">
              <w:t xml:space="preserve">februārī pieņēma 2860 kg </w:t>
            </w:r>
            <w:r w:rsidR="003A1A7A">
              <w:t>blakusproduktu</w:t>
            </w:r>
            <w:r w:rsidRPr="00F05DD5">
              <w:t xml:space="preserve"> uzglabāšanai, jo tika konstatēti sadedzināšanas krāsns bojājumi</w:t>
            </w:r>
            <w:r w:rsidR="00387174">
              <w:t xml:space="preserve"> un</w:t>
            </w:r>
            <w:r w:rsidRPr="00F05DD5">
              <w:t xml:space="preserve"> </w:t>
            </w:r>
            <w:r w:rsidR="00387174">
              <w:t>i</w:t>
            </w:r>
            <w:r w:rsidRPr="00F05DD5">
              <w:t>znīcināšana nenotika</w:t>
            </w:r>
            <w:r w:rsidR="00387174">
              <w:t>.</w:t>
            </w:r>
            <w:r w:rsidRPr="00F05DD5">
              <w:t xml:space="preserve"> </w:t>
            </w:r>
            <w:r w:rsidR="00387174">
              <w:t>T</w:t>
            </w:r>
            <w:r w:rsidRPr="00F05DD5">
              <w:t>urpmākā laikā – 15., 19. un 22.</w:t>
            </w:r>
            <w:r>
              <w:t xml:space="preserve"> </w:t>
            </w:r>
            <w:r w:rsidRPr="00F05DD5">
              <w:t xml:space="preserve">februārī </w:t>
            </w:r>
            <w:r w:rsidR="00387174">
              <w:t xml:space="preserve">– </w:t>
            </w:r>
            <w:r w:rsidRPr="00F05DD5">
              <w:t xml:space="preserve">kopā tika saņemti </w:t>
            </w:r>
            <w:r w:rsidR="00343A2C">
              <w:t>5720</w:t>
            </w:r>
            <w:r w:rsidR="00343A2C" w:rsidRPr="00F05DD5">
              <w:t> </w:t>
            </w:r>
            <w:r w:rsidRPr="00F05DD5">
              <w:t xml:space="preserve">kg blakusproduktu un tie netika iznīcināti. Tika solīts veikt krāsns remontdarbus </w:t>
            </w:r>
            <w:r w:rsidR="00387174">
              <w:t>divu</w:t>
            </w:r>
            <w:r w:rsidRPr="00F05DD5">
              <w:t xml:space="preserve"> nedēļu laikā.</w:t>
            </w:r>
            <w:r>
              <w:t xml:space="preserve"> </w:t>
            </w:r>
            <w:r w:rsidRPr="00F05DD5">
              <w:t>2018.gada 27.februārī PVD inspektora apmeklēj</w:t>
            </w:r>
            <w:r w:rsidR="00F332AE">
              <w:t>uma laikā</w:t>
            </w:r>
            <w:r w:rsidRPr="00F05DD5">
              <w:t xml:space="preserve"> uzņēmum</w:t>
            </w:r>
            <w:r w:rsidR="00F332AE">
              <w:t>ā</w:t>
            </w:r>
            <w:r w:rsidRPr="00F05DD5">
              <w:t xml:space="preserve"> krāsns eksplodēja, apdraudot gan uzņēmuma darbiniekus, gan PVD inspektoru. Pēc šī </w:t>
            </w:r>
            <w:r w:rsidR="001D1A98">
              <w:t>notikuma</w:t>
            </w:r>
            <w:r w:rsidRPr="00F05DD5">
              <w:t xml:space="preserve"> SIA “Entalpija” </w:t>
            </w:r>
            <w:r w:rsidR="003B12DC">
              <w:t xml:space="preserve">atkārtoti </w:t>
            </w:r>
            <w:r w:rsidRPr="00F05DD5">
              <w:t>informē</w:t>
            </w:r>
            <w:r w:rsidR="001D1A98">
              <w:t>ja</w:t>
            </w:r>
            <w:r w:rsidRPr="00F05DD5">
              <w:t xml:space="preserve">, ka </w:t>
            </w:r>
            <w:r w:rsidR="003B12DC">
              <w:t>divu</w:t>
            </w:r>
            <w:r w:rsidRPr="00F05DD5">
              <w:t xml:space="preserve"> nedēļu laikā krāsns remontdarbi tiks uzsākti. Papildus tam arī apkārtējā infrastruktūra un deratizācijas pasākumi netiek nodrošināti nepieciešamā līmenī.</w:t>
            </w:r>
            <w:r w:rsidR="00132809" w:rsidRPr="00132809">
              <w:rPr>
                <w:b/>
              </w:rPr>
              <w:t xml:space="preserve"> </w:t>
            </w:r>
            <w:r w:rsidR="00132809" w:rsidRPr="009416B7">
              <w:t xml:space="preserve">Pakalpojuma līgums Nr. PVD 2018/1 par blakusproduktu likvidēšanu, kas noslēgts 2018. gada 12. janvārī ar SIA “Entalpija”, tiek lauzts saskaņā ar šī līguma 8.5.1.punktu, kas paredz pasūtītāja tiesības vienpusējā kārtā lauzt līgumu, ja: izpildītājs neveic pakalpojumu vispār vai veic to neatbilstoši līguma nosacījumiem. Saskaņā ar šī līguma 8.7.punktu, ja līgums tiek lauzts pirms termiņa, tas uzskatāms par lauztu 10 (desmitajā) dienā pēc attiecīga paziņojuma nosūtīšanas otrai pusei. </w:t>
            </w:r>
          </w:p>
          <w:p w14:paraId="0482129F" w14:textId="2A80A062" w:rsidR="00FE3EF2" w:rsidRPr="009416B7" w:rsidRDefault="00132809" w:rsidP="00132809">
            <w:pPr>
              <w:pStyle w:val="Bezatstarpm"/>
              <w:jc w:val="both"/>
            </w:pPr>
            <w:r w:rsidRPr="009416B7">
              <w:t>PVD (pasūtītājs) lauzis šo līgumu ar SIA “Entalpija” (izpildītājs) un paziņojumu par to izpildītājam nosūtījis 2018. gada 7. martā. Tādējādi dotais līgums uzskatāms par lauztu 2018. gada 17. martā.</w:t>
            </w:r>
          </w:p>
          <w:p w14:paraId="5BBA2E24" w14:textId="6F9F618B" w:rsidR="0015782A" w:rsidRDefault="00CB57F2" w:rsidP="00C258ED">
            <w:pPr>
              <w:pStyle w:val="Bezatstarpm"/>
              <w:jc w:val="both"/>
            </w:pPr>
            <w:r>
              <w:t xml:space="preserve">Ņemot vērā to, ka </w:t>
            </w:r>
            <w:r w:rsidR="003B12DC">
              <w:t xml:space="preserve">iekārtas </w:t>
            </w:r>
            <w:r>
              <w:t xml:space="preserve">“Hurikan PRO 1000” darbība ir apturēta un SIA “Entalpija” sadedzināšanas </w:t>
            </w:r>
            <w:r w:rsidR="003B12DC">
              <w:t>krāsns</w:t>
            </w:r>
            <w:r>
              <w:t xml:space="preserve"> ir </w:t>
            </w:r>
            <w:r w:rsidR="003B12DC">
              <w:t>sa</w:t>
            </w:r>
            <w:r>
              <w:t>plīs</w:t>
            </w:r>
            <w:r w:rsidR="003B12DC">
              <w:t>usi</w:t>
            </w:r>
            <w:r>
              <w:t xml:space="preserve">, SIA ”Grow Energy” dzīvnieku izcelsmes blakusproduktu pārstrādes uzņēmums (reģistrācijas numurs 40103275664, juridiskā adrese: “Gravas”, Limbažu pagasts, Limbažu novads, LV-4020, faktiskā adrese: “Gravas”, Limbažu pagasts, Limbažu novads, LV-4020; Pārtikas un veterinārā dienesta atzīšanas numurs A 064721) </w:t>
            </w:r>
            <w:r w:rsidR="003B12DC">
              <w:t xml:space="preserve">patlaban </w:t>
            </w:r>
            <w:r>
              <w:t xml:space="preserve">ir valstī vienīgais uzņēmums, kurā ir iespējams veikt </w:t>
            </w:r>
            <w:r w:rsidR="00C258ED" w:rsidRPr="00C258ED">
              <w:t>mežacūku līķu un to blakusproduktu savākšanu, pārstrādi un likvidēšanu</w:t>
            </w:r>
            <w:r>
              <w:t xml:space="preserve"> atbilstoši normatīvo aktu prasībām. Plānots, ka līgumcena </w:t>
            </w:r>
            <w:r w:rsidR="003B12DC">
              <w:t xml:space="preserve">EUR </w:t>
            </w:r>
            <w:r>
              <w:t>80 000,00</w:t>
            </w:r>
            <w:r w:rsidR="00343A2C">
              <w:t xml:space="preserve"> bez PVN</w:t>
            </w:r>
            <w:r>
              <w:t xml:space="preserve"> </w:t>
            </w:r>
            <w:r w:rsidR="003B12DC">
              <w:t>apmērā</w:t>
            </w:r>
            <w:r>
              <w:t xml:space="preserve"> nosegs pakalpojuma nodrošināšanu</w:t>
            </w:r>
            <w:r w:rsidR="00FE3EF2">
              <w:t xml:space="preserve"> laika periodā līdz jauna iepirkuma līguma noslēgšana</w:t>
            </w:r>
            <w:r w:rsidR="00856BDD">
              <w:t>i</w:t>
            </w:r>
            <w:r w:rsidR="00FE3EF2">
              <w:t xml:space="preserve"> saskaņā ar Publisko iepirkuma likuma prasībām. </w:t>
            </w:r>
            <w:r w:rsidR="00FE3EF2" w:rsidRPr="00F05DD5">
              <w:t xml:space="preserve">Ņemot vērā atšķirības tehnoloģiskajos procesos, SIA „Grow energy” prognozētās izmaksas sastāda </w:t>
            </w:r>
            <w:r w:rsidR="00856BDD">
              <w:t xml:space="preserve">EUR </w:t>
            </w:r>
            <w:r w:rsidR="00FE3EF2" w:rsidRPr="00F05DD5">
              <w:t>310</w:t>
            </w:r>
            <w:r w:rsidR="00856BDD">
              <w:t>,00</w:t>
            </w:r>
            <w:r w:rsidR="00FE3EF2" w:rsidRPr="00F05DD5">
              <w:t xml:space="preserve"> bez PVN par vienas tonnas </w:t>
            </w:r>
            <w:r w:rsidR="00FE3EF2" w:rsidRPr="00F05DD5">
              <w:lastRenderedPageBreak/>
              <w:t>iznīcināšanu.</w:t>
            </w:r>
            <w:r w:rsidR="00FE3EF2">
              <w:t xml:space="preserve"> </w:t>
            </w:r>
            <w:r w:rsidR="00FE3EF2" w:rsidRPr="00F05DD5">
              <w:t xml:space="preserve">Papildus tam ir nepieciešams nodrošināt </w:t>
            </w:r>
            <w:r w:rsidR="00C258ED" w:rsidRPr="00C258ED">
              <w:t xml:space="preserve">mežacūku līķu un to blakusproduktu </w:t>
            </w:r>
            <w:r w:rsidR="00FE3EF2" w:rsidRPr="00F05DD5">
              <w:t xml:space="preserve">transportēšanu no to savākšanas vietām (konteineriem) uz to </w:t>
            </w:r>
            <w:r w:rsidR="00C258ED">
              <w:t xml:space="preserve">pārstrādes un </w:t>
            </w:r>
            <w:r w:rsidR="00FE3EF2" w:rsidRPr="00F05DD5">
              <w:t xml:space="preserve">likvidēšanas vietu. </w:t>
            </w:r>
            <w:r w:rsidR="00FE3EF2">
              <w:t xml:space="preserve"> </w:t>
            </w:r>
            <w:r w:rsidR="00FE3EF2" w:rsidRPr="00F05DD5">
              <w:t xml:space="preserve">Iepriekš šāda veida pakalpojumu, balstoties uz 2017.gada 2.augusta līgumu Nr. PVD 2017/44, nodrošināja SIA “Baltic Trade”, kas par </w:t>
            </w:r>
            <w:r w:rsidR="00C258ED" w:rsidRPr="00C258ED">
              <w:t xml:space="preserve">mežacūku līķu un to blakusproduktu </w:t>
            </w:r>
            <w:r w:rsidR="00FE3EF2" w:rsidRPr="00F05DD5">
              <w:t xml:space="preserve">transportēšanu uz SIA “Entalpija” noteica samaksu </w:t>
            </w:r>
            <w:r w:rsidR="00302407">
              <w:t xml:space="preserve">EUR </w:t>
            </w:r>
            <w:r w:rsidR="00FE3EF2" w:rsidRPr="00F05DD5">
              <w:t>2</w:t>
            </w:r>
            <w:r w:rsidR="00302407">
              <w:t>,</w:t>
            </w:r>
            <w:r w:rsidR="00FE3EF2" w:rsidRPr="00F05DD5">
              <w:t>52 bez PVN par vienu kilometru.</w:t>
            </w:r>
            <w:r w:rsidR="00FE3EF2">
              <w:t xml:space="preserve"> </w:t>
            </w:r>
            <w:r w:rsidR="00FE3EF2" w:rsidRPr="00F05DD5">
              <w:t xml:space="preserve">Ņemot vērā tehnoloģisko procesu specifiku, kā arī </w:t>
            </w:r>
            <w:r w:rsidR="00302407">
              <w:t xml:space="preserve">nepieciešamību nodrošināt </w:t>
            </w:r>
            <w:r w:rsidR="00FE3EF2" w:rsidRPr="00F05DD5">
              <w:t xml:space="preserve">biodrošības pasākumu kopumu, SIA „Grow energy” spēj pati nodrošināt </w:t>
            </w:r>
            <w:r w:rsidR="00C258ED" w:rsidRPr="00C258ED">
              <w:t xml:space="preserve">mežacūku līķu un to blakusproduktu </w:t>
            </w:r>
            <w:r w:rsidR="00FE3EF2" w:rsidRPr="00F05DD5">
              <w:t xml:space="preserve">transportēšanu uz to </w:t>
            </w:r>
            <w:r w:rsidR="00C258ED">
              <w:t xml:space="preserve">pārstrādes un </w:t>
            </w:r>
            <w:r w:rsidR="00FE3EF2" w:rsidRPr="00F05DD5">
              <w:t xml:space="preserve">likvidēšanas vietu, par samaksu </w:t>
            </w:r>
            <w:r w:rsidR="00B83ECF">
              <w:t xml:space="preserve">EUR </w:t>
            </w:r>
            <w:r w:rsidR="00FE3EF2" w:rsidRPr="00F05DD5">
              <w:t>1</w:t>
            </w:r>
            <w:r w:rsidR="00B83ECF">
              <w:t>,</w:t>
            </w:r>
            <w:r w:rsidR="00FE3EF2" w:rsidRPr="00F05DD5">
              <w:t>40 EUR par vienu kilometru</w:t>
            </w:r>
            <w:r w:rsidR="00577AE1">
              <w:t>.</w:t>
            </w:r>
            <w:r w:rsidR="0015782A">
              <w:t xml:space="preserve"> </w:t>
            </w:r>
          </w:p>
          <w:p w14:paraId="506E13CC" w14:textId="0F60D8D1" w:rsidR="004424BD" w:rsidRDefault="004424BD" w:rsidP="00C258ED">
            <w:pPr>
              <w:pStyle w:val="Bezatstarpm"/>
              <w:jc w:val="both"/>
            </w:pPr>
            <w:r w:rsidRPr="004424BD">
              <w:t>Faktiskos izdevumus par mežacūku līķu un to blakusproduktu savākšanu, pārstrādi un likvidēšanu segt no valsts budžeta apakšprogrammā 70.06.00 iekļautās funkcijas “Dzīvnieku infekcijas slimību profilakses un apkarošanas, mikroorganismu rezistences uzraudzības, kā arī pārtikas produktu nekaitīguma un kvalitātes nodrošināšanas pasākumi” Āfrikas cūku mēra uzraudzības un apkarošanas programmai paredzētajiem finanšu līdzekļiem.</w:t>
            </w:r>
          </w:p>
          <w:p w14:paraId="654A60A6" w14:textId="0F7F50CA" w:rsidR="001253C8" w:rsidRPr="009416B7" w:rsidRDefault="00622740" w:rsidP="00797311">
            <w:pPr>
              <w:pStyle w:val="Bezatstarpm"/>
              <w:jc w:val="both"/>
            </w:pPr>
            <w:r w:rsidRPr="009416B7">
              <w:t>Publisko iepirkumu likumā nav noteikti termiņi, kas būtu jāievēro rīkojot sarunu procedūru. Tomēr, ir nepieciešams laiks, lai nodrošinātu sarunu procedūras atbilstību Publisko iepirkumu likuma mērķiem, Sarunu procedūras nolikuma izstrādi, piedāvājuma izvērtēšanu un apspriestos ar pretendentu par līguma izpildi, dokumentējot visu procedūru. Attiecīgi, šo darbību veikšanas laikā pastāvēs apdraudējums, ka ĀCM ierosinātāja tālākai izplatībai un nokļūšanai no mežacūkām uz mājas cūkām. Lai samazinātu ĀCM ierosinātāja cirkulāciju dabā, ir ļoti svarīgi nekavējoties nodrošināt mežacūku līķu un to inficēto blakusproduktu tūlītēju savākšanu, pārstrādi un likvidēšanu, jo nesavāktie mežacūku līķi un to inficētie blakusprodukti sāk uzkrāties lielos apjomos, siltā laika ietekmē tie sadalīsies, radīs smakas un iztecējušie mežacūku līķu šķidrumi pievilinās savvaļas putnus un grauzējus, kas savukārt izplatīs ĀCM ierosītāju tuvākā un tālākā apkārtnē. Tādejādi ļoti palielināsies ĀCM izplatības draudi mežacūku populācijā un iespējami arī ĀCM uzliesmojumi mājas cūku fermās un lielajos cūkkopības kompleksos.</w:t>
            </w:r>
          </w:p>
        </w:tc>
      </w:tr>
      <w:tr w:rsidR="00FB65D8" w:rsidRPr="000A242C" w14:paraId="7D1498A2" w14:textId="77777777" w:rsidTr="00461EE3">
        <w:tc>
          <w:tcPr>
            <w:tcW w:w="222" w:type="pct"/>
          </w:tcPr>
          <w:p w14:paraId="21BF4E15" w14:textId="77777777" w:rsidR="00FB65D8" w:rsidRPr="000A242C" w:rsidRDefault="00FB65D8" w:rsidP="00F62526">
            <w:pPr>
              <w:pStyle w:val="Bezatstarpm"/>
            </w:pPr>
            <w:r w:rsidRPr="000A242C">
              <w:lastRenderedPageBreak/>
              <w:t>3.</w:t>
            </w:r>
          </w:p>
        </w:tc>
        <w:tc>
          <w:tcPr>
            <w:tcW w:w="1046" w:type="pct"/>
          </w:tcPr>
          <w:p w14:paraId="43233433" w14:textId="77777777" w:rsidR="00FB65D8" w:rsidRPr="000A242C" w:rsidRDefault="00FB65D8" w:rsidP="00F62526">
            <w:pPr>
              <w:pStyle w:val="Bezatstarpm"/>
              <w:jc w:val="both"/>
            </w:pPr>
            <w:r w:rsidRPr="000A242C">
              <w:t>Projekta izstrādē iesaistītās institūcijas</w:t>
            </w:r>
            <w:r w:rsidR="00A035B4" w:rsidRPr="00EB5171">
              <w:t xml:space="preserve"> un publiskas personas kapitālsabiedrības</w:t>
            </w:r>
          </w:p>
        </w:tc>
        <w:tc>
          <w:tcPr>
            <w:tcW w:w="3731" w:type="pct"/>
          </w:tcPr>
          <w:p w14:paraId="389667B0" w14:textId="6A44A325" w:rsidR="00FB65D8" w:rsidRPr="000A242C" w:rsidRDefault="00FB65D8" w:rsidP="00A72A60">
            <w:pPr>
              <w:pStyle w:val="Bezatstarpm"/>
            </w:pPr>
            <w:r>
              <w:t>Pārtikas un veterinārais dienests</w:t>
            </w:r>
          </w:p>
        </w:tc>
      </w:tr>
      <w:tr w:rsidR="00FB65D8" w:rsidRPr="000A242C" w14:paraId="7F129C62" w14:textId="77777777" w:rsidTr="00461EE3">
        <w:tc>
          <w:tcPr>
            <w:tcW w:w="222" w:type="pct"/>
          </w:tcPr>
          <w:p w14:paraId="1A308CEB" w14:textId="77777777" w:rsidR="00FB65D8" w:rsidRPr="000A242C" w:rsidRDefault="00FB65D8" w:rsidP="00F62526">
            <w:pPr>
              <w:pStyle w:val="Bezatstarpm"/>
            </w:pPr>
            <w:r w:rsidRPr="000A242C">
              <w:t>4.</w:t>
            </w:r>
          </w:p>
        </w:tc>
        <w:tc>
          <w:tcPr>
            <w:tcW w:w="1046" w:type="pct"/>
          </w:tcPr>
          <w:p w14:paraId="539AD5D5" w14:textId="77777777" w:rsidR="00FB65D8" w:rsidRPr="000A242C" w:rsidRDefault="00FB65D8" w:rsidP="00F62526">
            <w:pPr>
              <w:pStyle w:val="Bezatstarpm"/>
            </w:pPr>
            <w:r w:rsidRPr="000A242C">
              <w:t>Cita informācija</w:t>
            </w:r>
          </w:p>
        </w:tc>
        <w:tc>
          <w:tcPr>
            <w:tcW w:w="3731" w:type="pct"/>
          </w:tcPr>
          <w:p w14:paraId="760A2AA3" w14:textId="77777777" w:rsidR="00FB65D8" w:rsidRPr="000A242C" w:rsidRDefault="00FB65D8" w:rsidP="00F62526">
            <w:pPr>
              <w:pStyle w:val="Bezatstarpm"/>
            </w:pPr>
            <w:r w:rsidRPr="000A242C">
              <w:t xml:space="preserve">Nav </w:t>
            </w:r>
          </w:p>
        </w:tc>
      </w:tr>
      <w:tr w:rsidR="00FB65D8" w:rsidRPr="000A242C" w14:paraId="74FD169A" w14:textId="77777777" w:rsidTr="00461EE3">
        <w:tc>
          <w:tcPr>
            <w:tcW w:w="5000" w:type="pct"/>
            <w:gridSpan w:val="3"/>
          </w:tcPr>
          <w:p w14:paraId="08064E78" w14:textId="77777777" w:rsidR="00FB65D8" w:rsidRPr="00891139" w:rsidRDefault="00FB65D8" w:rsidP="00F62526">
            <w:pPr>
              <w:pStyle w:val="Bezatstarpm"/>
              <w:jc w:val="center"/>
              <w:rPr>
                <w:b/>
              </w:rPr>
            </w:pPr>
            <w:r w:rsidRPr="00891139">
              <w:rPr>
                <w:b/>
              </w:rPr>
              <w:lastRenderedPageBreak/>
              <w:t>II. Tiesību akta projekta ietekme uz sabiedrību, tautsaimniecības attīstību un administratīvo slogu</w:t>
            </w:r>
          </w:p>
        </w:tc>
      </w:tr>
      <w:tr w:rsidR="00FB65D8" w:rsidRPr="00A25835" w14:paraId="5A348CE3" w14:textId="77777777" w:rsidTr="00461EE3">
        <w:tc>
          <w:tcPr>
            <w:tcW w:w="222" w:type="pct"/>
          </w:tcPr>
          <w:p w14:paraId="2C58F6F3" w14:textId="77777777" w:rsidR="00FB65D8" w:rsidRPr="000A242C" w:rsidRDefault="00FB65D8" w:rsidP="00F62526">
            <w:pPr>
              <w:pStyle w:val="Bezatstarpm"/>
            </w:pPr>
            <w:r w:rsidRPr="000A242C">
              <w:t>1.</w:t>
            </w:r>
          </w:p>
        </w:tc>
        <w:tc>
          <w:tcPr>
            <w:tcW w:w="1046" w:type="pct"/>
          </w:tcPr>
          <w:p w14:paraId="6C069C6B" w14:textId="77777777" w:rsidR="00FB65D8" w:rsidRPr="000A242C" w:rsidRDefault="00FB65D8" w:rsidP="00F62526">
            <w:pPr>
              <w:pStyle w:val="Bezatstarpm"/>
              <w:jc w:val="both"/>
            </w:pPr>
            <w:r w:rsidRPr="000A242C">
              <w:t>Sabiedrības mērķgrupas, kuras tiesiskais regulējums ietekmē vai varētu ietekmēt</w:t>
            </w:r>
          </w:p>
        </w:tc>
        <w:tc>
          <w:tcPr>
            <w:tcW w:w="3731" w:type="pct"/>
          </w:tcPr>
          <w:p w14:paraId="54ABB466" w14:textId="3679BDAF" w:rsidR="00FB65D8" w:rsidRPr="000A242C" w:rsidRDefault="007D3F5B" w:rsidP="007D3F5B">
            <w:pPr>
              <w:pStyle w:val="Bezatstarpm"/>
              <w:jc w:val="both"/>
            </w:pPr>
            <w:r>
              <w:t>Rīkojuma</w:t>
            </w:r>
            <w:r w:rsidR="00486708" w:rsidRPr="00486708">
              <w:t xml:space="preserve"> projekta tiesiskais regulējums attieksies uz </w:t>
            </w:r>
            <w:r w:rsidR="00450B9C" w:rsidRPr="00450B9C">
              <w:t>P</w:t>
            </w:r>
            <w:r w:rsidR="00450B9C">
              <w:t>ārtikas un veterinār</w:t>
            </w:r>
            <w:r w:rsidR="00EE65F6">
              <w:t>o</w:t>
            </w:r>
            <w:r w:rsidR="00450B9C">
              <w:t xml:space="preserve"> dienest</w:t>
            </w:r>
            <w:r w:rsidR="002F0B22">
              <w:t>u</w:t>
            </w:r>
            <w:r w:rsidR="00486708" w:rsidRPr="009C3649">
              <w:t>.</w:t>
            </w:r>
          </w:p>
        </w:tc>
      </w:tr>
      <w:tr w:rsidR="00FB65D8" w:rsidRPr="000A242C" w14:paraId="67A7EB86" w14:textId="77777777" w:rsidTr="00461EE3">
        <w:tc>
          <w:tcPr>
            <w:tcW w:w="222" w:type="pct"/>
          </w:tcPr>
          <w:p w14:paraId="2D0DC685" w14:textId="77777777" w:rsidR="00FB65D8" w:rsidRPr="000A242C" w:rsidRDefault="00FB65D8" w:rsidP="00F62526">
            <w:pPr>
              <w:pStyle w:val="Bezatstarpm"/>
            </w:pPr>
            <w:r w:rsidRPr="000A242C">
              <w:t>2.</w:t>
            </w:r>
          </w:p>
        </w:tc>
        <w:tc>
          <w:tcPr>
            <w:tcW w:w="1046" w:type="pct"/>
          </w:tcPr>
          <w:p w14:paraId="04859EEE" w14:textId="77777777" w:rsidR="00FB65D8" w:rsidRPr="000A242C" w:rsidRDefault="00FB65D8" w:rsidP="00F62526">
            <w:pPr>
              <w:pStyle w:val="Bezatstarpm"/>
              <w:jc w:val="both"/>
            </w:pPr>
            <w:r w:rsidRPr="000A242C">
              <w:t>Tiesiskā regulējuma ietekme uz tautsaimniecību un administratīvo slogu</w:t>
            </w:r>
          </w:p>
        </w:tc>
        <w:tc>
          <w:tcPr>
            <w:tcW w:w="3731" w:type="pct"/>
          </w:tcPr>
          <w:p w14:paraId="152ED64C" w14:textId="77777777" w:rsidR="00534BC2" w:rsidRDefault="00534BC2" w:rsidP="001253C8">
            <w:pPr>
              <w:pStyle w:val="Bezatstarpm"/>
              <w:jc w:val="both"/>
            </w:pPr>
            <w:r w:rsidRPr="00534BC2">
              <w:t>Rīkojuma projekta tiesiskais regulējums tautsaimniecību kā valsts saimniecības nozari neietekmē un administratīvo slogu nerada.</w:t>
            </w:r>
            <w:r>
              <w:t xml:space="preserve"> </w:t>
            </w:r>
          </w:p>
          <w:p w14:paraId="40DFE02D" w14:textId="77777777" w:rsidR="00483498" w:rsidRPr="009C3649" w:rsidRDefault="00212631" w:rsidP="001253C8">
            <w:pPr>
              <w:pStyle w:val="Bezatstarpm"/>
              <w:jc w:val="both"/>
            </w:pPr>
            <w:r w:rsidRPr="00741B80">
              <w:t>Regulējums tieši un būtiski neietekmē uzņēmējdarbības vidi</w:t>
            </w:r>
            <w:r w:rsidR="008617C7">
              <w:t> –</w:t>
            </w:r>
            <w:r w:rsidRPr="00741B80">
              <w:t xml:space="preserve"> mazos</w:t>
            </w:r>
            <w:r w:rsidR="008617C7">
              <w:t xml:space="preserve"> un</w:t>
            </w:r>
            <w:r w:rsidRPr="00741B80">
              <w:t xml:space="preserve"> vidējos uzņēmumus, mikrouzņēmumus un jaun</w:t>
            </w:r>
            <w:r w:rsidR="008617C7">
              <w:t xml:space="preserve">veidotus </w:t>
            </w:r>
            <w:r w:rsidRPr="00741B80">
              <w:t xml:space="preserve">uzņēmumus, </w:t>
            </w:r>
            <w:r w:rsidR="008617C7">
              <w:t>ne</w:t>
            </w:r>
            <w:r w:rsidRPr="00741B80">
              <w:t xml:space="preserve"> arī konkurenci, vidi un nevalstisko organizāciju darbību</w:t>
            </w:r>
            <w:r w:rsidR="008617C7">
              <w:t>, tāpēc</w:t>
            </w:r>
            <w:r w:rsidRPr="00741B80">
              <w:t xml:space="preserve"> uz šīm jomām tas nav attiecināms. Savukārt veselības jomu regulējums ietekmē tieši, pozitīvi un būtiski, pa</w:t>
            </w:r>
            <w:r w:rsidR="008617C7">
              <w:t>lielinot</w:t>
            </w:r>
            <w:r w:rsidRPr="00741B80">
              <w:t xml:space="preserve"> biodrošīb</w:t>
            </w:r>
            <w:r w:rsidR="008617C7">
              <w:t>u</w:t>
            </w:r>
            <w:r w:rsidRPr="00741B80">
              <w:t xml:space="preserve"> valstī</w:t>
            </w:r>
            <w:r w:rsidR="008617C7" w:rsidRPr="00741B80">
              <w:t xml:space="preserve"> </w:t>
            </w:r>
            <w:r w:rsidR="008617C7">
              <w:t>kopumā</w:t>
            </w:r>
            <w:r w:rsidRPr="00741B80">
              <w:t>.</w:t>
            </w:r>
            <w:r w:rsidRPr="00212631">
              <w:t xml:space="preserve"> </w:t>
            </w:r>
            <w:r w:rsidR="00534BC2">
              <w:t>Rīkojuma</w:t>
            </w:r>
            <w:r w:rsidRPr="00212631">
              <w:t xml:space="preserve"> projektā </w:t>
            </w:r>
            <w:r w:rsidR="008617C7">
              <w:t>ietver</w:t>
            </w:r>
            <w:r w:rsidRPr="00212631">
              <w:t xml:space="preserve">tais tiesiskais regulējums ir tikai viens no pasākumiem, lai ierobežotu ĀCM izplatīšanos un novērstu slimības ierosinātāja nokļūšanu no mežacūkām uz mājas cūkām. </w:t>
            </w:r>
          </w:p>
        </w:tc>
      </w:tr>
      <w:tr w:rsidR="00FB65D8" w:rsidRPr="000A242C" w14:paraId="13231087" w14:textId="77777777" w:rsidTr="00461EE3">
        <w:tc>
          <w:tcPr>
            <w:tcW w:w="222" w:type="pct"/>
          </w:tcPr>
          <w:p w14:paraId="300350F7" w14:textId="77777777" w:rsidR="00FB65D8" w:rsidRPr="000A242C" w:rsidRDefault="00FB65D8" w:rsidP="00F62526">
            <w:pPr>
              <w:pStyle w:val="Bezatstarpm"/>
            </w:pPr>
            <w:r w:rsidRPr="000A242C">
              <w:t>3.</w:t>
            </w:r>
          </w:p>
        </w:tc>
        <w:tc>
          <w:tcPr>
            <w:tcW w:w="1046" w:type="pct"/>
          </w:tcPr>
          <w:p w14:paraId="0A45F30B" w14:textId="77777777" w:rsidR="00FB65D8" w:rsidRPr="000A242C" w:rsidRDefault="00FB65D8" w:rsidP="00F62526">
            <w:pPr>
              <w:pStyle w:val="Bezatstarpm"/>
              <w:jc w:val="both"/>
            </w:pPr>
            <w:r w:rsidRPr="000A242C">
              <w:t>Administratīvo izmaksu monetārs novērtējums</w:t>
            </w:r>
          </w:p>
        </w:tc>
        <w:tc>
          <w:tcPr>
            <w:tcW w:w="3731" w:type="pct"/>
          </w:tcPr>
          <w:p w14:paraId="3889A245" w14:textId="77777777" w:rsidR="00FB65D8" w:rsidRPr="000A242C" w:rsidRDefault="00EE65F6" w:rsidP="00F62526">
            <w:pPr>
              <w:pStyle w:val="Bezatstarpm"/>
            </w:pPr>
            <w:r>
              <w:t>Projekts šo jomu neskar.</w:t>
            </w:r>
          </w:p>
        </w:tc>
      </w:tr>
      <w:tr w:rsidR="00465772" w:rsidRPr="000A242C" w14:paraId="5B72A6C7" w14:textId="77777777" w:rsidTr="00461EE3">
        <w:tc>
          <w:tcPr>
            <w:tcW w:w="222" w:type="pct"/>
          </w:tcPr>
          <w:p w14:paraId="433DCE41" w14:textId="77777777" w:rsidR="00465772" w:rsidRPr="000A242C" w:rsidRDefault="00465772" w:rsidP="00465772">
            <w:pPr>
              <w:pStyle w:val="Bezatstarpm"/>
            </w:pPr>
            <w:r w:rsidRPr="00EB5171">
              <w:t>4.</w:t>
            </w:r>
          </w:p>
        </w:tc>
        <w:tc>
          <w:tcPr>
            <w:tcW w:w="1046" w:type="pct"/>
          </w:tcPr>
          <w:p w14:paraId="351E6AD5" w14:textId="77777777" w:rsidR="00465772" w:rsidRPr="000A242C" w:rsidRDefault="00465772" w:rsidP="00465772">
            <w:pPr>
              <w:pStyle w:val="Bezatstarpm"/>
              <w:jc w:val="both"/>
            </w:pPr>
            <w:r w:rsidRPr="00EB5171">
              <w:t>Atbilstības izmaksu monetārs novērtējums</w:t>
            </w:r>
          </w:p>
        </w:tc>
        <w:tc>
          <w:tcPr>
            <w:tcW w:w="3731" w:type="pct"/>
          </w:tcPr>
          <w:p w14:paraId="6AF53156" w14:textId="77777777" w:rsidR="00DB7C3A" w:rsidRPr="00534BC2" w:rsidRDefault="00534BC2">
            <w:pPr>
              <w:pStyle w:val="Bezatstarpm"/>
              <w:jc w:val="both"/>
            </w:pPr>
            <w:r w:rsidRPr="00534BC2">
              <w:t>Projekts šo jomu neskar.</w:t>
            </w:r>
          </w:p>
        </w:tc>
      </w:tr>
      <w:tr w:rsidR="00FB65D8" w:rsidRPr="000A242C" w14:paraId="3152FE5A" w14:textId="77777777" w:rsidTr="00461EE3">
        <w:tc>
          <w:tcPr>
            <w:tcW w:w="222" w:type="pct"/>
          </w:tcPr>
          <w:p w14:paraId="587507EB" w14:textId="77777777" w:rsidR="00FB65D8" w:rsidRPr="000A242C" w:rsidRDefault="00B85AE0" w:rsidP="00B85AE0">
            <w:pPr>
              <w:pStyle w:val="Bezatstarpm"/>
            </w:pPr>
            <w:r>
              <w:t>5</w:t>
            </w:r>
            <w:r w:rsidR="00FB65D8" w:rsidRPr="000A242C">
              <w:t>.</w:t>
            </w:r>
          </w:p>
        </w:tc>
        <w:tc>
          <w:tcPr>
            <w:tcW w:w="1046" w:type="pct"/>
          </w:tcPr>
          <w:p w14:paraId="1CBDA43B" w14:textId="77777777" w:rsidR="00FE3EF2" w:rsidRDefault="00FB65D8" w:rsidP="00F62526">
            <w:pPr>
              <w:pStyle w:val="Bezatstarpm"/>
            </w:pPr>
            <w:r w:rsidRPr="000A242C">
              <w:t>Cita informācija</w:t>
            </w:r>
          </w:p>
          <w:p w14:paraId="32522774" w14:textId="77777777" w:rsidR="00FB65D8" w:rsidRPr="007E4A6A" w:rsidRDefault="00FB65D8" w:rsidP="007E4A6A">
            <w:pPr>
              <w:rPr>
                <w:lang w:eastAsia="lv-LV"/>
              </w:rPr>
            </w:pPr>
          </w:p>
        </w:tc>
        <w:tc>
          <w:tcPr>
            <w:tcW w:w="3731" w:type="pct"/>
          </w:tcPr>
          <w:p w14:paraId="14C05394" w14:textId="77777777" w:rsidR="00FB65D8" w:rsidRPr="000A242C" w:rsidRDefault="00FB65D8" w:rsidP="00F62526">
            <w:pPr>
              <w:pStyle w:val="Bezatstarpm"/>
            </w:pPr>
            <w:r>
              <w:t>Nav</w:t>
            </w:r>
            <w:r w:rsidR="00CD43A3">
              <w:t>.</w:t>
            </w:r>
          </w:p>
        </w:tc>
      </w:tr>
    </w:tbl>
    <w:p w14:paraId="57F49544" w14:textId="77777777" w:rsidR="00FB65D8" w:rsidRDefault="00FB65D8" w:rsidP="00FB65D8">
      <w:pPr>
        <w:pStyle w:val="Bezatstarpm"/>
        <w:rPr>
          <w:i/>
        </w:rPr>
      </w:pPr>
    </w:p>
    <w:tbl>
      <w:tblPr>
        <w:tblStyle w:val="Reatabula1"/>
        <w:tblW w:w="8960" w:type="dxa"/>
        <w:tblInd w:w="-34" w:type="dxa"/>
        <w:tblLook w:val="04A0" w:firstRow="1" w:lastRow="0" w:firstColumn="1" w:lastColumn="0" w:noHBand="0" w:noVBand="1"/>
      </w:tblPr>
      <w:tblGrid>
        <w:gridCol w:w="8960"/>
      </w:tblGrid>
      <w:tr w:rsidR="00723573" w:rsidRPr="00723573" w14:paraId="2AFD7A0C" w14:textId="77777777"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14:paraId="5D0F31FC"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III. Tiesību akta projekta ietekme uz valsts budžetu un pašvaldību budžetiem</w:t>
            </w:r>
          </w:p>
        </w:tc>
      </w:tr>
      <w:tr w:rsidR="00723573" w:rsidRPr="00723573" w14:paraId="04B19EC2" w14:textId="77777777"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14:paraId="593FEE9B"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14:paraId="2D2421EA" w14:textId="77777777" w:rsidR="00723573" w:rsidRDefault="00723573" w:rsidP="00FB65D8">
      <w:pPr>
        <w:pStyle w:val="Bezatstarpm"/>
      </w:pPr>
    </w:p>
    <w:tbl>
      <w:tblPr>
        <w:tblStyle w:val="Reatabula2"/>
        <w:tblW w:w="8960" w:type="dxa"/>
        <w:tblInd w:w="-34" w:type="dxa"/>
        <w:tblLook w:val="04A0" w:firstRow="1" w:lastRow="0" w:firstColumn="1" w:lastColumn="0" w:noHBand="0" w:noVBand="1"/>
      </w:tblPr>
      <w:tblGrid>
        <w:gridCol w:w="8960"/>
      </w:tblGrid>
      <w:tr w:rsidR="00723573" w:rsidRPr="00723573" w14:paraId="51DEC61A" w14:textId="77777777"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14:paraId="5E35D2A4"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IV. Tiesību akta projekta ietekme uz spēkā esošo tiesību normu sistēmu</w:t>
            </w:r>
          </w:p>
        </w:tc>
      </w:tr>
      <w:tr w:rsidR="00723573" w:rsidRPr="00723573" w14:paraId="68DAA174" w14:textId="77777777" w:rsidTr="00461EE3">
        <w:trPr>
          <w:trHeight w:val="227"/>
        </w:trPr>
        <w:tc>
          <w:tcPr>
            <w:tcW w:w="8960" w:type="dxa"/>
            <w:tcBorders>
              <w:top w:val="single" w:sz="4" w:space="0" w:color="auto"/>
              <w:left w:val="single" w:sz="4" w:space="0" w:color="auto"/>
              <w:bottom w:val="single" w:sz="4" w:space="0" w:color="auto"/>
              <w:right w:val="single" w:sz="4" w:space="0" w:color="auto"/>
            </w:tcBorders>
            <w:hideMark/>
          </w:tcPr>
          <w:p w14:paraId="6A62BC31"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14:paraId="2670D06F" w14:textId="77777777" w:rsidR="00723573" w:rsidRDefault="00723573" w:rsidP="00FB65D8">
      <w:pPr>
        <w:pStyle w:val="Bezatstarpm"/>
      </w:pPr>
    </w:p>
    <w:tbl>
      <w:tblPr>
        <w:tblW w:w="4788"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405"/>
      </w:tblGrid>
      <w:tr w:rsidR="00132CC1" w:rsidRPr="00BF23C3" w14:paraId="7B4390B9" w14:textId="77777777" w:rsidTr="00534BC2">
        <w:tc>
          <w:tcPr>
            <w:tcW w:w="5000" w:type="pct"/>
            <w:tcBorders>
              <w:top w:val="single" w:sz="4" w:space="0" w:color="auto"/>
              <w:left w:val="single" w:sz="4" w:space="0" w:color="auto"/>
              <w:bottom w:val="outset" w:sz="6" w:space="0" w:color="000000"/>
              <w:right w:val="single" w:sz="4" w:space="0" w:color="auto"/>
            </w:tcBorders>
          </w:tcPr>
          <w:p w14:paraId="50F8FE60" w14:textId="77777777" w:rsidR="00132CC1" w:rsidRPr="00D41213" w:rsidRDefault="00132CC1" w:rsidP="00167702">
            <w:pPr>
              <w:pStyle w:val="Bezatstarpm"/>
              <w:jc w:val="center"/>
              <w:rPr>
                <w:b/>
                <w:bCs/>
              </w:rPr>
            </w:pPr>
            <w:r w:rsidRPr="00D41213">
              <w:rPr>
                <w:b/>
                <w:bCs/>
              </w:rPr>
              <w:t>V. Tiesību akta projekta atbilstība Latvijas Republikas starptautiskajām saistībām</w:t>
            </w:r>
          </w:p>
        </w:tc>
      </w:tr>
      <w:tr w:rsidR="00534BC2" w:rsidRPr="00BF23C3" w14:paraId="1C4FA330" w14:textId="77777777" w:rsidTr="00534BC2">
        <w:tc>
          <w:tcPr>
            <w:tcW w:w="5000" w:type="pct"/>
            <w:tcBorders>
              <w:top w:val="single" w:sz="4" w:space="0" w:color="auto"/>
              <w:left w:val="single" w:sz="4" w:space="0" w:color="auto"/>
              <w:bottom w:val="outset" w:sz="6" w:space="0" w:color="000000"/>
              <w:right w:val="single" w:sz="4" w:space="0" w:color="auto"/>
            </w:tcBorders>
          </w:tcPr>
          <w:p w14:paraId="6A13FFF7" w14:textId="77777777" w:rsidR="00534BC2" w:rsidRPr="00534BC2" w:rsidRDefault="00534BC2" w:rsidP="00167702">
            <w:pPr>
              <w:pStyle w:val="Bezatstarpm"/>
              <w:jc w:val="center"/>
              <w:rPr>
                <w:bCs/>
              </w:rPr>
            </w:pPr>
            <w:r w:rsidRPr="00534BC2">
              <w:rPr>
                <w:bCs/>
              </w:rPr>
              <w:t>Projekts šo jomu neskar.</w:t>
            </w:r>
          </w:p>
        </w:tc>
      </w:tr>
    </w:tbl>
    <w:p w14:paraId="363436F7" w14:textId="77777777" w:rsidR="00FB65D8" w:rsidRDefault="00FB65D8" w:rsidP="00FB65D8">
      <w:pPr>
        <w:pStyle w:val="Bezatstarpm"/>
        <w:rPr>
          <w:i/>
        </w:rPr>
      </w:pPr>
    </w:p>
    <w:tbl>
      <w:tblPr>
        <w:tblW w:w="4788"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405"/>
      </w:tblGrid>
      <w:tr w:rsidR="00FB65D8" w:rsidRPr="00BF23C3" w14:paraId="443B8C21" w14:textId="77777777" w:rsidTr="00461EE3">
        <w:tc>
          <w:tcPr>
            <w:tcW w:w="5000" w:type="pct"/>
            <w:tcBorders>
              <w:top w:val="single" w:sz="4" w:space="0" w:color="auto"/>
              <w:left w:val="single" w:sz="4" w:space="0" w:color="auto"/>
              <w:bottom w:val="outset" w:sz="6" w:space="0" w:color="000000"/>
              <w:right w:val="single" w:sz="4" w:space="0" w:color="auto"/>
            </w:tcBorders>
          </w:tcPr>
          <w:p w14:paraId="0C2D62FF" w14:textId="77777777" w:rsidR="00FB65D8" w:rsidRPr="00D41213" w:rsidRDefault="00FB65D8" w:rsidP="00F62526">
            <w:pPr>
              <w:pStyle w:val="Bezatstarpm"/>
              <w:jc w:val="center"/>
              <w:rPr>
                <w:b/>
                <w:bCs/>
              </w:rPr>
            </w:pPr>
            <w:r w:rsidRPr="00D41213">
              <w:rPr>
                <w:b/>
                <w:bCs/>
              </w:rPr>
              <w:t>V. Tiesību akta projekta atbilstība Latvijas Republikas starptautiskajām saistībām</w:t>
            </w:r>
          </w:p>
        </w:tc>
      </w:tr>
      <w:tr w:rsidR="00032C16" w:rsidRPr="00BF23C3" w14:paraId="1329F2F3" w14:textId="77777777" w:rsidTr="00461EE3">
        <w:tc>
          <w:tcPr>
            <w:tcW w:w="5000" w:type="pct"/>
            <w:tcBorders>
              <w:top w:val="single" w:sz="4" w:space="0" w:color="auto"/>
              <w:left w:val="single" w:sz="4" w:space="0" w:color="auto"/>
              <w:bottom w:val="outset" w:sz="6" w:space="0" w:color="000000"/>
              <w:right w:val="single" w:sz="4" w:space="0" w:color="auto"/>
            </w:tcBorders>
          </w:tcPr>
          <w:p w14:paraId="3B7BB05F" w14:textId="77777777" w:rsidR="00032C16" w:rsidRPr="00032C16" w:rsidRDefault="00032C16" w:rsidP="00F62526">
            <w:pPr>
              <w:pStyle w:val="Bezatstarpm"/>
              <w:jc w:val="center"/>
              <w:rPr>
                <w:bCs/>
              </w:rPr>
            </w:pPr>
            <w:r w:rsidRPr="00032C16">
              <w:rPr>
                <w:bCs/>
              </w:rPr>
              <w:t>Projekts šo jomu neskar.</w:t>
            </w:r>
          </w:p>
        </w:tc>
      </w:tr>
    </w:tbl>
    <w:p w14:paraId="4B59FDDD" w14:textId="77777777" w:rsidR="00FB65D8" w:rsidRDefault="00FB65D8" w:rsidP="00FB65D8">
      <w:pPr>
        <w:pStyle w:val="Bezatstarpm"/>
        <w:rPr>
          <w:i/>
        </w:rPr>
      </w:pPr>
    </w:p>
    <w:tbl>
      <w:tblPr>
        <w:tblStyle w:val="Reatabula"/>
        <w:tblW w:w="8926" w:type="dxa"/>
        <w:tblLook w:val="04A0" w:firstRow="1" w:lastRow="0" w:firstColumn="1" w:lastColumn="0" w:noHBand="0" w:noVBand="1"/>
      </w:tblPr>
      <w:tblGrid>
        <w:gridCol w:w="562"/>
        <w:gridCol w:w="4111"/>
        <w:gridCol w:w="4253"/>
      </w:tblGrid>
      <w:tr w:rsidR="00FB65D8" w:rsidRPr="00A25835" w14:paraId="28EE86D8" w14:textId="77777777" w:rsidTr="00461EE3">
        <w:tc>
          <w:tcPr>
            <w:tcW w:w="8926" w:type="dxa"/>
            <w:gridSpan w:val="3"/>
          </w:tcPr>
          <w:p w14:paraId="566CD9DB" w14:textId="77777777"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14:paraId="66223563" w14:textId="77777777" w:rsidTr="00461EE3">
        <w:tc>
          <w:tcPr>
            <w:tcW w:w="562" w:type="dxa"/>
          </w:tcPr>
          <w:p w14:paraId="61B7CF9A" w14:textId="77777777" w:rsidR="00FB65D8" w:rsidRPr="000A242C" w:rsidRDefault="00FB65D8" w:rsidP="00F62526">
            <w:pPr>
              <w:pStyle w:val="Bezatstarpm"/>
            </w:pPr>
            <w:r w:rsidRPr="000A242C">
              <w:lastRenderedPageBreak/>
              <w:t>1.</w:t>
            </w:r>
          </w:p>
        </w:tc>
        <w:tc>
          <w:tcPr>
            <w:tcW w:w="4111" w:type="dxa"/>
          </w:tcPr>
          <w:p w14:paraId="63A43D8E" w14:textId="77777777" w:rsidR="00FB65D8" w:rsidRPr="000A242C" w:rsidRDefault="00FB65D8" w:rsidP="00F62526">
            <w:pPr>
              <w:pStyle w:val="Bezatstarpm"/>
              <w:jc w:val="both"/>
            </w:pPr>
            <w:r>
              <w:t>Plānotās sabiedrības līdzdalības un komunikācijas aktivitātes saistībā ar projektu</w:t>
            </w:r>
          </w:p>
        </w:tc>
        <w:tc>
          <w:tcPr>
            <w:tcW w:w="4253" w:type="dxa"/>
          </w:tcPr>
          <w:p w14:paraId="2EDA5F08" w14:textId="77777777" w:rsidR="00534BC2" w:rsidRPr="00534BC2" w:rsidRDefault="00534BC2" w:rsidP="00534BC2">
            <w:pPr>
              <w:jc w:val="both"/>
              <w:rPr>
                <w:rFonts w:ascii="Times New Roman" w:eastAsia="Times New Roman" w:hAnsi="Times New Roman" w:cs="Times New Roman"/>
                <w:sz w:val="24"/>
                <w:szCs w:val="24"/>
              </w:rPr>
            </w:pPr>
            <w:r w:rsidRPr="00534BC2">
              <w:rPr>
                <w:rFonts w:ascii="Times New Roman" w:eastAsia="Times New Roman" w:hAnsi="Times New Roman" w:cs="Times New Roman"/>
                <w:sz w:val="24"/>
                <w:szCs w:val="24"/>
              </w:rPr>
              <w:t>Atbilstoši Ministru kabineta 2009.</w:t>
            </w:r>
            <w:r>
              <w:rPr>
                <w:rFonts w:ascii="Times New Roman" w:eastAsia="Times New Roman" w:hAnsi="Times New Roman" w:cs="Times New Roman"/>
                <w:sz w:val="24"/>
                <w:szCs w:val="24"/>
              </w:rPr>
              <w:t xml:space="preserve"> </w:t>
            </w:r>
            <w:r w:rsidRPr="00534BC2">
              <w:rPr>
                <w:rFonts w:ascii="Times New Roman" w:eastAsia="Times New Roman" w:hAnsi="Times New Roman" w:cs="Times New Roman"/>
                <w:sz w:val="24"/>
                <w:szCs w:val="24"/>
              </w:rPr>
              <w:t>gada 25.</w:t>
            </w:r>
            <w:r>
              <w:rPr>
                <w:rFonts w:ascii="Times New Roman" w:eastAsia="Times New Roman" w:hAnsi="Times New Roman" w:cs="Times New Roman"/>
                <w:sz w:val="24"/>
                <w:szCs w:val="24"/>
              </w:rPr>
              <w:t xml:space="preserve"> </w:t>
            </w:r>
            <w:r w:rsidRPr="00534BC2">
              <w:rPr>
                <w:rFonts w:ascii="Times New Roman" w:eastAsia="Times New Roman" w:hAnsi="Times New Roman" w:cs="Times New Roman"/>
                <w:sz w:val="24"/>
                <w:szCs w:val="24"/>
              </w:rPr>
              <w:t>augusta noteikumu Nr.970 “Sabiedrības līdzdalības kārtība attīstības plānošanas procesā” 5.</w:t>
            </w:r>
            <w:r>
              <w:rPr>
                <w:rFonts w:ascii="Times New Roman" w:eastAsia="Times New Roman" w:hAnsi="Times New Roman" w:cs="Times New Roman"/>
                <w:sz w:val="24"/>
                <w:szCs w:val="24"/>
              </w:rPr>
              <w:t xml:space="preserve"> </w:t>
            </w:r>
            <w:r w:rsidRPr="00534BC2">
              <w:rPr>
                <w:rFonts w:ascii="Times New Roman" w:eastAsia="Times New Roman" w:hAnsi="Times New Roman" w:cs="Times New Roman"/>
                <w:sz w:val="24"/>
                <w:szCs w:val="24"/>
              </w:rPr>
              <w:t>punktam sabiedrības līdzdalības kārtība ir piemērojama tiesību aktu projektu izstrādē, kas būtiski maina esošo regulējumu vai paredz ieviest jaunas politiskās iniciatīvas.</w:t>
            </w:r>
          </w:p>
          <w:p w14:paraId="0A7C85B5" w14:textId="77777777" w:rsidR="00FB65D8" w:rsidRPr="00245083" w:rsidRDefault="00534BC2" w:rsidP="00534BC2">
            <w:pPr>
              <w:jc w:val="both"/>
              <w:rPr>
                <w:rFonts w:ascii="Times New Roman" w:eastAsia="Times New Roman" w:hAnsi="Times New Roman" w:cs="Times New Roman"/>
                <w:sz w:val="24"/>
                <w:szCs w:val="24"/>
              </w:rPr>
            </w:pPr>
            <w:r w:rsidRPr="00534BC2">
              <w:rPr>
                <w:rFonts w:ascii="Times New Roman" w:eastAsia="Times New Roman" w:hAnsi="Times New Roman" w:cs="Times New Roman"/>
                <w:sz w:val="24"/>
                <w:szCs w:val="24"/>
              </w:rPr>
              <w:t>Ņemot vērā, ka sagatavotais rīkojuma projekts neatbilst minētajiem kritērijiem, sabiedrības līdzdalības kārtība rīkojuma projekta izstrādē netiek piemērota.</w:t>
            </w:r>
          </w:p>
        </w:tc>
      </w:tr>
      <w:tr w:rsidR="00FB65D8" w:rsidRPr="00A25835" w14:paraId="5988475D" w14:textId="77777777" w:rsidTr="00461EE3">
        <w:tc>
          <w:tcPr>
            <w:tcW w:w="562" w:type="dxa"/>
          </w:tcPr>
          <w:p w14:paraId="4966FF7D" w14:textId="77777777" w:rsidR="00FB65D8" w:rsidRPr="00C2213E" w:rsidRDefault="00FB65D8" w:rsidP="00F62526">
            <w:pPr>
              <w:pStyle w:val="Bezatstarpm"/>
            </w:pPr>
            <w:r w:rsidRPr="00C2213E">
              <w:t>2.</w:t>
            </w:r>
          </w:p>
        </w:tc>
        <w:tc>
          <w:tcPr>
            <w:tcW w:w="4111" w:type="dxa"/>
          </w:tcPr>
          <w:p w14:paraId="0F64472A" w14:textId="77777777" w:rsidR="00FB65D8" w:rsidRPr="00C2213E" w:rsidRDefault="00FB65D8" w:rsidP="00F62526">
            <w:pPr>
              <w:pStyle w:val="Bezatstarpm"/>
              <w:jc w:val="both"/>
            </w:pPr>
            <w:r>
              <w:t>Sabiedrības līdzdalība projekta izstrādē</w:t>
            </w:r>
          </w:p>
        </w:tc>
        <w:tc>
          <w:tcPr>
            <w:tcW w:w="4253" w:type="dxa"/>
          </w:tcPr>
          <w:p w14:paraId="150AC730" w14:textId="77777777" w:rsidR="00FB65D8" w:rsidRPr="00C2213E" w:rsidRDefault="00534BC2" w:rsidP="00534BC2">
            <w:pPr>
              <w:pStyle w:val="Bezatstarpm"/>
              <w:jc w:val="both"/>
            </w:pPr>
            <w:r w:rsidRPr="000A242C">
              <w:t>Projekts šo jomu neskar.</w:t>
            </w:r>
          </w:p>
        </w:tc>
      </w:tr>
      <w:tr w:rsidR="00FB65D8" w:rsidRPr="00A25835" w14:paraId="00B1E53D" w14:textId="77777777" w:rsidTr="00461EE3">
        <w:tc>
          <w:tcPr>
            <w:tcW w:w="562" w:type="dxa"/>
          </w:tcPr>
          <w:p w14:paraId="5C26AD33" w14:textId="77777777" w:rsidR="00FB65D8" w:rsidRPr="00C2213E" w:rsidRDefault="00FB65D8" w:rsidP="00F62526">
            <w:pPr>
              <w:pStyle w:val="Bezatstarpm"/>
            </w:pPr>
            <w:r w:rsidRPr="00C2213E">
              <w:t>3.</w:t>
            </w:r>
          </w:p>
        </w:tc>
        <w:tc>
          <w:tcPr>
            <w:tcW w:w="4111" w:type="dxa"/>
          </w:tcPr>
          <w:p w14:paraId="52CF6561" w14:textId="77777777" w:rsidR="00FB65D8" w:rsidRPr="00C2213E" w:rsidRDefault="00FB65D8" w:rsidP="00F62526">
            <w:pPr>
              <w:pStyle w:val="Bezatstarpm"/>
              <w:jc w:val="both"/>
            </w:pPr>
            <w:r>
              <w:t>Sabiedrības līdzdalības rezultāti</w:t>
            </w:r>
          </w:p>
        </w:tc>
        <w:tc>
          <w:tcPr>
            <w:tcW w:w="4253" w:type="dxa"/>
          </w:tcPr>
          <w:p w14:paraId="79710AA2" w14:textId="77777777" w:rsidR="00FB65D8" w:rsidRPr="00245083" w:rsidRDefault="00534BC2" w:rsidP="005C54FF">
            <w:pPr>
              <w:pStyle w:val="Bezatstarpm"/>
              <w:jc w:val="both"/>
              <w:rPr>
                <w:rFonts w:ascii="TimesNewRomanPSMT" w:hAnsi="TimesNewRomanPSMT" w:cs="TimesNewRomanPSMT"/>
              </w:rPr>
            </w:pPr>
            <w:r w:rsidRPr="00534BC2">
              <w:rPr>
                <w:rFonts w:ascii="TimesNewRomanPSMT" w:hAnsi="TimesNewRomanPSMT" w:cs="TimesNewRomanPSMT"/>
              </w:rPr>
              <w:t>Projekts šo jomu neskar.</w:t>
            </w:r>
          </w:p>
        </w:tc>
      </w:tr>
      <w:tr w:rsidR="00FB65D8" w:rsidRPr="00C2213E" w14:paraId="6EC51985" w14:textId="77777777" w:rsidTr="00461EE3">
        <w:tc>
          <w:tcPr>
            <w:tcW w:w="562" w:type="dxa"/>
          </w:tcPr>
          <w:p w14:paraId="43B3F65A" w14:textId="77777777" w:rsidR="00FB65D8" w:rsidRPr="00C2213E" w:rsidRDefault="00FB65D8" w:rsidP="00F62526">
            <w:pPr>
              <w:pStyle w:val="Bezatstarpm"/>
            </w:pPr>
            <w:r w:rsidRPr="00C2213E">
              <w:t>4.</w:t>
            </w:r>
          </w:p>
        </w:tc>
        <w:tc>
          <w:tcPr>
            <w:tcW w:w="4111" w:type="dxa"/>
          </w:tcPr>
          <w:p w14:paraId="69FEC671" w14:textId="77777777" w:rsidR="00FB65D8" w:rsidRPr="00C2213E" w:rsidRDefault="00FB65D8" w:rsidP="00F62526">
            <w:pPr>
              <w:pStyle w:val="Bezatstarpm"/>
              <w:jc w:val="both"/>
            </w:pPr>
            <w:r>
              <w:t>Cita informācija</w:t>
            </w:r>
          </w:p>
        </w:tc>
        <w:tc>
          <w:tcPr>
            <w:tcW w:w="4253" w:type="dxa"/>
          </w:tcPr>
          <w:p w14:paraId="6E0FC9FE" w14:textId="77777777" w:rsidR="00FB65D8" w:rsidRPr="00C2213E" w:rsidRDefault="00FB65D8" w:rsidP="00F62526">
            <w:pPr>
              <w:pStyle w:val="Bezatstarpm"/>
              <w:jc w:val="both"/>
            </w:pPr>
            <w:r>
              <w:t>Nav</w:t>
            </w:r>
            <w:r w:rsidR="00552CA5">
              <w:t>.</w:t>
            </w:r>
          </w:p>
        </w:tc>
      </w:tr>
    </w:tbl>
    <w:p w14:paraId="1A70F416" w14:textId="77777777" w:rsidR="00FB65D8" w:rsidRPr="000A242C" w:rsidRDefault="00FB65D8" w:rsidP="00FB65D8">
      <w:pPr>
        <w:pStyle w:val="Bezatstarpm"/>
        <w:rPr>
          <w:i/>
        </w:rPr>
      </w:pPr>
    </w:p>
    <w:tbl>
      <w:tblPr>
        <w:tblStyle w:val="Reatabula"/>
        <w:tblW w:w="8926" w:type="dxa"/>
        <w:tblLook w:val="04A0" w:firstRow="1" w:lastRow="0" w:firstColumn="1" w:lastColumn="0" w:noHBand="0" w:noVBand="1"/>
      </w:tblPr>
      <w:tblGrid>
        <w:gridCol w:w="800"/>
        <w:gridCol w:w="3844"/>
        <w:gridCol w:w="4282"/>
      </w:tblGrid>
      <w:tr w:rsidR="00FB65D8" w:rsidRPr="00A25835" w14:paraId="04BE2BB3" w14:textId="77777777" w:rsidTr="00461EE3">
        <w:tc>
          <w:tcPr>
            <w:tcW w:w="8926" w:type="dxa"/>
            <w:gridSpan w:val="3"/>
          </w:tcPr>
          <w:p w14:paraId="7A50B1B3" w14:textId="77777777"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14:paraId="21851353" w14:textId="77777777" w:rsidTr="00461EE3">
        <w:tc>
          <w:tcPr>
            <w:tcW w:w="800" w:type="dxa"/>
          </w:tcPr>
          <w:p w14:paraId="0E9F1552" w14:textId="77777777" w:rsidR="00FB65D8" w:rsidRPr="000A242C" w:rsidRDefault="00FB65D8" w:rsidP="00F62526">
            <w:pPr>
              <w:pStyle w:val="Bezatstarpm"/>
            </w:pPr>
            <w:r w:rsidRPr="000A242C">
              <w:t>1.</w:t>
            </w:r>
          </w:p>
        </w:tc>
        <w:tc>
          <w:tcPr>
            <w:tcW w:w="3844" w:type="dxa"/>
          </w:tcPr>
          <w:p w14:paraId="0801B379" w14:textId="77777777" w:rsidR="00FB65D8" w:rsidRPr="000A242C" w:rsidRDefault="00FB65D8" w:rsidP="00F62526">
            <w:pPr>
              <w:pStyle w:val="Bezatstarpm"/>
            </w:pPr>
            <w:r w:rsidRPr="000A242C">
              <w:t>Projekta izpildē iesaistītās institūcijas</w:t>
            </w:r>
          </w:p>
        </w:tc>
        <w:tc>
          <w:tcPr>
            <w:tcW w:w="4282" w:type="dxa"/>
          </w:tcPr>
          <w:p w14:paraId="444EE3C7" w14:textId="77777777" w:rsidR="00FB65D8" w:rsidRPr="000A242C" w:rsidRDefault="00FB65D8" w:rsidP="00534BC2">
            <w:pPr>
              <w:pStyle w:val="Bezatstarpm"/>
              <w:jc w:val="both"/>
            </w:pPr>
            <w:r>
              <w:t>Pārtikas un veterinārais dienests</w:t>
            </w:r>
          </w:p>
        </w:tc>
      </w:tr>
      <w:tr w:rsidR="00FB65D8" w:rsidRPr="000A242C" w14:paraId="3DD728AC" w14:textId="77777777" w:rsidTr="00461EE3">
        <w:tc>
          <w:tcPr>
            <w:tcW w:w="800" w:type="dxa"/>
          </w:tcPr>
          <w:p w14:paraId="09431C51" w14:textId="77777777" w:rsidR="00FB65D8" w:rsidRPr="000A242C" w:rsidRDefault="00FB65D8" w:rsidP="00F62526">
            <w:pPr>
              <w:pStyle w:val="Bezatstarpm"/>
            </w:pPr>
            <w:r w:rsidRPr="000A242C">
              <w:t>2.</w:t>
            </w:r>
          </w:p>
        </w:tc>
        <w:tc>
          <w:tcPr>
            <w:tcW w:w="3844" w:type="dxa"/>
          </w:tcPr>
          <w:p w14:paraId="6EA1F5A3" w14:textId="77777777"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282" w:type="dxa"/>
          </w:tcPr>
          <w:p w14:paraId="5659607B" w14:textId="3DA5FED8" w:rsidR="00FB65D8" w:rsidRPr="000A242C" w:rsidRDefault="007D3F5B" w:rsidP="007D3F5B">
            <w:pPr>
              <w:pStyle w:val="Bezatstarpm"/>
              <w:jc w:val="both"/>
            </w:pPr>
            <w:r>
              <w:t>Projekts šo jomu neskar</w:t>
            </w:r>
            <w:r w:rsidR="00534BC2" w:rsidRPr="00534BC2">
              <w:t>.</w:t>
            </w:r>
          </w:p>
        </w:tc>
      </w:tr>
      <w:tr w:rsidR="00FB65D8" w:rsidRPr="000A242C" w14:paraId="1F4C13EA" w14:textId="77777777" w:rsidTr="00461EE3">
        <w:tc>
          <w:tcPr>
            <w:tcW w:w="800" w:type="dxa"/>
          </w:tcPr>
          <w:p w14:paraId="02402E19" w14:textId="77777777" w:rsidR="00FB65D8" w:rsidRPr="000A242C" w:rsidRDefault="00FB65D8" w:rsidP="00F62526">
            <w:pPr>
              <w:pStyle w:val="Bezatstarpm"/>
            </w:pPr>
            <w:r w:rsidRPr="000A242C">
              <w:t>3.</w:t>
            </w:r>
          </w:p>
        </w:tc>
        <w:tc>
          <w:tcPr>
            <w:tcW w:w="3844" w:type="dxa"/>
          </w:tcPr>
          <w:p w14:paraId="73351FDD" w14:textId="77777777" w:rsidR="00FB65D8" w:rsidRPr="000A242C" w:rsidRDefault="00FB65D8" w:rsidP="00F62526">
            <w:pPr>
              <w:pStyle w:val="Bezatstarpm"/>
            </w:pPr>
            <w:r w:rsidRPr="000A242C">
              <w:t>Cita informācija</w:t>
            </w:r>
          </w:p>
        </w:tc>
        <w:tc>
          <w:tcPr>
            <w:tcW w:w="4282" w:type="dxa"/>
          </w:tcPr>
          <w:p w14:paraId="581456A0" w14:textId="77777777" w:rsidR="00FB65D8" w:rsidRPr="000A242C" w:rsidRDefault="00FB65D8" w:rsidP="00F62526">
            <w:pPr>
              <w:pStyle w:val="Bezatstarpm"/>
            </w:pPr>
            <w:r w:rsidRPr="000A242C">
              <w:t>Nav</w:t>
            </w:r>
            <w:r w:rsidR="00552CA5">
              <w:t>.</w:t>
            </w:r>
            <w:r w:rsidRPr="000A242C">
              <w:t xml:space="preserve"> </w:t>
            </w:r>
          </w:p>
        </w:tc>
      </w:tr>
    </w:tbl>
    <w:p w14:paraId="44A4BF0A" w14:textId="77777777" w:rsidR="00FB65D8" w:rsidRPr="000A242C" w:rsidRDefault="00FB65D8" w:rsidP="00FB65D8">
      <w:pPr>
        <w:pStyle w:val="Bezatstarpm"/>
        <w:rPr>
          <w:color w:val="000000"/>
        </w:rPr>
      </w:pPr>
    </w:p>
    <w:p w14:paraId="7F41C3F6" w14:textId="77777777" w:rsidR="00A82FA4" w:rsidRDefault="00A82FA4" w:rsidP="00FB65D8">
      <w:pPr>
        <w:pStyle w:val="Bezatstarpm"/>
        <w:rPr>
          <w:color w:val="000000"/>
          <w:sz w:val="28"/>
        </w:rPr>
      </w:pPr>
    </w:p>
    <w:p w14:paraId="464C58F2" w14:textId="77777777" w:rsidR="007456B5" w:rsidRDefault="007456B5" w:rsidP="00FB65D8">
      <w:pPr>
        <w:pStyle w:val="Bezatstarpm"/>
        <w:rPr>
          <w:color w:val="000000"/>
          <w:sz w:val="28"/>
        </w:rPr>
      </w:pPr>
    </w:p>
    <w:p w14:paraId="79FD160D" w14:textId="77777777" w:rsidR="007456B5" w:rsidRDefault="007456B5" w:rsidP="00FB65D8">
      <w:pPr>
        <w:pStyle w:val="Bezatstarpm"/>
        <w:rPr>
          <w:color w:val="000000"/>
          <w:sz w:val="28"/>
        </w:rPr>
      </w:pPr>
    </w:p>
    <w:p w14:paraId="575F3A18" w14:textId="32E39CA7" w:rsidR="0062195C" w:rsidRDefault="00577AE1" w:rsidP="00FB65D8">
      <w:pPr>
        <w:pStyle w:val="Bezatstarpm"/>
        <w:rPr>
          <w:color w:val="000000"/>
          <w:sz w:val="28"/>
        </w:rPr>
      </w:pPr>
      <w:r w:rsidRPr="00577AE1">
        <w:rPr>
          <w:color w:val="000000"/>
          <w:sz w:val="28"/>
        </w:rPr>
        <w:t>Zemkopības</w:t>
      </w:r>
      <w:r w:rsidR="007456B5">
        <w:rPr>
          <w:color w:val="000000"/>
          <w:sz w:val="28"/>
        </w:rPr>
        <w:t xml:space="preserve"> ministra p.i.</w:t>
      </w:r>
      <w:r w:rsidRPr="00577AE1">
        <w:rPr>
          <w:color w:val="000000"/>
          <w:sz w:val="28"/>
        </w:rPr>
        <w:tab/>
      </w:r>
      <w:r w:rsidRPr="00577AE1">
        <w:rPr>
          <w:color w:val="000000"/>
          <w:sz w:val="28"/>
        </w:rPr>
        <w:tab/>
      </w:r>
      <w:r w:rsidRPr="00577AE1">
        <w:rPr>
          <w:color w:val="000000"/>
          <w:sz w:val="28"/>
        </w:rPr>
        <w:tab/>
      </w:r>
      <w:r w:rsidRPr="00577AE1">
        <w:rPr>
          <w:color w:val="000000"/>
          <w:sz w:val="28"/>
        </w:rPr>
        <w:tab/>
      </w:r>
      <w:r>
        <w:rPr>
          <w:color w:val="000000"/>
          <w:sz w:val="28"/>
        </w:rPr>
        <w:tab/>
      </w:r>
      <w:r>
        <w:rPr>
          <w:color w:val="000000"/>
          <w:sz w:val="28"/>
        </w:rPr>
        <w:tab/>
      </w:r>
      <w:r>
        <w:rPr>
          <w:color w:val="000000"/>
          <w:sz w:val="28"/>
        </w:rPr>
        <w:tab/>
      </w:r>
      <w:r w:rsidRPr="00577AE1">
        <w:rPr>
          <w:color w:val="000000"/>
          <w:sz w:val="28"/>
        </w:rPr>
        <w:t>Uldis Augulis</w:t>
      </w:r>
    </w:p>
    <w:p w14:paraId="60FD872F" w14:textId="77777777" w:rsidR="007456B5" w:rsidRDefault="007456B5" w:rsidP="00FB65D8">
      <w:pPr>
        <w:pStyle w:val="Bezatstarpm"/>
        <w:rPr>
          <w:color w:val="000000"/>
          <w:sz w:val="28"/>
        </w:rPr>
      </w:pPr>
    </w:p>
    <w:p w14:paraId="79381214" w14:textId="77777777" w:rsidR="007456B5" w:rsidRDefault="007456B5" w:rsidP="00FB65D8">
      <w:pPr>
        <w:pStyle w:val="Bezatstarpm"/>
        <w:rPr>
          <w:color w:val="000000"/>
          <w:sz w:val="28"/>
        </w:rPr>
      </w:pPr>
    </w:p>
    <w:p w14:paraId="771A7AB4" w14:textId="25D5A6A7" w:rsidR="007456B5" w:rsidRPr="007456B5" w:rsidRDefault="007456B5" w:rsidP="00FB65D8">
      <w:pPr>
        <w:pStyle w:val="Bezatstarpm"/>
        <w:rPr>
          <w:color w:val="000000"/>
          <w:sz w:val="28"/>
        </w:rPr>
      </w:pPr>
      <w:r>
        <w:rPr>
          <w:color w:val="000000"/>
          <w:sz w:val="28"/>
        </w:rPr>
        <w:t>Zemkopības ministrijas valsts sekretāre</w:t>
      </w:r>
      <w:r>
        <w:rPr>
          <w:color w:val="000000"/>
          <w:sz w:val="28"/>
        </w:rPr>
        <w:tab/>
      </w:r>
      <w:r>
        <w:rPr>
          <w:color w:val="000000"/>
          <w:sz w:val="28"/>
        </w:rPr>
        <w:tab/>
      </w:r>
      <w:r>
        <w:rPr>
          <w:color w:val="000000"/>
          <w:sz w:val="28"/>
        </w:rPr>
        <w:tab/>
      </w:r>
      <w:r>
        <w:rPr>
          <w:color w:val="000000"/>
          <w:sz w:val="28"/>
        </w:rPr>
        <w:tab/>
        <w:t>Dace Lucaua</w:t>
      </w:r>
    </w:p>
    <w:p w14:paraId="0ED4D12B" w14:textId="77777777" w:rsidR="009C3649" w:rsidRDefault="009C3649" w:rsidP="00FB65D8">
      <w:pPr>
        <w:pStyle w:val="Bezatstarpm"/>
        <w:rPr>
          <w:sz w:val="20"/>
        </w:rPr>
      </w:pPr>
    </w:p>
    <w:p w14:paraId="15691027" w14:textId="77777777" w:rsidR="009C3649" w:rsidRDefault="009C3649" w:rsidP="00FB65D8">
      <w:pPr>
        <w:pStyle w:val="Bezatstarpm"/>
        <w:rPr>
          <w:sz w:val="20"/>
        </w:rPr>
      </w:pPr>
    </w:p>
    <w:p w14:paraId="7A9D5E1D" w14:textId="77777777" w:rsidR="00A82FA4" w:rsidRDefault="00A82FA4" w:rsidP="00FB65D8">
      <w:pPr>
        <w:pStyle w:val="Bezatstarpm"/>
        <w:rPr>
          <w:sz w:val="20"/>
        </w:rPr>
      </w:pPr>
    </w:p>
    <w:p w14:paraId="1838F8E5" w14:textId="77777777" w:rsidR="00A82FA4" w:rsidRDefault="00A82FA4" w:rsidP="00FB65D8">
      <w:pPr>
        <w:pStyle w:val="Bezatstarpm"/>
        <w:rPr>
          <w:sz w:val="20"/>
        </w:rPr>
      </w:pPr>
    </w:p>
    <w:p w14:paraId="7D43DE44" w14:textId="77777777" w:rsidR="007456B5" w:rsidRDefault="007456B5" w:rsidP="00FB65D8">
      <w:pPr>
        <w:pStyle w:val="Bezatstarpm"/>
        <w:rPr>
          <w:sz w:val="20"/>
        </w:rPr>
      </w:pPr>
    </w:p>
    <w:p w14:paraId="2FB2C61F" w14:textId="77777777" w:rsidR="007456B5" w:rsidRDefault="007456B5" w:rsidP="00FB65D8">
      <w:pPr>
        <w:pStyle w:val="Bezatstarpm"/>
        <w:rPr>
          <w:sz w:val="20"/>
        </w:rPr>
      </w:pPr>
    </w:p>
    <w:p w14:paraId="786770FE" w14:textId="77777777" w:rsidR="007456B5" w:rsidRDefault="007456B5" w:rsidP="00FB65D8">
      <w:pPr>
        <w:pStyle w:val="Bezatstarpm"/>
        <w:rPr>
          <w:sz w:val="20"/>
        </w:rPr>
      </w:pPr>
    </w:p>
    <w:p w14:paraId="3366C965" w14:textId="77777777" w:rsidR="007456B5" w:rsidRDefault="007456B5" w:rsidP="00FB65D8">
      <w:pPr>
        <w:pStyle w:val="Bezatstarpm"/>
        <w:rPr>
          <w:sz w:val="20"/>
        </w:rPr>
      </w:pPr>
    </w:p>
    <w:p w14:paraId="0948EAC2" w14:textId="77777777" w:rsidR="007456B5" w:rsidRDefault="007456B5" w:rsidP="00FB65D8">
      <w:pPr>
        <w:pStyle w:val="Bezatstarpm"/>
        <w:rPr>
          <w:sz w:val="20"/>
        </w:rPr>
      </w:pPr>
    </w:p>
    <w:p w14:paraId="5CB12463" w14:textId="77777777" w:rsidR="00A82FA4" w:rsidRDefault="00A82FA4" w:rsidP="00FB65D8">
      <w:pPr>
        <w:pStyle w:val="Bezatstarpm"/>
        <w:rPr>
          <w:sz w:val="20"/>
        </w:rPr>
      </w:pPr>
    </w:p>
    <w:p w14:paraId="12CDC77A" w14:textId="1067206C" w:rsidR="00FB65D8" w:rsidRPr="007456B5" w:rsidRDefault="00A32986" w:rsidP="00FB65D8">
      <w:pPr>
        <w:pStyle w:val="Bezatstarpm"/>
      </w:pPr>
      <w:r w:rsidRPr="007456B5">
        <w:t>Tora</w:t>
      </w:r>
      <w:r w:rsidR="00FB65D8" w:rsidRPr="007456B5">
        <w:t xml:space="preserve"> 67027</w:t>
      </w:r>
      <w:r w:rsidRPr="007456B5">
        <w:t>620</w:t>
      </w:r>
      <w:r w:rsidR="00FB65D8" w:rsidRPr="007456B5">
        <w:t xml:space="preserve"> </w:t>
      </w:r>
    </w:p>
    <w:p w14:paraId="7B6A612B" w14:textId="77777777" w:rsidR="00FB65D8" w:rsidRPr="007456B5" w:rsidRDefault="00E73F4E" w:rsidP="00FB65D8">
      <w:pPr>
        <w:pStyle w:val="Bezatstarpm"/>
      </w:pPr>
      <w:hyperlink r:id="rId6" w:history="1">
        <w:r w:rsidR="00A32986" w:rsidRPr="007456B5">
          <w:rPr>
            <w:rStyle w:val="Hipersaite"/>
          </w:rPr>
          <w:t>Aija.tora@zm.gov.lv</w:t>
        </w:r>
      </w:hyperlink>
      <w:r w:rsidR="00A32986" w:rsidRPr="007456B5">
        <w:t xml:space="preserve"> </w:t>
      </w:r>
    </w:p>
    <w:sectPr w:rsidR="00FB65D8" w:rsidRPr="007456B5" w:rsidSect="007456B5">
      <w:headerReference w:type="default" r:id="rId7"/>
      <w:footerReference w:type="default" r:id="rId8"/>
      <w:footerReference w:type="firs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3A6A" w14:textId="77777777" w:rsidR="006543EF" w:rsidRDefault="006543EF" w:rsidP="00FB65D8">
      <w:pPr>
        <w:spacing w:after="0" w:line="240" w:lineRule="auto"/>
      </w:pPr>
      <w:r>
        <w:separator/>
      </w:r>
    </w:p>
  </w:endnote>
  <w:endnote w:type="continuationSeparator" w:id="0">
    <w:p w14:paraId="2525D897" w14:textId="77777777" w:rsidR="006543EF" w:rsidRDefault="006543EF"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F049" w14:textId="00AE511F" w:rsidR="006D68E8" w:rsidRPr="007456B5" w:rsidRDefault="007456B5" w:rsidP="007456B5">
    <w:pPr>
      <w:pStyle w:val="Kjene"/>
    </w:pPr>
    <w:r w:rsidRPr="007456B5">
      <w:rPr>
        <w:rFonts w:ascii="Times New Roman" w:eastAsia="Times New Roman" w:hAnsi="Times New Roman" w:cs="Times New Roman"/>
        <w:sz w:val="20"/>
        <w:szCs w:val="20"/>
        <w:lang w:eastAsia="lv-LV"/>
      </w:rPr>
      <w:t>ZManot_070318_ABP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7CD3" w14:textId="40A57CE4" w:rsidR="006D68E8" w:rsidRPr="007456B5" w:rsidRDefault="007456B5" w:rsidP="007456B5">
    <w:pPr>
      <w:pStyle w:val="Kjene"/>
    </w:pPr>
    <w:r w:rsidRPr="007456B5">
      <w:rPr>
        <w:rFonts w:ascii="Times New Roman" w:eastAsia="Times New Roman" w:hAnsi="Times New Roman" w:cs="Times New Roman"/>
        <w:sz w:val="20"/>
        <w:szCs w:val="20"/>
        <w:lang w:eastAsia="lv-LV"/>
      </w:rPr>
      <w:t>ZManot_070318_ABP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24E4" w14:textId="77777777" w:rsidR="006543EF" w:rsidRDefault="006543EF" w:rsidP="00FB65D8">
      <w:pPr>
        <w:spacing w:after="0" w:line="240" w:lineRule="auto"/>
      </w:pPr>
      <w:r>
        <w:separator/>
      </w:r>
    </w:p>
  </w:footnote>
  <w:footnote w:type="continuationSeparator" w:id="0">
    <w:p w14:paraId="7F17B0B9" w14:textId="77777777" w:rsidR="006543EF" w:rsidRDefault="006543EF" w:rsidP="00FB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14:paraId="5C45966D" w14:textId="069DDB6A" w:rsidR="006D68E8" w:rsidRDefault="00290A60">
        <w:pPr>
          <w:pStyle w:val="Galvene"/>
          <w:jc w:val="center"/>
        </w:pPr>
        <w:r>
          <w:fldChar w:fldCharType="begin"/>
        </w:r>
        <w:r>
          <w:instrText>PAGE   \* MERGEFORMAT</w:instrText>
        </w:r>
        <w:r>
          <w:fldChar w:fldCharType="separate"/>
        </w:r>
        <w:r w:rsidR="00E73F4E">
          <w:rPr>
            <w:noProof/>
          </w:rPr>
          <w:t>2</w:t>
        </w:r>
        <w:r>
          <w:fldChar w:fldCharType="end"/>
        </w:r>
      </w:p>
    </w:sdtContent>
  </w:sdt>
  <w:p w14:paraId="74A8ABF0" w14:textId="77777777" w:rsidR="006D68E8" w:rsidRDefault="00E73F4E">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FB4"/>
    <w:rsid w:val="00003586"/>
    <w:rsid w:val="00016FA1"/>
    <w:rsid w:val="000216D3"/>
    <w:rsid w:val="00032C16"/>
    <w:rsid w:val="000371C4"/>
    <w:rsid w:val="000477C5"/>
    <w:rsid w:val="00047F67"/>
    <w:rsid w:val="000551F1"/>
    <w:rsid w:val="0009789C"/>
    <w:rsid w:val="000B0E7A"/>
    <w:rsid w:val="000B1AF3"/>
    <w:rsid w:val="000C0C98"/>
    <w:rsid w:val="000C4AAD"/>
    <w:rsid w:val="000D085A"/>
    <w:rsid w:val="000D09E6"/>
    <w:rsid w:val="000D0F38"/>
    <w:rsid w:val="000D2C62"/>
    <w:rsid w:val="000D2C9C"/>
    <w:rsid w:val="000D3EF0"/>
    <w:rsid w:val="000D49F8"/>
    <w:rsid w:val="000D78A0"/>
    <w:rsid w:val="001253C8"/>
    <w:rsid w:val="00132809"/>
    <w:rsid w:val="00132CC1"/>
    <w:rsid w:val="00154A4E"/>
    <w:rsid w:val="0015782A"/>
    <w:rsid w:val="001619B1"/>
    <w:rsid w:val="00171FEE"/>
    <w:rsid w:val="001B3498"/>
    <w:rsid w:val="001C61C0"/>
    <w:rsid w:val="001C76C0"/>
    <w:rsid w:val="001D1A98"/>
    <w:rsid w:val="001E1D17"/>
    <w:rsid w:val="001E74CD"/>
    <w:rsid w:val="00204158"/>
    <w:rsid w:val="00212631"/>
    <w:rsid w:val="002213CB"/>
    <w:rsid w:val="0022273A"/>
    <w:rsid w:val="002266EF"/>
    <w:rsid w:val="00245083"/>
    <w:rsid w:val="00253307"/>
    <w:rsid w:val="00256D43"/>
    <w:rsid w:val="00270B6F"/>
    <w:rsid w:val="00290A60"/>
    <w:rsid w:val="0029622D"/>
    <w:rsid w:val="002A45F0"/>
    <w:rsid w:val="002D3B3E"/>
    <w:rsid w:val="002E1258"/>
    <w:rsid w:val="002E1FE1"/>
    <w:rsid w:val="002F0B22"/>
    <w:rsid w:val="00302407"/>
    <w:rsid w:val="00310E08"/>
    <w:rsid w:val="00320DD9"/>
    <w:rsid w:val="00325851"/>
    <w:rsid w:val="00331763"/>
    <w:rsid w:val="00334344"/>
    <w:rsid w:val="00343A2C"/>
    <w:rsid w:val="00357855"/>
    <w:rsid w:val="00371A7A"/>
    <w:rsid w:val="00384DD0"/>
    <w:rsid w:val="00387174"/>
    <w:rsid w:val="003A1A7A"/>
    <w:rsid w:val="003B12DC"/>
    <w:rsid w:val="003D12C6"/>
    <w:rsid w:val="003E0D7E"/>
    <w:rsid w:val="003F2305"/>
    <w:rsid w:val="003F6838"/>
    <w:rsid w:val="004028BF"/>
    <w:rsid w:val="004037D3"/>
    <w:rsid w:val="004042AE"/>
    <w:rsid w:val="004063ED"/>
    <w:rsid w:val="00414B65"/>
    <w:rsid w:val="004215A9"/>
    <w:rsid w:val="00433E99"/>
    <w:rsid w:val="004350DC"/>
    <w:rsid w:val="00437A86"/>
    <w:rsid w:val="004424BD"/>
    <w:rsid w:val="00450B9C"/>
    <w:rsid w:val="00461EE3"/>
    <w:rsid w:val="00465772"/>
    <w:rsid w:val="00467870"/>
    <w:rsid w:val="00471086"/>
    <w:rsid w:val="00482A9C"/>
    <w:rsid w:val="00483498"/>
    <w:rsid w:val="0048434F"/>
    <w:rsid w:val="00484966"/>
    <w:rsid w:val="00486708"/>
    <w:rsid w:val="00486815"/>
    <w:rsid w:val="00487889"/>
    <w:rsid w:val="004B5D20"/>
    <w:rsid w:val="004C08A9"/>
    <w:rsid w:val="004C0CA0"/>
    <w:rsid w:val="004C0CCA"/>
    <w:rsid w:val="004C6553"/>
    <w:rsid w:val="004D0EE2"/>
    <w:rsid w:val="004D276D"/>
    <w:rsid w:val="004F612B"/>
    <w:rsid w:val="005112A2"/>
    <w:rsid w:val="0051187D"/>
    <w:rsid w:val="00512E13"/>
    <w:rsid w:val="00520801"/>
    <w:rsid w:val="00534BC2"/>
    <w:rsid w:val="00552CA5"/>
    <w:rsid w:val="00555575"/>
    <w:rsid w:val="005556AA"/>
    <w:rsid w:val="0056437F"/>
    <w:rsid w:val="00573209"/>
    <w:rsid w:val="00577AE1"/>
    <w:rsid w:val="00583887"/>
    <w:rsid w:val="00584B29"/>
    <w:rsid w:val="00585604"/>
    <w:rsid w:val="0059322A"/>
    <w:rsid w:val="005A028B"/>
    <w:rsid w:val="005A35A1"/>
    <w:rsid w:val="005C0536"/>
    <w:rsid w:val="005C082E"/>
    <w:rsid w:val="005C54FF"/>
    <w:rsid w:val="005C6FE4"/>
    <w:rsid w:val="005D16CB"/>
    <w:rsid w:val="005F0153"/>
    <w:rsid w:val="005F13FF"/>
    <w:rsid w:val="00611265"/>
    <w:rsid w:val="0062195C"/>
    <w:rsid w:val="00622740"/>
    <w:rsid w:val="006261D5"/>
    <w:rsid w:val="006347EA"/>
    <w:rsid w:val="00645E70"/>
    <w:rsid w:val="006464E5"/>
    <w:rsid w:val="006543EF"/>
    <w:rsid w:val="00665123"/>
    <w:rsid w:val="0067315F"/>
    <w:rsid w:val="0067727C"/>
    <w:rsid w:val="00682EAA"/>
    <w:rsid w:val="006A2DF3"/>
    <w:rsid w:val="006B7470"/>
    <w:rsid w:val="006C3D6A"/>
    <w:rsid w:val="006C5956"/>
    <w:rsid w:val="006D0A66"/>
    <w:rsid w:val="006E6B27"/>
    <w:rsid w:val="006F04DC"/>
    <w:rsid w:val="006F1921"/>
    <w:rsid w:val="00701E4C"/>
    <w:rsid w:val="00722D0B"/>
    <w:rsid w:val="00723573"/>
    <w:rsid w:val="00741B80"/>
    <w:rsid w:val="007456B5"/>
    <w:rsid w:val="00754E3E"/>
    <w:rsid w:val="00756F33"/>
    <w:rsid w:val="00757590"/>
    <w:rsid w:val="007647CB"/>
    <w:rsid w:val="00792BEA"/>
    <w:rsid w:val="00796AF2"/>
    <w:rsid w:val="00797311"/>
    <w:rsid w:val="007976FF"/>
    <w:rsid w:val="007B26BE"/>
    <w:rsid w:val="007D3F5B"/>
    <w:rsid w:val="007D76BD"/>
    <w:rsid w:val="007E4A6A"/>
    <w:rsid w:val="008009EC"/>
    <w:rsid w:val="00801C08"/>
    <w:rsid w:val="008049BE"/>
    <w:rsid w:val="008120D5"/>
    <w:rsid w:val="0081255B"/>
    <w:rsid w:val="00841E5B"/>
    <w:rsid w:val="008567EC"/>
    <w:rsid w:val="00856BDD"/>
    <w:rsid w:val="0086116F"/>
    <w:rsid w:val="008617C7"/>
    <w:rsid w:val="00867D0E"/>
    <w:rsid w:val="008772E2"/>
    <w:rsid w:val="008775F7"/>
    <w:rsid w:val="0088487F"/>
    <w:rsid w:val="008A70AC"/>
    <w:rsid w:val="008C1C00"/>
    <w:rsid w:val="008D7B31"/>
    <w:rsid w:val="00903B20"/>
    <w:rsid w:val="00907092"/>
    <w:rsid w:val="009211DC"/>
    <w:rsid w:val="00937506"/>
    <w:rsid w:val="009404D9"/>
    <w:rsid w:val="009416B7"/>
    <w:rsid w:val="00954329"/>
    <w:rsid w:val="00956220"/>
    <w:rsid w:val="00956B29"/>
    <w:rsid w:val="009616EF"/>
    <w:rsid w:val="009A0DDC"/>
    <w:rsid w:val="009A2335"/>
    <w:rsid w:val="009C3649"/>
    <w:rsid w:val="009D23A8"/>
    <w:rsid w:val="009F227E"/>
    <w:rsid w:val="00A035B4"/>
    <w:rsid w:val="00A12C64"/>
    <w:rsid w:val="00A177B3"/>
    <w:rsid w:val="00A270C0"/>
    <w:rsid w:val="00A31C3F"/>
    <w:rsid w:val="00A32986"/>
    <w:rsid w:val="00A42964"/>
    <w:rsid w:val="00A60A6C"/>
    <w:rsid w:val="00A70470"/>
    <w:rsid w:val="00A72A60"/>
    <w:rsid w:val="00A82FA4"/>
    <w:rsid w:val="00A830BF"/>
    <w:rsid w:val="00A97640"/>
    <w:rsid w:val="00AA2174"/>
    <w:rsid w:val="00AA3CBE"/>
    <w:rsid w:val="00AB0F74"/>
    <w:rsid w:val="00AB66C0"/>
    <w:rsid w:val="00AC356B"/>
    <w:rsid w:val="00AE5842"/>
    <w:rsid w:val="00AF296C"/>
    <w:rsid w:val="00AF43BC"/>
    <w:rsid w:val="00B14446"/>
    <w:rsid w:val="00B2555B"/>
    <w:rsid w:val="00B43671"/>
    <w:rsid w:val="00B60DB4"/>
    <w:rsid w:val="00B63308"/>
    <w:rsid w:val="00B77C0D"/>
    <w:rsid w:val="00B83ECF"/>
    <w:rsid w:val="00B85AE0"/>
    <w:rsid w:val="00B92CED"/>
    <w:rsid w:val="00BA488A"/>
    <w:rsid w:val="00BB525C"/>
    <w:rsid w:val="00BC28BC"/>
    <w:rsid w:val="00BC3A60"/>
    <w:rsid w:val="00BD3F29"/>
    <w:rsid w:val="00BD5536"/>
    <w:rsid w:val="00BD58AA"/>
    <w:rsid w:val="00BF086C"/>
    <w:rsid w:val="00BF22D2"/>
    <w:rsid w:val="00C00B22"/>
    <w:rsid w:val="00C024DE"/>
    <w:rsid w:val="00C108F4"/>
    <w:rsid w:val="00C14CF8"/>
    <w:rsid w:val="00C21D66"/>
    <w:rsid w:val="00C258ED"/>
    <w:rsid w:val="00C25C9E"/>
    <w:rsid w:val="00C35ABB"/>
    <w:rsid w:val="00C45888"/>
    <w:rsid w:val="00C602C8"/>
    <w:rsid w:val="00C80F4E"/>
    <w:rsid w:val="00C839F7"/>
    <w:rsid w:val="00CA5AFA"/>
    <w:rsid w:val="00CB4BCF"/>
    <w:rsid w:val="00CB57F2"/>
    <w:rsid w:val="00CC1956"/>
    <w:rsid w:val="00CC2F8C"/>
    <w:rsid w:val="00CD43A3"/>
    <w:rsid w:val="00CE4FF8"/>
    <w:rsid w:val="00D14A14"/>
    <w:rsid w:val="00D2131E"/>
    <w:rsid w:val="00D27469"/>
    <w:rsid w:val="00D30DF6"/>
    <w:rsid w:val="00D37045"/>
    <w:rsid w:val="00D57391"/>
    <w:rsid w:val="00D627FF"/>
    <w:rsid w:val="00D70D14"/>
    <w:rsid w:val="00D71407"/>
    <w:rsid w:val="00D7585F"/>
    <w:rsid w:val="00D814AC"/>
    <w:rsid w:val="00D942C8"/>
    <w:rsid w:val="00D97E47"/>
    <w:rsid w:val="00DA58D6"/>
    <w:rsid w:val="00DA764C"/>
    <w:rsid w:val="00DB08ED"/>
    <w:rsid w:val="00DB201C"/>
    <w:rsid w:val="00DB57E1"/>
    <w:rsid w:val="00DB7C3A"/>
    <w:rsid w:val="00DC6603"/>
    <w:rsid w:val="00DF4843"/>
    <w:rsid w:val="00E0175D"/>
    <w:rsid w:val="00E12ED6"/>
    <w:rsid w:val="00E21CF3"/>
    <w:rsid w:val="00E34263"/>
    <w:rsid w:val="00E43046"/>
    <w:rsid w:val="00E55D6D"/>
    <w:rsid w:val="00E73F4E"/>
    <w:rsid w:val="00E82E5C"/>
    <w:rsid w:val="00E83A28"/>
    <w:rsid w:val="00E91490"/>
    <w:rsid w:val="00EB271D"/>
    <w:rsid w:val="00EB7A94"/>
    <w:rsid w:val="00EC668D"/>
    <w:rsid w:val="00EE3C09"/>
    <w:rsid w:val="00EE65F6"/>
    <w:rsid w:val="00F149DF"/>
    <w:rsid w:val="00F332AE"/>
    <w:rsid w:val="00F36FBF"/>
    <w:rsid w:val="00F40D78"/>
    <w:rsid w:val="00F45750"/>
    <w:rsid w:val="00F610AA"/>
    <w:rsid w:val="00F62951"/>
    <w:rsid w:val="00F70849"/>
    <w:rsid w:val="00F74B8E"/>
    <w:rsid w:val="00F7604A"/>
    <w:rsid w:val="00F92653"/>
    <w:rsid w:val="00F9796F"/>
    <w:rsid w:val="00FB217B"/>
    <w:rsid w:val="00FB65D8"/>
    <w:rsid w:val="00FB73B5"/>
    <w:rsid w:val="00FC4A13"/>
    <w:rsid w:val="00FE3EF2"/>
    <w:rsid w:val="00FF4060"/>
    <w:rsid w:val="00FF4199"/>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2C08"/>
  <w15:docId w15:val="{67DACEA8-7AC2-4542-A295-949A53AC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uiPriority w:val="99"/>
    <w:semiHidden/>
    <w:unhideWhenUsed/>
    <w:rsid w:val="006D0A66"/>
    <w:rPr>
      <w:sz w:val="16"/>
      <w:szCs w:val="16"/>
    </w:rPr>
  </w:style>
  <w:style w:type="paragraph" w:styleId="Komentrateksts">
    <w:name w:val="annotation text"/>
    <w:basedOn w:val="Parasts"/>
    <w:link w:val="KomentratekstsRakstz"/>
    <w:uiPriority w:val="99"/>
    <w:semiHidden/>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isf14ptRakstz">
    <w:name w:val="naisf + 14pt Rakstz."/>
    <w:link w:val="naisf14pt"/>
    <w:locked/>
    <w:rsid w:val="00D70D14"/>
    <w:rPr>
      <w:sz w:val="28"/>
      <w:szCs w:val="24"/>
    </w:rPr>
  </w:style>
  <w:style w:type="paragraph" w:customStyle="1" w:styleId="naisf14pt">
    <w:name w:val="naisf + 14pt"/>
    <w:basedOn w:val="Parasts"/>
    <w:link w:val="naisf14ptRakstz"/>
    <w:rsid w:val="00D70D14"/>
    <w:pPr>
      <w:spacing w:after="0" w:line="240" w:lineRule="auto"/>
      <w:ind w:right="57"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1052329">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ja.tora@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7024</Words>
  <Characters>4005</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2002gada 19.marta noteikumos Nr.127 "Epizootiju uzliesmojuma un draudu novēršanas kārtība</vt: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19.marta noteikumos Nr.127 "Epizootiju uzliesmojuma un draudu novēršanas kārtība</dc:title>
  <dc:subject>Sākotnējās ietekmes novērtējuma ziņojums (anotācija)</dc:subject>
  <dc:creator>Aija Tora</dc:creator>
  <dc:description>Tora 67027620_x000d_
aija.tora@zm.gov.lv</dc:description>
  <cp:lastModifiedBy>Sanita Žagare</cp:lastModifiedBy>
  <cp:revision>2</cp:revision>
  <cp:lastPrinted>2018-03-07T13:50:00Z</cp:lastPrinted>
  <dcterms:created xsi:type="dcterms:W3CDTF">2018-03-07T15:39:00Z</dcterms:created>
  <dcterms:modified xsi:type="dcterms:W3CDTF">2018-03-07T15:39:00Z</dcterms:modified>
</cp:coreProperties>
</file>