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3908DB" w:rsidRPr="0090143C" w:rsidP="0090143C" w14:paraId="2A27AC94" w14:textId="77777777">
      <w:pPr>
        <w:jc w:val="center"/>
        <w:rPr>
          <w:b/>
          <w:sz w:val="28"/>
        </w:rPr>
      </w:pPr>
      <w:r w:rsidRPr="0090143C">
        <w:rPr>
          <w:b/>
          <w:sz w:val="28"/>
        </w:rPr>
        <w:t xml:space="preserve">Ministru kabineta </w:t>
      </w:r>
      <w:r w:rsidRPr="0090143C" w:rsidR="00330635">
        <w:rPr>
          <w:b/>
          <w:sz w:val="28"/>
        </w:rPr>
        <w:t>noteikumu</w:t>
      </w:r>
      <w:r w:rsidRPr="0090143C">
        <w:rPr>
          <w:b/>
          <w:sz w:val="28"/>
        </w:rPr>
        <w:t xml:space="preserve"> projekta</w:t>
      </w:r>
    </w:p>
    <w:p w:rsidR="009C344B" w:rsidRPr="00DD120E" w:rsidP="006B75C7" w14:paraId="4F146901" w14:textId="38DAD482">
      <w:pPr>
        <w:spacing w:after="120"/>
        <w:jc w:val="center"/>
        <w:rPr>
          <w:b/>
          <w:sz w:val="26"/>
          <w:szCs w:val="26"/>
        </w:rPr>
      </w:pPr>
      <w:r>
        <w:rPr>
          <w:b/>
          <w:sz w:val="28"/>
        </w:rPr>
        <w:t>“</w:t>
      </w:r>
      <w:r w:rsidRPr="006D4A3D" w:rsidR="006D4A3D">
        <w:rPr>
          <w:b/>
          <w:sz w:val="28"/>
        </w:rPr>
        <w:t>Grozījumi Ministru kabineta 2016.gada 1.marta noteikumos Nr.</w:t>
      </w:r>
      <w:r w:rsidR="00F63D64">
        <w:rPr>
          <w:b/>
          <w:sz w:val="28"/>
        </w:rPr>
        <w:t>118</w:t>
      </w:r>
      <w:r w:rsidRPr="006D4A3D" w:rsidR="006D4A3D">
        <w:rPr>
          <w:b/>
          <w:sz w:val="28"/>
        </w:rPr>
        <w:t xml:space="preserve">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r w:rsidR="006B75C7">
        <w:rPr>
          <w:b/>
          <w:sz w:val="28"/>
        </w:rPr>
        <w:t xml:space="preserve">” </w:t>
      </w:r>
      <w:r w:rsidRPr="0090143C" w:rsidR="003908DB">
        <w:rPr>
          <w:b/>
          <w:sz w:val="28"/>
        </w:rPr>
        <w:t>sākotnējās ietekmes n</w:t>
      </w:r>
      <w:r>
        <w:rPr>
          <w:b/>
          <w:sz w:val="28"/>
        </w:rPr>
        <w:t>ovērtējuma ziņojums (anotācija)</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8"/>
        <w:gridCol w:w="1908"/>
        <w:gridCol w:w="6845"/>
      </w:tblGrid>
      <w:tr w14:paraId="5E197963" w14:textId="77777777" w:rsidTr="000F70CB">
        <w:tblPrEx>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DD120E" w:rsidP="0090143C" w14:paraId="5D0D30E4" w14:textId="77777777">
            <w:pPr>
              <w:pStyle w:val="ListParagraph"/>
              <w:tabs>
                <w:tab w:val="left" w:pos="2268"/>
                <w:tab w:val="left" w:pos="2410"/>
              </w:tabs>
              <w:ind w:left="1080"/>
              <w:jc w:val="center"/>
              <w:rPr>
                <w:b/>
                <w:sz w:val="26"/>
                <w:szCs w:val="26"/>
                <w:lang w:eastAsia="en-US"/>
              </w:rPr>
            </w:pPr>
            <w:r w:rsidRPr="00DD120E">
              <w:rPr>
                <w:b/>
                <w:bCs/>
                <w:sz w:val="26"/>
                <w:szCs w:val="26"/>
              </w:rPr>
              <w:t>I. Tiesību akta projekta izstrādes nepieciešamība</w:t>
            </w:r>
          </w:p>
        </w:tc>
      </w:tr>
      <w:tr w14:paraId="45825B8D" w14:textId="77777777" w:rsidTr="000F70CB">
        <w:tblPrEx>
          <w:tblW w:w="9351" w:type="dxa"/>
          <w:tblLook w:val="04A0"/>
        </w:tblPrEx>
        <w:tc>
          <w:tcPr>
            <w:tcW w:w="598" w:type="dxa"/>
            <w:tcBorders>
              <w:top w:val="single" w:sz="4" w:space="0" w:color="auto"/>
              <w:left w:val="single" w:sz="4" w:space="0" w:color="auto"/>
              <w:bottom w:val="single" w:sz="4" w:space="0" w:color="auto"/>
              <w:right w:val="single" w:sz="4" w:space="0" w:color="auto"/>
            </w:tcBorders>
            <w:shd w:val="clear" w:color="auto" w:fill="auto"/>
            <w:hideMark/>
          </w:tcPr>
          <w:p w:rsidR="00C61A59" w:rsidRPr="00DD120E" w:rsidP="0090143C" w14:paraId="1252ADA6" w14:textId="77777777">
            <w:pPr>
              <w:jc w:val="center"/>
              <w:rPr>
                <w:sz w:val="26"/>
                <w:szCs w:val="26"/>
                <w:lang w:eastAsia="en-US"/>
              </w:rPr>
            </w:pPr>
            <w:r w:rsidRPr="00DD120E">
              <w:rPr>
                <w:sz w:val="26"/>
                <w:szCs w:val="26"/>
              </w:rPr>
              <w:t>1.</w:t>
            </w:r>
          </w:p>
        </w:tc>
        <w:tc>
          <w:tcPr>
            <w:tcW w:w="1908" w:type="dxa"/>
            <w:tcBorders>
              <w:top w:val="single" w:sz="4" w:space="0" w:color="auto"/>
              <w:left w:val="single" w:sz="4" w:space="0" w:color="auto"/>
              <w:bottom w:val="single" w:sz="4" w:space="0" w:color="auto"/>
              <w:right w:val="single" w:sz="4" w:space="0" w:color="auto"/>
            </w:tcBorders>
            <w:shd w:val="clear" w:color="auto" w:fill="auto"/>
            <w:hideMark/>
          </w:tcPr>
          <w:p w:rsidR="00C61A59" w:rsidRPr="00DD120E" w:rsidP="0090143C" w14:paraId="08DC7540" w14:textId="77777777">
            <w:pPr>
              <w:tabs>
                <w:tab w:val="left" w:pos="1904"/>
              </w:tabs>
              <w:rPr>
                <w:sz w:val="26"/>
                <w:szCs w:val="26"/>
                <w:lang w:eastAsia="en-US"/>
              </w:rPr>
            </w:pPr>
            <w:r w:rsidRPr="00DD120E">
              <w:rPr>
                <w:sz w:val="26"/>
                <w:szCs w:val="26"/>
              </w:rPr>
              <w:t>Pamatojums</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421" w:rsidRPr="00DD120E" w:rsidP="0090143C" w14:paraId="0C8AD7B8" w14:textId="1E89F5FD">
            <w:pPr>
              <w:pStyle w:val="ListParagraph"/>
              <w:tabs>
                <w:tab w:val="left" w:pos="317"/>
              </w:tabs>
              <w:spacing w:before="60" w:after="60"/>
              <w:ind w:left="34"/>
              <w:jc w:val="both"/>
              <w:rPr>
                <w:sz w:val="26"/>
                <w:szCs w:val="26"/>
              </w:rPr>
            </w:pPr>
            <w:r w:rsidRPr="00DD120E">
              <w:rPr>
                <w:sz w:val="26"/>
                <w:szCs w:val="26"/>
              </w:rPr>
              <w:t>Ministru kabineta</w:t>
            </w:r>
            <w:r w:rsidRPr="00DD120E" w:rsidR="001323C1">
              <w:rPr>
                <w:sz w:val="26"/>
                <w:szCs w:val="26"/>
              </w:rPr>
              <w:t xml:space="preserve"> n</w:t>
            </w:r>
            <w:r w:rsidRPr="00DD120E" w:rsidR="003D5485">
              <w:rPr>
                <w:sz w:val="26"/>
                <w:szCs w:val="26"/>
              </w:rPr>
              <w:t xml:space="preserve">oteikumu projekts </w:t>
            </w:r>
            <w:r w:rsidRPr="006D4A3D" w:rsidR="006D4A3D">
              <w:rPr>
                <w:sz w:val="26"/>
                <w:szCs w:val="26"/>
              </w:rPr>
              <w:t>“Grozījumi Ministru kabineta 2016.gada 1.marta noteikumos Nr.</w:t>
            </w:r>
            <w:r w:rsidR="00F63D64">
              <w:rPr>
                <w:sz w:val="26"/>
                <w:szCs w:val="26"/>
              </w:rPr>
              <w:t>118</w:t>
            </w:r>
            <w:r w:rsidRPr="006D4A3D" w:rsidR="006D4A3D">
              <w:rPr>
                <w:sz w:val="26"/>
                <w:szCs w:val="26"/>
              </w:rPr>
              <w:t xml:space="preserve">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r w:rsidRPr="00DD120E" w:rsidR="003D5485">
              <w:rPr>
                <w:sz w:val="26"/>
                <w:szCs w:val="26"/>
              </w:rPr>
              <w:t xml:space="preserve"> (turpmāk –</w:t>
            </w:r>
            <w:r w:rsidRPr="00DD120E" w:rsidR="001323C1">
              <w:rPr>
                <w:sz w:val="26"/>
                <w:szCs w:val="26"/>
              </w:rPr>
              <w:t xml:space="preserve"> </w:t>
            </w:r>
            <w:r w:rsidRPr="00DD120E" w:rsidR="003D5485">
              <w:rPr>
                <w:sz w:val="26"/>
                <w:szCs w:val="26"/>
              </w:rPr>
              <w:t xml:space="preserve">noteikumu projekts) </w:t>
            </w:r>
            <w:r w:rsidRPr="00DD120E" w:rsidR="003D5485">
              <w:rPr>
                <w:sz w:val="26"/>
                <w:szCs w:val="26"/>
                <w:shd w:val="clear" w:color="auto" w:fill="FFFFFF"/>
              </w:rPr>
              <w:t xml:space="preserve">izstrādāts </w:t>
            </w:r>
            <w:r w:rsidRPr="00DD120E" w:rsidR="00DA0819">
              <w:rPr>
                <w:sz w:val="26"/>
                <w:szCs w:val="26"/>
                <w:shd w:val="clear" w:color="auto" w:fill="FFFFFF"/>
              </w:rPr>
              <w:t xml:space="preserve">saskaņā ar </w:t>
            </w:r>
            <w:r w:rsidRPr="00DD120E" w:rsidR="00EC2863">
              <w:rPr>
                <w:sz w:val="26"/>
                <w:szCs w:val="26"/>
                <w:shd w:val="clear" w:color="auto" w:fill="FFFFFF"/>
              </w:rPr>
              <w:t>Eiropas Savienības struktūrfondu un Kohēzijas fonda 2014.-2020.gada plānošanas perioda vadības likuma 20.panta 14.punktu</w:t>
            </w:r>
            <w:r w:rsidR="006D4A3D">
              <w:rPr>
                <w:sz w:val="26"/>
                <w:szCs w:val="26"/>
                <w:shd w:val="clear" w:color="auto" w:fill="FFFFFF"/>
              </w:rPr>
              <w:t>.</w:t>
            </w:r>
            <w:r w:rsidR="009D5A02">
              <w:rPr>
                <w:sz w:val="26"/>
                <w:szCs w:val="26"/>
                <w:shd w:val="clear" w:color="auto" w:fill="FFFFFF"/>
              </w:rPr>
              <w:t xml:space="preserve"> </w:t>
            </w:r>
          </w:p>
        </w:tc>
      </w:tr>
      <w:tr w14:paraId="0C35F47C" w14:textId="77777777" w:rsidTr="000F70CB">
        <w:tblPrEx>
          <w:tblW w:w="9351" w:type="dxa"/>
          <w:tblLook w:val="04A0"/>
        </w:tblPrEx>
        <w:tc>
          <w:tcPr>
            <w:tcW w:w="598" w:type="dxa"/>
            <w:tcBorders>
              <w:top w:val="single" w:sz="4" w:space="0" w:color="auto"/>
              <w:left w:val="single" w:sz="4" w:space="0" w:color="auto"/>
              <w:bottom w:val="single" w:sz="4" w:space="0" w:color="auto"/>
              <w:right w:val="single" w:sz="4" w:space="0" w:color="auto"/>
            </w:tcBorders>
            <w:shd w:val="clear" w:color="auto" w:fill="auto"/>
            <w:hideMark/>
          </w:tcPr>
          <w:p w:rsidR="00C61A59" w:rsidRPr="00DD120E" w:rsidP="0090143C" w14:paraId="34FF026C" w14:textId="77777777">
            <w:pPr>
              <w:jc w:val="center"/>
              <w:rPr>
                <w:sz w:val="26"/>
                <w:szCs w:val="26"/>
                <w:lang w:eastAsia="en-US"/>
              </w:rPr>
            </w:pPr>
            <w:r w:rsidRPr="00DD120E">
              <w:rPr>
                <w:sz w:val="26"/>
                <w:szCs w:val="26"/>
              </w:rPr>
              <w:t>2.</w:t>
            </w:r>
          </w:p>
        </w:tc>
        <w:tc>
          <w:tcPr>
            <w:tcW w:w="1908" w:type="dxa"/>
            <w:tcBorders>
              <w:top w:val="single" w:sz="4" w:space="0" w:color="auto"/>
              <w:left w:val="single" w:sz="4" w:space="0" w:color="auto"/>
              <w:bottom w:val="single" w:sz="4" w:space="0" w:color="auto"/>
              <w:right w:val="single" w:sz="4" w:space="0" w:color="auto"/>
            </w:tcBorders>
            <w:shd w:val="clear" w:color="auto" w:fill="auto"/>
            <w:hideMark/>
          </w:tcPr>
          <w:p w:rsidR="006A3A6B" w:rsidRPr="00DD120E" w:rsidP="0090143C" w14:paraId="360CA6AD" w14:textId="77777777">
            <w:pPr>
              <w:jc w:val="both"/>
              <w:rPr>
                <w:sz w:val="26"/>
                <w:szCs w:val="26"/>
                <w:lang w:eastAsia="en-US"/>
              </w:rPr>
            </w:pPr>
            <w:r w:rsidRPr="00DD120E">
              <w:rPr>
                <w:sz w:val="26"/>
                <w:szCs w:val="26"/>
              </w:rPr>
              <w:t>Pašreizējā situācija un problēmas, kuru risināšanai tiesību akta projekts izstrādāts, tiesiskā regulējuma mērķis un būtība</w:t>
            </w:r>
          </w:p>
          <w:p w:rsidR="006A3A6B" w:rsidRPr="00DD120E" w:rsidP="0090143C" w14:paraId="1E631297" w14:textId="77777777">
            <w:pPr>
              <w:rPr>
                <w:sz w:val="26"/>
                <w:szCs w:val="26"/>
                <w:lang w:eastAsia="en-US"/>
              </w:rPr>
            </w:pPr>
          </w:p>
          <w:p w:rsidR="006A3A6B" w:rsidRPr="00DD120E" w:rsidP="0090143C" w14:paraId="59CCF93B" w14:textId="77777777">
            <w:pPr>
              <w:rPr>
                <w:sz w:val="26"/>
                <w:szCs w:val="26"/>
                <w:lang w:eastAsia="en-US"/>
              </w:rPr>
            </w:pPr>
          </w:p>
          <w:p w:rsidR="006A3A6B" w:rsidRPr="00DD120E" w:rsidP="0090143C" w14:paraId="27822620" w14:textId="77777777">
            <w:pPr>
              <w:rPr>
                <w:sz w:val="26"/>
                <w:szCs w:val="26"/>
                <w:lang w:eastAsia="en-US"/>
              </w:rPr>
            </w:pPr>
          </w:p>
          <w:p w:rsidR="006A3A6B" w:rsidRPr="00DD120E" w:rsidP="0090143C" w14:paraId="46FD5D5C" w14:textId="77777777">
            <w:pPr>
              <w:rPr>
                <w:sz w:val="26"/>
                <w:szCs w:val="26"/>
                <w:lang w:eastAsia="en-US"/>
              </w:rPr>
            </w:pPr>
          </w:p>
          <w:p w:rsidR="006A3A6B" w:rsidRPr="00DD120E" w:rsidP="0090143C" w14:paraId="00F3740F" w14:textId="77777777">
            <w:pPr>
              <w:rPr>
                <w:sz w:val="26"/>
                <w:szCs w:val="26"/>
                <w:lang w:eastAsia="en-US"/>
              </w:rPr>
            </w:pPr>
          </w:p>
          <w:p w:rsidR="006A3A6B" w:rsidRPr="00DD120E" w:rsidP="0090143C" w14:paraId="16B80A91" w14:textId="77777777">
            <w:pPr>
              <w:rPr>
                <w:sz w:val="26"/>
                <w:szCs w:val="26"/>
                <w:lang w:eastAsia="en-US"/>
              </w:rPr>
            </w:pPr>
          </w:p>
          <w:p w:rsidR="006A3A6B" w:rsidRPr="00DD120E" w:rsidP="0090143C" w14:paraId="2D7A091C" w14:textId="77777777">
            <w:pPr>
              <w:rPr>
                <w:sz w:val="26"/>
                <w:szCs w:val="26"/>
                <w:lang w:eastAsia="en-US"/>
              </w:rPr>
            </w:pPr>
          </w:p>
          <w:p w:rsidR="006A3A6B" w:rsidRPr="00DD120E" w:rsidP="0090143C" w14:paraId="3DBC5180" w14:textId="77777777">
            <w:pPr>
              <w:rPr>
                <w:sz w:val="26"/>
                <w:szCs w:val="26"/>
                <w:lang w:eastAsia="en-US"/>
              </w:rPr>
            </w:pPr>
          </w:p>
          <w:p w:rsidR="006A3A6B" w:rsidRPr="00DD120E" w:rsidP="0090143C" w14:paraId="7C8F60EB" w14:textId="77777777">
            <w:pPr>
              <w:rPr>
                <w:sz w:val="26"/>
                <w:szCs w:val="26"/>
                <w:lang w:eastAsia="en-US"/>
              </w:rPr>
            </w:pPr>
          </w:p>
          <w:p w:rsidR="006A3A6B" w:rsidRPr="00DD120E" w:rsidP="0090143C" w14:paraId="23860F8F" w14:textId="77777777">
            <w:pPr>
              <w:rPr>
                <w:sz w:val="26"/>
                <w:szCs w:val="26"/>
                <w:lang w:eastAsia="en-US"/>
              </w:rPr>
            </w:pPr>
          </w:p>
          <w:p w:rsidR="006A3A6B" w:rsidRPr="00DD120E" w:rsidP="0090143C" w14:paraId="690FA1E9" w14:textId="77777777">
            <w:pPr>
              <w:rPr>
                <w:sz w:val="26"/>
                <w:szCs w:val="26"/>
                <w:lang w:eastAsia="en-US"/>
              </w:rPr>
            </w:pPr>
          </w:p>
          <w:p w:rsidR="006A3A6B" w:rsidRPr="00DD120E" w:rsidP="0090143C" w14:paraId="17C353FE" w14:textId="77777777">
            <w:pPr>
              <w:rPr>
                <w:sz w:val="26"/>
                <w:szCs w:val="26"/>
                <w:lang w:eastAsia="en-US"/>
              </w:rPr>
            </w:pPr>
          </w:p>
          <w:p w:rsidR="006A3A6B" w:rsidRPr="00DD120E" w:rsidP="0090143C" w14:paraId="3B7A03C7" w14:textId="77777777">
            <w:pPr>
              <w:rPr>
                <w:sz w:val="26"/>
                <w:szCs w:val="26"/>
                <w:lang w:eastAsia="en-US"/>
              </w:rPr>
            </w:pPr>
          </w:p>
          <w:p w:rsidR="006A3A6B" w:rsidRPr="00DD120E" w:rsidP="0090143C" w14:paraId="52EFAE3A" w14:textId="77777777">
            <w:pPr>
              <w:rPr>
                <w:sz w:val="26"/>
                <w:szCs w:val="26"/>
                <w:lang w:eastAsia="en-US"/>
              </w:rPr>
            </w:pPr>
          </w:p>
          <w:p w:rsidR="006A3A6B" w:rsidRPr="00DD120E" w:rsidP="0090143C" w14:paraId="4FFBC51B" w14:textId="77777777">
            <w:pPr>
              <w:rPr>
                <w:sz w:val="26"/>
                <w:szCs w:val="26"/>
                <w:lang w:eastAsia="en-US"/>
              </w:rPr>
            </w:pPr>
          </w:p>
          <w:p w:rsidR="006A3A6B" w:rsidRPr="00DD120E" w:rsidP="0090143C" w14:paraId="08C57514" w14:textId="77777777">
            <w:pPr>
              <w:rPr>
                <w:sz w:val="26"/>
                <w:szCs w:val="26"/>
                <w:lang w:eastAsia="en-US"/>
              </w:rPr>
            </w:pPr>
          </w:p>
          <w:p w:rsidR="006A3A6B" w:rsidRPr="00DD120E" w:rsidP="0090143C" w14:paraId="1A2932B2" w14:textId="77777777">
            <w:pPr>
              <w:rPr>
                <w:sz w:val="26"/>
                <w:szCs w:val="26"/>
                <w:lang w:eastAsia="en-US"/>
              </w:rPr>
            </w:pPr>
          </w:p>
          <w:p w:rsidR="006A3A6B" w:rsidRPr="00DD120E" w:rsidP="0090143C" w14:paraId="398A9382" w14:textId="77777777">
            <w:pPr>
              <w:rPr>
                <w:sz w:val="26"/>
                <w:szCs w:val="26"/>
                <w:lang w:eastAsia="en-US"/>
              </w:rPr>
            </w:pPr>
          </w:p>
          <w:p w:rsidR="006A3A6B" w:rsidRPr="00DD120E" w:rsidP="0090143C" w14:paraId="1449A896" w14:textId="77777777">
            <w:pPr>
              <w:rPr>
                <w:sz w:val="26"/>
                <w:szCs w:val="26"/>
                <w:lang w:eastAsia="en-US"/>
              </w:rPr>
            </w:pPr>
          </w:p>
          <w:p w:rsidR="006A3A6B" w:rsidRPr="00DD120E" w:rsidP="0090143C" w14:paraId="68D54B78" w14:textId="77777777">
            <w:pPr>
              <w:rPr>
                <w:sz w:val="26"/>
                <w:szCs w:val="26"/>
                <w:lang w:eastAsia="en-US"/>
              </w:rPr>
            </w:pPr>
          </w:p>
          <w:p w:rsidR="006A3A6B" w:rsidRPr="00DD120E" w:rsidP="0090143C" w14:paraId="59BD37A6" w14:textId="77777777">
            <w:pPr>
              <w:rPr>
                <w:sz w:val="26"/>
                <w:szCs w:val="26"/>
                <w:lang w:eastAsia="en-US"/>
              </w:rPr>
            </w:pPr>
          </w:p>
          <w:p w:rsidR="006A3A6B" w:rsidRPr="00DD120E" w:rsidP="0090143C" w14:paraId="4B0CBB36" w14:textId="77777777">
            <w:pPr>
              <w:rPr>
                <w:sz w:val="26"/>
                <w:szCs w:val="26"/>
                <w:lang w:eastAsia="en-US"/>
              </w:rPr>
            </w:pPr>
          </w:p>
          <w:p w:rsidR="00AE4AE9" w:rsidRPr="00DD120E" w:rsidP="0090143C" w14:paraId="4276F3A3" w14:textId="77777777">
            <w:pPr>
              <w:ind w:firstLine="720"/>
              <w:rPr>
                <w:sz w:val="26"/>
                <w:szCs w:val="26"/>
                <w:lang w:eastAsia="en-US"/>
              </w:rPr>
            </w:pPr>
          </w:p>
          <w:p w:rsidR="00AE4AE9" w:rsidRPr="00DD120E" w:rsidP="00AE4AE9" w14:paraId="686D9911" w14:textId="77777777">
            <w:pPr>
              <w:rPr>
                <w:sz w:val="26"/>
                <w:szCs w:val="26"/>
                <w:lang w:eastAsia="en-US"/>
              </w:rPr>
            </w:pPr>
          </w:p>
          <w:p w:rsidR="00AE4AE9" w:rsidRPr="00DD120E" w:rsidP="00AE4AE9" w14:paraId="4F960DBF" w14:textId="77777777">
            <w:pPr>
              <w:rPr>
                <w:sz w:val="26"/>
                <w:szCs w:val="26"/>
                <w:lang w:eastAsia="en-US"/>
              </w:rPr>
            </w:pPr>
          </w:p>
          <w:p w:rsidR="00AE4AE9" w:rsidRPr="00DD120E" w:rsidP="00AE4AE9" w14:paraId="4A9A39CB" w14:textId="77777777">
            <w:pPr>
              <w:rPr>
                <w:sz w:val="26"/>
                <w:szCs w:val="26"/>
                <w:lang w:eastAsia="en-US"/>
              </w:rPr>
            </w:pPr>
          </w:p>
          <w:p w:rsidR="00AE4AE9" w:rsidRPr="00DD120E" w:rsidP="00AE4AE9" w14:paraId="19A7FFAF" w14:textId="77777777">
            <w:pPr>
              <w:rPr>
                <w:sz w:val="26"/>
                <w:szCs w:val="26"/>
                <w:lang w:eastAsia="en-US"/>
              </w:rPr>
            </w:pPr>
          </w:p>
          <w:p w:rsidR="00AE4AE9" w:rsidRPr="00DD120E" w:rsidP="00AE4AE9" w14:paraId="5D08955E" w14:textId="77777777">
            <w:pPr>
              <w:rPr>
                <w:sz w:val="26"/>
                <w:szCs w:val="26"/>
                <w:lang w:eastAsia="en-US"/>
              </w:rPr>
            </w:pPr>
          </w:p>
          <w:p w:rsidR="00C61A59" w:rsidRPr="00DD120E" w:rsidP="00AE4AE9" w14:paraId="2D572B37" w14:textId="77777777">
            <w:pPr>
              <w:jc w:val="center"/>
              <w:rPr>
                <w:sz w:val="26"/>
                <w:szCs w:val="26"/>
                <w:lang w:eastAsia="en-US"/>
              </w:rPr>
            </w:pPr>
          </w:p>
        </w:tc>
        <w:tc>
          <w:tcPr>
            <w:tcW w:w="6845" w:type="dxa"/>
            <w:tcBorders>
              <w:top w:val="single" w:sz="4" w:space="0" w:color="auto"/>
              <w:left w:val="single" w:sz="4" w:space="0" w:color="auto"/>
              <w:bottom w:val="single" w:sz="4" w:space="0" w:color="auto"/>
              <w:right w:val="single" w:sz="4" w:space="0" w:color="auto"/>
            </w:tcBorders>
            <w:shd w:val="clear" w:color="auto" w:fill="FFFFFF"/>
          </w:tcPr>
          <w:p w:rsidR="00062019" w:rsidP="00A87984" w14:paraId="565663F4" w14:textId="11D2E6EB">
            <w:pPr>
              <w:pStyle w:val="Default"/>
              <w:spacing w:after="120"/>
              <w:jc w:val="both"/>
              <w:rPr>
                <w:sz w:val="26"/>
                <w:szCs w:val="26"/>
              </w:rPr>
            </w:pPr>
            <w:r w:rsidRPr="00286353">
              <w:rPr>
                <w:sz w:val="26"/>
                <w:szCs w:val="26"/>
              </w:rPr>
              <w:t xml:space="preserve">Noteikumu projekts izstrādāts, lai </w:t>
            </w:r>
            <w:r w:rsidR="00410D7A">
              <w:rPr>
                <w:sz w:val="26"/>
                <w:szCs w:val="26"/>
              </w:rPr>
              <w:t xml:space="preserve">kopumā </w:t>
            </w:r>
            <w:r w:rsidRPr="00286353">
              <w:rPr>
                <w:sz w:val="26"/>
                <w:szCs w:val="26"/>
              </w:rPr>
              <w:t>samazinātu fondu fondā pieejamo Eiropas Reģionālās attīstības fonda</w:t>
            </w:r>
            <w:r w:rsidR="000C52BB">
              <w:rPr>
                <w:sz w:val="26"/>
                <w:szCs w:val="26"/>
              </w:rPr>
              <w:t xml:space="preserve"> (turpmāk – ERAF)</w:t>
            </w:r>
            <w:r w:rsidRPr="00286353">
              <w:rPr>
                <w:sz w:val="26"/>
                <w:szCs w:val="26"/>
              </w:rPr>
              <w:t xml:space="preserve"> finansējumu par 25 416 515 </w:t>
            </w:r>
            <w:r w:rsidRPr="00C163A1">
              <w:rPr>
                <w:i/>
                <w:sz w:val="26"/>
                <w:szCs w:val="26"/>
              </w:rPr>
              <w:t>euro</w:t>
            </w:r>
            <w:r w:rsidRPr="00286353">
              <w:rPr>
                <w:sz w:val="26"/>
                <w:szCs w:val="26"/>
              </w:rPr>
              <w:t xml:space="preserve"> </w:t>
            </w:r>
            <w:r w:rsidR="000C52BB">
              <w:rPr>
                <w:sz w:val="26"/>
                <w:szCs w:val="26"/>
              </w:rPr>
              <w:t xml:space="preserve">un veiktu ERAF finansējuma pārdales fondu fondā īstenotajos </w:t>
            </w:r>
            <w:r w:rsidRPr="00286353" w:rsidR="000C52BB">
              <w:rPr>
                <w:sz w:val="26"/>
                <w:szCs w:val="26"/>
              </w:rPr>
              <w:t xml:space="preserve">finanšu instrumentos </w:t>
            </w:r>
            <w:r w:rsidRPr="00286353">
              <w:rPr>
                <w:sz w:val="26"/>
                <w:szCs w:val="26"/>
              </w:rPr>
              <w:t xml:space="preserve">saskaņā ar </w:t>
            </w:r>
            <w:r w:rsidR="00286353">
              <w:rPr>
                <w:sz w:val="26"/>
                <w:szCs w:val="26"/>
              </w:rPr>
              <w:t xml:space="preserve">2017.gada 28.novembra </w:t>
            </w:r>
            <w:r w:rsidRPr="00286353" w:rsidR="00286353">
              <w:rPr>
                <w:sz w:val="26"/>
                <w:szCs w:val="26"/>
              </w:rPr>
              <w:t>2014.–2020.gada plānošanas perioda Eiropas Savienības struktūrfondu un Kohēzijas fonda Uzraudzības komitejas sēdē</w:t>
            </w:r>
            <w:r w:rsidR="00286353">
              <w:rPr>
                <w:sz w:val="26"/>
                <w:szCs w:val="26"/>
              </w:rPr>
              <w:t xml:space="preserve"> </w:t>
            </w:r>
            <w:r w:rsidR="00D03531">
              <w:rPr>
                <w:sz w:val="26"/>
                <w:szCs w:val="26"/>
              </w:rPr>
              <w:t>izskatīto</w:t>
            </w:r>
            <w:r w:rsidR="00286353">
              <w:rPr>
                <w:sz w:val="26"/>
                <w:szCs w:val="26"/>
              </w:rPr>
              <w:t xml:space="preserve"> dokumentu “Aktualizētais tirgus nepilnību izvērtējums finanšu pieejamības jomā: Finanšu instrumentu programmu īstenošanas progresa ziņojums”</w:t>
            </w:r>
            <w:r w:rsidR="000C52BB">
              <w:rPr>
                <w:sz w:val="26"/>
                <w:szCs w:val="26"/>
              </w:rPr>
              <w:t xml:space="preserve"> (turpmāk – tirgus nepilnību izvērtējums)</w:t>
            </w:r>
            <w:r w:rsidR="00286353">
              <w:rPr>
                <w:sz w:val="26"/>
                <w:szCs w:val="26"/>
              </w:rPr>
              <w:t xml:space="preserve">. </w:t>
            </w:r>
            <w:r w:rsidR="000C52BB">
              <w:rPr>
                <w:sz w:val="26"/>
                <w:szCs w:val="26"/>
              </w:rPr>
              <w:t xml:space="preserve">Vienlaikus </w:t>
            </w:r>
            <w:r w:rsidR="00410D7A">
              <w:rPr>
                <w:sz w:val="26"/>
                <w:szCs w:val="26"/>
              </w:rPr>
              <w:t>finanšu instrumentu īstenošanai saskaņā ar Ministru kabineta 2016.gada 1.marta noteikumu Nr.118 “</w:t>
            </w:r>
            <w:r w:rsidRPr="00410D7A" w:rsidR="00410D7A">
              <w:rPr>
                <w:sz w:val="26"/>
                <w:szCs w:val="26"/>
              </w:rPr>
              <w:t>Noteikumi par finanšu instrumentu un fondu fonda īstenošan</w:t>
            </w:r>
            <w:r w:rsidR="00410D7A">
              <w:rPr>
                <w:sz w:val="26"/>
                <w:szCs w:val="26"/>
              </w:rPr>
              <w:t>as kārtību darbības programmas “Izaugsme un nodarbinātība”</w:t>
            </w:r>
            <w:r w:rsidRPr="00410D7A" w:rsidR="00410D7A">
              <w:rPr>
                <w:sz w:val="26"/>
                <w:szCs w:val="26"/>
              </w:rPr>
              <w:t xml:space="preserve"> 3.</w:t>
            </w:r>
            <w:r w:rsidR="00410D7A">
              <w:rPr>
                <w:sz w:val="26"/>
                <w:szCs w:val="26"/>
              </w:rPr>
              <w:t>1.1. specifiskā atbalsta mērķa “</w:t>
            </w:r>
            <w:r w:rsidRPr="00410D7A" w:rsidR="00410D7A">
              <w:rPr>
                <w:sz w:val="26"/>
                <w:szCs w:val="26"/>
              </w:rPr>
              <w:t>Sekmēt mazo un vidējo komersantu izveidi un attīstību, īpaši apstrādes rūpniecīb</w:t>
            </w:r>
            <w:r w:rsidR="00410D7A">
              <w:rPr>
                <w:sz w:val="26"/>
                <w:szCs w:val="26"/>
              </w:rPr>
              <w:t>ā un RIS3 prioritārajās nozarēs”</w:t>
            </w:r>
            <w:r w:rsidRPr="00410D7A" w:rsidR="00410D7A">
              <w:rPr>
                <w:sz w:val="26"/>
                <w:szCs w:val="26"/>
              </w:rPr>
              <w:t xml:space="preserve"> un 3.</w:t>
            </w:r>
            <w:r w:rsidR="00410D7A">
              <w:rPr>
                <w:sz w:val="26"/>
                <w:szCs w:val="26"/>
              </w:rPr>
              <w:t>1.2. specifiskā atbalsta mērķa “</w:t>
            </w:r>
            <w:r w:rsidRPr="00410D7A" w:rsidR="00410D7A">
              <w:rPr>
                <w:sz w:val="26"/>
                <w:szCs w:val="26"/>
              </w:rPr>
              <w:t>Palielināt strau</w:t>
            </w:r>
            <w:r w:rsidR="00410D7A">
              <w:rPr>
                <w:sz w:val="26"/>
                <w:szCs w:val="26"/>
              </w:rPr>
              <w:t>jas izaugsmes komersantu skaitu”</w:t>
            </w:r>
            <w:r w:rsidRPr="00410D7A" w:rsidR="00410D7A">
              <w:rPr>
                <w:sz w:val="26"/>
                <w:szCs w:val="26"/>
              </w:rPr>
              <w:t xml:space="preserve"> pasākumu ieviešanai</w:t>
            </w:r>
            <w:r w:rsidR="00410D7A">
              <w:rPr>
                <w:sz w:val="26"/>
                <w:szCs w:val="26"/>
              </w:rPr>
              <w:t>”</w:t>
            </w:r>
            <w:r w:rsidR="00AC440F">
              <w:rPr>
                <w:sz w:val="26"/>
                <w:szCs w:val="26"/>
              </w:rPr>
              <w:t xml:space="preserve"> (turpmāk – MK noteikumi Nr.118)</w:t>
            </w:r>
            <w:r w:rsidR="00410D7A">
              <w:rPr>
                <w:sz w:val="26"/>
                <w:szCs w:val="26"/>
              </w:rPr>
              <w:t xml:space="preserve"> 5.punktu tiek papildus novirzīts </w:t>
            </w:r>
            <w:r w:rsidR="000C52BB">
              <w:rPr>
                <w:sz w:val="26"/>
                <w:szCs w:val="26"/>
              </w:rPr>
              <w:t>2007.-2013.gada plānošanas periodā finanšu instrumentos atmaks</w:t>
            </w:r>
            <w:r w:rsidR="00410D7A">
              <w:rPr>
                <w:sz w:val="26"/>
                <w:szCs w:val="26"/>
              </w:rPr>
              <w:t>ātais</w:t>
            </w:r>
            <w:r w:rsidR="000C52BB">
              <w:rPr>
                <w:sz w:val="26"/>
                <w:szCs w:val="26"/>
              </w:rPr>
              <w:t xml:space="preserve"> p</w:t>
            </w:r>
            <w:r w:rsidR="00410D7A">
              <w:rPr>
                <w:sz w:val="26"/>
                <w:szCs w:val="26"/>
              </w:rPr>
              <w:t>ubliskais</w:t>
            </w:r>
            <w:r w:rsidR="000C52BB">
              <w:rPr>
                <w:sz w:val="26"/>
                <w:szCs w:val="26"/>
              </w:rPr>
              <w:t xml:space="preserve"> finans</w:t>
            </w:r>
            <w:r w:rsidR="00410D7A">
              <w:rPr>
                <w:sz w:val="26"/>
                <w:szCs w:val="26"/>
              </w:rPr>
              <w:t>ējums 32 </w:t>
            </w:r>
            <w:r w:rsidR="00B025B5">
              <w:rPr>
                <w:sz w:val="26"/>
                <w:szCs w:val="26"/>
              </w:rPr>
              <w:t>300 </w:t>
            </w:r>
            <w:r w:rsidR="00410D7A">
              <w:rPr>
                <w:sz w:val="26"/>
                <w:szCs w:val="26"/>
              </w:rPr>
              <w:t xml:space="preserve">000 </w:t>
            </w:r>
            <w:r w:rsidRPr="00EA5017" w:rsidR="00410D7A">
              <w:rPr>
                <w:i/>
                <w:sz w:val="26"/>
                <w:szCs w:val="26"/>
              </w:rPr>
              <w:t>euro</w:t>
            </w:r>
            <w:r w:rsidR="00410D7A">
              <w:rPr>
                <w:sz w:val="26"/>
                <w:szCs w:val="26"/>
              </w:rPr>
              <w:t xml:space="preserve"> apmērā, kura</w:t>
            </w:r>
            <w:r w:rsidR="000C52BB">
              <w:rPr>
                <w:sz w:val="26"/>
                <w:szCs w:val="26"/>
              </w:rPr>
              <w:t xml:space="preserve"> apm</w:t>
            </w:r>
            <w:r w:rsidR="00410D7A">
              <w:rPr>
                <w:sz w:val="26"/>
                <w:szCs w:val="26"/>
              </w:rPr>
              <w:t>ērs sadalījumā pa finanšu instru</w:t>
            </w:r>
            <w:r w:rsidR="00C668DF">
              <w:rPr>
                <w:sz w:val="26"/>
                <w:szCs w:val="26"/>
              </w:rPr>
              <w:t xml:space="preserve">mentiem un finansēšanas avotiem, ņemot vērā līdzšinējo praksi, </w:t>
            </w:r>
            <w:r w:rsidR="00410D7A">
              <w:rPr>
                <w:sz w:val="26"/>
                <w:szCs w:val="26"/>
              </w:rPr>
              <w:t xml:space="preserve">tiek </w:t>
            </w:r>
            <w:r w:rsidR="00C668DF">
              <w:rPr>
                <w:sz w:val="26"/>
                <w:szCs w:val="26"/>
              </w:rPr>
              <w:t>detalizēti noteikts attiecīgā finanšu instrumenta</w:t>
            </w:r>
            <w:r w:rsidR="00410D7A">
              <w:rPr>
                <w:sz w:val="26"/>
                <w:szCs w:val="26"/>
              </w:rPr>
              <w:t xml:space="preserve"> valsts atbalsta noteikumos</w:t>
            </w:r>
            <w:r w:rsidR="001F7947">
              <w:rPr>
                <w:sz w:val="26"/>
                <w:szCs w:val="26"/>
              </w:rPr>
              <w:t>. Atmaksāt</w:t>
            </w:r>
            <w:r w:rsidR="00246617">
              <w:rPr>
                <w:sz w:val="26"/>
                <w:szCs w:val="26"/>
              </w:rPr>
              <w:t>o</w:t>
            </w:r>
            <w:r w:rsidR="001F7947">
              <w:rPr>
                <w:sz w:val="26"/>
                <w:szCs w:val="26"/>
              </w:rPr>
              <w:t xml:space="preserve"> </w:t>
            </w:r>
            <w:r w:rsidR="001F7947">
              <w:rPr>
                <w:sz w:val="26"/>
                <w:szCs w:val="26"/>
              </w:rPr>
              <w:t>publisko finansējumu 32 </w:t>
            </w:r>
            <w:r w:rsidR="00B025B5">
              <w:rPr>
                <w:sz w:val="26"/>
                <w:szCs w:val="26"/>
              </w:rPr>
              <w:t>3</w:t>
            </w:r>
            <w:r w:rsidR="001F7947">
              <w:rPr>
                <w:sz w:val="26"/>
                <w:szCs w:val="26"/>
              </w:rPr>
              <w:t xml:space="preserve">00 000 </w:t>
            </w:r>
            <w:r w:rsidRPr="00246617" w:rsidR="001F7947">
              <w:rPr>
                <w:i/>
                <w:sz w:val="26"/>
                <w:szCs w:val="26"/>
              </w:rPr>
              <w:t>euro</w:t>
            </w:r>
            <w:r w:rsidR="001F7947">
              <w:rPr>
                <w:sz w:val="26"/>
                <w:szCs w:val="26"/>
              </w:rPr>
              <w:t xml:space="preserve"> apmērā veido šādi resursi</w:t>
            </w:r>
            <w:r>
              <w:rPr>
                <w:sz w:val="26"/>
                <w:szCs w:val="26"/>
              </w:rPr>
              <w:t>:</w:t>
            </w:r>
          </w:p>
          <w:p w:rsidR="00162A19" w:rsidRPr="00A207A8" w:rsidP="00246617" w14:paraId="445CC4B9" w14:textId="77777777">
            <w:pPr>
              <w:pStyle w:val="Default"/>
              <w:numPr>
                <w:ilvl w:val="0"/>
                <w:numId w:val="33"/>
              </w:numPr>
              <w:spacing w:after="120"/>
              <w:jc w:val="both"/>
              <w:rPr>
                <w:sz w:val="26"/>
                <w:szCs w:val="26"/>
              </w:rPr>
            </w:pPr>
            <w:r w:rsidRPr="00B025B5">
              <w:rPr>
                <w:sz w:val="26"/>
                <w:szCs w:val="26"/>
              </w:rPr>
              <w:t>darbības programmas “Uzņēmējdarbība un inovācijas” papildinājuma 2.2.1.4.1. apakšaktivitātē “Atbalsts aizdevumu veidā komersantu konkurētspējas uzlabošanai” gūto atmaksu publiskā finansēj</w:t>
            </w:r>
            <w:r w:rsidRPr="00B025B5">
              <w:rPr>
                <w:sz w:val="26"/>
                <w:szCs w:val="26"/>
              </w:rPr>
              <w:t xml:space="preserve">uma daļa 2 000 000 </w:t>
            </w:r>
            <w:r w:rsidRPr="00246617">
              <w:rPr>
                <w:i/>
                <w:sz w:val="26"/>
                <w:szCs w:val="26"/>
              </w:rPr>
              <w:t>euro</w:t>
            </w:r>
            <w:r w:rsidRPr="00B025B5">
              <w:rPr>
                <w:sz w:val="26"/>
                <w:szCs w:val="26"/>
              </w:rPr>
              <w:t xml:space="preserve"> apmērā (ieguld</w:t>
            </w:r>
            <w:r w:rsidRPr="00A207A8">
              <w:rPr>
                <w:sz w:val="26"/>
                <w:szCs w:val="26"/>
              </w:rPr>
              <w:t>ījums kapitālā);</w:t>
            </w:r>
          </w:p>
          <w:p w:rsidR="00162A19" w:rsidRPr="00A207A8" w:rsidP="00246617" w14:paraId="60F753F4" w14:textId="2C30B731">
            <w:pPr>
              <w:pStyle w:val="Default"/>
              <w:numPr>
                <w:ilvl w:val="0"/>
                <w:numId w:val="33"/>
              </w:numPr>
              <w:spacing w:after="120"/>
              <w:jc w:val="both"/>
              <w:rPr>
                <w:sz w:val="26"/>
                <w:szCs w:val="26"/>
              </w:rPr>
            </w:pPr>
            <w:r w:rsidRPr="00B025B5">
              <w:rPr>
                <w:sz w:val="26"/>
                <w:szCs w:val="26"/>
              </w:rPr>
              <w:t xml:space="preserve">darbības programmas “Uzņēmējdarbība un inovācijas” papildinājuma 2.2.1.1. aktivitātē “Ieguldījumu fonds investīcijām garantijās, paaugstināta riska aizdevumos, riska kapitāla fondos un cita veida finanšu instrumentos” gūto atmaksu publiskā finansējuma daļa 11 588 000 </w:t>
            </w:r>
            <w:r w:rsidRPr="00246617">
              <w:rPr>
                <w:i/>
                <w:sz w:val="26"/>
                <w:szCs w:val="26"/>
              </w:rPr>
              <w:t>euro</w:t>
            </w:r>
            <w:r w:rsidRPr="00B025B5">
              <w:rPr>
                <w:sz w:val="26"/>
                <w:szCs w:val="26"/>
              </w:rPr>
              <w:t xml:space="preserve"> (ieguld</w:t>
            </w:r>
            <w:r w:rsidRPr="00A207A8">
              <w:rPr>
                <w:sz w:val="26"/>
                <w:szCs w:val="26"/>
              </w:rPr>
              <w:t>ījums kapitālā);</w:t>
            </w:r>
          </w:p>
          <w:p w:rsidR="00162A19" w:rsidRPr="00B025B5" w:rsidP="00246617" w14:paraId="7D93E398" w14:textId="3F1BF312">
            <w:pPr>
              <w:pStyle w:val="Default"/>
              <w:numPr>
                <w:ilvl w:val="0"/>
                <w:numId w:val="33"/>
              </w:numPr>
              <w:spacing w:after="120"/>
              <w:jc w:val="both"/>
              <w:rPr>
                <w:sz w:val="26"/>
                <w:szCs w:val="26"/>
              </w:rPr>
            </w:pPr>
            <w:r w:rsidRPr="00B025B5">
              <w:rPr>
                <w:sz w:val="26"/>
                <w:szCs w:val="26"/>
              </w:rPr>
              <w:t xml:space="preserve">darbības programmas “Uzņēmējdarbība un inovācijas” papildinājuma 2.2.1.3.aktivitātē “Garantijas komersantu konkurētspējas uzlabošanai” gūto atmaksu publiskā finansējuma daļa 8 657 000 </w:t>
            </w:r>
            <w:r w:rsidRPr="00246617">
              <w:rPr>
                <w:i/>
                <w:sz w:val="26"/>
                <w:szCs w:val="26"/>
              </w:rPr>
              <w:t>euro</w:t>
            </w:r>
            <w:r w:rsidRPr="00B025B5">
              <w:rPr>
                <w:sz w:val="26"/>
                <w:szCs w:val="26"/>
              </w:rPr>
              <w:t xml:space="preserve"> (ieguld</w:t>
            </w:r>
            <w:r w:rsidRPr="00A207A8">
              <w:rPr>
                <w:sz w:val="26"/>
                <w:szCs w:val="26"/>
              </w:rPr>
              <w:t>ījums kapit</w:t>
            </w:r>
            <w:r w:rsidRPr="00B025B5">
              <w:rPr>
                <w:sz w:val="26"/>
                <w:szCs w:val="26"/>
              </w:rPr>
              <w:t>ālā);</w:t>
            </w:r>
          </w:p>
          <w:p w:rsidR="00162A19" w:rsidRPr="00B025B5" w:rsidP="00246617" w14:paraId="2564B764" w14:textId="77777777">
            <w:pPr>
              <w:pStyle w:val="Default"/>
              <w:numPr>
                <w:ilvl w:val="0"/>
                <w:numId w:val="33"/>
              </w:numPr>
              <w:spacing w:after="120"/>
              <w:jc w:val="both"/>
              <w:rPr>
                <w:sz w:val="26"/>
                <w:szCs w:val="26"/>
              </w:rPr>
            </w:pPr>
            <w:r w:rsidRPr="00B025B5">
              <w:rPr>
                <w:sz w:val="26"/>
                <w:szCs w:val="26"/>
              </w:rPr>
              <w:t xml:space="preserve">darbības programmas “Uzņēmējdarbība un inovācijas” papildinājuma 2.2.1.4.2.apakšaktivitātē “Mezanīna aizdevumi un nodrošinājuma garantijas saimnieciskās darbības veicēju konkurētspējas uzlabošanai” gūto atmaksu publiskā finansējuma daļa 4 555 000 </w:t>
            </w:r>
            <w:r w:rsidRPr="00246617">
              <w:rPr>
                <w:i/>
                <w:sz w:val="26"/>
                <w:szCs w:val="26"/>
              </w:rPr>
              <w:t>euro</w:t>
            </w:r>
            <w:r w:rsidRPr="00B025B5">
              <w:rPr>
                <w:sz w:val="26"/>
                <w:szCs w:val="26"/>
              </w:rPr>
              <w:t xml:space="preserve"> (ieguldījums kapitālā);</w:t>
            </w:r>
          </w:p>
          <w:p w:rsidR="00410D7A" w:rsidRPr="00246617" w:rsidP="00246617" w14:paraId="269D0FDA" w14:textId="6E34F880">
            <w:pPr>
              <w:pStyle w:val="Default"/>
              <w:numPr>
                <w:ilvl w:val="0"/>
                <w:numId w:val="33"/>
              </w:numPr>
              <w:spacing w:after="120"/>
              <w:jc w:val="both"/>
              <w:rPr>
                <w:sz w:val="26"/>
                <w:szCs w:val="26"/>
              </w:rPr>
            </w:pPr>
            <w:r w:rsidRPr="00B025B5">
              <w:rPr>
                <w:sz w:val="26"/>
                <w:szCs w:val="26"/>
              </w:rPr>
              <w:t xml:space="preserve">akciju sabiedrības “Attīstības finanšu institūcija Altum” pašu kapitālā pieejamais nacionālais publiskais finansējums 3 000 000 </w:t>
            </w:r>
            <w:r w:rsidRPr="00246617">
              <w:rPr>
                <w:i/>
                <w:sz w:val="26"/>
                <w:szCs w:val="26"/>
              </w:rPr>
              <w:t>euro</w:t>
            </w:r>
            <w:r w:rsidRPr="00B025B5">
              <w:rPr>
                <w:sz w:val="26"/>
                <w:szCs w:val="26"/>
              </w:rPr>
              <w:t xml:space="preserve"> apmērā, kas veidojies no valsts budžeta, kas tika piešķirts 2.2.1.3. aktivitātes “Garantijas komersantu konkurētspējas uzlabošanai” ietvaros, brīvo līdzekļu iz</w:t>
            </w:r>
            <w:r w:rsidRPr="00A207A8">
              <w:rPr>
                <w:sz w:val="26"/>
                <w:szCs w:val="26"/>
              </w:rPr>
              <w:t>vietošanas (ieguldījums kapitālā);</w:t>
            </w:r>
            <w:r w:rsidRPr="00246617" w:rsidR="001F7947">
              <w:rPr>
                <w:sz w:val="26"/>
                <w:szCs w:val="26"/>
              </w:rPr>
              <w:t xml:space="preserve"> </w:t>
            </w:r>
          </w:p>
          <w:p w:rsidR="001F7947" w:rsidRPr="00B025B5" w:rsidP="00246617" w14:paraId="012E3D57" w14:textId="08A6A262">
            <w:pPr>
              <w:pStyle w:val="Default"/>
              <w:numPr>
                <w:ilvl w:val="0"/>
                <w:numId w:val="33"/>
              </w:numPr>
              <w:spacing w:after="120"/>
              <w:jc w:val="both"/>
              <w:rPr>
                <w:sz w:val="26"/>
                <w:szCs w:val="26"/>
              </w:rPr>
            </w:pPr>
            <w:r w:rsidRPr="00B025B5">
              <w:rPr>
                <w:sz w:val="26"/>
                <w:szCs w:val="26"/>
              </w:rPr>
              <w:t xml:space="preserve">darbības programmas </w:t>
            </w:r>
            <w:r w:rsidRPr="00A207A8">
              <w:rPr>
                <w:sz w:val="26"/>
                <w:szCs w:val="26"/>
              </w:rPr>
              <w:t>“Cilvēkresursi un nodarbinātība” papi</w:t>
            </w:r>
            <w:r w:rsidRPr="00246617" w:rsidR="00B025B5">
              <w:rPr>
                <w:sz w:val="26"/>
                <w:szCs w:val="26"/>
              </w:rPr>
              <w:t>ldinājuma 1.3.1.2. aktivitātē</w:t>
            </w:r>
            <w:r w:rsidRPr="00B025B5">
              <w:rPr>
                <w:sz w:val="26"/>
                <w:szCs w:val="26"/>
              </w:rPr>
              <w:t xml:space="preserve"> </w:t>
            </w:r>
            <w:r w:rsidRPr="00A207A8">
              <w:rPr>
                <w:sz w:val="26"/>
                <w:szCs w:val="26"/>
              </w:rPr>
              <w:t xml:space="preserve">“Atbalsts pašnodarbinātības un uzņēmējdarbības uzsākšanai” </w:t>
            </w:r>
            <w:r w:rsidRPr="00246617" w:rsidR="00B025B5">
              <w:rPr>
                <w:sz w:val="26"/>
                <w:szCs w:val="26"/>
              </w:rPr>
              <w:t>gūto atmaksu publiskā finansējuma daļa</w:t>
            </w:r>
            <w:r w:rsidRPr="00B025B5" w:rsidR="007C7CD8">
              <w:rPr>
                <w:sz w:val="26"/>
                <w:szCs w:val="26"/>
              </w:rPr>
              <w:t xml:space="preserve"> 500</w:t>
            </w:r>
            <w:r w:rsidRPr="00A207A8" w:rsidR="007C7CD8">
              <w:rPr>
                <w:sz w:val="26"/>
                <w:szCs w:val="26"/>
              </w:rPr>
              <w:t xml:space="preserve"> 000 </w:t>
            </w:r>
            <w:r w:rsidRPr="00246617" w:rsidR="007C7CD8">
              <w:rPr>
                <w:i/>
                <w:sz w:val="26"/>
                <w:szCs w:val="26"/>
              </w:rPr>
              <w:t>euro</w:t>
            </w:r>
            <w:r w:rsidRPr="00A207A8" w:rsidR="00B025B5">
              <w:rPr>
                <w:sz w:val="26"/>
                <w:szCs w:val="26"/>
              </w:rPr>
              <w:t xml:space="preserve"> (saist</w:t>
            </w:r>
            <w:r w:rsidRPr="00B025B5" w:rsidR="00B025B5">
              <w:rPr>
                <w:sz w:val="26"/>
                <w:szCs w:val="26"/>
              </w:rPr>
              <w:t>ību daļa)</w:t>
            </w:r>
            <w:r w:rsidRPr="00B025B5" w:rsidR="007C7CD8">
              <w:rPr>
                <w:sz w:val="26"/>
                <w:szCs w:val="26"/>
              </w:rPr>
              <w:t>;</w:t>
            </w:r>
          </w:p>
          <w:p w:rsidR="007C7CD8" w:rsidRPr="00B025B5" w:rsidP="00246617" w14:paraId="0809F95D" w14:textId="69454228">
            <w:pPr>
              <w:pStyle w:val="Default"/>
              <w:numPr>
                <w:ilvl w:val="0"/>
                <w:numId w:val="33"/>
              </w:numPr>
              <w:spacing w:after="120"/>
              <w:jc w:val="both"/>
              <w:rPr>
                <w:sz w:val="26"/>
                <w:szCs w:val="26"/>
              </w:rPr>
            </w:pPr>
            <w:r w:rsidRPr="00B025B5">
              <w:rPr>
                <w:sz w:val="26"/>
                <w:szCs w:val="26"/>
              </w:rPr>
              <w:t>darbības programmas “Uzņēmējdarbība un inovācijas” papildinājuma 2.2.1.4.1. apakšaktivitāt</w:t>
            </w:r>
            <w:r w:rsidRPr="00246617">
              <w:rPr>
                <w:sz w:val="26"/>
                <w:szCs w:val="26"/>
              </w:rPr>
              <w:t>ē</w:t>
            </w:r>
            <w:r w:rsidRPr="00B025B5">
              <w:rPr>
                <w:sz w:val="26"/>
                <w:szCs w:val="26"/>
              </w:rPr>
              <w:t xml:space="preserve"> “Atbalsts aizdevumu veidā komersantu konkurētspējas uzlabošanai” </w:t>
            </w:r>
            <w:r w:rsidRPr="00246617">
              <w:rPr>
                <w:sz w:val="26"/>
                <w:szCs w:val="26"/>
              </w:rPr>
              <w:t>gūto atmaksu publiskā finansējuma daļa</w:t>
            </w:r>
            <w:r w:rsidRPr="00B025B5">
              <w:rPr>
                <w:sz w:val="26"/>
                <w:szCs w:val="26"/>
              </w:rPr>
              <w:t xml:space="preserve"> 2</w:t>
            </w:r>
            <w:r w:rsidRPr="00A207A8">
              <w:rPr>
                <w:sz w:val="26"/>
                <w:szCs w:val="26"/>
              </w:rPr>
              <w:t xml:space="preserve"> 000 000 </w:t>
            </w:r>
            <w:r w:rsidRPr="00246617">
              <w:rPr>
                <w:i/>
                <w:sz w:val="26"/>
                <w:szCs w:val="26"/>
              </w:rPr>
              <w:t>euro</w:t>
            </w:r>
            <w:r w:rsidRPr="00A207A8">
              <w:rPr>
                <w:sz w:val="26"/>
                <w:szCs w:val="26"/>
              </w:rPr>
              <w:t xml:space="preserve"> (saistību daļa)</w:t>
            </w:r>
            <w:r w:rsidRPr="00246617">
              <w:rPr>
                <w:sz w:val="26"/>
                <w:szCs w:val="26"/>
              </w:rPr>
              <w:t>.</w:t>
            </w:r>
          </w:p>
          <w:p w:rsidR="00560A2D" w:rsidP="00A87984" w14:paraId="4C1882CA" w14:textId="47A07D9B">
            <w:pPr>
              <w:pStyle w:val="Default"/>
              <w:spacing w:after="120"/>
              <w:jc w:val="both"/>
              <w:rPr>
                <w:sz w:val="26"/>
                <w:szCs w:val="26"/>
              </w:rPr>
            </w:pPr>
            <w:r>
              <w:rPr>
                <w:sz w:val="26"/>
                <w:szCs w:val="26"/>
              </w:rPr>
              <w:t>Saskaņā ar</w:t>
            </w:r>
            <w:r w:rsidRPr="00560A2D">
              <w:rPr>
                <w:sz w:val="26"/>
                <w:szCs w:val="26"/>
              </w:rPr>
              <w:t xml:space="preserve"> Sadarbības partneru darba grupas (KDG) Par Eiropas Savienības struktūrfondu un Kohēzijas fonda jautājumiem 2017.gada 19.jūlija protokollēmuma Nr.9 jautājuma Nr.6 2.punkt</w:t>
            </w:r>
            <w:r>
              <w:rPr>
                <w:sz w:val="26"/>
                <w:szCs w:val="26"/>
              </w:rPr>
              <w:t>u</w:t>
            </w:r>
            <w:r w:rsidRPr="00560A2D">
              <w:rPr>
                <w:sz w:val="26"/>
                <w:szCs w:val="26"/>
              </w:rPr>
              <w:t>, 2017. gada 24.oktobra protokollēmuma Nr.10 7.2.</w:t>
            </w:r>
            <w:r w:rsidR="00062019">
              <w:rPr>
                <w:sz w:val="26"/>
                <w:szCs w:val="26"/>
              </w:rPr>
              <w:t xml:space="preserve"> </w:t>
            </w:r>
            <w:r w:rsidRPr="00560A2D">
              <w:rPr>
                <w:sz w:val="26"/>
                <w:szCs w:val="26"/>
              </w:rPr>
              <w:t>jautājum</w:t>
            </w:r>
            <w:r>
              <w:rPr>
                <w:sz w:val="26"/>
                <w:szCs w:val="26"/>
              </w:rPr>
              <w:t>u</w:t>
            </w:r>
            <w:r w:rsidRPr="00560A2D">
              <w:rPr>
                <w:sz w:val="26"/>
                <w:szCs w:val="26"/>
              </w:rPr>
              <w:t xml:space="preserve"> un 2018.gada 1.februāra </w:t>
            </w:r>
            <w:r w:rsidR="00F51F0D">
              <w:rPr>
                <w:sz w:val="26"/>
                <w:szCs w:val="26"/>
              </w:rPr>
              <w:t>KDG s</w:t>
            </w:r>
            <w:r w:rsidR="007967C2">
              <w:rPr>
                <w:sz w:val="26"/>
                <w:szCs w:val="26"/>
              </w:rPr>
              <w:t>anāksmē lemto</w:t>
            </w:r>
            <w:r>
              <w:rPr>
                <w:sz w:val="26"/>
                <w:szCs w:val="26"/>
              </w:rPr>
              <w:t xml:space="preserve">, </w:t>
            </w:r>
            <w:r w:rsidR="007967C2">
              <w:rPr>
                <w:sz w:val="26"/>
                <w:szCs w:val="26"/>
              </w:rPr>
              <w:t xml:space="preserve">ERAF finansējumu, </w:t>
            </w:r>
            <w:r>
              <w:rPr>
                <w:sz w:val="26"/>
                <w:szCs w:val="26"/>
              </w:rPr>
              <w:t>kas šo noteikumu ietvaros finanšu instrumentos tiek samazināts</w:t>
            </w:r>
            <w:r>
              <w:t xml:space="preserve"> </w:t>
            </w:r>
            <w:r w:rsidRPr="00560A2D">
              <w:rPr>
                <w:sz w:val="26"/>
                <w:szCs w:val="26"/>
              </w:rPr>
              <w:t xml:space="preserve">par 25 416 515 </w:t>
            </w:r>
            <w:r w:rsidRPr="007967C2">
              <w:rPr>
                <w:i/>
                <w:sz w:val="26"/>
                <w:szCs w:val="26"/>
              </w:rPr>
              <w:t>euro</w:t>
            </w:r>
            <w:r>
              <w:rPr>
                <w:sz w:val="26"/>
                <w:szCs w:val="26"/>
              </w:rPr>
              <w:t xml:space="preserve">, plānots pārdalīt </w:t>
            </w:r>
            <w:r w:rsidRPr="00560A2D">
              <w:rPr>
                <w:sz w:val="26"/>
                <w:szCs w:val="26"/>
              </w:rPr>
              <w:t xml:space="preserve"> 3.1.1.5.pasākuma “Atbalsts ieguldījumiem ražošanas telpu un infrastruktūras izveidei vai rekonstrukcijai” otrās kārtas īstenošanai.</w:t>
            </w:r>
            <w:r w:rsidR="00F81FCE">
              <w:rPr>
                <w:sz w:val="26"/>
                <w:szCs w:val="26"/>
              </w:rPr>
              <w:t xml:space="preserve"> </w:t>
            </w:r>
          </w:p>
          <w:p w:rsidR="00303775" w:rsidP="00A87984" w14:paraId="05131FAE" w14:textId="40808081">
            <w:pPr>
              <w:pStyle w:val="Default"/>
              <w:spacing w:after="120"/>
              <w:jc w:val="both"/>
              <w:rPr>
                <w:sz w:val="26"/>
                <w:szCs w:val="26"/>
              </w:rPr>
            </w:pPr>
            <w:r w:rsidRPr="00303775">
              <w:rPr>
                <w:sz w:val="26"/>
                <w:szCs w:val="26"/>
              </w:rPr>
              <w:t xml:space="preserve">Veicot ERAF finansējuma samazinājumu 25 416 515 </w:t>
            </w:r>
            <w:r w:rsidRPr="00303775">
              <w:rPr>
                <w:i/>
                <w:sz w:val="26"/>
                <w:szCs w:val="26"/>
              </w:rPr>
              <w:t>euro</w:t>
            </w:r>
            <w:r w:rsidRPr="00303775">
              <w:rPr>
                <w:sz w:val="26"/>
                <w:szCs w:val="26"/>
              </w:rPr>
              <w:t xml:space="preserve"> apmērā, tiek </w:t>
            </w:r>
            <w:r w:rsidRPr="00303775">
              <w:rPr>
                <w:sz w:val="26"/>
                <w:szCs w:val="26"/>
              </w:rPr>
              <w:t xml:space="preserve">ņemts vērā atbilstoši darbības programmai “Izaugsme un nodarbinātība” un tirgus nepilnību izvērtējumam finanšu instrumentiem </w:t>
            </w:r>
            <w:r>
              <w:rPr>
                <w:sz w:val="26"/>
                <w:szCs w:val="26"/>
              </w:rPr>
              <w:t xml:space="preserve">līdzšinēji </w:t>
            </w:r>
            <w:r w:rsidR="00EA5017">
              <w:rPr>
                <w:sz w:val="26"/>
                <w:szCs w:val="26"/>
              </w:rPr>
              <w:t>pieejamais</w:t>
            </w:r>
            <w:r w:rsidRPr="00303775">
              <w:rPr>
                <w:sz w:val="26"/>
                <w:szCs w:val="26"/>
              </w:rPr>
              <w:t xml:space="preserve"> ERAF finansējuma apmērs 126 416 515 </w:t>
            </w:r>
            <w:r w:rsidRPr="00303775">
              <w:rPr>
                <w:i/>
                <w:sz w:val="26"/>
                <w:szCs w:val="26"/>
              </w:rPr>
              <w:t>euro</w:t>
            </w:r>
            <w:r w:rsidR="00845E72">
              <w:rPr>
                <w:i/>
                <w:sz w:val="26"/>
                <w:szCs w:val="26"/>
              </w:rPr>
              <w:t>.</w:t>
            </w:r>
            <w:r w:rsidR="00260BCD">
              <w:rPr>
                <w:sz w:val="26"/>
                <w:szCs w:val="26"/>
              </w:rPr>
              <w:t xml:space="preserve"> </w:t>
            </w:r>
            <w:r w:rsidRPr="00303775" w:rsidR="00FB325C">
              <w:rPr>
                <w:sz w:val="26"/>
                <w:szCs w:val="26"/>
              </w:rPr>
              <w:t xml:space="preserve">Vienlaikus </w:t>
            </w:r>
            <w:r w:rsidRPr="00303775">
              <w:rPr>
                <w:sz w:val="26"/>
                <w:szCs w:val="26"/>
              </w:rPr>
              <w:t>paredzēt</w:t>
            </w:r>
            <w:r w:rsidRPr="00303775" w:rsidR="00FB325C">
              <w:rPr>
                <w:sz w:val="26"/>
                <w:szCs w:val="26"/>
              </w:rPr>
              <w:t>ai</w:t>
            </w:r>
            <w:r w:rsidRPr="00303775">
              <w:rPr>
                <w:sz w:val="26"/>
                <w:szCs w:val="26"/>
              </w:rPr>
              <w:t>s rezerves apjoms 6 % apmērā</w:t>
            </w:r>
            <w:r w:rsidR="00D55E6F">
              <w:rPr>
                <w:sz w:val="26"/>
                <w:szCs w:val="26"/>
              </w:rPr>
              <w:t xml:space="preserve"> no sākotnēji pieejamā finansējuma apmēra</w:t>
            </w:r>
            <w:r w:rsidRPr="00303775">
              <w:rPr>
                <w:sz w:val="26"/>
                <w:szCs w:val="26"/>
              </w:rPr>
              <w:t xml:space="preserve"> tiek precizēts</w:t>
            </w:r>
            <w:r w:rsidRPr="00303775" w:rsidR="00FB325C">
              <w:rPr>
                <w:sz w:val="26"/>
                <w:szCs w:val="26"/>
              </w:rPr>
              <w:t xml:space="preserve">, to nosakot </w:t>
            </w:r>
            <w:r w:rsidR="007152C2">
              <w:rPr>
                <w:sz w:val="26"/>
                <w:szCs w:val="26"/>
              </w:rPr>
              <w:t xml:space="preserve">7 710 806 </w:t>
            </w:r>
            <w:r w:rsidRPr="007152C2" w:rsidR="007152C2">
              <w:rPr>
                <w:i/>
                <w:sz w:val="26"/>
                <w:szCs w:val="26"/>
              </w:rPr>
              <w:t>euro</w:t>
            </w:r>
            <w:r w:rsidRPr="007152C2">
              <w:rPr>
                <w:i/>
                <w:sz w:val="26"/>
                <w:szCs w:val="26"/>
              </w:rPr>
              <w:t>,</w:t>
            </w:r>
            <w:r>
              <w:rPr>
                <w:sz w:val="26"/>
                <w:szCs w:val="26"/>
              </w:rPr>
              <w:t xml:space="preserve"> kas </w:t>
            </w:r>
            <w:r w:rsidRPr="00303775">
              <w:rPr>
                <w:sz w:val="26"/>
                <w:szCs w:val="26"/>
              </w:rPr>
              <w:t>3.</w:t>
            </w:r>
            <w:r>
              <w:rPr>
                <w:sz w:val="26"/>
                <w:szCs w:val="26"/>
              </w:rPr>
              <w:t>1.1. specifiskā atbalsta mērķa “</w:t>
            </w:r>
            <w:r w:rsidRPr="00303775">
              <w:rPr>
                <w:sz w:val="26"/>
                <w:szCs w:val="26"/>
              </w:rPr>
              <w:t>Sekmēt MVK izveidi un attīstību, īpaši apstrādes rūpniecīb</w:t>
            </w:r>
            <w:r>
              <w:rPr>
                <w:sz w:val="26"/>
                <w:szCs w:val="26"/>
              </w:rPr>
              <w:t xml:space="preserve">ā un RIS3 prioritārajās nozarēs” un </w:t>
            </w:r>
            <w:r w:rsidRPr="00303775">
              <w:rPr>
                <w:sz w:val="26"/>
                <w:szCs w:val="26"/>
              </w:rPr>
              <w:t xml:space="preserve"> 3.</w:t>
            </w:r>
            <w:r>
              <w:rPr>
                <w:sz w:val="26"/>
                <w:szCs w:val="26"/>
              </w:rPr>
              <w:t>1.2. specifiskā atbalsta mērķa “</w:t>
            </w:r>
            <w:r w:rsidRPr="00303775">
              <w:rPr>
                <w:sz w:val="26"/>
                <w:szCs w:val="26"/>
              </w:rPr>
              <w:t>Palielināt strau</w:t>
            </w:r>
            <w:r>
              <w:rPr>
                <w:sz w:val="26"/>
                <w:szCs w:val="26"/>
              </w:rPr>
              <w:t xml:space="preserve">jas izaugsmes komersantu skaitu” </w:t>
            </w:r>
            <w:r w:rsidR="00EA5017">
              <w:rPr>
                <w:sz w:val="26"/>
                <w:szCs w:val="26"/>
              </w:rPr>
              <w:t>ietvaros</w:t>
            </w:r>
            <w:r w:rsidRPr="00303775">
              <w:rPr>
                <w:sz w:val="26"/>
                <w:szCs w:val="26"/>
              </w:rPr>
              <w:t xml:space="preserve"> </w:t>
            </w:r>
            <w:r>
              <w:rPr>
                <w:sz w:val="26"/>
                <w:szCs w:val="26"/>
              </w:rPr>
              <w:t xml:space="preserve">sadalās šādi: </w:t>
            </w:r>
          </w:p>
          <w:p w:rsidR="00303775" w:rsidRPr="007C59C9" w:rsidP="00303775" w14:paraId="38B4FE72" w14:textId="549EB8B3">
            <w:pPr>
              <w:pStyle w:val="Default"/>
              <w:numPr>
                <w:ilvl w:val="0"/>
                <w:numId w:val="32"/>
              </w:numPr>
              <w:spacing w:after="120"/>
              <w:jc w:val="both"/>
              <w:rPr>
                <w:sz w:val="26"/>
                <w:szCs w:val="26"/>
              </w:rPr>
            </w:pPr>
            <w:r w:rsidRPr="0099490B">
              <w:rPr>
                <w:sz w:val="26"/>
                <w:szCs w:val="26"/>
              </w:rPr>
              <w:t>3.1.1.1.pasākumā</w:t>
            </w:r>
            <w:r w:rsidRPr="007C59C9">
              <w:rPr>
                <w:sz w:val="26"/>
                <w:szCs w:val="26"/>
              </w:rPr>
              <w:t xml:space="preserve"> “Aizdevumu garantijas” </w:t>
            </w:r>
            <w:r w:rsidRPr="007C59C9" w:rsidR="00D03531">
              <w:rPr>
                <w:sz w:val="26"/>
                <w:szCs w:val="26"/>
              </w:rPr>
              <w:t>6 </w:t>
            </w:r>
            <w:r w:rsidRPr="00560A2D" w:rsidR="0099490B">
              <w:rPr>
                <w:sz w:val="26"/>
                <w:szCs w:val="26"/>
              </w:rPr>
              <w:t> 510 677</w:t>
            </w:r>
            <w:r w:rsidRPr="0099490B" w:rsidR="0099490B">
              <w:rPr>
                <w:sz w:val="26"/>
                <w:szCs w:val="26"/>
              </w:rPr>
              <w:t xml:space="preserve"> </w:t>
            </w:r>
            <w:r w:rsidRPr="007C59C9">
              <w:rPr>
                <w:sz w:val="26"/>
                <w:szCs w:val="26"/>
              </w:rPr>
              <w:t xml:space="preserve"> </w:t>
            </w:r>
            <w:r w:rsidRPr="007C59C9">
              <w:rPr>
                <w:i/>
                <w:sz w:val="26"/>
                <w:szCs w:val="26"/>
              </w:rPr>
              <w:t>euro</w:t>
            </w:r>
            <w:r w:rsidRPr="007C59C9">
              <w:rPr>
                <w:sz w:val="26"/>
                <w:szCs w:val="26"/>
              </w:rPr>
              <w:t>;</w:t>
            </w:r>
          </w:p>
          <w:p w:rsidR="00753AB0" w:rsidRPr="007C59C9" w:rsidP="00A87984" w14:paraId="4AA9C8FB" w14:textId="44259858">
            <w:pPr>
              <w:pStyle w:val="Default"/>
              <w:numPr>
                <w:ilvl w:val="0"/>
                <w:numId w:val="32"/>
              </w:numPr>
              <w:spacing w:after="120"/>
              <w:jc w:val="both"/>
              <w:rPr>
                <w:sz w:val="26"/>
                <w:szCs w:val="26"/>
              </w:rPr>
            </w:pPr>
            <w:r w:rsidRPr="007C59C9">
              <w:rPr>
                <w:sz w:val="26"/>
                <w:szCs w:val="26"/>
              </w:rPr>
              <w:t xml:space="preserve">3.1.1.2. pasākumā “Mezanīna aizdevumi” </w:t>
            </w:r>
            <w:r w:rsidRPr="007C59C9" w:rsidR="00D03531">
              <w:rPr>
                <w:sz w:val="26"/>
                <w:szCs w:val="26"/>
              </w:rPr>
              <w:t>1 </w:t>
            </w:r>
            <w:r w:rsidRPr="00560A2D" w:rsidR="0099490B">
              <w:rPr>
                <w:sz w:val="26"/>
                <w:szCs w:val="26"/>
              </w:rPr>
              <w:t>200 129</w:t>
            </w:r>
            <w:r w:rsidRPr="0099490B">
              <w:rPr>
                <w:sz w:val="26"/>
                <w:szCs w:val="26"/>
              </w:rPr>
              <w:t xml:space="preserve"> </w:t>
            </w:r>
            <w:r w:rsidRPr="007C59C9">
              <w:rPr>
                <w:i/>
                <w:sz w:val="26"/>
                <w:szCs w:val="26"/>
              </w:rPr>
              <w:t>euro</w:t>
            </w:r>
            <w:r w:rsidRPr="007C59C9">
              <w:rPr>
                <w:sz w:val="26"/>
                <w:szCs w:val="26"/>
              </w:rPr>
              <w:t>’</w:t>
            </w:r>
            <w:r w:rsidR="00417528">
              <w:rPr>
                <w:sz w:val="26"/>
                <w:szCs w:val="26"/>
              </w:rPr>
              <w:t>.</w:t>
            </w:r>
          </w:p>
          <w:p w:rsidR="00410D7A" w:rsidP="00A87984" w14:paraId="554C9C7C" w14:textId="179991E8">
            <w:pPr>
              <w:pStyle w:val="Default"/>
              <w:spacing w:after="120"/>
              <w:jc w:val="both"/>
              <w:rPr>
                <w:sz w:val="26"/>
                <w:szCs w:val="26"/>
              </w:rPr>
            </w:pPr>
            <w:r>
              <w:rPr>
                <w:sz w:val="26"/>
                <w:szCs w:val="26"/>
              </w:rPr>
              <w:t xml:space="preserve">Saskaņā ar tirgus nepilnību izvērtējumu nepietiekama finanšu pieejamība komercbanku aizdevumiem uzņēmumiem joprojām ir problēma, ko nosaka vairāki faktori, tai skaitā, nepietiekams nodrošinājums. Nepietiekama nodrošinājuma problēmas risināšanai 2014.-2020.gada plānošanas periodā </w:t>
            </w:r>
            <w:r w:rsidR="00CC6032">
              <w:rPr>
                <w:sz w:val="26"/>
                <w:szCs w:val="26"/>
              </w:rPr>
              <w:t>akciju sabiedrība “Attīstības finanšu institūcija Altum” (turpmāk – Altum)</w:t>
            </w:r>
            <w:r>
              <w:rPr>
                <w:sz w:val="26"/>
                <w:szCs w:val="26"/>
              </w:rPr>
              <w:t xml:space="preserve"> </w:t>
            </w:r>
            <w:r w:rsidR="004B39D4">
              <w:rPr>
                <w:sz w:val="26"/>
                <w:szCs w:val="26"/>
              </w:rPr>
              <w:t>īsteno aizdevumu garantiju programmu 3.1.1.1. pasākuma “Aizdevumu garantijas” ietvaros</w:t>
            </w:r>
            <w:r w:rsidRPr="004B39D4" w:rsidR="004B39D4">
              <w:rPr>
                <w:sz w:val="26"/>
                <w:szCs w:val="26"/>
              </w:rPr>
              <w:t xml:space="preserve"> </w:t>
            </w:r>
            <w:r w:rsidR="004B39D4">
              <w:rPr>
                <w:sz w:val="26"/>
                <w:szCs w:val="26"/>
              </w:rPr>
              <w:t>saskaņā ar Ministru kabineta 2010.gada 26.oktobra noteikumiem Nr.997 “</w:t>
            </w:r>
            <w:r w:rsidRPr="004B39D4" w:rsidR="004B39D4">
              <w:rPr>
                <w:sz w:val="26"/>
                <w:szCs w:val="26"/>
              </w:rPr>
              <w:t>Noteikumi par garantijām komersantu un atbilstošu lauksaimniecības pakalpojumu kooperatīvo sabiedrību konkurētspējas uzlabošanai</w:t>
            </w:r>
            <w:r w:rsidR="004B39D4">
              <w:rPr>
                <w:sz w:val="26"/>
                <w:szCs w:val="26"/>
              </w:rPr>
              <w:t>” (turpmāk – MK noteikumi Nr.997)</w:t>
            </w:r>
            <w:r w:rsidR="00AC440F">
              <w:rPr>
                <w:sz w:val="26"/>
                <w:szCs w:val="26"/>
              </w:rPr>
              <w:t xml:space="preserve">. </w:t>
            </w:r>
            <w:r w:rsidR="004B39D4">
              <w:rPr>
                <w:sz w:val="26"/>
                <w:szCs w:val="26"/>
              </w:rPr>
              <w:t xml:space="preserve">Saskaņā ar </w:t>
            </w:r>
            <w:r w:rsidR="00866593">
              <w:rPr>
                <w:sz w:val="26"/>
                <w:szCs w:val="26"/>
              </w:rPr>
              <w:t>darbības programm</w:t>
            </w:r>
            <w:r w:rsidR="000941C6">
              <w:rPr>
                <w:sz w:val="26"/>
                <w:szCs w:val="26"/>
              </w:rPr>
              <w:t>u</w:t>
            </w:r>
            <w:r w:rsidR="00866593">
              <w:rPr>
                <w:sz w:val="26"/>
                <w:szCs w:val="26"/>
              </w:rPr>
              <w:t xml:space="preserve"> “Izaugsme un nodarbinātība” 3.1.1.1.pasākuma “Aizdevumu garantijas” īstenošanai </w:t>
            </w:r>
            <w:r w:rsidR="004E3504">
              <w:rPr>
                <w:sz w:val="26"/>
                <w:szCs w:val="26"/>
              </w:rPr>
              <w:t xml:space="preserve">kopumā līdzšinēji ir pieejams ERAF finansējums 22 miljonu </w:t>
            </w:r>
            <w:r w:rsidRPr="000941C6" w:rsidR="004E3504">
              <w:rPr>
                <w:i/>
                <w:sz w:val="26"/>
                <w:szCs w:val="26"/>
              </w:rPr>
              <w:t>euro</w:t>
            </w:r>
            <w:r w:rsidR="004E3504">
              <w:rPr>
                <w:sz w:val="26"/>
                <w:szCs w:val="26"/>
              </w:rPr>
              <w:t xml:space="preserve"> apmērā</w:t>
            </w:r>
            <w:r w:rsidR="000941C6">
              <w:rPr>
                <w:sz w:val="26"/>
                <w:szCs w:val="26"/>
              </w:rPr>
              <w:t xml:space="preserve">. </w:t>
            </w:r>
            <w:r w:rsidR="004E3504">
              <w:rPr>
                <w:sz w:val="26"/>
                <w:szCs w:val="26"/>
              </w:rPr>
              <w:t>Tirgus nepilnību izvērtējums nosaka par nepieciešamu palielināt 3.1.1.</w:t>
            </w:r>
            <w:r w:rsidR="00AC440F">
              <w:rPr>
                <w:sz w:val="26"/>
                <w:szCs w:val="26"/>
              </w:rPr>
              <w:t>1.</w:t>
            </w:r>
            <w:r w:rsidR="004E3504">
              <w:rPr>
                <w:sz w:val="26"/>
                <w:szCs w:val="26"/>
              </w:rPr>
              <w:t xml:space="preserve">pasākumam “Aizdevumu garantijas” pieejamo ERAF finansējuma apmēru par 22 800 000 </w:t>
            </w:r>
            <w:r w:rsidRPr="000941C6" w:rsidR="004E3504">
              <w:rPr>
                <w:i/>
                <w:sz w:val="26"/>
                <w:szCs w:val="26"/>
              </w:rPr>
              <w:t>euro</w:t>
            </w:r>
            <w:r w:rsidR="004E3504">
              <w:rPr>
                <w:sz w:val="26"/>
                <w:szCs w:val="26"/>
              </w:rPr>
              <w:t xml:space="preserve">, tādejādi kopumā minētajam pasākumam paredzot ERAF finansējumu 44 800 000 </w:t>
            </w:r>
            <w:r w:rsidRPr="000941C6" w:rsidR="004E3504">
              <w:rPr>
                <w:i/>
                <w:sz w:val="26"/>
                <w:szCs w:val="26"/>
              </w:rPr>
              <w:t>euro</w:t>
            </w:r>
            <w:r w:rsidR="004E3504">
              <w:rPr>
                <w:sz w:val="26"/>
                <w:szCs w:val="26"/>
              </w:rPr>
              <w:t xml:space="preserve">, ko nosaka vairāki faktori: (1) </w:t>
            </w:r>
            <w:r w:rsidR="00D41A59">
              <w:rPr>
                <w:sz w:val="26"/>
                <w:szCs w:val="26"/>
              </w:rPr>
              <w:t xml:space="preserve">pastāvošs augsts pieprasījums finanšu tirgū pēc aizdevumu garantijām (līdz </w:t>
            </w:r>
            <w:r w:rsidR="0004637B">
              <w:rPr>
                <w:sz w:val="26"/>
                <w:szCs w:val="26"/>
              </w:rPr>
              <w:t>2017.gada 30.</w:t>
            </w:r>
            <w:r w:rsidR="000A5AF7">
              <w:rPr>
                <w:sz w:val="26"/>
                <w:szCs w:val="26"/>
              </w:rPr>
              <w:t>oktobrim</w:t>
            </w:r>
            <w:r w:rsidR="00D41A59">
              <w:rPr>
                <w:sz w:val="26"/>
                <w:szCs w:val="26"/>
              </w:rPr>
              <w:t xml:space="preserve"> noslēgti </w:t>
            </w:r>
            <w:r w:rsidR="000A5AF7">
              <w:rPr>
                <w:sz w:val="26"/>
                <w:szCs w:val="26"/>
              </w:rPr>
              <w:t>220</w:t>
            </w:r>
            <w:r w:rsidR="0004637B">
              <w:rPr>
                <w:sz w:val="26"/>
                <w:szCs w:val="26"/>
              </w:rPr>
              <w:t xml:space="preserve"> </w:t>
            </w:r>
            <w:r w:rsidR="004E3504">
              <w:rPr>
                <w:sz w:val="26"/>
                <w:szCs w:val="26"/>
              </w:rPr>
              <w:t>aizdevumu garantiju</w:t>
            </w:r>
            <w:r w:rsidR="0004637B">
              <w:rPr>
                <w:sz w:val="26"/>
                <w:szCs w:val="26"/>
              </w:rPr>
              <w:t xml:space="preserve"> līgumi par kopējo finansējumu </w:t>
            </w:r>
            <w:r w:rsidR="000A5AF7">
              <w:rPr>
                <w:sz w:val="26"/>
                <w:szCs w:val="26"/>
              </w:rPr>
              <w:t>36,6</w:t>
            </w:r>
            <w:r w:rsidR="0004637B">
              <w:rPr>
                <w:sz w:val="26"/>
                <w:szCs w:val="26"/>
              </w:rPr>
              <w:t xml:space="preserve"> miljoniem </w:t>
            </w:r>
            <w:r w:rsidRPr="00845E72" w:rsidR="0004637B">
              <w:rPr>
                <w:i/>
                <w:sz w:val="26"/>
                <w:szCs w:val="26"/>
              </w:rPr>
              <w:t>euro</w:t>
            </w:r>
            <w:r w:rsidR="0004637B">
              <w:rPr>
                <w:sz w:val="26"/>
                <w:szCs w:val="26"/>
              </w:rPr>
              <w:t>); (2) aizdevumu garantiju būtiskā</w:t>
            </w:r>
            <w:r w:rsidR="004E3504">
              <w:rPr>
                <w:sz w:val="26"/>
                <w:szCs w:val="26"/>
              </w:rPr>
              <w:t xml:space="preserve"> </w:t>
            </w:r>
            <w:r w:rsidR="00D41A59">
              <w:rPr>
                <w:sz w:val="26"/>
                <w:szCs w:val="26"/>
              </w:rPr>
              <w:t>loma komercbanku aizdevumu pieejamības veicināšanai (</w:t>
            </w:r>
            <w:r w:rsidR="0004637B">
              <w:rPr>
                <w:sz w:val="26"/>
                <w:szCs w:val="26"/>
              </w:rPr>
              <w:t>aizdevumu garantiju rezultātā</w:t>
            </w:r>
            <w:r w:rsidR="004E3504">
              <w:rPr>
                <w:sz w:val="26"/>
                <w:szCs w:val="26"/>
              </w:rPr>
              <w:t xml:space="preserve"> </w:t>
            </w:r>
            <w:r w:rsidR="000A5AF7">
              <w:rPr>
                <w:sz w:val="26"/>
                <w:szCs w:val="26"/>
              </w:rPr>
              <w:t>līdz 2017.gada 30.oktobrim</w:t>
            </w:r>
            <w:r w:rsidR="0004637B">
              <w:rPr>
                <w:sz w:val="26"/>
                <w:szCs w:val="26"/>
              </w:rPr>
              <w:t xml:space="preserve"> piesaistīti komercbanku aizdevumi </w:t>
            </w:r>
            <w:r w:rsidR="000A5AF7">
              <w:rPr>
                <w:sz w:val="26"/>
                <w:szCs w:val="26"/>
              </w:rPr>
              <w:t xml:space="preserve">61 miljonu </w:t>
            </w:r>
            <w:r w:rsidRPr="00845E72" w:rsidR="000A5AF7">
              <w:rPr>
                <w:i/>
                <w:sz w:val="26"/>
                <w:szCs w:val="26"/>
              </w:rPr>
              <w:t>euro</w:t>
            </w:r>
            <w:r w:rsidR="0004637B">
              <w:rPr>
                <w:sz w:val="26"/>
                <w:szCs w:val="26"/>
              </w:rPr>
              <w:t xml:space="preserve"> apmērā). </w:t>
            </w:r>
            <w:r w:rsidR="000A5AF7">
              <w:rPr>
                <w:sz w:val="26"/>
                <w:szCs w:val="26"/>
              </w:rPr>
              <w:t xml:space="preserve">Lai veiktu ERAF finansējuma </w:t>
            </w:r>
            <w:r w:rsidR="000A5AF7">
              <w:rPr>
                <w:sz w:val="26"/>
                <w:szCs w:val="26"/>
              </w:rPr>
              <w:t>palielinājumu garantijas programmas īstenošanai, paralēli noteikumu projektam t</w:t>
            </w:r>
            <w:r w:rsidR="003F2A0D">
              <w:rPr>
                <w:sz w:val="26"/>
                <w:szCs w:val="26"/>
              </w:rPr>
              <w:t>iek</w:t>
            </w:r>
            <w:r w:rsidR="000A5AF7">
              <w:rPr>
                <w:sz w:val="26"/>
                <w:szCs w:val="26"/>
              </w:rPr>
              <w:t xml:space="preserve"> veikti attiecīgi grozījumi MK noteikumos Nr.997.</w:t>
            </w:r>
          </w:p>
          <w:p w:rsidR="00D23481" w:rsidP="00A87984" w14:paraId="58FF3F40" w14:textId="17E4EB06">
            <w:pPr>
              <w:pStyle w:val="Default"/>
              <w:spacing w:after="120"/>
              <w:jc w:val="both"/>
              <w:rPr>
                <w:sz w:val="26"/>
                <w:szCs w:val="26"/>
              </w:rPr>
            </w:pPr>
            <w:r>
              <w:rPr>
                <w:sz w:val="26"/>
                <w:szCs w:val="26"/>
              </w:rPr>
              <w:t>Saskaņā ar Finanšu un kapitāla tirgus komisijas datiem uz 2017.gada 30.jūniju rezidentu u</w:t>
            </w:r>
            <w:r w:rsidR="0004637B">
              <w:rPr>
                <w:sz w:val="26"/>
                <w:szCs w:val="26"/>
              </w:rPr>
              <w:t xml:space="preserve">zņēmumu kreditēšana </w:t>
            </w:r>
            <w:r w:rsidR="002C493C">
              <w:rPr>
                <w:sz w:val="26"/>
                <w:szCs w:val="26"/>
              </w:rPr>
              <w:t>veido</w:t>
            </w:r>
            <w:r w:rsidR="0004637B">
              <w:rPr>
                <w:sz w:val="26"/>
                <w:szCs w:val="26"/>
              </w:rPr>
              <w:t xml:space="preserve"> būtisku daļu no kopējā komercbanku aizdevumu portfeļa </w:t>
            </w:r>
            <w:r>
              <w:rPr>
                <w:sz w:val="26"/>
                <w:szCs w:val="26"/>
              </w:rPr>
              <w:t>(</w:t>
            </w:r>
            <w:r w:rsidRPr="00AF187D">
              <w:rPr>
                <w:sz w:val="26"/>
                <w:szCs w:val="26"/>
              </w:rPr>
              <w:t>6 364</w:t>
            </w:r>
            <w:r>
              <w:rPr>
                <w:sz w:val="26"/>
                <w:szCs w:val="26"/>
              </w:rPr>
              <w:t> </w:t>
            </w:r>
            <w:r w:rsidRPr="00AF187D">
              <w:rPr>
                <w:sz w:val="26"/>
                <w:szCs w:val="26"/>
              </w:rPr>
              <w:t>678</w:t>
            </w:r>
            <w:r>
              <w:rPr>
                <w:sz w:val="26"/>
                <w:szCs w:val="26"/>
              </w:rPr>
              <w:t xml:space="preserve"> tūkstošus </w:t>
            </w:r>
            <w:r w:rsidRPr="000941C6">
              <w:rPr>
                <w:i/>
                <w:sz w:val="26"/>
                <w:szCs w:val="26"/>
              </w:rPr>
              <w:t>euro</w:t>
            </w:r>
            <w:r>
              <w:rPr>
                <w:sz w:val="26"/>
                <w:szCs w:val="26"/>
              </w:rPr>
              <w:t xml:space="preserve"> jeb 42,5 % no kopējā komercbanku aizdevumu portfeļa </w:t>
            </w:r>
            <w:r w:rsidRPr="00AF187D">
              <w:rPr>
                <w:sz w:val="26"/>
                <w:szCs w:val="26"/>
              </w:rPr>
              <w:t>14 972</w:t>
            </w:r>
            <w:r w:rsidR="00260BCD">
              <w:rPr>
                <w:sz w:val="26"/>
                <w:szCs w:val="26"/>
              </w:rPr>
              <w:t> </w:t>
            </w:r>
            <w:r w:rsidRPr="00AF187D">
              <w:rPr>
                <w:sz w:val="26"/>
                <w:szCs w:val="26"/>
              </w:rPr>
              <w:t>599</w:t>
            </w:r>
            <w:r w:rsidR="00260BCD">
              <w:rPr>
                <w:sz w:val="26"/>
                <w:szCs w:val="26"/>
              </w:rPr>
              <w:t xml:space="preserve"> tūkstoši</w:t>
            </w:r>
            <w:r>
              <w:rPr>
                <w:sz w:val="26"/>
                <w:szCs w:val="26"/>
              </w:rPr>
              <w:t xml:space="preserve"> </w:t>
            </w:r>
            <w:r w:rsidRPr="000941C6">
              <w:rPr>
                <w:i/>
                <w:sz w:val="26"/>
                <w:szCs w:val="26"/>
              </w:rPr>
              <w:t>euro</w:t>
            </w:r>
            <w:r w:rsidR="000F5686">
              <w:rPr>
                <w:sz w:val="26"/>
                <w:szCs w:val="26"/>
              </w:rPr>
              <w:t xml:space="preserve"> apmērā</w:t>
            </w:r>
            <w:r>
              <w:rPr>
                <w:sz w:val="26"/>
                <w:szCs w:val="26"/>
              </w:rPr>
              <w:t xml:space="preserve">). Uzņēmumu kreditēšana laika posmā no 2016.gada 30.jūnija līdz 2017.gada 30.jūnijam </w:t>
            </w:r>
            <w:r w:rsidR="000F5686">
              <w:rPr>
                <w:sz w:val="26"/>
                <w:szCs w:val="26"/>
              </w:rPr>
              <w:t xml:space="preserve">kopumā </w:t>
            </w:r>
            <w:r>
              <w:rPr>
                <w:sz w:val="26"/>
                <w:szCs w:val="26"/>
              </w:rPr>
              <w:t xml:space="preserve">ir palielinājusies par </w:t>
            </w:r>
            <w:r w:rsidRPr="00AF187D">
              <w:rPr>
                <w:sz w:val="26"/>
                <w:szCs w:val="26"/>
              </w:rPr>
              <w:t>53</w:t>
            </w:r>
            <w:r>
              <w:rPr>
                <w:sz w:val="26"/>
                <w:szCs w:val="26"/>
              </w:rPr>
              <w:t> </w:t>
            </w:r>
            <w:r w:rsidRPr="00AF187D">
              <w:rPr>
                <w:sz w:val="26"/>
                <w:szCs w:val="26"/>
              </w:rPr>
              <w:t>561</w:t>
            </w:r>
            <w:r>
              <w:rPr>
                <w:sz w:val="26"/>
                <w:szCs w:val="26"/>
              </w:rPr>
              <w:t xml:space="preserve"> tūkstošiem </w:t>
            </w:r>
            <w:r w:rsidRPr="000941C6">
              <w:rPr>
                <w:i/>
                <w:sz w:val="26"/>
                <w:szCs w:val="26"/>
              </w:rPr>
              <w:t>euro</w:t>
            </w:r>
            <w:r>
              <w:rPr>
                <w:sz w:val="26"/>
                <w:szCs w:val="26"/>
              </w:rPr>
              <w:t xml:space="preserve"> jeb 0,8 %. Būtisks komercbanku aizdevumu apjoma pieaugums vērojams mikro kreditēšanas segmentā. Komercbanku aizdevumu apmērs rezidenta mikro uzņēmumiem laikā no 2016.gada 30.jūnija līdz 2017.gada 30.jūnijam pieaudzis par </w:t>
            </w:r>
            <w:r w:rsidRPr="00AF187D">
              <w:rPr>
                <w:sz w:val="26"/>
                <w:szCs w:val="26"/>
              </w:rPr>
              <w:t>387</w:t>
            </w:r>
            <w:r>
              <w:rPr>
                <w:sz w:val="26"/>
                <w:szCs w:val="26"/>
              </w:rPr>
              <w:t> </w:t>
            </w:r>
            <w:r w:rsidRPr="00AF187D">
              <w:rPr>
                <w:sz w:val="26"/>
                <w:szCs w:val="26"/>
              </w:rPr>
              <w:t>791</w:t>
            </w:r>
            <w:r>
              <w:rPr>
                <w:sz w:val="26"/>
                <w:szCs w:val="26"/>
              </w:rPr>
              <w:t xml:space="preserve"> tūkstošiem </w:t>
            </w:r>
            <w:r w:rsidRPr="000941C6">
              <w:rPr>
                <w:i/>
                <w:sz w:val="26"/>
                <w:szCs w:val="26"/>
              </w:rPr>
              <w:t>euro</w:t>
            </w:r>
            <w:r>
              <w:rPr>
                <w:sz w:val="26"/>
                <w:szCs w:val="26"/>
              </w:rPr>
              <w:t xml:space="preserve"> jeb 26 %. </w:t>
            </w:r>
            <w:r w:rsidR="000A5AF7">
              <w:rPr>
                <w:sz w:val="26"/>
                <w:szCs w:val="26"/>
              </w:rPr>
              <w:t xml:space="preserve">Savukārt maza apjoma kredīti (klienta līgumā noteiktais klienta saistību apjoms ir robežās no 2 tūkstošiem </w:t>
            </w:r>
            <w:r w:rsidRPr="000941C6" w:rsidR="000A5AF7">
              <w:rPr>
                <w:i/>
                <w:sz w:val="26"/>
                <w:szCs w:val="26"/>
              </w:rPr>
              <w:t>euro</w:t>
            </w:r>
            <w:r w:rsidR="000A5AF7">
              <w:rPr>
                <w:sz w:val="26"/>
                <w:szCs w:val="26"/>
              </w:rPr>
              <w:t xml:space="preserve"> līdz 200 tūkstošiem </w:t>
            </w:r>
            <w:r w:rsidRPr="000941C6" w:rsidR="000A5AF7">
              <w:rPr>
                <w:i/>
                <w:sz w:val="26"/>
                <w:szCs w:val="26"/>
              </w:rPr>
              <w:t>euro</w:t>
            </w:r>
            <w:r w:rsidR="000A5AF7">
              <w:rPr>
                <w:sz w:val="26"/>
                <w:szCs w:val="26"/>
              </w:rPr>
              <w:t>) 2016.gadā sal</w:t>
            </w:r>
            <w:r w:rsidR="007A5611">
              <w:rPr>
                <w:sz w:val="26"/>
                <w:szCs w:val="26"/>
              </w:rPr>
              <w:t>īdzinoši ar 2015.gadu ir pieauguši</w:t>
            </w:r>
            <w:r w:rsidR="000A5AF7">
              <w:rPr>
                <w:sz w:val="26"/>
                <w:szCs w:val="26"/>
              </w:rPr>
              <w:t xml:space="preserve"> par 67 %. Tāpat jānorāda, ka saskaņā ar tirgus nepilnību izvērtējumu </w:t>
            </w:r>
            <w:r w:rsidR="000F5686">
              <w:rPr>
                <w:sz w:val="26"/>
                <w:szCs w:val="26"/>
              </w:rPr>
              <w:t xml:space="preserve">komercbanku </w:t>
            </w:r>
            <w:r w:rsidR="00992308">
              <w:rPr>
                <w:sz w:val="26"/>
                <w:szCs w:val="26"/>
              </w:rPr>
              <w:t xml:space="preserve">kreditēšanas apjomi un komercbanku aktivitātes mazu aizdevumu kreditēšanā pieaugs arī turpmāk. </w:t>
            </w:r>
            <w:r w:rsidR="000F5686">
              <w:rPr>
                <w:sz w:val="26"/>
                <w:szCs w:val="26"/>
              </w:rPr>
              <w:t>Maza</w:t>
            </w:r>
            <w:r w:rsidR="00992308">
              <w:rPr>
                <w:sz w:val="26"/>
                <w:szCs w:val="26"/>
              </w:rPr>
              <w:t xml:space="preserve"> apjoma komercbanku aizdevumus papildinošs instruments finanšu tirgū ir Altum mikro aizdevumi un aizdevumi uzņēmējdarbības uzsācējiem</w:t>
            </w:r>
            <w:r w:rsidR="000F5686">
              <w:rPr>
                <w:sz w:val="26"/>
                <w:szCs w:val="26"/>
              </w:rPr>
              <w:t>, kas</w:t>
            </w:r>
            <w:r w:rsidR="00474F10">
              <w:rPr>
                <w:sz w:val="26"/>
                <w:szCs w:val="26"/>
              </w:rPr>
              <w:t xml:space="preserve"> saimnieciskās darbības veicējiem</w:t>
            </w:r>
            <w:r w:rsidR="000F5686">
              <w:rPr>
                <w:sz w:val="26"/>
                <w:szCs w:val="26"/>
              </w:rPr>
              <w:t xml:space="preserve"> tiek sniegti saskaņā ar Ministru kabineta 2016.gada 31.maija noteikumiem Nr.328 “</w:t>
            </w:r>
            <w:r w:rsidRPr="000F5686" w:rsidR="000F5686">
              <w:rPr>
                <w:sz w:val="26"/>
                <w:szCs w:val="26"/>
              </w:rPr>
              <w:t>Noteikumi par mikroaizdevumiem un starta aizdevumiem</w:t>
            </w:r>
            <w:r w:rsidR="00474F10">
              <w:rPr>
                <w:sz w:val="26"/>
                <w:szCs w:val="26"/>
              </w:rPr>
              <w:t>”</w:t>
            </w:r>
            <w:r w:rsidR="00436B87">
              <w:rPr>
                <w:sz w:val="26"/>
                <w:szCs w:val="26"/>
              </w:rPr>
              <w:t xml:space="preserve"> (turpmāk – MK noteikumi Nr.328)</w:t>
            </w:r>
            <w:r w:rsidR="00992308">
              <w:rPr>
                <w:sz w:val="26"/>
                <w:szCs w:val="26"/>
              </w:rPr>
              <w:t xml:space="preserve">. Altum mikro aizdevumu </w:t>
            </w:r>
            <w:r w:rsidR="00474F10">
              <w:rPr>
                <w:sz w:val="26"/>
                <w:szCs w:val="26"/>
              </w:rPr>
              <w:t xml:space="preserve">saņemšanas </w:t>
            </w:r>
            <w:r w:rsidR="00992308">
              <w:rPr>
                <w:sz w:val="26"/>
                <w:szCs w:val="26"/>
              </w:rPr>
              <w:t>nosacījumi atšķiras no komercbanku mikro aizdevumu saņemšanas nosacījumiem</w:t>
            </w:r>
            <w:r w:rsidR="00474F10">
              <w:rPr>
                <w:sz w:val="26"/>
                <w:szCs w:val="26"/>
              </w:rPr>
              <w:t xml:space="preserve">, jo tiem ir </w:t>
            </w:r>
            <w:r w:rsidR="00992308">
              <w:rPr>
                <w:sz w:val="26"/>
                <w:szCs w:val="26"/>
              </w:rPr>
              <w:t>atšķirīgas maksimālās aizdevumu summas, aizņēmēja līdzfinans</w:t>
            </w:r>
            <w:r w:rsidR="00474F10">
              <w:rPr>
                <w:sz w:val="26"/>
                <w:szCs w:val="26"/>
              </w:rPr>
              <w:t>ējuma apmērs</w:t>
            </w:r>
            <w:r w:rsidR="00992308">
              <w:rPr>
                <w:sz w:val="26"/>
                <w:szCs w:val="26"/>
              </w:rPr>
              <w:t>, procentu likme, aizdevuma termiņš, nodrošin</w:t>
            </w:r>
            <w:r w:rsidR="00474F10">
              <w:rPr>
                <w:sz w:val="26"/>
                <w:szCs w:val="26"/>
              </w:rPr>
              <w:t>ājums, komisijas maksas u.c. nosacījumi,</w:t>
            </w:r>
            <w:r w:rsidR="00992308">
              <w:rPr>
                <w:sz w:val="26"/>
                <w:szCs w:val="26"/>
              </w:rPr>
              <w:t xml:space="preserve"> attiecīgi </w:t>
            </w:r>
            <w:r w:rsidR="00474F10">
              <w:rPr>
                <w:sz w:val="26"/>
                <w:szCs w:val="26"/>
              </w:rPr>
              <w:t xml:space="preserve">šie instrumenti </w:t>
            </w:r>
            <w:r w:rsidR="00992308">
              <w:rPr>
                <w:sz w:val="26"/>
                <w:szCs w:val="26"/>
              </w:rPr>
              <w:t>ir savstarpēji papildinoši tirg</w:t>
            </w:r>
            <w:r w:rsidR="00474F10">
              <w:rPr>
                <w:sz w:val="26"/>
                <w:szCs w:val="26"/>
              </w:rPr>
              <w:t>ū. S</w:t>
            </w:r>
            <w:r w:rsidR="00992308">
              <w:rPr>
                <w:sz w:val="26"/>
                <w:szCs w:val="26"/>
              </w:rPr>
              <w:t>avukārt aizdevumu uzņēmējdarbības uzsākšanai piešķiršanā komercbankas ir konservatīvas dēļ nepietiekamas uzņēmējdarbības vēstures</w:t>
            </w:r>
            <w:r w:rsidR="00474F10">
              <w:rPr>
                <w:sz w:val="26"/>
                <w:szCs w:val="26"/>
              </w:rPr>
              <w:t>,</w:t>
            </w:r>
            <w:r w:rsidR="00992308">
              <w:rPr>
                <w:sz w:val="26"/>
                <w:szCs w:val="26"/>
              </w:rPr>
              <w:t xml:space="preserve"> </w:t>
            </w:r>
            <w:r w:rsidR="00992308">
              <w:rPr>
                <w:sz w:val="26"/>
                <w:szCs w:val="26"/>
              </w:rPr>
              <w:t>kredītv</w:t>
            </w:r>
            <w:r w:rsidR="00474F10">
              <w:rPr>
                <w:sz w:val="26"/>
                <w:szCs w:val="26"/>
              </w:rPr>
              <w:t>ēstures</w:t>
            </w:r>
            <w:r w:rsidR="00992308">
              <w:rPr>
                <w:sz w:val="26"/>
                <w:szCs w:val="26"/>
              </w:rPr>
              <w:t xml:space="preserve"> </w:t>
            </w:r>
            <w:r w:rsidR="000F5686">
              <w:rPr>
                <w:sz w:val="26"/>
                <w:szCs w:val="26"/>
              </w:rPr>
              <w:t xml:space="preserve">un nepietiekamas naudas plūsmas. Minētais pamato nepieciešamību Altum </w:t>
            </w:r>
            <w:r w:rsidR="00474F10">
              <w:rPr>
                <w:sz w:val="26"/>
                <w:szCs w:val="26"/>
              </w:rPr>
              <w:t xml:space="preserve">turpmākai </w:t>
            </w:r>
            <w:r w:rsidR="000F5686">
              <w:rPr>
                <w:sz w:val="26"/>
                <w:szCs w:val="26"/>
              </w:rPr>
              <w:t xml:space="preserve">intervencei finanšu tirgū maza apjoma aizdevumu kreditēšanā. </w:t>
            </w:r>
            <w:r w:rsidR="000941C6">
              <w:rPr>
                <w:sz w:val="26"/>
                <w:szCs w:val="26"/>
              </w:rPr>
              <w:t>Darbības programma</w:t>
            </w:r>
            <w:r w:rsidRPr="0076691E" w:rsidR="0076691E">
              <w:rPr>
                <w:sz w:val="26"/>
                <w:szCs w:val="26"/>
              </w:rPr>
              <w:t xml:space="preserve"> “Izaugsme un nodarbinātība” paredz, ka 3.1.1.4.pasākumam “Mikrokreditēšana un aizdevumi uzsācējiem” ir pieejams ERAF fina</w:t>
            </w:r>
            <w:r w:rsidR="0076691E">
              <w:rPr>
                <w:sz w:val="26"/>
                <w:szCs w:val="26"/>
              </w:rPr>
              <w:t xml:space="preserve">nsējums 12 miljonu </w:t>
            </w:r>
            <w:r w:rsidRPr="000941C6" w:rsidR="0076691E">
              <w:rPr>
                <w:i/>
                <w:sz w:val="26"/>
                <w:szCs w:val="26"/>
              </w:rPr>
              <w:t>euro</w:t>
            </w:r>
            <w:r w:rsidR="0076691E">
              <w:rPr>
                <w:sz w:val="26"/>
                <w:szCs w:val="26"/>
              </w:rPr>
              <w:t xml:space="preserve"> apmērā, </w:t>
            </w:r>
            <w:r w:rsidR="00E80B92">
              <w:rPr>
                <w:sz w:val="26"/>
                <w:szCs w:val="26"/>
              </w:rPr>
              <w:t>un</w:t>
            </w:r>
            <w:r w:rsidR="0076691E">
              <w:rPr>
                <w:sz w:val="26"/>
                <w:szCs w:val="26"/>
              </w:rPr>
              <w:t xml:space="preserve"> </w:t>
            </w:r>
            <w:r w:rsidRPr="0040720F" w:rsidR="0076691E">
              <w:rPr>
                <w:sz w:val="26"/>
                <w:szCs w:val="26"/>
              </w:rPr>
              <w:t>s</w:t>
            </w:r>
            <w:r w:rsidRPr="0040720F" w:rsidR="00436B87">
              <w:rPr>
                <w:sz w:val="26"/>
                <w:szCs w:val="26"/>
              </w:rPr>
              <w:t xml:space="preserve">askaņā ar MK noteikumu Nr.328 5.punktu mikro aizdevumiem un aizdevumiem uzņēmējdarbības uzsākšanai </w:t>
            </w:r>
            <w:r w:rsidRPr="0040720F" w:rsidR="00E80B92">
              <w:rPr>
                <w:sz w:val="26"/>
                <w:szCs w:val="26"/>
              </w:rPr>
              <w:t>līdzšinēji ir novirzīts</w:t>
            </w:r>
            <w:r w:rsidRPr="0040720F" w:rsidR="00436B87">
              <w:rPr>
                <w:sz w:val="26"/>
                <w:szCs w:val="26"/>
              </w:rPr>
              <w:t xml:space="preserve"> ERAF finansējums 9 miljonu </w:t>
            </w:r>
            <w:r w:rsidRPr="000941C6" w:rsidR="00436B87">
              <w:rPr>
                <w:i/>
                <w:sz w:val="26"/>
                <w:szCs w:val="26"/>
              </w:rPr>
              <w:t>euro</w:t>
            </w:r>
            <w:r w:rsidRPr="0040720F" w:rsidR="00436B87">
              <w:rPr>
                <w:sz w:val="26"/>
                <w:szCs w:val="26"/>
              </w:rPr>
              <w:t xml:space="preserve"> apmērā</w:t>
            </w:r>
            <w:r w:rsidR="000A5AF7">
              <w:rPr>
                <w:sz w:val="26"/>
                <w:szCs w:val="26"/>
              </w:rPr>
              <w:t xml:space="preserve"> (pārējais finansējums 3 miljonu </w:t>
            </w:r>
            <w:r w:rsidRPr="000941C6" w:rsidR="000A5AF7">
              <w:rPr>
                <w:i/>
                <w:sz w:val="26"/>
                <w:szCs w:val="26"/>
              </w:rPr>
              <w:t>euro</w:t>
            </w:r>
            <w:r w:rsidR="000A5AF7">
              <w:rPr>
                <w:sz w:val="26"/>
                <w:szCs w:val="26"/>
              </w:rPr>
              <w:t xml:space="preserve"> apmērā ir paredzēts netiešajai kreditēšanai)</w:t>
            </w:r>
            <w:r w:rsidRPr="0040720F" w:rsidR="00436B87">
              <w:rPr>
                <w:sz w:val="26"/>
                <w:szCs w:val="26"/>
              </w:rPr>
              <w:t>.</w:t>
            </w:r>
            <w:r w:rsidR="00436B87">
              <w:rPr>
                <w:sz w:val="26"/>
                <w:szCs w:val="26"/>
              </w:rPr>
              <w:t xml:space="preserve"> </w:t>
            </w:r>
            <w:r w:rsidR="00E80B92">
              <w:rPr>
                <w:sz w:val="26"/>
                <w:szCs w:val="26"/>
              </w:rPr>
              <w:t>A</w:t>
            </w:r>
            <w:r w:rsidR="000F5686">
              <w:rPr>
                <w:sz w:val="26"/>
                <w:szCs w:val="26"/>
              </w:rPr>
              <w:t xml:space="preserve">r mērķi mazināt </w:t>
            </w:r>
            <w:r w:rsidR="00474F10">
              <w:rPr>
                <w:sz w:val="26"/>
                <w:szCs w:val="26"/>
              </w:rPr>
              <w:t xml:space="preserve">administratīvo slogu, ko nosaka ES tiesību aktu piemērošana ERAF finansējuma izmantošanai, tiek paredzēts samazināt tiešajai mikro kreditēšanai un aizdevumiem </w:t>
            </w:r>
            <w:r w:rsidR="00474F10">
              <w:rPr>
                <w:sz w:val="26"/>
                <w:szCs w:val="26"/>
              </w:rPr>
              <w:t xml:space="preserve">uzņēmējdarbības uzsācējiem pieejamo ERAF finansējumu par 5 miljoniem </w:t>
            </w:r>
            <w:r w:rsidRPr="000941C6" w:rsidR="00474F10">
              <w:rPr>
                <w:i/>
                <w:sz w:val="26"/>
                <w:szCs w:val="26"/>
              </w:rPr>
              <w:t>euro</w:t>
            </w:r>
            <w:r w:rsidR="00474F10">
              <w:rPr>
                <w:sz w:val="26"/>
                <w:szCs w:val="26"/>
              </w:rPr>
              <w:t xml:space="preserve">, tos daļēji 2,5 miljonu </w:t>
            </w:r>
            <w:r w:rsidRPr="000941C6" w:rsidR="00474F10">
              <w:rPr>
                <w:i/>
                <w:sz w:val="26"/>
                <w:szCs w:val="26"/>
              </w:rPr>
              <w:t>euro</w:t>
            </w:r>
            <w:r w:rsidR="00474F10">
              <w:rPr>
                <w:sz w:val="26"/>
                <w:szCs w:val="26"/>
              </w:rPr>
              <w:t xml:space="preserve"> apmērā aizstājot ar atmaksāto publisko finansējumu </w:t>
            </w:r>
            <w:r w:rsidR="000A5AF7">
              <w:rPr>
                <w:sz w:val="26"/>
                <w:szCs w:val="26"/>
              </w:rPr>
              <w:t xml:space="preserve">2007.-2013.gada plānošanas perioda </w:t>
            </w:r>
            <w:r w:rsidR="00474F10">
              <w:rPr>
                <w:sz w:val="26"/>
                <w:szCs w:val="26"/>
              </w:rPr>
              <w:t xml:space="preserve">finanšu instrumentos. </w:t>
            </w:r>
            <w:r w:rsidR="0076691E">
              <w:rPr>
                <w:sz w:val="26"/>
                <w:szCs w:val="26"/>
              </w:rPr>
              <w:t xml:space="preserve">Šādu atmaksātā publiskā finansējuma apmēru nosaka </w:t>
            </w:r>
            <w:r>
              <w:rPr>
                <w:sz w:val="26"/>
                <w:szCs w:val="26"/>
              </w:rPr>
              <w:t>COSME programm</w:t>
            </w:r>
            <w:r w:rsidR="00260BCD">
              <w:rPr>
                <w:sz w:val="26"/>
                <w:szCs w:val="26"/>
              </w:rPr>
              <w:t>a</w:t>
            </w:r>
            <w:r>
              <w:rPr>
                <w:sz w:val="26"/>
                <w:szCs w:val="26"/>
              </w:rPr>
              <w:t xml:space="preserve"> un potenciālā EaSI programmas īstenošana, samazinot finansējumu</w:t>
            </w:r>
            <w:r w:rsidR="00915F28">
              <w:rPr>
                <w:sz w:val="26"/>
                <w:szCs w:val="26"/>
              </w:rPr>
              <w:t xml:space="preserve"> programmas īstenošanai</w:t>
            </w:r>
            <w:r>
              <w:rPr>
                <w:sz w:val="26"/>
                <w:szCs w:val="26"/>
              </w:rPr>
              <w:t xml:space="preserve">. </w:t>
            </w:r>
            <w:r w:rsidRPr="00915F28" w:rsidR="00915F28">
              <w:rPr>
                <w:sz w:val="26"/>
                <w:szCs w:val="26"/>
              </w:rPr>
              <w:t xml:space="preserve">Lai veiktu ERAF finansējuma </w:t>
            </w:r>
            <w:r w:rsidR="00915F28">
              <w:rPr>
                <w:sz w:val="26"/>
                <w:szCs w:val="26"/>
              </w:rPr>
              <w:t>samazinājumu</w:t>
            </w:r>
            <w:r w:rsidRPr="00915F28" w:rsidR="00915F28">
              <w:rPr>
                <w:sz w:val="26"/>
                <w:szCs w:val="26"/>
              </w:rPr>
              <w:t xml:space="preserve"> </w:t>
            </w:r>
            <w:r w:rsidR="00915F28">
              <w:rPr>
                <w:sz w:val="26"/>
                <w:szCs w:val="26"/>
              </w:rPr>
              <w:t>mikrokreditēšanas un aizdevumu uzņēmējdarbības</w:t>
            </w:r>
            <w:r w:rsidRPr="00915F28" w:rsidR="00915F28">
              <w:rPr>
                <w:sz w:val="26"/>
                <w:szCs w:val="26"/>
              </w:rPr>
              <w:t xml:space="preserve"> </w:t>
            </w:r>
            <w:r w:rsidR="00915F28">
              <w:rPr>
                <w:sz w:val="26"/>
                <w:szCs w:val="26"/>
              </w:rPr>
              <w:t>uzsākšanai programmās un novirzītu atmaksāto publisko finansējumu</w:t>
            </w:r>
            <w:r w:rsidRPr="00915F28" w:rsidR="00915F28">
              <w:rPr>
                <w:sz w:val="26"/>
                <w:szCs w:val="26"/>
              </w:rPr>
              <w:t xml:space="preserve">, paralēli noteikumu projektam </w:t>
            </w:r>
            <w:r w:rsidR="00915F28">
              <w:rPr>
                <w:sz w:val="26"/>
                <w:szCs w:val="26"/>
              </w:rPr>
              <w:t>tiek virzīti</w:t>
            </w:r>
            <w:r w:rsidRPr="00915F28" w:rsidR="00915F28">
              <w:rPr>
                <w:sz w:val="26"/>
                <w:szCs w:val="26"/>
              </w:rPr>
              <w:t xml:space="preserve"> attiecīgi grozījumi MK noteikumos Nr.</w:t>
            </w:r>
            <w:r w:rsidR="00915F28">
              <w:rPr>
                <w:sz w:val="26"/>
                <w:szCs w:val="26"/>
              </w:rPr>
              <w:t>32</w:t>
            </w:r>
            <w:r w:rsidR="002C493C">
              <w:rPr>
                <w:sz w:val="26"/>
                <w:szCs w:val="26"/>
              </w:rPr>
              <w:t>8</w:t>
            </w:r>
            <w:r w:rsidRPr="00915F28" w:rsidR="00915F28">
              <w:rPr>
                <w:sz w:val="26"/>
                <w:szCs w:val="26"/>
              </w:rPr>
              <w:t>.</w:t>
            </w:r>
            <w:r w:rsidR="00845E72">
              <w:rPr>
                <w:sz w:val="26"/>
                <w:szCs w:val="26"/>
              </w:rPr>
              <w:t xml:space="preserve"> </w:t>
            </w:r>
          </w:p>
          <w:p w:rsidR="00D23481" w:rsidRPr="00030C51" w:rsidP="00D23481" w14:paraId="40CC4346" w14:textId="01F66113">
            <w:pPr>
              <w:pStyle w:val="Default"/>
              <w:spacing w:after="120"/>
              <w:jc w:val="both"/>
              <w:rPr>
                <w:sz w:val="26"/>
                <w:szCs w:val="26"/>
              </w:rPr>
            </w:pPr>
            <w:r w:rsidRPr="00030C51">
              <w:rPr>
                <w:sz w:val="26"/>
                <w:szCs w:val="26"/>
              </w:rPr>
              <w:t>3.1.1.4. pasākuma</w:t>
            </w:r>
            <w:r w:rsidRPr="00030C51" w:rsidR="00474F10">
              <w:rPr>
                <w:sz w:val="26"/>
                <w:szCs w:val="26"/>
              </w:rPr>
              <w:t xml:space="preserve"> </w:t>
            </w:r>
            <w:r w:rsidRPr="00030C51" w:rsidR="00DA60C5">
              <w:rPr>
                <w:sz w:val="26"/>
                <w:szCs w:val="26"/>
              </w:rPr>
              <w:t>“</w:t>
            </w:r>
            <w:r w:rsidRPr="00560A2D" w:rsidR="00474F10">
              <w:rPr>
                <w:sz w:val="26"/>
                <w:szCs w:val="26"/>
              </w:rPr>
              <w:t xml:space="preserve">Mikrokreditēšana un </w:t>
            </w:r>
            <w:r w:rsidRPr="00560A2D" w:rsidR="00DA60C5">
              <w:rPr>
                <w:sz w:val="26"/>
                <w:szCs w:val="26"/>
              </w:rPr>
              <w:t>aizdevumi uzsācējiem”</w:t>
            </w:r>
            <w:r w:rsidRPr="00560A2D">
              <w:rPr>
                <w:sz w:val="26"/>
                <w:szCs w:val="26"/>
              </w:rPr>
              <w:t xml:space="preserve"> </w:t>
            </w:r>
            <w:r w:rsidRPr="00560A2D" w:rsidR="00DA60C5">
              <w:rPr>
                <w:sz w:val="26"/>
                <w:szCs w:val="26"/>
              </w:rPr>
              <w:t>pieejamā</w:t>
            </w:r>
            <w:r w:rsidRPr="00560A2D" w:rsidR="00CD7F01">
              <w:rPr>
                <w:sz w:val="26"/>
                <w:szCs w:val="26"/>
              </w:rPr>
              <w:t xml:space="preserve"> ERAF finansējuma 12 miljonu </w:t>
            </w:r>
            <w:r w:rsidRPr="00560A2D" w:rsidR="00CD7F01">
              <w:rPr>
                <w:i/>
                <w:sz w:val="26"/>
                <w:szCs w:val="26"/>
              </w:rPr>
              <w:t>euro</w:t>
            </w:r>
            <w:r w:rsidRPr="00560A2D" w:rsidR="00CD7F01">
              <w:rPr>
                <w:sz w:val="26"/>
                <w:szCs w:val="26"/>
              </w:rPr>
              <w:t xml:space="preserve"> apmēr</w:t>
            </w:r>
            <w:r w:rsidRPr="00560A2D" w:rsidR="00256D1B">
              <w:rPr>
                <w:sz w:val="26"/>
                <w:szCs w:val="26"/>
              </w:rPr>
              <w:t>ā</w:t>
            </w:r>
            <w:r w:rsidRPr="00560A2D">
              <w:rPr>
                <w:sz w:val="26"/>
                <w:szCs w:val="26"/>
              </w:rPr>
              <w:t xml:space="preserve"> ietvaros līdzšinēji</w:t>
            </w:r>
            <w:r w:rsidRPr="00560A2D" w:rsidR="00CD7F01">
              <w:rPr>
                <w:sz w:val="26"/>
                <w:szCs w:val="26"/>
              </w:rPr>
              <w:t xml:space="preserve"> ir paredzēts finansējums 3 miljonu </w:t>
            </w:r>
            <w:r w:rsidRPr="00560A2D" w:rsidR="00CD7F01">
              <w:rPr>
                <w:i/>
                <w:sz w:val="26"/>
                <w:szCs w:val="26"/>
              </w:rPr>
              <w:t>euro</w:t>
            </w:r>
            <w:r w:rsidRPr="00560A2D" w:rsidR="00CD7F01">
              <w:rPr>
                <w:sz w:val="26"/>
                <w:szCs w:val="26"/>
              </w:rPr>
              <w:t xml:space="preserve"> netiešās mikrokreditēšanas programmas īstenošanai. </w:t>
            </w:r>
            <w:r w:rsidRPr="00560A2D" w:rsidR="00DA60C5">
              <w:rPr>
                <w:sz w:val="26"/>
                <w:szCs w:val="26"/>
              </w:rPr>
              <w:t xml:space="preserve"> </w:t>
            </w:r>
            <w:r w:rsidRPr="00560A2D" w:rsidR="00CD7F01">
              <w:rPr>
                <w:sz w:val="26"/>
                <w:szCs w:val="26"/>
              </w:rPr>
              <w:t>Saskaņā ar tirgus nepilnību izvērtējumu</w:t>
            </w:r>
            <w:r w:rsidRPr="00560A2D">
              <w:rPr>
                <w:sz w:val="26"/>
                <w:szCs w:val="26"/>
              </w:rPr>
              <w:t xml:space="preserve"> un attiecīgi noteikumu projektu</w:t>
            </w:r>
            <w:r w:rsidRPr="00560A2D" w:rsidR="00CD7F01">
              <w:rPr>
                <w:sz w:val="26"/>
                <w:szCs w:val="26"/>
              </w:rPr>
              <w:t xml:space="preserve"> šis </w:t>
            </w:r>
            <w:r w:rsidRPr="00560A2D">
              <w:rPr>
                <w:sz w:val="26"/>
                <w:szCs w:val="26"/>
              </w:rPr>
              <w:t xml:space="preserve">ERAF </w:t>
            </w:r>
            <w:r w:rsidRPr="00560A2D" w:rsidR="00CD7F01">
              <w:rPr>
                <w:sz w:val="26"/>
                <w:szCs w:val="26"/>
              </w:rPr>
              <w:t>finansējums tiek samazināts pilnā apmērā</w:t>
            </w:r>
            <w:r w:rsidRPr="007A5611" w:rsidR="0064131E">
              <w:rPr>
                <w:sz w:val="26"/>
                <w:szCs w:val="26"/>
              </w:rPr>
              <w:t xml:space="preserve">. Ekonomikas ministrija ir izvērtējusi iespējas līdzšinēji izstrādāt atbalsta programmu krājaizdevu sabiedrībām esošā normatīvo aktu regulējuma ietvarā un secinājusi, </w:t>
            </w:r>
            <w:r w:rsidRPr="00D338AB" w:rsidR="00D338AB">
              <w:rPr>
                <w:sz w:val="26"/>
                <w:szCs w:val="26"/>
              </w:rPr>
              <w:t>ka atbalsts krājaizdevu sabiedrību kapacitātes stiprināšanai būtu sniedzams ES s</w:t>
            </w:r>
            <w:r w:rsidR="00D338AB">
              <w:rPr>
                <w:sz w:val="26"/>
                <w:szCs w:val="26"/>
              </w:rPr>
              <w:t>ociālā fonda programmu ietvarā.</w:t>
            </w:r>
            <w:r w:rsidRPr="00030C51" w:rsidR="008D5987">
              <w:rPr>
                <w:sz w:val="26"/>
                <w:szCs w:val="26"/>
              </w:rPr>
              <w:t xml:space="preserve"> </w:t>
            </w:r>
            <w:r w:rsidRPr="00030C51" w:rsidR="00E8387C">
              <w:rPr>
                <w:sz w:val="26"/>
                <w:szCs w:val="26"/>
              </w:rPr>
              <w:t xml:space="preserve">Savukārt, ņemot vērā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Komisijas Regula Nr.1303/2013) (Eiropas Savienības Oficiālais Vēstnesis, 2013. gada 20. decembris, Nr. L 347) 65.panta 2.punktā noteikto ERAF finansējuma izlietojuma atbilstības termiņu, kas ir 2023.gada 31.decembris, programmai līdzšinējo paredzēto ERAF finansējumu 3 miljonu </w:t>
            </w:r>
            <w:r w:rsidRPr="00030C51" w:rsidR="00E8387C">
              <w:rPr>
                <w:i/>
                <w:sz w:val="26"/>
                <w:szCs w:val="26"/>
              </w:rPr>
              <w:t>euro</w:t>
            </w:r>
            <w:r w:rsidRPr="00030C51" w:rsidR="00E8387C">
              <w:rPr>
                <w:sz w:val="26"/>
                <w:szCs w:val="26"/>
              </w:rPr>
              <w:t xml:space="preserve"> apmērā nebūs iespējams apgūt. </w:t>
            </w:r>
          </w:p>
          <w:p w:rsidR="00B3731E" w:rsidP="00A87984" w14:paraId="4951B21B" w14:textId="0B7567C3">
            <w:pPr>
              <w:pStyle w:val="Default"/>
              <w:spacing w:after="120"/>
              <w:jc w:val="both"/>
              <w:rPr>
                <w:sz w:val="26"/>
                <w:szCs w:val="26"/>
                <w:highlight w:val="yellow"/>
              </w:rPr>
            </w:pPr>
            <w:r w:rsidRPr="00DE7216">
              <w:rPr>
                <w:sz w:val="26"/>
                <w:szCs w:val="26"/>
              </w:rPr>
              <w:t>Saskaņā ar darbības programm</w:t>
            </w:r>
            <w:r w:rsidR="000941C6">
              <w:rPr>
                <w:sz w:val="26"/>
                <w:szCs w:val="26"/>
              </w:rPr>
              <w:t>u</w:t>
            </w:r>
            <w:r w:rsidRPr="00DE7216">
              <w:rPr>
                <w:sz w:val="26"/>
                <w:szCs w:val="26"/>
              </w:rPr>
              <w:t xml:space="preserve"> “Izaugsme un nodarbinātība” 10 416 515 </w:t>
            </w:r>
            <w:r w:rsidRPr="000941C6">
              <w:rPr>
                <w:i/>
                <w:sz w:val="26"/>
                <w:szCs w:val="26"/>
              </w:rPr>
              <w:t>euro</w:t>
            </w:r>
            <w:r w:rsidRPr="00DE7216">
              <w:rPr>
                <w:sz w:val="26"/>
                <w:szCs w:val="26"/>
              </w:rPr>
              <w:t xml:space="preserve"> ERAF finansējums ir paredzēts 3.1.1.3.pasākuma “Bi</w:t>
            </w:r>
            <w:r w:rsidRPr="00DE7216" w:rsidR="009163B2">
              <w:rPr>
                <w:sz w:val="26"/>
                <w:szCs w:val="26"/>
              </w:rPr>
              <w:t xml:space="preserve">znesa eņģeļu ko-investīciju fonds” īstenošanai. </w:t>
            </w:r>
            <w:r w:rsidRPr="00DE7216">
              <w:rPr>
                <w:sz w:val="26"/>
                <w:szCs w:val="26"/>
              </w:rPr>
              <w:t xml:space="preserve">Ar mērķi veicināt biznesa eņģeļu kopinvestīcijas 2016.gada 17.martā tika parakstīts līgums starp biedrību “Latvijas Biznesa Eņģeļu  Tīkls” </w:t>
            </w:r>
            <w:r w:rsidRPr="00DE7216" w:rsidR="00DE7216">
              <w:rPr>
                <w:sz w:val="26"/>
                <w:szCs w:val="26"/>
              </w:rPr>
              <w:t xml:space="preserve">(turpmāk – LatBan) </w:t>
            </w:r>
            <w:r w:rsidRPr="00DE7216">
              <w:rPr>
                <w:sz w:val="26"/>
                <w:szCs w:val="26"/>
              </w:rPr>
              <w:t xml:space="preserve">un Altum, kā ietvaros Altum sniedz līdzfinansējumu biznesa eņģeļu finansētiem projektiem aizdevumu formā, un līdz 2017.gada 1.oktobrim ir noslēgti 5 šādi kopinvestīciju līgumi par Altum finansējuma daļu 144 500 </w:t>
            </w:r>
            <w:r w:rsidRPr="000941C6">
              <w:rPr>
                <w:i/>
                <w:sz w:val="26"/>
                <w:szCs w:val="26"/>
              </w:rPr>
              <w:t>euro</w:t>
            </w:r>
            <w:r w:rsidRPr="00DE7216">
              <w:rPr>
                <w:sz w:val="26"/>
                <w:szCs w:val="26"/>
              </w:rPr>
              <w:t xml:space="preserve">, kas </w:t>
            </w:r>
            <w:r w:rsidR="002C493C">
              <w:rPr>
                <w:sz w:val="26"/>
                <w:szCs w:val="26"/>
              </w:rPr>
              <w:t>veido</w:t>
            </w:r>
            <w:r w:rsidRPr="00DE7216">
              <w:rPr>
                <w:sz w:val="26"/>
                <w:szCs w:val="26"/>
              </w:rPr>
              <w:t xml:space="preserve"> 4,8 % no programmā pieejamā publiskā finansējuma apmēra. Saskaņā ar tirgus </w:t>
            </w:r>
            <w:r w:rsidRPr="00DE7216">
              <w:rPr>
                <w:sz w:val="26"/>
                <w:szCs w:val="26"/>
              </w:rPr>
              <w:t xml:space="preserve">nepilnību izvērtējumu </w:t>
            </w:r>
            <w:r w:rsidRPr="00DE7216" w:rsidR="00DE7216">
              <w:rPr>
                <w:sz w:val="26"/>
                <w:szCs w:val="26"/>
              </w:rPr>
              <w:t>biznesa eņģeļu tīkls Latvijā ir neattīstīts</w:t>
            </w:r>
            <w:r w:rsidR="00DE7216">
              <w:rPr>
                <w:sz w:val="26"/>
                <w:szCs w:val="26"/>
              </w:rPr>
              <w:t xml:space="preserve">, tādēļ </w:t>
            </w:r>
            <w:r w:rsidR="00DA3713">
              <w:rPr>
                <w:sz w:val="26"/>
                <w:szCs w:val="26"/>
              </w:rPr>
              <w:t xml:space="preserve">nepietiekama pieprasījuma rezultātā </w:t>
            </w:r>
            <w:r w:rsidRPr="00DE7216" w:rsidR="00DE7216">
              <w:rPr>
                <w:sz w:val="26"/>
                <w:szCs w:val="26"/>
              </w:rPr>
              <w:t>Eiropas Investīciju fonds ir atteicis savu dalību 3.1.1.3.pasākuma “Biznesa eņģeļu ko-investīciju fonds” īstenošanā. Ņemot vērā minēto, kā arī Altum un LatBan sadarbības programmas rezultātus, tirgus nepilnību izvērtējums</w:t>
            </w:r>
            <w:r w:rsidR="00E8387C">
              <w:rPr>
                <w:sz w:val="26"/>
                <w:szCs w:val="26"/>
              </w:rPr>
              <w:t xml:space="preserve"> un attiecīgi noteikumu projekts</w:t>
            </w:r>
            <w:r w:rsidRPr="00DE7216" w:rsidR="00DE7216">
              <w:rPr>
                <w:sz w:val="26"/>
                <w:szCs w:val="26"/>
              </w:rPr>
              <w:t xml:space="preserve"> paredz samazināt ERAF finansējumu 3.1.1.3.pasākuma “Biznesa eņģeļu ko-investīciju fonds”</w:t>
            </w:r>
            <w:r w:rsidR="00DE7216">
              <w:rPr>
                <w:sz w:val="26"/>
                <w:szCs w:val="26"/>
              </w:rPr>
              <w:t xml:space="preserve"> īstenošanai pilnā apmērā</w:t>
            </w:r>
            <w:r w:rsidR="00E8387C">
              <w:rPr>
                <w:sz w:val="26"/>
                <w:szCs w:val="26"/>
              </w:rPr>
              <w:t>.</w:t>
            </w:r>
          </w:p>
          <w:p w:rsidR="00E8387C" w:rsidRPr="00E01A7E" w:rsidP="00A87984" w14:paraId="1878ECC8" w14:textId="6227F51D">
            <w:pPr>
              <w:pStyle w:val="Default"/>
              <w:spacing w:after="120"/>
              <w:jc w:val="both"/>
              <w:rPr>
                <w:sz w:val="26"/>
                <w:szCs w:val="26"/>
              </w:rPr>
            </w:pPr>
            <w:r w:rsidRPr="00DE7216">
              <w:rPr>
                <w:sz w:val="26"/>
                <w:szCs w:val="26"/>
              </w:rPr>
              <w:t>Saskaņā ar darbības programm</w:t>
            </w:r>
            <w:r w:rsidR="002C493C">
              <w:rPr>
                <w:sz w:val="26"/>
                <w:szCs w:val="26"/>
              </w:rPr>
              <w:t>u</w:t>
            </w:r>
            <w:r w:rsidRPr="00DE7216">
              <w:rPr>
                <w:sz w:val="26"/>
                <w:szCs w:val="26"/>
              </w:rPr>
              <w:t xml:space="preserve"> “Izaugsme un nodarbinātība” </w:t>
            </w:r>
            <w:r w:rsidRPr="0001204F" w:rsidR="0001204F">
              <w:rPr>
                <w:sz w:val="26"/>
                <w:szCs w:val="26"/>
              </w:rPr>
              <w:t xml:space="preserve">60 000 000 </w:t>
            </w:r>
            <w:r w:rsidRPr="000941C6">
              <w:rPr>
                <w:i/>
                <w:sz w:val="26"/>
                <w:szCs w:val="26"/>
              </w:rPr>
              <w:t>euro</w:t>
            </w:r>
            <w:r w:rsidRPr="00DE7216">
              <w:rPr>
                <w:sz w:val="26"/>
                <w:szCs w:val="26"/>
              </w:rPr>
              <w:t xml:space="preserve"> ERAF finansējums ir paredzēts 3.1.</w:t>
            </w:r>
            <w:r w:rsidR="0001204F">
              <w:rPr>
                <w:sz w:val="26"/>
                <w:szCs w:val="26"/>
              </w:rPr>
              <w:t>2</w:t>
            </w:r>
            <w:r w:rsidRPr="00DE7216">
              <w:rPr>
                <w:sz w:val="26"/>
                <w:szCs w:val="26"/>
              </w:rPr>
              <w:t>.</w:t>
            </w:r>
            <w:r w:rsidR="0001204F">
              <w:rPr>
                <w:sz w:val="26"/>
                <w:szCs w:val="26"/>
              </w:rPr>
              <w:t>1</w:t>
            </w:r>
            <w:r w:rsidRPr="00DE7216">
              <w:rPr>
                <w:sz w:val="26"/>
                <w:szCs w:val="26"/>
              </w:rPr>
              <w:t>.pasākuma “</w:t>
            </w:r>
            <w:r w:rsidR="0001204F">
              <w:rPr>
                <w:sz w:val="26"/>
                <w:szCs w:val="26"/>
              </w:rPr>
              <w:t>Riska kapitāls</w:t>
            </w:r>
            <w:r w:rsidRPr="00DE7216">
              <w:rPr>
                <w:sz w:val="26"/>
                <w:szCs w:val="26"/>
              </w:rPr>
              <w:t>” īstenošanai</w:t>
            </w:r>
            <w:r w:rsidR="0001204F">
              <w:rPr>
                <w:sz w:val="26"/>
                <w:szCs w:val="26"/>
              </w:rPr>
              <w:t xml:space="preserve">, </w:t>
            </w:r>
            <w:r w:rsidR="00E43E44">
              <w:rPr>
                <w:sz w:val="26"/>
                <w:szCs w:val="26"/>
              </w:rPr>
              <w:t>un</w:t>
            </w:r>
            <w:r w:rsidR="0001204F">
              <w:rPr>
                <w:sz w:val="26"/>
                <w:szCs w:val="26"/>
              </w:rPr>
              <w:t xml:space="preserve"> </w:t>
            </w:r>
            <w:r>
              <w:rPr>
                <w:sz w:val="26"/>
                <w:szCs w:val="26"/>
              </w:rPr>
              <w:t>atbilstoši</w:t>
            </w:r>
            <w:r w:rsidR="0001204F">
              <w:rPr>
                <w:sz w:val="26"/>
                <w:szCs w:val="26"/>
              </w:rPr>
              <w:t xml:space="preserve"> Ministru kabineta 2016.gada 2.augusta noteikumiem Nr.518 “</w:t>
            </w:r>
            <w:r w:rsidRPr="0001204F" w:rsidR="0001204F">
              <w:rPr>
                <w:sz w:val="26"/>
                <w:szCs w:val="26"/>
              </w:rPr>
              <w:t>Noteikumi par sēklas kapitāla, sākuma kapitāla un izaugsmes kapitāla fondiem saimnieciskās darbības veicēju izveides, attīstības un konkurētspējas veicināšanai</w:t>
            </w:r>
            <w:r w:rsidR="0001204F">
              <w:rPr>
                <w:sz w:val="26"/>
                <w:szCs w:val="26"/>
              </w:rPr>
              <w:t xml:space="preserve">” </w:t>
            </w:r>
            <w:r w:rsidR="0004309D">
              <w:rPr>
                <w:sz w:val="26"/>
                <w:szCs w:val="26"/>
              </w:rPr>
              <w:t xml:space="preserve">(turpmāk – MK noteikumi Nr.518) </w:t>
            </w:r>
            <w:r w:rsidR="00E43E44">
              <w:rPr>
                <w:sz w:val="26"/>
                <w:szCs w:val="26"/>
              </w:rPr>
              <w:t xml:space="preserve">viss </w:t>
            </w:r>
            <w:r>
              <w:rPr>
                <w:sz w:val="26"/>
                <w:szCs w:val="26"/>
              </w:rPr>
              <w:t xml:space="preserve">minētais </w:t>
            </w:r>
            <w:r w:rsidR="00E43E44">
              <w:rPr>
                <w:sz w:val="26"/>
                <w:szCs w:val="26"/>
              </w:rPr>
              <w:t xml:space="preserve">ERAF finansējums ir novirzīts </w:t>
            </w:r>
            <w:r w:rsidR="0001204F">
              <w:rPr>
                <w:sz w:val="26"/>
                <w:szCs w:val="26"/>
              </w:rPr>
              <w:t xml:space="preserve">sēklas kapitāla, sākuma kapitāla un izaugsmes kapitāla fondu </w:t>
            </w:r>
            <w:r w:rsidR="0004309D">
              <w:rPr>
                <w:sz w:val="26"/>
                <w:szCs w:val="26"/>
              </w:rPr>
              <w:t xml:space="preserve">īstenošanai. </w:t>
            </w:r>
            <w:r w:rsidR="005A6C93">
              <w:rPr>
                <w:sz w:val="26"/>
                <w:szCs w:val="26"/>
              </w:rPr>
              <w:t>Saskaņā ar</w:t>
            </w:r>
            <w:r w:rsidR="0004309D">
              <w:rPr>
                <w:sz w:val="26"/>
                <w:szCs w:val="26"/>
              </w:rPr>
              <w:t xml:space="preserve"> riska kapitāla </w:t>
            </w:r>
            <w:r w:rsidR="005A6C93">
              <w:rPr>
                <w:sz w:val="26"/>
                <w:szCs w:val="26"/>
              </w:rPr>
              <w:t xml:space="preserve">nozares praksi, </w:t>
            </w:r>
            <w:r w:rsidR="008C1B8F">
              <w:rPr>
                <w:sz w:val="26"/>
                <w:szCs w:val="26"/>
              </w:rPr>
              <w:t>sēklas</w:t>
            </w:r>
            <w:r>
              <w:rPr>
                <w:sz w:val="26"/>
                <w:szCs w:val="26"/>
              </w:rPr>
              <w:t xml:space="preserve"> kapitāla</w:t>
            </w:r>
            <w:r w:rsidR="008C1B8F">
              <w:rPr>
                <w:sz w:val="26"/>
                <w:szCs w:val="26"/>
              </w:rPr>
              <w:t>, sākuma</w:t>
            </w:r>
            <w:r>
              <w:rPr>
                <w:sz w:val="26"/>
                <w:szCs w:val="26"/>
              </w:rPr>
              <w:t xml:space="preserve"> kapitāla</w:t>
            </w:r>
            <w:r w:rsidR="008C1B8F">
              <w:rPr>
                <w:sz w:val="26"/>
                <w:szCs w:val="26"/>
              </w:rPr>
              <w:t xml:space="preserve"> un izaugsmes kapitāla fondiem aktīvais investīciju periods ir 5 gadi, pēc kura seko investīciju turēšanas periods, kā ietvaros </w:t>
            </w:r>
            <w:r>
              <w:rPr>
                <w:sz w:val="26"/>
                <w:szCs w:val="26"/>
              </w:rPr>
              <w:t xml:space="preserve">minētie </w:t>
            </w:r>
            <w:r w:rsidR="008C1B8F">
              <w:rPr>
                <w:sz w:val="26"/>
                <w:szCs w:val="26"/>
              </w:rPr>
              <w:t xml:space="preserve">fondi veic tālākās investīcijas portfelī esošajos uzņēmumos. </w:t>
            </w:r>
            <w:r w:rsidR="00161453">
              <w:rPr>
                <w:sz w:val="26"/>
                <w:szCs w:val="26"/>
              </w:rPr>
              <w:t xml:space="preserve">Sēklas kapitāla, sākuma kapitāla un izaugsmes kapitāla fondi uzsāks investīciju periodu 2018.gada 3.ceturksnī. </w:t>
            </w:r>
            <w:r w:rsidRPr="006B3439" w:rsidR="008C1B8F">
              <w:rPr>
                <w:sz w:val="26"/>
                <w:szCs w:val="26"/>
              </w:rPr>
              <w:t>Ņemot vērā ERAF finansējuma</w:t>
            </w:r>
            <w:r>
              <w:rPr>
                <w:sz w:val="26"/>
                <w:szCs w:val="26"/>
              </w:rPr>
              <w:t xml:space="preserve"> izmantošanas </w:t>
            </w:r>
            <w:r w:rsidRPr="006B3439" w:rsidR="008C1B8F">
              <w:rPr>
                <w:sz w:val="26"/>
                <w:szCs w:val="26"/>
              </w:rPr>
              <w:t xml:space="preserve"> </w:t>
            </w:r>
            <w:r w:rsidRPr="006B3439" w:rsidR="00161453">
              <w:rPr>
                <w:sz w:val="26"/>
                <w:szCs w:val="26"/>
              </w:rPr>
              <w:t xml:space="preserve">atbilstības </w:t>
            </w:r>
            <w:r w:rsidRPr="006B3439" w:rsidR="008C1B8F">
              <w:rPr>
                <w:sz w:val="26"/>
                <w:szCs w:val="26"/>
              </w:rPr>
              <w:t>ierobežojumus</w:t>
            </w:r>
            <w:r>
              <w:rPr>
                <w:sz w:val="26"/>
                <w:szCs w:val="26"/>
              </w:rPr>
              <w:t xml:space="preserve"> līdz 2023.gada 31.decembrim saskaņā ar Komisijas Regulas Nr.</w:t>
            </w:r>
            <w:r w:rsidR="00E01A7E">
              <w:rPr>
                <w:sz w:val="26"/>
                <w:szCs w:val="26"/>
              </w:rPr>
              <w:t xml:space="preserve">1303/2013 </w:t>
            </w:r>
            <w:r w:rsidRPr="006B3439" w:rsidR="00161453">
              <w:rPr>
                <w:sz w:val="26"/>
                <w:szCs w:val="26"/>
              </w:rPr>
              <w:t xml:space="preserve">65.panta 2.punktu, ir būtiski diversificēt finansējuma avotus sēklas kapitāla, sākuma kapitāla un izaugsmes kapitāla </w:t>
            </w:r>
            <w:r w:rsidRPr="00E72D1B" w:rsidR="00161453">
              <w:rPr>
                <w:sz w:val="26"/>
                <w:szCs w:val="26"/>
              </w:rPr>
              <w:t xml:space="preserve">fondos, lai nodrošinātu iespēju fondiem darboties saskaņā ar tirgus praksi un veikt tālākās investīcijas portfelī esošajos uzņēmumos pēc 2023.gada 31.decembra un līdz fondu darbības beigām. Tādēļ tirgus nepilnību izvērtējums </w:t>
            </w:r>
            <w:r w:rsidRPr="00E72D1B" w:rsidR="00E01A7E">
              <w:rPr>
                <w:sz w:val="26"/>
                <w:szCs w:val="26"/>
              </w:rPr>
              <w:t xml:space="preserve">un attiecīgi noteikumu projekts paredz samazināt daļu ERAF finansējuma </w:t>
            </w:r>
            <w:r w:rsidRPr="00E72D1B" w:rsidR="006B3439">
              <w:rPr>
                <w:sz w:val="26"/>
                <w:szCs w:val="26"/>
              </w:rPr>
              <w:t xml:space="preserve">(12 800 000 </w:t>
            </w:r>
            <w:r w:rsidRPr="00E72D1B" w:rsidR="006B3439">
              <w:rPr>
                <w:i/>
                <w:sz w:val="26"/>
                <w:szCs w:val="26"/>
              </w:rPr>
              <w:t>euro</w:t>
            </w:r>
            <w:r w:rsidRPr="00E72D1B" w:rsidR="006B3439">
              <w:rPr>
                <w:sz w:val="26"/>
                <w:szCs w:val="26"/>
              </w:rPr>
              <w:t xml:space="preserve"> sēklas un sākuma kapitāla fondos un 15 000 000 </w:t>
            </w:r>
            <w:r w:rsidRPr="00E72D1B" w:rsidR="006B3439">
              <w:rPr>
                <w:i/>
                <w:sz w:val="26"/>
                <w:szCs w:val="26"/>
              </w:rPr>
              <w:t>euro</w:t>
            </w:r>
            <w:r w:rsidRPr="00E72D1B" w:rsidR="006B3439">
              <w:rPr>
                <w:sz w:val="26"/>
                <w:szCs w:val="26"/>
              </w:rPr>
              <w:t xml:space="preserve"> izaugsmes kapitāla fondos)</w:t>
            </w:r>
            <w:r w:rsidRPr="00E72D1B" w:rsidR="00E01A7E">
              <w:rPr>
                <w:sz w:val="26"/>
                <w:szCs w:val="26"/>
              </w:rPr>
              <w:t>, to</w:t>
            </w:r>
            <w:r w:rsidRPr="00E72D1B" w:rsidR="006B3439">
              <w:rPr>
                <w:sz w:val="26"/>
                <w:szCs w:val="26"/>
              </w:rPr>
              <w:t xml:space="preserve"> aizstāt ar atmaksāto publisko f</w:t>
            </w:r>
            <w:r w:rsidRPr="00E72D1B" w:rsidR="00E01A7E">
              <w:rPr>
                <w:sz w:val="26"/>
                <w:szCs w:val="26"/>
              </w:rPr>
              <w:t>inansējumu 2007.-</w:t>
            </w:r>
            <w:r w:rsidR="00E01A7E">
              <w:rPr>
                <w:sz w:val="26"/>
                <w:szCs w:val="26"/>
              </w:rPr>
              <w:t>2013.gada plānošanas perioda finanšu instrumentos.</w:t>
            </w:r>
            <w:r w:rsidR="00E01A7E">
              <w:t xml:space="preserve"> </w:t>
            </w:r>
            <w:r w:rsidRPr="00E01A7E" w:rsidR="00E01A7E">
              <w:rPr>
                <w:sz w:val="26"/>
                <w:szCs w:val="26"/>
              </w:rPr>
              <w:t xml:space="preserve">Lai veiktu ERAF finansējuma samazinājumu un </w:t>
            </w:r>
            <w:r w:rsidR="00E01A7E">
              <w:rPr>
                <w:sz w:val="26"/>
                <w:szCs w:val="26"/>
              </w:rPr>
              <w:t>tā aizstāšanu ar</w:t>
            </w:r>
            <w:r w:rsidRPr="00E01A7E" w:rsidR="00E01A7E">
              <w:rPr>
                <w:sz w:val="26"/>
                <w:szCs w:val="26"/>
              </w:rPr>
              <w:t xml:space="preserve"> atmaksāto publisko finansējumu, paralēli noteikumu projektam tiek virzīti attiecīg</w:t>
            </w:r>
            <w:r w:rsidR="00E01A7E">
              <w:rPr>
                <w:sz w:val="26"/>
                <w:szCs w:val="26"/>
              </w:rPr>
              <w:t>i grozījumi MK noteikumos Nr.518</w:t>
            </w:r>
            <w:r w:rsidRPr="00E01A7E" w:rsidR="00E01A7E">
              <w:rPr>
                <w:sz w:val="26"/>
                <w:szCs w:val="26"/>
              </w:rPr>
              <w:t>.</w:t>
            </w:r>
          </w:p>
          <w:p w:rsidR="00A46A0D" w:rsidRPr="007A5611" w:rsidP="000F70CB" w14:paraId="321045F8" w14:textId="32F04F46">
            <w:pPr>
              <w:pStyle w:val="Default"/>
              <w:spacing w:after="120"/>
              <w:jc w:val="both"/>
              <w:rPr>
                <w:sz w:val="26"/>
                <w:szCs w:val="26"/>
              </w:rPr>
            </w:pPr>
            <w:r w:rsidRPr="00E01A7E">
              <w:rPr>
                <w:sz w:val="26"/>
                <w:szCs w:val="26"/>
              </w:rPr>
              <w:t xml:space="preserve">Akcelerācijas fondi ir jauns finanšu instruments </w:t>
            </w:r>
            <w:r w:rsidRPr="00E01A7E" w:rsidR="00E01A7E">
              <w:rPr>
                <w:sz w:val="26"/>
                <w:szCs w:val="26"/>
              </w:rPr>
              <w:t xml:space="preserve">Latvijas </w:t>
            </w:r>
            <w:r w:rsidRPr="00E01A7E">
              <w:rPr>
                <w:sz w:val="26"/>
                <w:szCs w:val="26"/>
              </w:rPr>
              <w:t>tirgū, kas tiek ieviests saskaņā ar Ministru kabineta 2016.gada 12.aprīļa noteikumiem Nr.226 “</w:t>
            </w:r>
            <w:r w:rsidRPr="00FB1994">
              <w:rPr>
                <w:sz w:val="26"/>
                <w:szCs w:val="26"/>
              </w:rPr>
              <w:t>Noteikumi par akcelerācijas fondiem saimnieciskās darbības veicēju izveides, attīstības un konkurētspējas veicināšanai</w:t>
            </w:r>
            <w:r>
              <w:rPr>
                <w:sz w:val="26"/>
                <w:szCs w:val="26"/>
              </w:rPr>
              <w:t>” (turpmāk – MK noteikumi Nr.226). Atbilstoši</w:t>
            </w:r>
            <w:r w:rsidR="00496640">
              <w:rPr>
                <w:sz w:val="26"/>
                <w:szCs w:val="26"/>
              </w:rPr>
              <w:t xml:space="preserve"> darbības programmai</w:t>
            </w:r>
            <w:r w:rsidRPr="00FB1994">
              <w:rPr>
                <w:sz w:val="26"/>
                <w:szCs w:val="26"/>
              </w:rPr>
              <w:t xml:space="preserve"> “Izaugsme un nodarbin</w:t>
            </w:r>
            <w:r>
              <w:rPr>
                <w:sz w:val="26"/>
                <w:szCs w:val="26"/>
              </w:rPr>
              <w:t>ātība</w:t>
            </w:r>
            <w:r w:rsidRPr="00A46A0D">
              <w:rPr>
                <w:sz w:val="26"/>
                <w:szCs w:val="26"/>
              </w:rPr>
              <w:t xml:space="preserve">” un MK noteikumu Nr.226 4.punktam, </w:t>
            </w:r>
            <w:r w:rsidRPr="00A46A0D">
              <w:rPr>
                <w:sz w:val="26"/>
                <w:szCs w:val="26"/>
              </w:rPr>
              <w:t xml:space="preserve">3.1.2.2.pasākuma “Tehnoloģiju akselerators” īstenošanai pieejamā ERAF finansējuma apmērs ir 15 miljoni </w:t>
            </w:r>
            <w:r w:rsidRPr="00A46A0D">
              <w:rPr>
                <w:i/>
                <w:sz w:val="26"/>
                <w:szCs w:val="26"/>
              </w:rPr>
              <w:t>euro</w:t>
            </w:r>
            <w:r w:rsidRPr="00A46A0D">
              <w:rPr>
                <w:sz w:val="26"/>
                <w:szCs w:val="26"/>
              </w:rPr>
              <w:t xml:space="preserve">. Ņemot vērā, ka akcelerācijas fondi ir jauns </w:t>
            </w:r>
            <w:r w:rsidRPr="00A46A0D" w:rsidR="00E01A7E">
              <w:rPr>
                <w:sz w:val="26"/>
                <w:szCs w:val="26"/>
              </w:rPr>
              <w:t xml:space="preserve">finanšu </w:t>
            </w:r>
            <w:r w:rsidRPr="00A46A0D">
              <w:rPr>
                <w:sz w:val="26"/>
                <w:szCs w:val="26"/>
              </w:rPr>
              <w:t>instruments, tad a</w:t>
            </w:r>
            <w:r w:rsidRPr="00A46A0D" w:rsidR="00624F44">
              <w:rPr>
                <w:sz w:val="26"/>
                <w:szCs w:val="26"/>
              </w:rPr>
              <w:t xml:space="preserve">r mērķi </w:t>
            </w:r>
            <w:r w:rsidRPr="00A46A0D">
              <w:rPr>
                <w:sz w:val="26"/>
                <w:szCs w:val="26"/>
              </w:rPr>
              <w:t xml:space="preserve">mazināt administratīvās prasības, ko nosaka ERAF finansējuma izmantošana, tirgus nepilnību izvērtējums </w:t>
            </w:r>
            <w:r w:rsidRPr="00A46A0D" w:rsidR="00E01A7E">
              <w:rPr>
                <w:sz w:val="26"/>
                <w:szCs w:val="26"/>
              </w:rPr>
              <w:t xml:space="preserve">un attiecīgi noteikumu projekts </w:t>
            </w:r>
            <w:r w:rsidRPr="00A46A0D">
              <w:rPr>
                <w:sz w:val="26"/>
                <w:szCs w:val="26"/>
              </w:rPr>
              <w:t xml:space="preserve">paredz </w:t>
            </w:r>
            <w:r w:rsidRPr="00A46A0D" w:rsidR="00E01A7E">
              <w:rPr>
                <w:sz w:val="26"/>
                <w:szCs w:val="26"/>
              </w:rPr>
              <w:t xml:space="preserve">samazināt </w:t>
            </w:r>
            <w:r w:rsidRPr="00A46A0D">
              <w:rPr>
                <w:sz w:val="26"/>
                <w:szCs w:val="26"/>
              </w:rPr>
              <w:t xml:space="preserve">daļu ERAF finansējuma </w:t>
            </w:r>
            <w:r w:rsidRPr="00A46A0D" w:rsidR="00E01A7E">
              <w:rPr>
                <w:sz w:val="26"/>
                <w:szCs w:val="26"/>
              </w:rPr>
              <w:t>(</w:t>
            </w:r>
            <w:r w:rsidRPr="00A46A0D">
              <w:rPr>
                <w:sz w:val="26"/>
                <w:szCs w:val="26"/>
              </w:rPr>
              <w:t xml:space="preserve">2 miljonu </w:t>
            </w:r>
            <w:r w:rsidRPr="00A46A0D" w:rsidR="00496640">
              <w:rPr>
                <w:i/>
                <w:sz w:val="26"/>
                <w:szCs w:val="26"/>
              </w:rPr>
              <w:t>euro</w:t>
            </w:r>
            <w:r w:rsidRPr="00A46A0D">
              <w:rPr>
                <w:sz w:val="26"/>
                <w:szCs w:val="26"/>
              </w:rPr>
              <w:t xml:space="preserve"> apmērā</w:t>
            </w:r>
            <w:r w:rsidRPr="00A46A0D" w:rsidR="00E01A7E">
              <w:rPr>
                <w:sz w:val="26"/>
                <w:szCs w:val="26"/>
              </w:rPr>
              <w:t>), to aizstājot</w:t>
            </w:r>
            <w:r w:rsidRPr="00A46A0D">
              <w:rPr>
                <w:sz w:val="26"/>
                <w:szCs w:val="26"/>
              </w:rPr>
              <w:t xml:space="preserve"> ar atmaksāto publisko finansējumu</w:t>
            </w:r>
            <w:r w:rsidRPr="00A46A0D" w:rsidR="00E01A7E">
              <w:rPr>
                <w:sz w:val="26"/>
                <w:szCs w:val="26"/>
              </w:rPr>
              <w:t xml:space="preserve"> 2007.-2013.gada plānošanas perioda finanšu instrumentos</w:t>
            </w:r>
            <w:r w:rsidRPr="00A46A0D">
              <w:rPr>
                <w:sz w:val="26"/>
                <w:szCs w:val="26"/>
              </w:rPr>
              <w:t xml:space="preserve">. </w:t>
            </w:r>
            <w:r w:rsidRPr="00A46A0D" w:rsidR="00E01A7E">
              <w:rPr>
                <w:sz w:val="26"/>
                <w:szCs w:val="26"/>
              </w:rPr>
              <w:t>Lai veiktu ERAF finansējuma samazināšanu un tā aizstāšanu ar atmaksāto publisko finansējumu, paralēli noteikumu projektam t</w:t>
            </w:r>
            <w:r w:rsidRPr="00A46A0D" w:rsidR="003F2A0D">
              <w:rPr>
                <w:sz w:val="26"/>
                <w:szCs w:val="26"/>
              </w:rPr>
              <w:t>iek</w:t>
            </w:r>
            <w:r w:rsidRPr="00A46A0D" w:rsidR="00E01A7E">
              <w:rPr>
                <w:sz w:val="26"/>
                <w:szCs w:val="26"/>
              </w:rPr>
              <w:t xml:space="preserve"> virzīti attiecīgie grozījumi MK noteikumos Nr.226.</w:t>
            </w:r>
            <w:r w:rsidR="00E01A7E">
              <w:rPr>
                <w:sz w:val="26"/>
                <w:szCs w:val="26"/>
              </w:rPr>
              <w:t xml:space="preserve"> </w:t>
            </w:r>
          </w:p>
          <w:p w:rsidR="005D4BD9" w:rsidRPr="00EE3411" w:rsidP="00EE3411" w14:paraId="6B183C8A" w14:textId="02D4A024">
            <w:pPr>
              <w:pStyle w:val="Default"/>
              <w:spacing w:after="120"/>
              <w:jc w:val="right"/>
              <w:rPr>
                <w:i/>
                <w:sz w:val="22"/>
                <w:szCs w:val="22"/>
              </w:rPr>
            </w:pPr>
            <w:r w:rsidRPr="00EE3411">
              <w:rPr>
                <w:i/>
                <w:sz w:val="26"/>
                <w:szCs w:val="26"/>
              </w:rPr>
              <w:t xml:space="preserve"> </w:t>
            </w:r>
            <w:r w:rsidRPr="00EE3411" w:rsidR="00EE3411">
              <w:rPr>
                <w:i/>
                <w:sz w:val="22"/>
                <w:szCs w:val="22"/>
              </w:rPr>
              <w:t>1.tabula</w:t>
            </w:r>
          </w:p>
          <w:p w:rsidR="00EE3411" w:rsidRPr="00EE3411" w:rsidP="00EE3411" w14:paraId="56CF03E8" w14:textId="61C52468">
            <w:pPr>
              <w:pStyle w:val="Default"/>
              <w:spacing w:after="120"/>
              <w:jc w:val="center"/>
              <w:rPr>
                <w:b/>
                <w:sz w:val="22"/>
                <w:szCs w:val="22"/>
              </w:rPr>
            </w:pPr>
            <w:r>
              <w:rPr>
                <w:b/>
                <w:sz w:val="22"/>
                <w:szCs w:val="22"/>
              </w:rPr>
              <w:t>Kopsavilkums par noteikumu projektā paredzēto ERAF finansējuma samazinājumu un novirzītājām atmaksām</w:t>
            </w:r>
            <w:r w:rsidRPr="00EE3411">
              <w:rPr>
                <w:b/>
                <w:sz w:val="22"/>
                <w:szCs w:val="22"/>
              </w:rPr>
              <w:t xml:space="preserve"> sadalījumā pa pasākumiem</w:t>
            </w:r>
          </w:p>
          <w:tbl>
            <w:tblPr>
              <w:tblStyle w:val="TableGrid"/>
              <w:tblW w:w="6367" w:type="dxa"/>
              <w:tblLook w:val="04A0"/>
            </w:tblPr>
            <w:tblGrid>
              <w:gridCol w:w="1716"/>
              <w:gridCol w:w="1116"/>
              <w:gridCol w:w="1400"/>
              <w:gridCol w:w="1161"/>
              <w:gridCol w:w="1055"/>
            </w:tblGrid>
            <w:tr w14:paraId="2A1454C5" w14:textId="77777777" w:rsidTr="00A16489">
              <w:tblPrEx>
                <w:tblW w:w="6367" w:type="dxa"/>
                <w:tblLook w:val="04A0"/>
              </w:tblPrEx>
              <w:tc>
                <w:tcPr>
                  <w:tcW w:w="925" w:type="dxa"/>
                </w:tcPr>
                <w:p w:rsidR="005D4BD9" w:rsidRPr="005D4BD9" w:rsidP="00A87984" w14:paraId="60C00D2F" w14:textId="4E63A210">
                  <w:pPr>
                    <w:pStyle w:val="Default"/>
                    <w:spacing w:after="120"/>
                    <w:jc w:val="both"/>
                    <w:rPr>
                      <w:sz w:val="20"/>
                      <w:szCs w:val="20"/>
                    </w:rPr>
                  </w:pPr>
                  <w:r>
                    <w:rPr>
                      <w:sz w:val="20"/>
                      <w:szCs w:val="20"/>
                    </w:rPr>
                    <w:t>Pasākums</w:t>
                  </w:r>
                </w:p>
              </w:tc>
              <w:tc>
                <w:tcPr>
                  <w:tcW w:w="1338" w:type="dxa"/>
                </w:tcPr>
                <w:p w:rsidR="005D4BD9" w:rsidRPr="005D4BD9" w:rsidP="00A87984" w14:paraId="42C6A22F" w14:textId="201682F4">
                  <w:pPr>
                    <w:pStyle w:val="Default"/>
                    <w:spacing w:after="120"/>
                    <w:jc w:val="both"/>
                    <w:rPr>
                      <w:sz w:val="20"/>
                      <w:szCs w:val="20"/>
                    </w:rPr>
                  </w:pPr>
                  <w:r>
                    <w:rPr>
                      <w:sz w:val="20"/>
                      <w:szCs w:val="20"/>
                    </w:rPr>
                    <w:t>ERAF piešķīrums saskaņā DP</w:t>
                  </w:r>
                  <w:r w:rsidRPr="00A16489">
                    <w:rPr>
                      <w:sz w:val="20"/>
                      <w:szCs w:val="20"/>
                    </w:rPr>
                    <w:t>1.p</w:t>
                  </w:r>
                  <w:r>
                    <w:rPr>
                      <w:sz w:val="20"/>
                      <w:szCs w:val="20"/>
                    </w:rPr>
                    <w:t xml:space="preserve">iel., </w:t>
                  </w:r>
                  <w:r w:rsidRPr="00496640">
                    <w:rPr>
                      <w:i/>
                      <w:sz w:val="20"/>
                      <w:szCs w:val="20"/>
                    </w:rPr>
                    <w:t>euro</w:t>
                  </w:r>
                </w:p>
              </w:tc>
              <w:tc>
                <w:tcPr>
                  <w:tcW w:w="1265" w:type="dxa"/>
                </w:tcPr>
                <w:p w:rsidR="005D4BD9" w:rsidRPr="005D4BD9" w:rsidP="00A87984" w14:paraId="5948C44F" w14:textId="2513CA28">
                  <w:pPr>
                    <w:pStyle w:val="Default"/>
                    <w:spacing w:after="120"/>
                    <w:jc w:val="both"/>
                    <w:rPr>
                      <w:sz w:val="20"/>
                      <w:szCs w:val="20"/>
                    </w:rPr>
                  </w:pPr>
                  <w:r>
                    <w:rPr>
                      <w:sz w:val="20"/>
                      <w:szCs w:val="20"/>
                    </w:rPr>
                    <w:t xml:space="preserve">ERAF, palielinājums vai </w:t>
                  </w:r>
                  <w:r w:rsidR="00A16489">
                    <w:rPr>
                      <w:sz w:val="20"/>
                      <w:szCs w:val="20"/>
                    </w:rPr>
                    <w:t xml:space="preserve">samazinājums, </w:t>
                  </w:r>
                  <w:r w:rsidRPr="00496640" w:rsidR="00A16489">
                    <w:rPr>
                      <w:i/>
                      <w:sz w:val="20"/>
                      <w:szCs w:val="20"/>
                    </w:rPr>
                    <w:t>euro</w:t>
                  </w:r>
                </w:p>
              </w:tc>
              <w:tc>
                <w:tcPr>
                  <w:tcW w:w="1274" w:type="dxa"/>
                </w:tcPr>
                <w:p w:rsidR="005D4BD9" w:rsidRPr="005D4BD9" w:rsidP="00A87984" w14:paraId="579FDF5E" w14:textId="6C4D8ABD">
                  <w:pPr>
                    <w:pStyle w:val="Default"/>
                    <w:spacing w:after="120"/>
                    <w:jc w:val="both"/>
                    <w:rPr>
                      <w:sz w:val="20"/>
                      <w:szCs w:val="20"/>
                    </w:rPr>
                  </w:pPr>
                  <w:r>
                    <w:rPr>
                      <w:sz w:val="20"/>
                      <w:szCs w:val="20"/>
                    </w:rPr>
                    <w:t xml:space="preserve">ERAF instrumentā pēc </w:t>
                  </w:r>
                  <w:r w:rsidR="00185B15">
                    <w:rPr>
                      <w:sz w:val="20"/>
                      <w:szCs w:val="20"/>
                    </w:rPr>
                    <w:t>pārdalēm</w:t>
                  </w:r>
                  <w:r>
                    <w:rPr>
                      <w:sz w:val="20"/>
                      <w:szCs w:val="20"/>
                    </w:rPr>
                    <w:t xml:space="preserve">, </w:t>
                  </w:r>
                  <w:r w:rsidRPr="00496640">
                    <w:rPr>
                      <w:i/>
                      <w:sz w:val="20"/>
                      <w:szCs w:val="20"/>
                    </w:rPr>
                    <w:t>euro</w:t>
                  </w:r>
                </w:p>
              </w:tc>
              <w:tc>
                <w:tcPr>
                  <w:tcW w:w="1565" w:type="dxa"/>
                </w:tcPr>
                <w:p w:rsidR="005D4BD9" w:rsidRPr="005D4BD9" w:rsidP="00A87984" w14:paraId="2B48FCBB" w14:textId="2FE02797">
                  <w:pPr>
                    <w:pStyle w:val="Default"/>
                    <w:spacing w:after="120"/>
                    <w:jc w:val="both"/>
                    <w:rPr>
                      <w:sz w:val="20"/>
                      <w:szCs w:val="20"/>
                    </w:rPr>
                  </w:pPr>
                  <w:r>
                    <w:rPr>
                      <w:sz w:val="20"/>
                      <w:szCs w:val="20"/>
                    </w:rPr>
                    <w:t xml:space="preserve">Atmaksas, ko paredzēts novirzīt, </w:t>
                  </w:r>
                  <w:r w:rsidRPr="00496640">
                    <w:rPr>
                      <w:i/>
                      <w:sz w:val="20"/>
                      <w:szCs w:val="20"/>
                    </w:rPr>
                    <w:t>euro</w:t>
                  </w:r>
                </w:p>
              </w:tc>
            </w:tr>
            <w:tr w14:paraId="79A4690D" w14:textId="77777777" w:rsidTr="00A16489">
              <w:tblPrEx>
                <w:tblW w:w="6367" w:type="dxa"/>
                <w:tblLook w:val="04A0"/>
              </w:tblPrEx>
              <w:tc>
                <w:tcPr>
                  <w:tcW w:w="925" w:type="dxa"/>
                </w:tcPr>
                <w:p w:rsidR="005D4BD9" w:rsidRPr="00A16489" w:rsidP="00A87984" w14:paraId="6904E44D" w14:textId="6EC43B3D">
                  <w:pPr>
                    <w:pStyle w:val="Default"/>
                    <w:spacing w:after="120"/>
                    <w:jc w:val="both"/>
                    <w:rPr>
                      <w:sz w:val="18"/>
                      <w:szCs w:val="18"/>
                    </w:rPr>
                  </w:pPr>
                  <w:r w:rsidRPr="00A16489">
                    <w:rPr>
                      <w:sz w:val="18"/>
                      <w:szCs w:val="18"/>
                    </w:rPr>
                    <w:t>3.1.1.1. “Aizdevumu garantijas”</w:t>
                  </w:r>
                </w:p>
              </w:tc>
              <w:tc>
                <w:tcPr>
                  <w:tcW w:w="1338" w:type="dxa"/>
                </w:tcPr>
                <w:p w:rsidR="005D4BD9" w:rsidRPr="005D4BD9" w:rsidP="00A87984" w14:paraId="7BB75CE6" w14:textId="4468C578">
                  <w:pPr>
                    <w:pStyle w:val="Default"/>
                    <w:spacing w:after="120"/>
                    <w:jc w:val="both"/>
                    <w:rPr>
                      <w:sz w:val="20"/>
                      <w:szCs w:val="20"/>
                    </w:rPr>
                  </w:pPr>
                  <w:r>
                    <w:rPr>
                      <w:sz w:val="20"/>
                      <w:szCs w:val="20"/>
                    </w:rPr>
                    <w:t>22 000 000</w:t>
                  </w:r>
                </w:p>
              </w:tc>
              <w:tc>
                <w:tcPr>
                  <w:tcW w:w="1265" w:type="dxa"/>
                </w:tcPr>
                <w:p w:rsidR="005D4BD9" w:rsidRPr="005D4BD9" w:rsidP="00A87984" w14:paraId="4473D838" w14:textId="58A6BEA2">
                  <w:pPr>
                    <w:pStyle w:val="Default"/>
                    <w:spacing w:after="120"/>
                    <w:jc w:val="both"/>
                    <w:rPr>
                      <w:sz w:val="20"/>
                      <w:szCs w:val="20"/>
                    </w:rPr>
                  </w:pPr>
                  <w:r>
                    <w:rPr>
                      <w:sz w:val="20"/>
                      <w:szCs w:val="20"/>
                    </w:rPr>
                    <w:t>+22 800 000</w:t>
                  </w:r>
                </w:p>
              </w:tc>
              <w:tc>
                <w:tcPr>
                  <w:tcW w:w="1274" w:type="dxa"/>
                </w:tcPr>
                <w:p w:rsidR="005D4BD9" w:rsidRPr="005D4BD9" w:rsidP="00A87984" w14:paraId="2B3AAF24" w14:textId="31A3CA3D">
                  <w:pPr>
                    <w:pStyle w:val="Default"/>
                    <w:spacing w:after="120"/>
                    <w:jc w:val="both"/>
                    <w:rPr>
                      <w:sz w:val="20"/>
                      <w:szCs w:val="20"/>
                    </w:rPr>
                  </w:pPr>
                  <w:r>
                    <w:rPr>
                      <w:sz w:val="20"/>
                      <w:szCs w:val="20"/>
                    </w:rPr>
                    <w:t>44 800 000</w:t>
                  </w:r>
                </w:p>
              </w:tc>
              <w:tc>
                <w:tcPr>
                  <w:tcW w:w="1565" w:type="dxa"/>
                </w:tcPr>
                <w:p w:rsidR="005D4BD9" w:rsidRPr="005D4BD9" w:rsidP="00A87984" w14:paraId="055DC6E8" w14:textId="5D9761D3">
                  <w:pPr>
                    <w:pStyle w:val="Default"/>
                    <w:spacing w:after="120"/>
                    <w:jc w:val="both"/>
                    <w:rPr>
                      <w:sz w:val="20"/>
                      <w:szCs w:val="20"/>
                    </w:rPr>
                  </w:pPr>
                  <w:r>
                    <w:rPr>
                      <w:sz w:val="20"/>
                      <w:szCs w:val="20"/>
                    </w:rPr>
                    <w:t>0</w:t>
                  </w:r>
                </w:p>
              </w:tc>
            </w:tr>
            <w:tr w14:paraId="4A2B4DBA" w14:textId="77777777" w:rsidTr="00A16489">
              <w:tblPrEx>
                <w:tblW w:w="6367" w:type="dxa"/>
                <w:tblLook w:val="04A0"/>
              </w:tblPrEx>
              <w:tc>
                <w:tcPr>
                  <w:tcW w:w="925" w:type="dxa"/>
                </w:tcPr>
                <w:p w:rsidR="005D4BD9" w:rsidRPr="00A16489" w:rsidP="00A87984" w14:paraId="335F0F76" w14:textId="79A14CBE">
                  <w:pPr>
                    <w:pStyle w:val="Default"/>
                    <w:spacing w:after="120"/>
                    <w:jc w:val="both"/>
                    <w:rPr>
                      <w:sz w:val="18"/>
                      <w:szCs w:val="18"/>
                    </w:rPr>
                  </w:pPr>
                  <w:r w:rsidRPr="00A16489">
                    <w:rPr>
                      <w:sz w:val="18"/>
                      <w:szCs w:val="18"/>
                    </w:rPr>
                    <w:t>3.1.1.2. “Mezanīna aizdevumi”</w:t>
                  </w:r>
                </w:p>
              </w:tc>
              <w:tc>
                <w:tcPr>
                  <w:tcW w:w="1338" w:type="dxa"/>
                </w:tcPr>
                <w:p w:rsidR="005D4BD9" w:rsidRPr="005D4BD9" w:rsidP="00A87984" w14:paraId="60E0DF88" w14:textId="64A19ECC">
                  <w:pPr>
                    <w:pStyle w:val="Default"/>
                    <w:spacing w:after="120"/>
                    <w:jc w:val="both"/>
                    <w:rPr>
                      <w:sz w:val="20"/>
                      <w:szCs w:val="20"/>
                    </w:rPr>
                  </w:pPr>
                  <w:r>
                    <w:rPr>
                      <w:sz w:val="20"/>
                      <w:szCs w:val="20"/>
                    </w:rPr>
                    <w:t>7 000 000</w:t>
                  </w:r>
                </w:p>
              </w:tc>
              <w:tc>
                <w:tcPr>
                  <w:tcW w:w="1265" w:type="dxa"/>
                </w:tcPr>
                <w:p w:rsidR="005D4BD9" w:rsidRPr="005D4BD9" w:rsidP="00A87984" w14:paraId="2DEC510E" w14:textId="73B82BD7">
                  <w:pPr>
                    <w:pStyle w:val="Default"/>
                    <w:spacing w:after="120"/>
                    <w:jc w:val="both"/>
                    <w:rPr>
                      <w:sz w:val="20"/>
                      <w:szCs w:val="20"/>
                    </w:rPr>
                  </w:pPr>
                  <w:r>
                    <w:rPr>
                      <w:sz w:val="20"/>
                      <w:szCs w:val="20"/>
                    </w:rPr>
                    <w:t>0</w:t>
                  </w:r>
                </w:p>
              </w:tc>
              <w:tc>
                <w:tcPr>
                  <w:tcW w:w="1274" w:type="dxa"/>
                </w:tcPr>
                <w:p w:rsidR="005D4BD9" w:rsidRPr="005D4BD9" w:rsidP="00A87984" w14:paraId="5DEE4819" w14:textId="6C757417">
                  <w:pPr>
                    <w:pStyle w:val="Default"/>
                    <w:spacing w:after="120"/>
                    <w:jc w:val="both"/>
                    <w:rPr>
                      <w:sz w:val="20"/>
                      <w:szCs w:val="20"/>
                    </w:rPr>
                  </w:pPr>
                  <w:r>
                    <w:rPr>
                      <w:sz w:val="20"/>
                      <w:szCs w:val="20"/>
                    </w:rPr>
                    <w:t>7 000 000</w:t>
                  </w:r>
                </w:p>
              </w:tc>
              <w:tc>
                <w:tcPr>
                  <w:tcW w:w="1565" w:type="dxa"/>
                </w:tcPr>
                <w:p w:rsidR="005D4BD9" w:rsidRPr="005D4BD9" w:rsidP="00A87984" w14:paraId="1950C1E6" w14:textId="3D0AD65F">
                  <w:pPr>
                    <w:pStyle w:val="Default"/>
                    <w:spacing w:after="120"/>
                    <w:jc w:val="both"/>
                    <w:rPr>
                      <w:sz w:val="20"/>
                      <w:szCs w:val="20"/>
                    </w:rPr>
                  </w:pPr>
                  <w:r>
                    <w:rPr>
                      <w:sz w:val="20"/>
                      <w:szCs w:val="20"/>
                    </w:rPr>
                    <w:t>0</w:t>
                  </w:r>
                </w:p>
              </w:tc>
            </w:tr>
            <w:tr w14:paraId="6E30ECF7" w14:textId="77777777" w:rsidTr="00A16489">
              <w:tblPrEx>
                <w:tblW w:w="6367" w:type="dxa"/>
                <w:tblLook w:val="04A0"/>
              </w:tblPrEx>
              <w:tc>
                <w:tcPr>
                  <w:tcW w:w="925" w:type="dxa"/>
                </w:tcPr>
                <w:p w:rsidR="005D4BD9" w:rsidRPr="005D4BD9" w:rsidP="00A87984" w14:paraId="7A51A2BF" w14:textId="4B3C7FE2">
                  <w:pPr>
                    <w:pStyle w:val="Default"/>
                    <w:spacing w:after="120"/>
                    <w:jc w:val="both"/>
                    <w:rPr>
                      <w:sz w:val="20"/>
                      <w:szCs w:val="20"/>
                    </w:rPr>
                  </w:pPr>
                  <w:r>
                    <w:rPr>
                      <w:sz w:val="20"/>
                      <w:szCs w:val="20"/>
                    </w:rPr>
                    <w:t>3.1.1.3. “Biznesa eņģeļu ko-investīciju fonds”</w:t>
                  </w:r>
                </w:p>
              </w:tc>
              <w:tc>
                <w:tcPr>
                  <w:tcW w:w="1338" w:type="dxa"/>
                </w:tcPr>
                <w:p w:rsidR="005D4BD9" w:rsidRPr="005D4BD9" w:rsidP="00A87984" w14:paraId="28DD72D9" w14:textId="06ED7EA1">
                  <w:pPr>
                    <w:pStyle w:val="Default"/>
                    <w:spacing w:after="120"/>
                    <w:jc w:val="both"/>
                    <w:rPr>
                      <w:sz w:val="20"/>
                      <w:szCs w:val="20"/>
                    </w:rPr>
                  </w:pPr>
                  <w:r>
                    <w:rPr>
                      <w:sz w:val="20"/>
                      <w:szCs w:val="20"/>
                    </w:rPr>
                    <w:t>10 416 515</w:t>
                  </w:r>
                </w:p>
              </w:tc>
              <w:tc>
                <w:tcPr>
                  <w:tcW w:w="1265" w:type="dxa"/>
                </w:tcPr>
                <w:p w:rsidR="005D4BD9" w:rsidRPr="005D4BD9" w:rsidP="00185B15" w14:paraId="528BB33E" w14:textId="4F239BB0">
                  <w:pPr>
                    <w:pStyle w:val="Default"/>
                    <w:spacing w:after="120"/>
                    <w:jc w:val="both"/>
                    <w:rPr>
                      <w:sz w:val="20"/>
                      <w:szCs w:val="20"/>
                    </w:rPr>
                  </w:pPr>
                  <w:r>
                    <w:rPr>
                      <w:sz w:val="20"/>
                      <w:szCs w:val="20"/>
                    </w:rPr>
                    <w:t>-10 416 515</w:t>
                  </w:r>
                </w:p>
              </w:tc>
              <w:tc>
                <w:tcPr>
                  <w:tcW w:w="1274" w:type="dxa"/>
                </w:tcPr>
                <w:p w:rsidR="005D4BD9" w:rsidRPr="005D4BD9" w:rsidP="00A87984" w14:paraId="54682524" w14:textId="5F2CB4FB">
                  <w:pPr>
                    <w:pStyle w:val="Default"/>
                    <w:spacing w:after="120"/>
                    <w:jc w:val="both"/>
                    <w:rPr>
                      <w:sz w:val="20"/>
                      <w:szCs w:val="20"/>
                    </w:rPr>
                  </w:pPr>
                  <w:r>
                    <w:rPr>
                      <w:sz w:val="20"/>
                      <w:szCs w:val="20"/>
                    </w:rPr>
                    <w:t>0</w:t>
                  </w:r>
                </w:p>
              </w:tc>
              <w:tc>
                <w:tcPr>
                  <w:tcW w:w="1565" w:type="dxa"/>
                </w:tcPr>
                <w:p w:rsidR="005D4BD9" w:rsidRPr="005D4BD9" w:rsidP="00A87984" w14:paraId="3A65CB31" w14:textId="1907A554">
                  <w:pPr>
                    <w:pStyle w:val="Default"/>
                    <w:spacing w:after="120"/>
                    <w:jc w:val="both"/>
                    <w:rPr>
                      <w:sz w:val="20"/>
                      <w:szCs w:val="20"/>
                    </w:rPr>
                  </w:pPr>
                  <w:r>
                    <w:rPr>
                      <w:sz w:val="20"/>
                      <w:szCs w:val="20"/>
                    </w:rPr>
                    <w:t>0</w:t>
                  </w:r>
                </w:p>
              </w:tc>
            </w:tr>
            <w:tr w14:paraId="5EFBD80F" w14:textId="77777777" w:rsidTr="00A16489">
              <w:tblPrEx>
                <w:tblW w:w="6367" w:type="dxa"/>
                <w:tblLook w:val="04A0"/>
              </w:tblPrEx>
              <w:tc>
                <w:tcPr>
                  <w:tcW w:w="925" w:type="dxa"/>
                </w:tcPr>
                <w:p w:rsidR="005D4BD9" w:rsidRPr="005D4BD9" w:rsidP="00A87984" w14:paraId="65FFBB96" w14:textId="6BB20CD8">
                  <w:pPr>
                    <w:pStyle w:val="Default"/>
                    <w:spacing w:after="120"/>
                    <w:jc w:val="both"/>
                    <w:rPr>
                      <w:sz w:val="20"/>
                      <w:szCs w:val="20"/>
                    </w:rPr>
                  </w:pPr>
                  <w:r>
                    <w:rPr>
                      <w:sz w:val="20"/>
                      <w:szCs w:val="20"/>
                    </w:rPr>
                    <w:t>3.1.1.4. “Mikrokreditēšana un aizdevumi biznesa uzsācējiem”</w:t>
                  </w:r>
                </w:p>
              </w:tc>
              <w:tc>
                <w:tcPr>
                  <w:tcW w:w="1338" w:type="dxa"/>
                </w:tcPr>
                <w:p w:rsidR="005D4BD9" w:rsidRPr="005D4BD9" w:rsidP="00A87984" w14:paraId="1ECC4D13" w14:textId="0CCD9986">
                  <w:pPr>
                    <w:pStyle w:val="Default"/>
                    <w:spacing w:after="120"/>
                    <w:jc w:val="both"/>
                    <w:rPr>
                      <w:sz w:val="20"/>
                      <w:szCs w:val="20"/>
                    </w:rPr>
                  </w:pPr>
                  <w:r>
                    <w:rPr>
                      <w:sz w:val="20"/>
                      <w:szCs w:val="20"/>
                    </w:rPr>
                    <w:t>12 000 000</w:t>
                  </w:r>
                </w:p>
              </w:tc>
              <w:tc>
                <w:tcPr>
                  <w:tcW w:w="1265" w:type="dxa"/>
                </w:tcPr>
                <w:p w:rsidR="005D4BD9" w:rsidRPr="005D4BD9" w:rsidP="00185B15" w14:paraId="1EB594BE" w14:textId="3A402E35">
                  <w:pPr>
                    <w:pStyle w:val="Default"/>
                    <w:spacing w:after="120"/>
                    <w:jc w:val="both"/>
                    <w:rPr>
                      <w:sz w:val="20"/>
                      <w:szCs w:val="20"/>
                    </w:rPr>
                  </w:pPr>
                  <w:r>
                    <w:rPr>
                      <w:sz w:val="20"/>
                      <w:szCs w:val="20"/>
                    </w:rPr>
                    <w:t>-8 000 000</w:t>
                  </w:r>
                </w:p>
              </w:tc>
              <w:tc>
                <w:tcPr>
                  <w:tcW w:w="1274" w:type="dxa"/>
                </w:tcPr>
                <w:p w:rsidR="005D4BD9" w:rsidRPr="005D4BD9" w:rsidP="00A87984" w14:paraId="3717F166" w14:textId="5D80C9E1">
                  <w:pPr>
                    <w:pStyle w:val="Default"/>
                    <w:spacing w:after="120"/>
                    <w:jc w:val="both"/>
                    <w:rPr>
                      <w:sz w:val="20"/>
                      <w:szCs w:val="20"/>
                    </w:rPr>
                  </w:pPr>
                  <w:r>
                    <w:rPr>
                      <w:sz w:val="20"/>
                      <w:szCs w:val="20"/>
                    </w:rPr>
                    <w:t>4 000 000</w:t>
                  </w:r>
                </w:p>
              </w:tc>
              <w:tc>
                <w:tcPr>
                  <w:tcW w:w="1565" w:type="dxa"/>
                </w:tcPr>
                <w:p w:rsidR="005D4BD9" w:rsidRPr="005D4BD9" w:rsidP="00A87984" w14:paraId="2C94AE9F" w14:textId="641B53FF">
                  <w:pPr>
                    <w:pStyle w:val="Default"/>
                    <w:spacing w:after="120"/>
                    <w:jc w:val="both"/>
                    <w:rPr>
                      <w:sz w:val="20"/>
                      <w:szCs w:val="20"/>
                    </w:rPr>
                  </w:pPr>
                  <w:r>
                    <w:rPr>
                      <w:sz w:val="20"/>
                      <w:szCs w:val="20"/>
                    </w:rPr>
                    <w:t>2 500 000</w:t>
                  </w:r>
                </w:p>
              </w:tc>
            </w:tr>
            <w:tr w14:paraId="0B2C1AB4" w14:textId="77777777" w:rsidTr="00A16489">
              <w:tblPrEx>
                <w:tblW w:w="6367" w:type="dxa"/>
                <w:tblLook w:val="04A0"/>
              </w:tblPrEx>
              <w:tc>
                <w:tcPr>
                  <w:tcW w:w="925" w:type="dxa"/>
                </w:tcPr>
                <w:p w:rsidR="005D4BD9" w:rsidRPr="005D4BD9" w:rsidP="00A87984" w14:paraId="7E9CB088" w14:textId="0CC5AF8C">
                  <w:pPr>
                    <w:pStyle w:val="Default"/>
                    <w:spacing w:after="120"/>
                    <w:jc w:val="both"/>
                    <w:rPr>
                      <w:sz w:val="20"/>
                      <w:szCs w:val="20"/>
                    </w:rPr>
                  </w:pPr>
                  <w:r>
                    <w:rPr>
                      <w:sz w:val="20"/>
                      <w:szCs w:val="20"/>
                    </w:rPr>
                    <w:t>3.1.2.1. “Riska kapitāls”</w:t>
                  </w:r>
                </w:p>
              </w:tc>
              <w:tc>
                <w:tcPr>
                  <w:tcW w:w="1338" w:type="dxa"/>
                </w:tcPr>
                <w:p w:rsidR="005D4BD9" w:rsidRPr="005D4BD9" w:rsidP="00A87984" w14:paraId="5C2D3FA0" w14:textId="78602F80">
                  <w:pPr>
                    <w:pStyle w:val="Default"/>
                    <w:spacing w:after="120"/>
                    <w:jc w:val="both"/>
                    <w:rPr>
                      <w:sz w:val="20"/>
                      <w:szCs w:val="20"/>
                    </w:rPr>
                  </w:pPr>
                  <w:r>
                    <w:rPr>
                      <w:sz w:val="20"/>
                      <w:szCs w:val="20"/>
                    </w:rPr>
                    <w:t>60 000 000</w:t>
                  </w:r>
                </w:p>
              </w:tc>
              <w:tc>
                <w:tcPr>
                  <w:tcW w:w="1265" w:type="dxa"/>
                </w:tcPr>
                <w:p w:rsidR="005D4BD9" w:rsidRPr="005D4BD9" w:rsidP="00A87984" w14:paraId="4EEEBE75" w14:textId="298CD13C">
                  <w:pPr>
                    <w:pStyle w:val="Default"/>
                    <w:spacing w:after="120"/>
                    <w:jc w:val="both"/>
                    <w:rPr>
                      <w:sz w:val="20"/>
                      <w:szCs w:val="20"/>
                    </w:rPr>
                  </w:pPr>
                  <w:r>
                    <w:rPr>
                      <w:sz w:val="20"/>
                      <w:szCs w:val="20"/>
                    </w:rPr>
                    <w:t>-27 800 000</w:t>
                  </w:r>
                </w:p>
              </w:tc>
              <w:tc>
                <w:tcPr>
                  <w:tcW w:w="1274" w:type="dxa"/>
                </w:tcPr>
                <w:p w:rsidR="005D4BD9" w:rsidRPr="005D4BD9" w:rsidP="00A87984" w14:paraId="380D6678" w14:textId="340C334D">
                  <w:pPr>
                    <w:pStyle w:val="Default"/>
                    <w:spacing w:after="120"/>
                    <w:jc w:val="both"/>
                    <w:rPr>
                      <w:sz w:val="20"/>
                      <w:szCs w:val="20"/>
                    </w:rPr>
                  </w:pPr>
                  <w:r>
                    <w:rPr>
                      <w:sz w:val="20"/>
                      <w:szCs w:val="20"/>
                    </w:rPr>
                    <w:t>32 200 000</w:t>
                  </w:r>
                </w:p>
              </w:tc>
              <w:tc>
                <w:tcPr>
                  <w:tcW w:w="1565" w:type="dxa"/>
                </w:tcPr>
                <w:p w:rsidR="005D4BD9" w:rsidRPr="005D4BD9" w:rsidP="00A87984" w14:paraId="7520ECDF" w14:textId="3EE7E2F4">
                  <w:pPr>
                    <w:pStyle w:val="Default"/>
                    <w:spacing w:after="120"/>
                    <w:jc w:val="both"/>
                    <w:rPr>
                      <w:sz w:val="20"/>
                      <w:szCs w:val="20"/>
                    </w:rPr>
                  </w:pPr>
                  <w:r>
                    <w:rPr>
                      <w:sz w:val="20"/>
                      <w:szCs w:val="20"/>
                    </w:rPr>
                    <w:t>27 800 000</w:t>
                  </w:r>
                </w:p>
              </w:tc>
            </w:tr>
            <w:tr w14:paraId="0C0932D3" w14:textId="77777777" w:rsidTr="00A16489">
              <w:tblPrEx>
                <w:tblW w:w="6367" w:type="dxa"/>
                <w:tblLook w:val="04A0"/>
              </w:tblPrEx>
              <w:tc>
                <w:tcPr>
                  <w:tcW w:w="925" w:type="dxa"/>
                </w:tcPr>
                <w:p w:rsidR="005D4BD9" w:rsidRPr="005D4BD9" w:rsidP="00A87984" w14:paraId="36093040" w14:textId="5591559C">
                  <w:pPr>
                    <w:pStyle w:val="Default"/>
                    <w:spacing w:after="120"/>
                    <w:jc w:val="both"/>
                    <w:rPr>
                      <w:sz w:val="20"/>
                      <w:szCs w:val="20"/>
                    </w:rPr>
                  </w:pPr>
                  <w:r>
                    <w:rPr>
                      <w:sz w:val="20"/>
                      <w:szCs w:val="20"/>
                    </w:rPr>
                    <w:t>3.1.2.2. “Tehnoloģiju akselerators”</w:t>
                  </w:r>
                </w:p>
              </w:tc>
              <w:tc>
                <w:tcPr>
                  <w:tcW w:w="1338" w:type="dxa"/>
                </w:tcPr>
                <w:p w:rsidR="005D4BD9" w:rsidRPr="005D4BD9" w:rsidP="00A87984" w14:paraId="198CDE52" w14:textId="7E6E7513">
                  <w:pPr>
                    <w:pStyle w:val="Default"/>
                    <w:spacing w:after="120"/>
                    <w:jc w:val="both"/>
                    <w:rPr>
                      <w:sz w:val="20"/>
                      <w:szCs w:val="20"/>
                    </w:rPr>
                  </w:pPr>
                  <w:r>
                    <w:rPr>
                      <w:sz w:val="20"/>
                      <w:szCs w:val="20"/>
                    </w:rPr>
                    <w:t>15 000 000</w:t>
                  </w:r>
                </w:p>
              </w:tc>
              <w:tc>
                <w:tcPr>
                  <w:tcW w:w="1265" w:type="dxa"/>
                </w:tcPr>
                <w:p w:rsidR="005D4BD9" w:rsidRPr="005D4BD9" w:rsidP="00A87984" w14:paraId="4C39A5D0" w14:textId="18175A6E">
                  <w:pPr>
                    <w:pStyle w:val="Default"/>
                    <w:spacing w:after="120"/>
                    <w:jc w:val="both"/>
                    <w:rPr>
                      <w:sz w:val="20"/>
                      <w:szCs w:val="20"/>
                    </w:rPr>
                  </w:pPr>
                  <w:r>
                    <w:rPr>
                      <w:sz w:val="20"/>
                      <w:szCs w:val="20"/>
                    </w:rPr>
                    <w:t>-2 000 000</w:t>
                  </w:r>
                </w:p>
              </w:tc>
              <w:tc>
                <w:tcPr>
                  <w:tcW w:w="1274" w:type="dxa"/>
                </w:tcPr>
                <w:p w:rsidR="005D4BD9" w:rsidRPr="005D4BD9" w:rsidP="00A87984" w14:paraId="5A9AF4FA" w14:textId="528C528D">
                  <w:pPr>
                    <w:pStyle w:val="Default"/>
                    <w:spacing w:after="120"/>
                    <w:jc w:val="both"/>
                    <w:rPr>
                      <w:sz w:val="20"/>
                      <w:szCs w:val="20"/>
                    </w:rPr>
                  </w:pPr>
                  <w:r>
                    <w:rPr>
                      <w:sz w:val="20"/>
                      <w:szCs w:val="20"/>
                    </w:rPr>
                    <w:t>13 000 000</w:t>
                  </w:r>
                </w:p>
              </w:tc>
              <w:tc>
                <w:tcPr>
                  <w:tcW w:w="1565" w:type="dxa"/>
                </w:tcPr>
                <w:p w:rsidR="005D4BD9" w:rsidRPr="005D4BD9" w:rsidP="00A87984" w14:paraId="05B5018D" w14:textId="694BC712">
                  <w:pPr>
                    <w:pStyle w:val="Default"/>
                    <w:spacing w:after="120"/>
                    <w:jc w:val="both"/>
                    <w:rPr>
                      <w:sz w:val="20"/>
                      <w:szCs w:val="20"/>
                    </w:rPr>
                  </w:pPr>
                  <w:r>
                    <w:rPr>
                      <w:sz w:val="20"/>
                      <w:szCs w:val="20"/>
                    </w:rPr>
                    <w:t>2 000 000</w:t>
                  </w:r>
                </w:p>
              </w:tc>
            </w:tr>
            <w:tr w14:paraId="7D50950A" w14:textId="77777777" w:rsidTr="00A16489">
              <w:tblPrEx>
                <w:tblW w:w="6367" w:type="dxa"/>
                <w:tblLook w:val="04A0"/>
              </w:tblPrEx>
              <w:tc>
                <w:tcPr>
                  <w:tcW w:w="925" w:type="dxa"/>
                </w:tcPr>
                <w:p w:rsidR="005D4BD9" w:rsidRPr="00E01A7E" w:rsidP="00A87984" w14:paraId="57EF8FC2" w14:textId="2F23AF87">
                  <w:pPr>
                    <w:pStyle w:val="Default"/>
                    <w:spacing w:after="120"/>
                    <w:jc w:val="both"/>
                    <w:rPr>
                      <w:b/>
                      <w:sz w:val="20"/>
                      <w:szCs w:val="20"/>
                    </w:rPr>
                  </w:pPr>
                  <w:r w:rsidRPr="00E01A7E">
                    <w:rPr>
                      <w:b/>
                      <w:sz w:val="20"/>
                      <w:szCs w:val="20"/>
                    </w:rPr>
                    <w:t>Kopā</w:t>
                  </w:r>
                </w:p>
              </w:tc>
              <w:tc>
                <w:tcPr>
                  <w:tcW w:w="1338" w:type="dxa"/>
                </w:tcPr>
                <w:p w:rsidR="005D4BD9" w:rsidRPr="00E01A7E" w:rsidP="00A87984" w14:paraId="1C6AEDC7" w14:textId="32E1A845">
                  <w:pPr>
                    <w:pStyle w:val="Default"/>
                    <w:spacing w:after="120"/>
                    <w:jc w:val="both"/>
                    <w:rPr>
                      <w:b/>
                      <w:sz w:val="20"/>
                      <w:szCs w:val="20"/>
                    </w:rPr>
                  </w:pPr>
                  <w:r w:rsidRPr="00E01A7E">
                    <w:rPr>
                      <w:b/>
                      <w:sz w:val="20"/>
                      <w:szCs w:val="20"/>
                    </w:rPr>
                    <w:t>126 416 515</w:t>
                  </w:r>
                </w:p>
              </w:tc>
              <w:tc>
                <w:tcPr>
                  <w:tcW w:w="1265" w:type="dxa"/>
                </w:tcPr>
                <w:p w:rsidR="005D4BD9" w:rsidRPr="00E01A7E" w:rsidP="00A87984" w14:paraId="4D30BF23" w14:textId="1D19BBFE">
                  <w:pPr>
                    <w:pStyle w:val="Default"/>
                    <w:spacing w:after="120"/>
                    <w:jc w:val="both"/>
                    <w:rPr>
                      <w:b/>
                      <w:sz w:val="20"/>
                      <w:szCs w:val="20"/>
                    </w:rPr>
                  </w:pPr>
                  <w:r w:rsidRPr="00E01A7E">
                    <w:rPr>
                      <w:b/>
                      <w:sz w:val="20"/>
                      <w:szCs w:val="20"/>
                    </w:rPr>
                    <w:t>-25 416 515</w:t>
                  </w:r>
                </w:p>
              </w:tc>
              <w:tc>
                <w:tcPr>
                  <w:tcW w:w="1274" w:type="dxa"/>
                </w:tcPr>
                <w:p w:rsidR="005D4BD9" w:rsidRPr="00E01A7E" w:rsidP="00A87984" w14:paraId="6221855E" w14:textId="68571E9B">
                  <w:pPr>
                    <w:pStyle w:val="Default"/>
                    <w:spacing w:after="120"/>
                    <w:jc w:val="both"/>
                    <w:rPr>
                      <w:b/>
                      <w:sz w:val="20"/>
                      <w:szCs w:val="20"/>
                    </w:rPr>
                  </w:pPr>
                  <w:r w:rsidRPr="00E01A7E">
                    <w:rPr>
                      <w:b/>
                      <w:sz w:val="20"/>
                      <w:szCs w:val="20"/>
                    </w:rPr>
                    <w:t>101 000 000</w:t>
                  </w:r>
                </w:p>
              </w:tc>
              <w:tc>
                <w:tcPr>
                  <w:tcW w:w="1565" w:type="dxa"/>
                </w:tcPr>
                <w:p w:rsidR="005D4BD9" w:rsidRPr="00E01A7E" w:rsidP="00A87984" w14:paraId="3B065751" w14:textId="0F6D08E8">
                  <w:pPr>
                    <w:pStyle w:val="Default"/>
                    <w:spacing w:after="120"/>
                    <w:jc w:val="both"/>
                    <w:rPr>
                      <w:b/>
                      <w:sz w:val="20"/>
                      <w:szCs w:val="20"/>
                    </w:rPr>
                  </w:pPr>
                  <w:r>
                    <w:rPr>
                      <w:b/>
                      <w:sz w:val="20"/>
                      <w:szCs w:val="20"/>
                    </w:rPr>
                    <w:t>32 3</w:t>
                  </w:r>
                  <w:r w:rsidRPr="00E01A7E" w:rsidR="00A16489">
                    <w:rPr>
                      <w:b/>
                      <w:sz w:val="20"/>
                      <w:szCs w:val="20"/>
                    </w:rPr>
                    <w:t>00 000</w:t>
                  </w:r>
                </w:p>
              </w:tc>
            </w:tr>
          </w:tbl>
          <w:p w:rsidR="00486002" w:rsidP="0032595C" w14:paraId="5318F874" w14:textId="77777777">
            <w:pPr>
              <w:pStyle w:val="Default"/>
              <w:spacing w:after="120"/>
              <w:jc w:val="both"/>
              <w:rPr>
                <w:sz w:val="26"/>
                <w:szCs w:val="26"/>
              </w:rPr>
            </w:pPr>
          </w:p>
          <w:p w:rsidR="00DE329D" w:rsidP="0032595C" w14:paraId="2CE2B5D4" w14:textId="3901DDC3">
            <w:pPr>
              <w:pStyle w:val="Default"/>
              <w:spacing w:after="120"/>
              <w:jc w:val="both"/>
              <w:rPr>
                <w:sz w:val="26"/>
                <w:szCs w:val="26"/>
              </w:rPr>
            </w:pPr>
            <w:r>
              <w:rPr>
                <w:sz w:val="26"/>
                <w:szCs w:val="26"/>
              </w:rPr>
              <w:t>Ņemot vērā, ka akcelerācijas fondi, sēklas kapitāla, sākuma kapitāla un izaugsmes kapitāla fondi uzsāks savu darbību 2018.gada 2. līdz 3. ceturksnī, kā arī to, ka atsevišķu investīciju darījumu izvērtēšana un lēmumu pieņemšana var ilgt vidēji 3 līdz 6 mēnešus</w:t>
            </w:r>
            <w:r w:rsidR="00E262B7">
              <w:rPr>
                <w:sz w:val="26"/>
                <w:szCs w:val="26"/>
              </w:rPr>
              <w:t xml:space="preserve">, nepieciešams precizēt </w:t>
            </w:r>
            <w:r w:rsidRPr="00E262B7" w:rsidR="00E262B7">
              <w:rPr>
                <w:sz w:val="26"/>
                <w:szCs w:val="26"/>
              </w:rPr>
              <w:t>3.</w:t>
            </w:r>
            <w:r w:rsidR="00E262B7">
              <w:rPr>
                <w:sz w:val="26"/>
                <w:szCs w:val="26"/>
              </w:rPr>
              <w:t>1.2. specifiskā atbalsta mērķa “</w:t>
            </w:r>
            <w:r w:rsidRPr="00E262B7" w:rsidR="00E262B7">
              <w:rPr>
                <w:sz w:val="26"/>
                <w:szCs w:val="26"/>
              </w:rPr>
              <w:t>Palielināt straujas izaugsmes komersantu</w:t>
            </w:r>
            <w:r w:rsidR="00E262B7">
              <w:rPr>
                <w:sz w:val="26"/>
                <w:szCs w:val="26"/>
              </w:rPr>
              <w:t xml:space="preserve"> skaitu”</w:t>
            </w:r>
            <w:r w:rsidR="00E262B7">
              <w:t xml:space="preserve"> l</w:t>
            </w:r>
            <w:r w:rsidRPr="00E262B7" w:rsidR="00E262B7">
              <w:rPr>
                <w:sz w:val="26"/>
                <w:szCs w:val="26"/>
              </w:rPr>
              <w:t xml:space="preserve">īdz 2018. gada 31. decembrim sasniedzamo </w:t>
            </w:r>
            <w:r w:rsidR="00E262B7">
              <w:rPr>
                <w:sz w:val="26"/>
                <w:szCs w:val="26"/>
              </w:rPr>
              <w:t xml:space="preserve">iznākuma </w:t>
            </w:r>
            <w:r w:rsidR="00B47BDD">
              <w:rPr>
                <w:sz w:val="26"/>
                <w:szCs w:val="26"/>
              </w:rPr>
              <w:t xml:space="preserve">un finanšu </w:t>
            </w:r>
            <w:r w:rsidR="00E262B7">
              <w:rPr>
                <w:sz w:val="26"/>
                <w:szCs w:val="26"/>
              </w:rPr>
              <w:t>rādītāju starpvērtības, tās ieskaitot 3</w:t>
            </w:r>
            <w:r w:rsidRPr="00E262B7" w:rsidR="00E262B7">
              <w:rPr>
                <w:sz w:val="26"/>
                <w:szCs w:val="26"/>
              </w:rPr>
              <w:t>.</w:t>
            </w:r>
            <w:r w:rsidR="00E262B7">
              <w:rPr>
                <w:sz w:val="26"/>
                <w:szCs w:val="26"/>
              </w:rPr>
              <w:t>1.1. specifiskā atbalsta mērķa “</w:t>
            </w:r>
            <w:r w:rsidRPr="00FF47B6" w:rsidR="00E262B7">
              <w:rPr>
                <w:sz w:val="26"/>
                <w:szCs w:val="26"/>
              </w:rPr>
              <w:t xml:space="preserve">Sekmēt mazo un vidējo komersantu izveidi un attīstību, </w:t>
            </w:r>
            <w:r w:rsidRPr="00FF47B6" w:rsidR="00E262B7">
              <w:rPr>
                <w:sz w:val="26"/>
                <w:szCs w:val="26"/>
              </w:rPr>
              <w:t>īpaši apstrādes rūpniecībā un RIS3 prioritārajās nozarēs” starpvērtībās, jo nepastāv riski šo starpvērtību sasniegšanā.</w:t>
            </w:r>
            <w:r w:rsidR="006174DE">
              <w:rPr>
                <w:sz w:val="26"/>
                <w:szCs w:val="26"/>
              </w:rPr>
              <w:t xml:space="preserve"> </w:t>
            </w:r>
            <w:r w:rsidRPr="00FF47B6" w:rsidR="00B47BDD">
              <w:rPr>
                <w:sz w:val="26"/>
                <w:szCs w:val="26"/>
              </w:rPr>
              <w:t>Līdzšinēji MK noteikumu Nr.118</w:t>
            </w:r>
            <w:r w:rsidR="00B47BDD">
              <w:rPr>
                <w:sz w:val="26"/>
                <w:szCs w:val="26"/>
              </w:rPr>
              <w:t xml:space="preserve"> 7.7.apakšpunkta redakcija ir noteikta vienīgi attiecībā uz sertificētiem ERAF izdevumiem. Savukārt,</w:t>
            </w:r>
            <w:r w:rsidR="00E262B7">
              <w:rPr>
                <w:sz w:val="26"/>
                <w:szCs w:val="26"/>
              </w:rPr>
              <w:t xml:space="preserve"> </w:t>
            </w:r>
            <w:r w:rsidR="00B47BDD">
              <w:rPr>
                <w:sz w:val="26"/>
                <w:szCs w:val="26"/>
              </w:rPr>
              <w:t>ņemot vērā, ka Eiropas Komisijai tiek deklarēti visi attiecināmie publiskā un privātā finansējuma izdevumi</w:t>
            </w:r>
            <w:r w:rsidR="00F30D0C">
              <w:rPr>
                <w:sz w:val="26"/>
                <w:szCs w:val="26"/>
              </w:rPr>
              <w:t xml:space="preserve">, tad, grozot 7.7.apakšpunktu, nosakot finanšu rādītāju starpvērtības, tiek palielināts 3.1.1. specifiskā atbalsta mērķa sertificēto izdevumu apmērs, 3.1.1. specifiskā atbalsta mērķa ietvaros to nosakot 38 176 172 </w:t>
            </w:r>
            <w:r w:rsidRPr="00560A2D" w:rsidR="00F30D0C">
              <w:rPr>
                <w:i/>
                <w:sz w:val="26"/>
                <w:szCs w:val="26"/>
              </w:rPr>
              <w:t>euro</w:t>
            </w:r>
            <w:r w:rsidR="00F30D0C">
              <w:rPr>
                <w:sz w:val="26"/>
                <w:szCs w:val="26"/>
              </w:rPr>
              <w:t xml:space="preserve"> apmērā un 3.1.2. specifiskā atbalsta mērķa ietvaros to nosakot 0 </w:t>
            </w:r>
            <w:r w:rsidRPr="006174DE" w:rsidR="00F30D0C">
              <w:rPr>
                <w:i/>
                <w:sz w:val="26"/>
                <w:szCs w:val="26"/>
              </w:rPr>
              <w:t>euro</w:t>
            </w:r>
            <w:r w:rsidR="00F30D0C">
              <w:rPr>
                <w:sz w:val="26"/>
                <w:szCs w:val="26"/>
              </w:rPr>
              <w:t xml:space="preserve"> apmērā (grozījumu rezultātā 3.1.2. specifiskā atbalsta mērķa ietvaros sertificēto izdevumu daļa (gan publiskā, gan privātā līdzfinansējuma daļa) 22 220 807 </w:t>
            </w:r>
            <w:r w:rsidRPr="00560A2D" w:rsidR="00F30D0C">
              <w:rPr>
                <w:i/>
                <w:sz w:val="26"/>
                <w:szCs w:val="26"/>
              </w:rPr>
              <w:t>euro</w:t>
            </w:r>
            <w:r w:rsidR="00F30D0C">
              <w:rPr>
                <w:sz w:val="26"/>
                <w:szCs w:val="26"/>
              </w:rPr>
              <w:t xml:space="preserve"> apmērā tiek pārcelta uz 3.1.1.specifisko atbalsta mērķi). </w:t>
            </w:r>
            <w:r w:rsidR="00E262B7">
              <w:rPr>
                <w:sz w:val="26"/>
                <w:szCs w:val="26"/>
              </w:rPr>
              <w:t xml:space="preserve">Papildus norādāms, ka </w:t>
            </w:r>
            <w:r w:rsidRPr="00E262B7" w:rsidR="00E262B7">
              <w:rPr>
                <w:sz w:val="26"/>
                <w:szCs w:val="26"/>
              </w:rPr>
              <w:t>3.1.2. specifiskā atbalsta mērķa “Palielināt straujas izaugsmes komersantu skaitu”</w:t>
            </w:r>
            <w:r w:rsidR="00E262B7">
              <w:rPr>
                <w:sz w:val="26"/>
                <w:szCs w:val="26"/>
              </w:rPr>
              <w:t xml:space="preserve"> starpvērtību definēšana un izpilde</w:t>
            </w:r>
            <w:r w:rsidR="00992A58">
              <w:rPr>
                <w:sz w:val="26"/>
                <w:szCs w:val="26"/>
              </w:rPr>
              <w:t xml:space="preserve"> līdz 2018.gada 31.decembrim</w:t>
            </w:r>
            <w:r w:rsidR="00E262B7">
              <w:rPr>
                <w:sz w:val="26"/>
                <w:szCs w:val="26"/>
              </w:rPr>
              <w:t xml:space="preserve"> neietekmē </w:t>
            </w:r>
            <w:r w:rsidRPr="00E262B7" w:rsidR="00E262B7">
              <w:rPr>
                <w:sz w:val="26"/>
                <w:szCs w:val="26"/>
              </w:rPr>
              <w:t xml:space="preserve">Eiropas Komisijas lēmuma par snieguma ietvara izpildi </w:t>
            </w:r>
            <w:r w:rsidR="00E262B7">
              <w:rPr>
                <w:sz w:val="26"/>
                <w:szCs w:val="26"/>
              </w:rPr>
              <w:t xml:space="preserve">pieņemšanu un </w:t>
            </w:r>
            <w:r w:rsidR="00496640">
              <w:rPr>
                <w:sz w:val="26"/>
                <w:szCs w:val="26"/>
              </w:rPr>
              <w:t>ERAF</w:t>
            </w:r>
            <w:r w:rsidRPr="00E262B7" w:rsidR="00E262B7">
              <w:rPr>
                <w:sz w:val="26"/>
                <w:szCs w:val="26"/>
              </w:rPr>
              <w:t xml:space="preserve"> finansējum</w:t>
            </w:r>
            <w:r w:rsidR="00E262B7">
              <w:rPr>
                <w:sz w:val="26"/>
                <w:szCs w:val="26"/>
              </w:rPr>
              <w:t xml:space="preserve">a palielināšanu par rezerves apjomu. Turklāt Ekonomikas ministrija apliecina, ka </w:t>
            </w:r>
            <w:r w:rsidR="00F30D0C">
              <w:rPr>
                <w:sz w:val="26"/>
                <w:szCs w:val="26"/>
              </w:rPr>
              <w:t xml:space="preserve">iznākuma un finanšu </w:t>
            </w:r>
            <w:r w:rsidR="00E262B7">
              <w:rPr>
                <w:sz w:val="26"/>
                <w:szCs w:val="26"/>
              </w:rPr>
              <w:t xml:space="preserve">rādītāji, kas </w:t>
            </w:r>
            <w:r w:rsidRPr="00E262B7" w:rsidR="00E262B7">
              <w:rPr>
                <w:sz w:val="26"/>
                <w:szCs w:val="26"/>
              </w:rPr>
              <w:t>3.1.1. specifiskā atbalsta mērķa “Sekmēt mazo un vidējo komersantu izveidi un attīstību, īpaši apstrādes rūpniecībā un RIS3 prioritārajās nozarēs”</w:t>
            </w:r>
            <w:r w:rsidR="00E262B7">
              <w:rPr>
                <w:sz w:val="26"/>
                <w:szCs w:val="26"/>
              </w:rPr>
              <w:t xml:space="preserve"> un </w:t>
            </w:r>
            <w:r w:rsidRPr="00E262B7" w:rsidR="00E262B7">
              <w:rPr>
                <w:sz w:val="26"/>
                <w:szCs w:val="26"/>
              </w:rPr>
              <w:t>3.1.2. specifiskā atbalsta mērķa “Palielināt straujas izaugsmes komersantu skaitu”</w:t>
            </w:r>
            <w:r w:rsidR="00E262B7">
              <w:rPr>
                <w:sz w:val="26"/>
                <w:szCs w:val="26"/>
              </w:rPr>
              <w:t xml:space="preserve"> </w:t>
            </w:r>
            <w:r w:rsidR="00992A58">
              <w:rPr>
                <w:sz w:val="26"/>
                <w:szCs w:val="26"/>
              </w:rPr>
              <w:t>noteikti</w:t>
            </w:r>
            <w:r w:rsidR="00E262B7">
              <w:rPr>
                <w:sz w:val="26"/>
                <w:szCs w:val="26"/>
              </w:rPr>
              <w:t xml:space="preserve"> laikā līdz 2023.gada 31.decembrim tiks sasniegti, un tos neietekmē ERAF finansējuma samazinājums fondu fondā. </w:t>
            </w:r>
          </w:p>
          <w:p w:rsidR="00A87984" w:rsidP="00160F99" w14:paraId="7A8F0026" w14:textId="71D568A5">
            <w:pPr>
              <w:pStyle w:val="Default"/>
              <w:spacing w:after="120"/>
              <w:jc w:val="both"/>
              <w:rPr>
                <w:sz w:val="26"/>
                <w:szCs w:val="26"/>
              </w:rPr>
            </w:pPr>
            <w:r w:rsidRPr="00160F99">
              <w:rPr>
                <w:sz w:val="26"/>
                <w:szCs w:val="26"/>
              </w:rPr>
              <w:t xml:space="preserve">Ņemot vērā līdzšinējo praksi finanšu instrumentu ieviešanā un tirgus nepilnību izvērtējuma aktualizēšanā, </w:t>
            </w:r>
            <w:r w:rsidRPr="00160F99" w:rsidR="00814DA7">
              <w:rPr>
                <w:sz w:val="26"/>
                <w:szCs w:val="26"/>
              </w:rPr>
              <w:t xml:space="preserve">noteikumu projekts paredz precizēt MK noteikumu Nr.118 25.1.apakšpunktu. </w:t>
            </w:r>
            <w:r w:rsidRPr="00160F99" w:rsidR="008D14AF">
              <w:rPr>
                <w:sz w:val="26"/>
                <w:szCs w:val="26"/>
              </w:rPr>
              <w:t xml:space="preserve">Tāpat jānorāda, ka finanšu tirgus situācija nemainās katra gada ietvaros, attiecīgi noteikumu projekts paredz, ka tirgus nepilnību izvērtējums tiks precizēts un iesniegts </w:t>
            </w:r>
            <w:r w:rsidRPr="00160F99" w:rsidR="00160F99">
              <w:rPr>
                <w:sz w:val="26"/>
                <w:szCs w:val="26"/>
              </w:rPr>
              <w:t>informācijai Uzraudzības komitejā situācijā, ja tiks konstatētas būtiskas izmaiņas finanšu tirgū</w:t>
            </w:r>
            <w:r w:rsidR="00C64C41">
              <w:rPr>
                <w:sz w:val="26"/>
                <w:szCs w:val="26"/>
              </w:rPr>
              <w:t xml:space="preserve"> vai tiks paredzēts jauns finanšu instruments</w:t>
            </w:r>
            <w:r w:rsidRPr="00160F99" w:rsidR="00160F99">
              <w:rPr>
                <w:sz w:val="26"/>
                <w:szCs w:val="26"/>
              </w:rPr>
              <w:t>.</w:t>
            </w:r>
            <w:r w:rsidR="00850A80">
              <w:rPr>
                <w:sz w:val="26"/>
                <w:szCs w:val="26"/>
              </w:rPr>
              <w:t xml:space="preserve"> Vienlaikus norādāms, ka </w:t>
            </w:r>
            <w:r w:rsidR="00A46A0D">
              <w:rPr>
                <w:sz w:val="26"/>
                <w:szCs w:val="26"/>
              </w:rPr>
              <w:t>Altum</w:t>
            </w:r>
            <w:r w:rsidR="00850A80">
              <w:rPr>
                <w:sz w:val="26"/>
                <w:szCs w:val="26"/>
              </w:rPr>
              <w:t xml:space="preserve"> regulāri un saskaņā ar </w:t>
            </w:r>
            <w:r w:rsidR="00A46A0D">
              <w:rPr>
                <w:sz w:val="26"/>
                <w:szCs w:val="26"/>
              </w:rPr>
              <w:t>finansēšanas</w:t>
            </w:r>
            <w:r w:rsidR="00850A80">
              <w:rPr>
                <w:sz w:val="26"/>
                <w:szCs w:val="26"/>
              </w:rPr>
              <w:t xml:space="preserve"> nolīgumu</w:t>
            </w:r>
            <w:r w:rsidR="00A46A0D">
              <w:rPr>
                <w:sz w:val="26"/>
                <w:szCs w:val="26"/>
              </w:rPr>
              <w:t xml:space="preserve"> par fondu fonda īstenošanu</w:t>
            </w:r>
            <w:r w:rsidR="00850A80">
              <w:rPr>
                <w:sz w:val="26"/>
                <w:szCs w:val="26"/>
              </w:rPr>
              <w:t xml:space="preserve">, mainoties valsts atbalsta noteikumiem vai ieviešot jaunu finanšu instrumentu, veic grozījumus fondu fonda investīciju stratēģijā un tos iesniedz Ekonomikas ministrijā, kas savukārt tālāk tiek iesniegti Centrālajā finanšu un līgumu aģentūrā. </w:t>
            </w:r>
          </w:p>
          <w:p w:rsidR="00730AAC" w:rsidP="00160F99" w14:paraId="769D746B" w14:textId="50B9A2FD">
            <w:pPr>
              <w:pStyle w:val="Default"/>
              <w:spacing w:after="120"/>
              <w:jc w:val="both"/>
              <w:rPr>
                <w:sz w:val="26"/>
                <w:szCs w:val="26"/>
              </w:rPr>
            </w:pPr>
            <w:r w:rsidRPr="009D7E55">
              <w:rPr>
                <w:sz w:val="26"/>
                <w:szCs w:val="26"/>
              </w:rPr>
              <w:t>Lai nodrošinātu, ka ERAF finansējums tiek izmantots kopīgi  3.1.1. un 3.1.2. specifiskā atbalsta mērķa finanšu instrumentu pirmo zaudējumu segšanai</w:t>
            </w:r>
            <w:r w:rsidR="00E02626">
              <w:rPr>
                <w:sz w:val="26"/>
                <w:szCs w:val="26"/>
              </w:rPr>
              <w:t xml:space="preserve"> (proti, ERAF finansējums pirmo zaudējumu segšanai netiek atsevišķi sadalīts pa pasākumiem)</w:t>
            </w:r>
            <w:r w:rsidRPr="009D7E55">
              <w:rPr>
                <w:sz w:val="26"/>
                <w:szCs w:val="26"/>
              </w:rPr>
              <w:t xml:space="preserve">, tiek precizēts </w:t>
            </w:r>
            <w:r w:rsidR="007152C2">
              <w:rPr>
                <w:sz w:val="26"/>
                <w:szCs w:val="26"/>
              </w:rPr>
              <w:t xml:space="preserve">MK </w:t>
            </w:r>
            <w:r w:rsidRPr="009D7E55">
              <w:rPr>
                <w:sz w:val="26"/>
                <w:szCs w:val="26"/>
              </w:rPr>
              <w:t xml:space="preserve">noteikumu </w:t>
            </w:r>
            <w:r w:rsidR="007152C2">
              <w:rPr>
                <w:sz w:val="26"/>
                <w:szCs w:val="26"/>
              </w:rPr>
              <w:t xml:space="preserve">Nr.118 </w:t>
            </w:r>
            <w:r w:rsidRPr="009D7E55">
              <w:rPr>
                <w:sz w:val="26"/>
                <w:szCs w:val="26"/>
              </w:rPr>
              <w:t>1</w:t>
            </w:r>
            <w:r w:rsidR="007152C2">
              <w:rPr>
                <w:sz w:val="26"/>
                <w:szCs w:val="26"/>
              </w:rPr>
              <w:t>5</w:t>
            </w:r>
            <w:r w:rsidRPr="009D7E55">
              <w:rPr>
                <w:sz w:val="26"/>
                <w:szCs w:val="26"/>
              </w:rPr>
              <w:t>.punkt</w:t>
            </w:r>
            <w:r w:rsidRPr="00D13CD2">
              <w:rPr>
                <w:sz w:val="26"/>
                <w:szCs w:val="26"/>
              </w:rPr>
              <w:t>s.</w:t>
            </w:r>
            <w:r>
              <w:rPr>
                <w:sz w:val="26"/>
                <w:szCs w:val="26"/>
              </w:rPr>
              <w:t xml:space="preserve"> </w:t>
            </w:r>
            <w:r>
              <w:rPr>
                <w:sz w:val="26"/>
                <w:szCs w:val="26"/>
              </w:rPr>
              <w:t xml:space="preserve">Papildus jānorāda, ka 3.1.1. un 3.1.2. specifiskā atbalsta mērķa noteikto </w:t>
            </w:r>
            <w:r>
              <w:rPr>
                <w:sz w:val="26"/>
                <w:szCs w:val="26"/>
              </w:rPr>
              <w:t xml:space="preserve">finanšu instrumentu ietvaros pirmie zaudējumi sākotnēji tiek segti no fondu fondā pieejamā ERAF finansējuma Altum saistībās, savukārt turpmākie zaudējumi tiek segti no 2007.-2013.gada plānošanas periodā finanšu instrumentos </w:t>
            </w:r>
            <w:r w:rsidR="00AD31BF">
              <w:rPr>
                <w:sz w:val="26"/>
                <w:szCs w:val="26"/>
              </w:rPr>
              <w:t xml:space="preserve">atmaksātā publiskā finansējuma Altum saistībās, savukārt pārējie turpmākie zaudējumi – no 2007.-2013.gada plānošanas periodā finanšu instrumentos atmaksātā publiskā finansējuma Altum kapitālā un Altum pašu finansējuma. </w:t>
            </w:r>
          </w:p>
          <w:p w:rsidR="00D13CD2" w:rsidP="00160F99" w14:paraId="562F3130" w14:textId="041DB07E">
            <w:pPr>
              <w:pStyle w:val="Default"/>
              <w:spacing w:after="120"/>
              <w:jc w:val="both"/>
              <w:rPr>
                <w:sz w:val="26"/>
                <w:szCs w:val="26"/>
              </w:rPr>
            </w:pPr>
            <w:r>
              <w:rPr>
                <w:sz w:val="26"/>
                <w:szCs w:val="26"/>
              </w:rPr>
              <w:t>Ņemot vērā, ka fondu fonda ietvaros tiek īstenoti arī netiešie instrumenti (akcelerācijas fondi, sēklas un sākuma kapitāla fondi, izaugsmes kapitāla fondi), par kuru pārvaldību Altum rodas vadības izmaksas,</w:t>
            </w:r>
            <w:r w:rsidR="00E02626">
              <w:rPr>
                <w:sz w:val="26"/>
                <w:szCs w:val="26"/>
              </w:rPr>
              <w:t xml:space="preserve"> </w:t>
            </w:r>
            <w:r>
              <w:rPr>
                <w:sz w:val="26"/>
                <w:szCs w:val="26"/>
              </w:rPr>
              <w:t xml:space="preserve">tiek precizēts MK noteikumu Nr.118 21.punkts, sniedzot iespēju šos izdevumus </w:t>
            </w:r>
            <w:r w:rsidR="00260BCD">
              <w:rPr>
                <w:sz w:val="26"/>
                <w:szCs w:val="26"/>
              </w:rPr>
              <w:t xml:space="preserve">attiecināt ne tikai no </w:t>
            </w:r>
            <w:r w:rsidR="008504DC">
              <w:rPr>
                <w:sz w:val="26"/>
                <w:szCs w:val="26"/>
              </w:rPr>
              <w:t>ERAF finansējuma</w:t>
            </w:r>
            <w:r w:rsidR="00260BCD">
              <w:rPr>
                <w:sz w:val="26"/>
                <w:szCs w:val="26"/>
              </w:rPr>
              <w:t>, bet</w:t>
            </w:r>
            <w:r w:rsidR="008504DC">
              <w:rPr>
                <w:sz w:val="26"/>
                <w:szCs w:val="26"/>
              </w:rPr>
              <w:t xml:space="preserve"> arī </w:t>
            </w:r>
            <w:r>
              <w:rPr>
                <w:sz w:val="26"/>
                <w:szCs w:val="26"/>
              </w:rPr>
              <w:t>no atmaksātā finansējuma</w:t>
            </w:r>
            <w:r w:rsidR="00B16F38">
              <w:rPr>
                <w:sz w:val="26"/>
                <w:szCs w:val="26"/>
              </w:rPr>
              <w:t>,</w:t>
            </w:r>
            <w:r>
              <w:rPr>
                <w:sz w:val="26"/>
                <w:szCs w:val="26"/>
              </w:rPr>
              <w:t xml:space="preserve"> ievērojot</w:t>
            </w:r>
            <w:r>
              <w:t xml:space="preserve"> </w:t>
            </w:r>
            <w:r w:rsidRPr="00D13CD2">
              <w:rPr>
                <w:sz w:val="26"/>
                <w:szCs w:val="26"/>
              </w:rPr>
              <w:t>Eiropas Parlamenta un Padomes 2013. gada 17.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regula Nr. 1303/2013),</w:t>
            </w:r>
            <w:r>
              <w:rPr>
                <w:sz w:val="26"/>
                <w:szCs w:val="26"/>
              </w:rPr>
              <w:t xml:space="preserve"> 44.</w:t>
            </w:r>
            <w:r w:rsidR="00546E2E">
              <w:rPr>
                <w:sz w:val="26"/>
                <w:szCs w:val="26"/>
              </w:rPr>
              <w:t xml:space="preserve"> un 45. </w:t>
            </w:r>
            <w:r>
              <w:rPr>
                <w:sz w:val="26"/>
                <w:szCs w:val="26"/>
              </w:rPr>
              <w:t>pantu.</w:t>
            </w:r>
            <w:r w:rsidR="008504DC">
              <w:rPr>
                <w:sz w:val="26"/>
                <w:szCs w:val="26"/>
              </w:rPr>
              <w:t xml:space="preserve"> </w:t>
            </w:r>
          </w:p>
          <w:p w:rsidR="007C59C9" w:rsidRPr="00160F99" w:rsidP="00160F99" w14:paraId="12456B66" w14:textId="12910C21">
            <w:pPr>
              <w:pStyle w:val="Default"/>
              <w:spacing w:after="120"/>
              <w:jc w:val="both"/>
              <w:rPr>
                <w:sz w:val="26"/>
                <w:szCs w:val="26"/>
              </w:rPr>
            </w:pPr>
            <w:r>
              <w:rPr>
                <w:sz w:val="26"/>
                <w:szCs w:val="26"/>
              </w:rPr>
              <w:t xml:space="preserve">Papildus </w:t>
            </w:r>
            <w:r w:rsidR="00850A80">
              <w:rPr>
                <w:sz w:val="26"/>
                <w:szCs w:val="26"/>
              </w:rPr>
              <w:t xml:space="preserve">minētajiem grozījumiem </w:t>
            </w:r>
            <w:r>
              <w:rPr>
                <w:sz w:val="26"/>
                <w:szCs w:val="26"/>
              </w:rPr>
              <w:t xml:space="preserve">redakcionāli tiek precizēts MK noteikumu Nr.118 </w:t>
            </w:r>
            <w:r w:rsidR="00F57FA6">
              <w:rPr>
                <w:sz w:val="26"/>
                <w:szCs w:val="26"/>
              </w:rPr>
              <w:t>7.</w:t>
            </w:r>
            <w:r w:rsidR="002F7665">
              <w:rPr>
                <w:sz w:val="26"/>
                <w:szCs w:val="26"/>
              </w:rPr>
              <w:t>punkts</w:t>
            </w:r>
            <w:r w:rsidR="00F57FA6">
              <w:rPr>
                <w:sz w:val="26"/>
                <w:szCs w:val="26"/>
              </w:rPr>
              <w:t xml:space="preserve">, </w:t>
            </w:r>
            <w:r>
              <w:rPr>
                <w:sz w:val="26"/>
                <w:szCs w:val="26"/>
              </w:rPr>
              <w:t>7.1., 7.2.,</w:t>
            </w:r>
            <w:r w:rsidR="002F7665">
              <w:rPr>
                <w:sz w:val="26"/>
                <w:szCs w:val="26"/>
              </w:rPr>
              <w:t xml:space="preserve"> </w:t>
            </w:r>
            <w:r w:rsidRPr="002F7665" w:rsidR="002F7665">
              <w:rPr>
                <w:sz w:val="26"/>
                <w:szCs w:val="26"/>
              </w:rPr>
              <w:t xml:space="preserve">7.3.1., 7.3.3., </w:t>
            </w:r>
            <w:r w:rsidR="00A46A0D">
              <w:rPr>
                <w:sz w:val="26"/>
                <w:szCs w:val="26"/>
              </w:rPr>
              <w:t>7.4.1.</w:t>
            </w:r>
            <w:r w:rsidR="002F7665">
              <w:rPr>
                <w:sz w:val="26"/>
                <w:szCs w:val="26"/>
              </w:rPr>
              <w:t xml:space="preserve">, </w:t>
            </w:r>
            <w:r w:rsidRPr="002F7665" w:rsidR="002F7665">
              <w:rPr>
                <w:sz w:val="26"/>
                <w:szCs w:val="26"/>
              </w:rPr>
              <w:t>7.4.3.</w:t>
            </w:r>
            <w:r w:rsidR="002F7665">
              <w:rPr>
                <w:sz w:val="26"/>
                <w:szCs w:val="26"/>
              </w:rPr>
              <w:t>,</w:t>
            </w:r>
            <w:r w:rsidRPr="002F7665" w:rsidR="002F7665">
              <w:rPr>
                <w:sz w:val="26"/>
                <w:szCs w:val="26"/>
              </w:rPr>
              <w:t xml:space="preserve"> 7.5.1.</w:t>
            </w:r>
            <w:r w:rsidR="002F7665">
              <w:t>,</w:t>
            </w:r>
            <w:r w:rsidRPr="002F7665" w:rsidR="002F7665">
              <w:rPr>
                <w:sz w:val="26"/>
                <w:szCs w:val="26"/>
              </w:rPr>
              <w:t xml:space="preserve"> 7.5.3</w:t>
            </w:r>
            <w:r w:rsidR="002F7665">
              <w:rPr>
                <w:sz w:val="26"/>
                <w:szCs w:val="26"/>
              </w:rPr>
              <w:t xml:space="preserve"> un 19.1. apakšpunkti.</w:t>
            </w:r>
            <w:r w:rsidR="00A207A8">
              <w:rPr>
                <w:sz w:val="26"/>
                <w:szCs w:val="26"/>
              </w:rPr>
              <w:t xml:space="preserve"> </w:t>
            </w:r>
          </w:p>
        </w:tc>
      </w:tr>
      <w:tr w14:paraId="57D8669A" w14:textId="77777777" w:rsidTr="000F70CB">
        <w:tblPrEx>
          <w:tblW w:w="9351" w:type="dxa"/>
          <w:tblLook w:val="04A0"/>
        </w:tblPrEx>
        <w:tc>
          <w:tcPr>
            <w:tcW w:w="598" w:type="dxa"/>
            <w:tcBorders>
              <w:top w:val="single" w:sz="4" w:space="0" w:color="auto"/>
              <w:left w:val="single" w:sz="4" w:space="0" w:color="auto"/>
              <w:bottom w:val="single" w:sz="4" w:space="0" w:color="auto"/>
              <w:right w:val="single" w:sz="4" w:space="0" w:color="auto"/>
            </w:tcBorders>
            <w:shd w:val="clear" w:color="auto" w:fill="auto"/>
            <w:hideMark/>
          </w:tcPr>
          <w:p w:rsidR="00330C43" w:rsidRPr="00DD120E" w:rsidP="0090143C" w14:paraId="0CF0F704" w14:textId="77777777">
            <w:pPr>
              <w:jc w:val="center"/>
              <w:rPr>
                <w:sz w:val="26"/>
                <w:szCs w:val="26"/>
                <w:lang w:eastAsia="en-US"/>
              </w:rPr>
            </w:pPr>
            <w:r w:rsidRPr="00DD120E">
              <w:rPr>
                <w:sz w:val="26"/>
                <w:szCs w:val="26"/>
              </w:rPr>
              <w:t>3.</w:t>
            </w:r>
          </w:p>
        </w:tc>
        <w:tc>
          <w:tcPr>
            <w:tcW w:w="1908" w:type="dxa"/>
            <w:tcBorders>
              <w:top w:val="single" w:sz="4" w:space="0" w:color="auto"/>
              <w:left w:val="single" w:sz="4" w:space="0" w:color="auto"/>
              <w:bottom w:val="single" w:sz="4" w:space="0" w:color="auto"/>
              <w:right w:val="single" w:sz="4" w:space="0" w:color="auto"/>
            </w:tcBorders>
            <w:shd w:val="clear" w:color="auto" w:fill="auto"/>
            <w:hideMark/>
          </w:tcPr>
          <w:p w:rsidR="00330C43" w:rsidRPr="00DD120E" w:rsidP="0090143C" w14:paraId="13411040" w14:textId="77777777">
            <w:pPr>
              <w:rPr>
                <w:sz w:val="26"/>
                <w:szCs w:val="26"/>
                <w:lang w:eastAsia="en-US"/>
              </w:rPr>
            </w:pPr>
            <w:r w:rsidRPr="00DD120E">
              <w:rPr>
                <w:sz w:val="26"/>
                <w:szCs w:val="26"/>
              </w:rPr>
              <w:t>Projekta izstrādē iesaistītās institūcijas</w:t>
            </w:r>
          </w:p>
        </w:tc>
        <w:tc>
          <w:tcPr>
            <w:tcW w:w="6845" w:type="dxa"/>
            <w:tcBorders>
              <w:top w:val="single" w:sz="4" w:space="0" w:color="auto"/>
              <w:left w:val="single" w:sz="4" w:space="0" w:color="auto"/>
              <w:bottom w:val="single" w:sz="4" w:space="0" w:color="auto"/>
              <w:right w:val="single" w:sz="4" w:space="0" w:color="auto"/>
            </w:tcBorders>
            <w:shd w:val="clear" w:color="auto" w:fill="auto"/>
            <w:hideMark/>
          </w:tcPr>
          <w:p w:rsidR="00893FBD" w:rsidRPr="00DD120E" w:rsidP="00E52086" w14:paraId="421918C7" w14:textId="462C871D">
            <w:pPr>
              <w:spacing w:after="120"/>
              <w:jc w:val="both"/>
              <w:rPr>
                <w:sz w:val="26"/>
                <w:szCs w:val="26"/>
              </w:rPr>
            </w:pPr>
            <w:r w:rsidRPr="00DD120E">
              <w:rPr>
                <w:rFonts w:eastAsia="Times New Roman"/>
                <w:sz w:val="26"/>
                <w:szCs w:val="26"/>
              </w:rPr>
              <w:t>Ekonomikas ministrija</w:t>
            </w:r>
            <w:r w:rsidR="006A6412">
              <w:rPr>
                <w:rFonts w:eastAsia="Times New Roman"/>
                <w:sz w:val="26"/>
                <w:szCs w:val="26"/>
              </w:rPr>
              <w:t>.</w:t>
            </w:r>
          </w:p>
        </w:tc>
      </w:tr>
      <w:tr w14:paraId="08437FA3" w14:textId="77777777" w:rsidTr="000F70CB">
        <w:tblPrEx>
          <w:tblW w:w="9351" w:type="dxa"/>
          <w:tblLook w:val="04A0"/>
        </w:tblPrEx>
        <w:tc>
          <w:tcPr>
            <w:tcW w:w="598" w:type="dxa"/>
            <w:tcBorders>
              <w:top w:val="single" w:sz="4" w:space="0" w:color="auto"/>
              <w:left w:val="single" w:sz="4" w:space="0" w:color="auto"/>
              <w:bottom w:val="single" w:sz="4" w:space="0" w:color="auto"/>
              <w:right w:val="single" w:sz="4" w:space="0" w:color="auto"/>
            </w:tcBorders>
            <w:shd w:val="clear" w:color="auto" w:fill="auto"/>
            <w:hideMark/>
          </w:tcPr>
          <w:p w:rsidR="00330C43" w:rsidRPr="00DD120E" w:rsidP="0090143C" w14:paraId="23E519C2" w14:textId="77777777">
            <w:pPr>
              <w:jc w:val="center"/>
              <w:rPr>
                <w:sz w:val="26"/>
                <w:szCs w:val="26"/>
                <w:lang w:eastAsia="en-US"/>
              </w:rPr>
            </w:pPr>
            <w:r w:rsidRPr="00DD120E">
              <w:rPr>
                <w:sz w:val="26"/>
                <w:szCs w:val="26"/>
              </w:rPr>
              <w:t>4.</w:t>
            </w:r>
          </w:p>
        </w:tc>
        <w:tc>
          <w:tcPr>
            <w:tcW w:w="1908" w:type="dxa"/>
            <w:tcBorders>
              <w:top w:val="single" w:sz="4" w:space="0" w:color="auto"/>
              <w:left w:val="single" w:sz="4" w:space="0" w:color="auto"/>
              <w:bottom w:val="single" w:sz="4" w:space="0" w:color="auto"/>
              <w:right w:val="single" w:sz="4" w:space="0" w:color="auto"/>
            </w:tcBorders>
            <w:shd w:val="clear" w:color="auto" w:fill="auto"/>
            <w:hideMark/>
          </w:tcPr>
          <w:p w:rsidR="00330C43" w:rsidRPr="00DD120E" w:rsidP="0090143C" w14:paraId="2719EBF6" w14:textId="77777777">
            <w:pPr>
              <w:rPr>
                <w:sz w:val="26"/>
                <w:szCs w:val="26"/>
                <w:lang w:eastAsia="en-US"/>
              </w:rPr>
            </w:pPr>
            <w:r w:rsidRPr="00DD120E">
              <w:rPr>
                <w:sz w:val="26"/>
                <w:szCs w:val="26"/>
              </w:rPr>
              <w:t>Cita informācija</w:t>
            </w:r>
          </w:p>
        </w:tc>
        <w:tc>
          <w:tcPr>
            <w:tcW w:w="6845" w:type="dxa"/>
            <w:tcBorders>
              <w:top w:val="single" w:sz="4" w:space="0" w:color="auto"/>
              <w:left w:val="single" w:sz="4" w:space="0" w:color="auto"/>
              <w:bottom w:val="single" w:sz="4" w:space="0" w:color="auto"/>
              <w:right w:val="single" w:sz="4" w:space="0" w:color="auto"/>
            </w:tcBorders>
            <w:shd w:val="clear" w:color="auto" w:fill="FFFFFF"/>
            <w:hideMark/>
          </w:tcPr>
          <w:p w:rsidR="008C7633" w:rsidRPr="00DD120E" w:rsidP="0090143C" w14:paraId="287E16F5" w14:textId="77777777">
            <w:pPr>
              <w:rPr>
                <w:sz w:val="26"/>
                <w:szCs w:val="26"/>
              </w:rPr>
            </w:pPr>
            <w:r w:rsidRPr="00DD120E">
              <w:rPr>
                <w:sz w:val="26"/>
                <w:szCs w:val="26"/>
              </w:rPr>
              <w:t>Nav.</w:t>
            </w:r>
          </w:p>
        </w:tc>
      </w:tr>
    </w:tbl>
    <w:p w:rsidR="009D7E55" w:rsidRPr="00DD120E" w:rsidP="0090143C" w14:paraId="2436E9C5" w14:textId="52F664E2">
      <w:pPr>
        <w:jc w:val="both"/>
        <w:rPr>
          <w:sz w:val="26"/>
          <w:szCs w:val="26"/>
          <w:highlight w:val="lightGray"/>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
        <w:gridCol w:w="2688"/>
        <w:gridCol w:w="6257"/>
      </w:tblGrid>
      <w:tr w14:paraId="059C2CA9" w14:textId="77777777" w:rsidTr="000F70CB">
        <w:tblPrEx>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261ED1" w:rsidRPr="00DD120E" w:rsidP="0090143C" w14:paraId="0CA734AB" w14:textId="77777777">
            <w:pPr>
              <w:pStyle w:val="ListParagraph"/>
              <w:tabs>
                <w:tab w:val="left" w:pos="2268"/>
                <w:tab w:val="left" w:pos="2410"/>
              </w:tabs>
              <w:ind w:left="1080"/>
              <w:jc w:val="center"/>
              <w:rPr>
                <w:b/>
                <w:sz w:val="26"/>
                <w:szCs w:val="26"/>
                <w:lang w:eastAsia="en-US"/>
              </w:rPr>
            </w:pPr>
            <w:r w:rsidRPr="00DD120E">
              <w:rPr>
                <w:b/>
                <w:bCs/>
                <w:sz w:val="26"/>
                <w:szCs w:val="26"/>
              </w:rPr>
              <w:t>II. Tiesību akta projekta ietekme uz sabiedrību, tautsaimniecības attīstību un administratīvo slogu</w:t>
            </w:r>
          </w:p>
        </w:tc>
      </w:tr>
      <w:tr w14:paraId="5F216DBC" w14:textId="77777777" w:rsidTr="000F70CB">
        <w:tblPrEx>
          <w:tblW w:w="9356" w:type="dxa"/>
          <w:tblInd w:w="-5" w:type="dxa"/>
          <w:tblLook w:val="04A0"/>
        </w:tblPrEx>
        <w:tc>
          <w:tcPr>
            <w:tcW w:w="411" w:type="dxa"/>
            <w:tcBorders>
              <w:top w:val="single" w:sz="4" w:space="0" w:color="auto"/>
              <w:left w:val="single" w:sz="4" w:space="0" w:color="auto"/>
              <w:bottom w:val="single" w:sz="4" w:space="0" w:color="auto"/>
              <w:right w:val="single" w:sz="4" w:space="0" w:color="auto"/>
            </w:tcBorders>
            <w:shd w:val="clear" w:color="auto" w:fill="auto"/>
            <w:hideMark/>
          </w:tcPr>
          <w:p w:rsidR="00261ED1" w:rsidRPr="00DD120E" w:rsidP="0090143C" w14:paraId="536A0D22" w14:textId="77777777">
            <w:pPr>
              <w:jc w:val="center"/>
              <w:rPr>
                <w:sz w:val="26"/>
                <w:szCs w:val="26"/>
                <w:lang w:eastAsia="en-US"/>
              </w:rPr>
            </w:pPr>
            <w:r w:rsidRPr="00DD120E">
              <w:rPr>
                <w:sz w:val="26"/>
                <w:szCs w:val="26"/>
              </w:rPr>
              <w:t>1.</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rsidR="00261ED1" w:rsidRPr="00DD120E" w:rsidP="0090143C" w14:paraId="2686C4F8" w14:textId="77777777">
            <w:pPr>
              <w:rPr>
                <w:sz w:val="26"/>
                <w:szCs w:val="26"/>
                <w:lang w:eastAsia="en-US"/>
              </w:rPr>
            </w:pPr>
            <w:r w:rsidRPr="00DD120E">
              <w:rPr>
                <w:sz w:val="26"/>
                <w:szCs w:val="26"/>
              </w:rPr>
              <w:t>Sabiedrības mērķgrupas, kuras tiesiskais regulējums ietekmē vai varētu ietekmēt</w:t>
            </w:r>
          </w:p>
        </w:tc>
        <w:tc>
          <w:tcPr>
            <w:tcW w:w="6257" w:type="dxa"/>
            <w:tcBorders>
              <w:top w:val="single" w:sz="4" w:space="0" w:color="auto"/>
              <w:left w:val="single" w:sz="4" w:space="0" w:color="auto"/>
              <w:bottom w:val="single" w:sz="4" w:space="0" w:color="auto"/>
              <w:right w:val="single" w:sz="4" w:space="0" w:color="auto"/>
            </w:tcBorders>
            <w:shd w:val="clear" w:color="auto" w:fill="auto"/>
            <w:hideMark/>
          </w:tcPr>
          <w:p w:rsidR="0000254C" w:rsidRPr="00DD120E" w:rsidP="00A0147D" w14:paraId="1B3F1BFD" w14:textId="46C108E8">
            <w:pPr>
              <w:pStyle w:val="ListParagraph"/>
              <w:tabs>
                <w:tab w:val="left" w:pos="317"/>
              </w:tabs>
              <w:spacing w:before="60" w:after="60"/>
              <w:ind w:left="34"/>
              <w:jc w:val="both"/>
              <w:rPr>
                <w:bCs/>
                <w:sz w:val="26"/>
                <w:szCs w:val="26"/>
                <w:lang w:eastAsia="en-US"/>
              </w:rPr>
            </w:pPr>
            <w:r w:rsidRPr="00DD120E">
              <w:rPr>
                <w:bCs/>
                <w:sz w:val="26"/>
                <w:szCs w:val="26"/>
                <w:lang w:eastAsia="en-US"/>
              </w:rPr>
              <w:t>Valsts atbalsta programmas</w:t>
            </w:r>
            <w:r w:rsidRPr="00DD120E" w:rsidR="009109E4">
              <w:rPr>
                <w:bCs/>
                <w:sz w:val="26"/>
                <w:szCs w:val="26"/>
                <w:lang w:eastAsia="en-US"/>
              </w:rPr>
              <w:t xml:space="preserve"> mērķa grupa ir </w:t>
            </w:r>
            <w:r w:rsidRPr="00DD120E" w:rsidR="00A0147D">
              <w:rPr>
                <w:bCs/>
                <w:sz w:val="26"/>
                <w:szCs w:val="26"/>
                <w:lang w:eastAsia="en-US"/>
              </w:rPr>
              <w:t>saimnieciskās darbības veicēji</w:t>
            </w:r>
            <w:r w:rsidR="007A0A6F">
              <w:rPr>
                <w:bCs/>
                <w:sz w:val="26"/>
                <w:szCs w:val="26"/>
                <w:lang w:eastAsia="en-US"/>
              </w:rPr>
              <w:t xml:space="preserve"> un Altum</w:t>
            </w:r>
            <w:r w:rsidRPr="00DD120E" w:rsidR="00A0147D">
              <w:rPr>
                <w:bCs/>
                <w:sz w:val="26"/>
                <w:szCs w:val="26"/>
                <w:lang w:eastAsia="en-US"/>
              </w:rPr>
              <w:t>.</w:t>
            </w:r>
          </w:p>
        </w:tc>
      </w:tr>
      <w:tr w14:paraId="3A68C52A" w14:textId="77777777" w:rsidTr="000F70CB">
        <w:tblPrEx>
          <w:tblW w:w="9356" w:type="dxa"/>
          <w:tblInd w:w="-5" w:type="dxa"/>
          <w:tblLook w:val="04A0"/>
        </w:tblPrEx>
        <w:tc>
          <w:tcPr>
            <w:tcW w:w="411" w:type="dxa"/>
            <w:tcBorders>
              <w:top w:val="single" w:sz="4" w:space="0" w:color="auto"/>
              <w:left w:val="single" w:sz="4" w:space="0" w:color="auto"/>
              <w:bottom w:val="single" w:sz="4" w:space="0" w:color="auto"/>
              <w:right w:val="single" w:sz="4" w:space="0" w:color="auto"/>
            </w:tcBorders>
            <w:shd w:val="clear" w:color="auto" w:fill="auto"/>
          </w:tcPr>
          <w:p w:rsidR="00261ED1" w:rsidRPr="00DD120E" w:rsidP="0090143C" w14:paraId="207BA150" w14:textId="77777777">
            <w:pPr>
              <w:jc w:val="center"/>
              <w:rPr>
                <w:sz w:val="26"/>
                <w:szCs w:val="26"/>
              </w:rPr>
            </w:pPr>
            <w:r w:rsidRPr="00DD120E">
              <w:rPr>
                <w:sz w:val="26"/>
                <w:szCs w:val="26"/>
              </w:rPr>
              <w:t>2.</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261ED1" w:rsidRPr="00DD120E" w:rsidP="0090143C" w14:paraId="41E82FA3" w14:textId="77777777">
            <w:pPr>
              <w:rPr>
                <w:color w:val="414142"/>
                <w:sz w:val="26"/>
                <w:szCs w:val="26"/>
              </w:rPr>
            </w:pPr>
            <w:r w:rsidRPr="00DD120E">
              <w:rPr>
                <w:sz w:val="26"/>
                <w:szCs w:val="26"/>
              </w:rPr>
              <w:t>Tiesiskā regulējuma ietekme uz tautsaimniecību un administratīvo slogu</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D72C05" w:rsidRPr="00DD120E" w:rsidP="008B202C" w14:paraId="03785530" w14:textId="09DB8ABA">
            <w:pPr>
              <w:pStyle w:val="ListParagraph"/>
              <w:tabs>
                <w:tab w:val="left" w:pos="317"/>
              </w:tabs>
              <w:spacing w:before="60" w:after="60"/>
              <w:ind w:left="34"/>
              <w:jc w:val="both"/>
              <w:rPr>
                <w:bCs/>
                <w:sz w:val="26"/>
                <w:szCs w:val="26"/>
                <w:lang w:eastAsia="en-US"/>
              </w:rPr>
            </w:pPr>
            <w:r>
              <w:rPr>
                <w:bCs/>
                <w:sz w:val="26"/>
                <w:szCs w:val="26"/>
                <w:lang w:eastAsia="en-US"/>
              </w:rPr>
              <w:t>Noteikumu projekts šo jomu neskar.</w:t>
            </w:r>
          </w:p>
        </w:tc>
      </w:tr>
      <w:tr w14:paraId="57769F32" w14:textId="77777777" w:rsidTr="000F70CB">
        <w:tblPrEx>
          <w:tblW w:w="9356" w:type="dxa"/>
          <w:tblInd w:w="-5" w:type="dxa"/>
          <w:tblLook w:val="04A0"/>
        </w:tblPrEx>
        <w:tc>
          <w:tcPr>
            <w:tcW w:w="411" w:type="dxa"/>
            <w:tcBorders>
              <w:top w:val="single" w:sz="4" w:space="0" w:color="auto"/>
              <w:left w:val="single" w:sz="4" w:space="0" w:color="auto"/>
              <w:bottom w:val="single" w:sz="4" w:space="0" w:color="auto"/>
              <w:right w:val="single" w:sz="4" w:space="0" w:color="auto"/>
            </w:tcBorders>
            <w:shd w:val="clear" w:color="auto" w:fill="auto"/>
          </w:tcPr>
          <w:p w:rsidR="00261ED1" w:rsidRPr="00DD120E" w:rsidP="0090143C" w14:paraId="6060B4F9" w14:textId="77777777">
            <w:pPr>
              <w:jc w:val="center"/>
              <w:rPr>
                <w:sz w:val="26"/>
                <w:szCs w:val="26"/>
              </w:rPr>
            </w:pPr>
            <w:r w:rsidRPr="00DD120E">
              <w:rPr>
                <w:sz w:val="26"/>
                <w:szCs w:val="26"/>
              </w:rPr>
              <w:t>3.</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261ED1" w:rsidRPr="00DD120E" w:rsidP="0090143C" w14:paraId="790B90B1" w14:textId="77777777">
            <w:pPr>
              <w:rPr>
                <w:color w:val="414142"/>
                <w:sz w:val="26"/>
                <w:szCs w:val="26"/>
              </w:rPr>
            </w:pPr>
            <w:r w:rsidRPr="00DD120E">
              <w:rPr>
                <w:sz w:val="26"/>
                <w:szCs w:val="26"/>
              </w:rPr>
              <w:t>Administratīvo izmaksu monetārs novērtējums</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D53132" w:rsidRPr="00DD120E" w:rsidP="0033710F" w14:paraId="4BBAC724" w14:textId="77777777">
            <w:pPr>
              <w:pStyle w:val="ListParagraph"/>
              <w:tabs>
                <w:tab w:val="left" w:pos="317"/>
              </w:tabs>
              <w:spacing w:before="60" w:after="60"/>
              <w:ind w:left="0"/>
              <w:jc w:val="both"/>
              <w:rPr>
                <w:bCs/>
                <w:sz w:val="26"/>
                <w:szCs w:val="26"/>
                <w:lang w:eastAsia="en-US"/>
              </w:rPr>
            </w:pPr>
            <w:r w:rsidRPr="00DD120E">
              <w:rPr>
                <w:bCs/>
                <w:sz w:val="26"/>
                <w:szCs w:val="26"/>
                <w:lang w:eastAsia="en-US"/>
              </w:rPr>
              <w:t>Noteikumu projekts šo jomu neskar.</w:t>
            </w:r>
            <w:r w:rsidRPr="00DD120E" w:rsidR="00A311FF">
              <w:rPr>
                <w:bCs/>
                <w:sz w:val="26"/>
                <w:szCs w:val="26"/>
                <w:lang w:eastAsia="en-US"/>
              </w:rPr>
              <w:t xml:space="preserve"> </w:t>
            </w:r>
          </w:p>
        </w:tc>
      </w:tr>
      <w:tr w14:paraId="4EEA4138" w14:textId="77777777" w:rsidTr="000F70CB">
        <w:tblPrEx>
          <w:tblW w:w="9356" w:type="dxa"/>
          <w:tblInd w:w="-5" w:type="dxa"/>
          <w:tblLook w:val="04A0"/>
        </w:tblPrEx>
        <w:trPr>
          <w:trHeight w:val="430"/>
        </w:trPr>
        <w:tc>
          <w:tcPr>
            <w:tcW w:w="411" w:type="dxa"/>
            <w:tcBorders>
              <w:top w:val="single" w:sz="4" w:space="0" w:color="auto"/>
              <w:left w:val="single" w:sz="4" w:space="0" w:color="auto"/>
              <w:bottom w:val="single" w:sz="4" w:space="0" w:color="auto"/>
              <w:right w:val="single" w:sz="4" w:space="0" w:color="auto"/>
            </w:tcBorders>
            <w:shd w:val="clear" w:color="auto" w:fill="auto"/>
          </w:tcPr>
          <w:p w:rsidR="00261ED1" w:rsidRPr="00DD120E" w:rsidP="0090143C" w14:paraId="7CC62950" w14:textId="77777777">
            <w:pPr>
              <w:jc w:val="center"/>
              <w:rPr>
                <w:sz w:val="26"/>
                <w:szCs w:val="26"/>
              </w:rPr>
            </w:pPr>
            <w:r w:rsidRPr="00DD120E">
              <w:rPr>
                <w:sz w:val="26"/>
                <w:szCs w:val="26"/>
              </w:rPr>
              <w:t>4.</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261ED1" w:rsidRPr="00DD120E" w:rsidP="0090143C" w14:paraId="592BCE55" w14:textId="77777777">
            <w:pPr>
              <w:rPr>
                <w:color w:val="414142"/>
                <w:sz w:val="26"/>
                <w:szCs w:val="26"/>
              </w:rPr>
            </w:pPr>
            <w:r w:rsidRPr="00DD120E">
              <w:rPr>
                <w:sz w:val="26"/>
                <w:szCs w:val="26"/>
              </w:rPr>
              <w:t>Cita informācija</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261ED1" w:rsidRPr="00DD120E" w:rsidP="0090143C" w14:paraId="00977EDB" w14:textId="01A1CFFC">
            <w:pPr>
              <w:pStyle w:val="ListParagraph"/>
              <w:tabs>
                <w:tab w:val="left" w:pos="317"/>
              </w:tabs>
              <w:spacing w:before="60" w:after="60"/>
              <w:ind w:left="34"/>
              <w:jc w:val="both"/>
              <w:rPr>
                <w:bCs/>
                <w:sz w:val="26"/>
                <w:szCs w:val="26"/>
                <w:lang w:eastAsia="en-US"/>
              </w:rPr>
            </w:pPr>
            <w:r w:rsidRPr="00DD120E">
              <w:rPr>
                <w:bCs/>
                <w:sz w:val="26"/>
                <w:szCs w:val="26"/>
                <w:lang w:eastAsia="en-US"/>
              </w:rPr>
              <w:t xml:space="preserve">Noteikumu </w:t>
            </w:r>
            <w:r>
              <w:rPr>
                <w:bCs/>
                <w:sz w:val="26"/>
                <w:szCs w:val="26"/>
                <w:lang w:eastAsia="en-US"/>
              </w:rPr>
              <w:t xml:space="preserve">projekts paredz samazināt pieejamā ERAF finansējuma apmēru par </w:t>
            </w:r>
            <w:r w:rsidRPr="002111F6">
              <w:rPr>
                <w:bCs/>
                <w:sz w:val="26"/>
                <w:szCs w:val="26"/>
                <w:lang w:eastAsia="en-US"/>
              </w:rPr>
              <w:t xml:space="preserve">25 416 515 </w:t>
            </w:r>
            <w:r w:rsidRPr="00496640">
              <w:rPr>
                <w:bCs/>
                <w:i/>
                <w:sz w:val="26"/>
                <w:szCs w:val="26"/>
                <w:lang w:eastAsia="en-US"/>
              </w:rPr>
              <w:t>euro</w:t>
            </w:r>
            <w:r>
              <w:rPr>
                <w:bCs/>
                <w:sz w:val="26"/>
                <w:szCs w:val="26"/>
                <w:lang w:eastAsia="en-US"/>
              </w:rPr>
              <w:t>. Vienlaikus netiek samazināti ieguldījumi ekonomikā, jo ERAF finansējuma vietā tiek novirzīts cits finanšu resurss – atmaksātais publiskais fin</w:t>
            </w:r>
            <w:r w:rsidR="00FB6A80">
              <w:rPr>
                <w:bCs/>
                <w:sz w:val="26"/>
                <w:szCs w:val="26"/>
                <w:lang w:eastAsia="en-US"/>
              </w:rPr>
              <w:t xml:space="preserve">ansējums finanšu instrumentos </w:t>
            </w:r>
            <w:r>
              <w:rPr>
                <w:bCs/>
                <w:sz w:val="26"/>
                <w:szCs w:val="26"/>
                <w:lang w:eastAsia="en-US"/>
              </w:rPr>
              <w:t>32 </w:t>
            </w:r>
            <w:r w:rsidR="00FF47B6">
              <w:rPr>
                <w:bCs/>
                <w:sz w:val="26"/>
                <w:szCs w:val="26"/>
                <w:lang w:eastAsia="en-US"/>
              </w:rPr>
              <w:t>3</w:t>
            </w:r>
            <w:r>
              <w:rPr>
                <w:bCs/>
                <w:sz w:val="26"/>
                <w:szCs w:val="26"/>
                <w:lang w:eastAsia="en-US"/>
              </w:rPr>
              <w:t xml:space="preserve">00 000 </w:t>
            </w:r>
            <w:r w:rsidRPr="00496640" w:rsidR="00FB6A80">
              <w:rPr>
                <w:bCs/>
                <w:i/>
                <w:sz w:val="26"/>
                <w:szCs w:val="26"/>
                <w:lang w:eastAsia="en-US"/>
              </w:rPr>
              <w:t>euro</w:t>
            </w:r>
            <w:r w:rsidR="00FB6A80">
              <w:rPr>
                <w:bCs/>
                <w:sz w:val="26"/>
                <w:szCs w:val="26"/>
                <w:lang w:eastAsia="en-US"/>
              </w:rPr>
              <w:t xml:space="preserve"> </w:t>
            </w:r>
            <w:r>
              <w:rPr>
                <w:bCs/>
                <w:sz w:val="26"/>
                <w:szCs w:val="26"/>
                <w:lang w:eastAsia="en-US"/>
              </w:rPr>
              <w:t>apmērā.</w:t>
            </w:r>
          </w:p>
        </w:tc>
      </w:tr>
    </w:tbl>
    <w:p w:rsidR="00FF2F2A" w:rsidP="0090143C" w14:paraId="0BD4DAE3" w14:textId="77777777">
      <w:pPr>
        <w:jc w:val="both"/>
        <w:rPr>
          <w:sz w:val="26"/>
          <w:szCs w:val="2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356"/>
      </w:tblGrid>
      <w:tr w14:paraId="01757C6E" w14:textId="77777777" w:rsidTr="000F70CB">
        <w:tblPrEx>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421"/>
        </w:trPr>
        <w:tc>
          <w:tcPr>
            <w:tcW w:w="9356" w:type="dxa"/>
            <w:tcBorders>
              <w:top w:val="single" w:sz="4" w:space="0" w:color="auto"/>
              <w:left w:val="single" w:sz="4" w:space="0" w:color="auto"/>
              <w:bottom w:val="single" w:sz="4" w:space="0" w:color="auto"/>
              <w:right w:val="single" w:sz="4" w:space="0" w:color="auto"/>
            </w:tcBorders>
            <w:vAlign w:val="center"/>
            <w:hideMark/>
          </w:tcPr>
          <w:p w:rsidR="00DD120E" w:rsidRPr="00DD120E" w14:paraId="7FDDF7B9" w14:textId="77777777">
            <w:pPr>
              <w:pStyle w:val="naisnod"/>
              <w:spacing w:before="0" w:beforeAutospacing="0" w:after="0" w:afterAutospacing="0"/>
              <w:ind w:left="57" w:right="57"/>
              <w:jc w:val="center"/>
              <w:rPr>
                <w:sz w:val="26"/>
                <w:szCs w:val="26"/>
              </w:rPr>
            </w:pPr>
            <w:r w:rsidRPr="00DD120E">
              <w:rPr>
                <w:b/>
                <w:sz w:val="26"/>
                <w:szCs w:val="26"/>
              </w:rPr>
              <w:t>III. Tiesību akta projekta ietekme uz valsts budžetu un pašvaldību budžetiem</w:t>
            </w:r>
          </w:p>
        </w:tc>
      </w:tr>
      <w:tr w14:paraId="30C97A5C" w14:textId="77777777" w:rsidTr="000F70CB">
        <w:tblPrEx>
          <w:tblW w:w="9356" w:type="dxa"/>
          <w:tblInd w:w="-5" w:type="dxa"/>
          <w:tblCellMar>
            <w:left w:w="0" w:type="dxa"/>
            <w:right w:w="0" w:type="dxa"/>
          </w:tblCellMar>
          <w:tblLook w:val="04A0"/>
        </w:tblPrEx>
        <w:trPr>
          <w:trHeight w:val="553"/>
        </w:trPr>
        <w:tc>
          <w:tcPr>
            <w:tcW w:w="9356" w:type="dxa"/>
            <w:tcBorders>
              <w:top w:val="single" w:sz="4" w:space="0" w:color="auto"/>
              <w:left w:val="single" w:sz="4" w:space="0" w:color="auto"/>
              <w:bottom w:val="single" w:sz="4" w:space="0" w:color="auto"/>
              <w:right w:val="single" w:sz="4" w:space="0" w:color="auto"/>
            </w:tcBorders>
            <w:hideMark/>
          </w:tcPr>
          <w:p w:rsidR="00DD120E" w:rsidRPr="00DD120E" w14:paraId="13334422" w14:textId="77777777">
            <w:pPr>
              <w:shd w:val="clear" w:color="auto" w:fill="FFFFFF"/>
              <w:ind w:left="57" w:right="113"/>
              <w:jc w:val="center"/>
              <w:rPr>
                <w:sz w:val="26"/>
                <w:szCs w:val="26"/>
                <w:highlight w:val="yellow"/>
              </w:rPr>
            </w:pPr>
            <w:r w:rsidRPr="00DD120E">
              <w:rPr>
                <w:sz w:val="26"/>
                <w:szCs w:val="26"/>
              </w:rPr>
              <w:t>Noteikumu projekts šo jomu neskar.</w:t>
            </w:r>
          </w:p>
        </w:tc>
      </w:tr>
    </w:tbl>
    <w:p w:rsidR="00F960D4" w:rsidP="0090143C" w14:paraId="081830F2" w14:textId="5B75942F">
      <w:pPr>
        <w:jc w:val="both"/>
        <w:rPr>
          <w:sz w:val="26"/>
          <w:szCs w:val="26"/>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
        <w:gridCol w:w="2688"/>
        <w:gridCol w:w="6257"/>
      </w:tblGrid>
      <w:tr w14:paraId="35E80662" w14:textId="77777777" w:rsidTr="000F70CB">
        <w:tblPrEx>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F960D4" w:rsidRPr="00DD120E" w:rsidP="00814DA7" w14:paraId="21A44497" w14:textId="2C52E502">
            <w:pPr>
              <w:pStyle w:val="ListParagraph"/>
              <w:tabs>
                <w:tab w:val="left" w:pos="2268"/>
                <w:tab w:val="left" w:pos="2410"/>
              </w:tabs>
              <w:ind w:left="1080"/>
              <w:jc w:val="center"/>
              <w:rPr>
                <w:b/>
                <w:sz w:val="26"/>
                <w:szCs w:val="26"/>
                <w:lang w:eastAsia="en-US"/>
              </w:rPr>
            </w:pPr>
            <w:r w:rsidRPr="00F960D4">
              <w:rPr>
                <w:b/>
                <w:bCs/>
                <w:sz w:val="26"/>
                <w:szCs w:val="26"/>
              </w:rPr>
              <w:t>IV. Tiesību akta projekta ietekme uz spēkā esošo tiesību normu sistēmu</w:t>
            </w:r>
          </w:p>
        </w:tc>
      </w:tr>
      <w:tr w14:paraId="7EE76F7F" w14:textId="77777777" w:rsidTr="000F70CB">
        <w:tblPrEx>
          <w:tblW w:w="9356" w:type="dxa"/>
          <w:tblInd w:w="-5" w:type="dxa"/>
          <w:tblLook w:val="04A0"/>
        </w:tblPrEx>
        <w:tc>
          <w:tcPr>
            <w:tcW w:w="411" w:type="dxa"/>
            <w:tcBorders>
              <w:top w:val="single" w:sz="4" w:space="0" w:color="auto"/>
              <w:left w:val="single" w:sz="4" w:space="0" w:color="auto"/>
              <w:bottom w:val="single" w:sz="4" w:space="0" w:color="auto"/>
              <w:right w:val="single" w:sz="4" w:space="0" w:color="auto"/>
            </w:tcBorders>
            <w:shd w:val="clear" w:color="auto" w:fill="auto"/>
            <w:hideMark/>
          </w:tcPr>
          <w:p w:rsidR="00F960D4" w:rsidRPr="00DD120E" w:rsidP="00814DA7" w14:paraId="2149B9EA" w14:textId="77777777">
            <w:pPr>
              <w:jc w:val="center"/>
              <w:rPr>
                <w:sz w:val="26"/>
                <w:szCs w:val="26"/>
                <w:lang w:eastAsia="en-US"/>
              </w:rPr>
            </w:pPr>
            <w:r w:rsidRPr="00DD120E">
              <w:rPr>
                <w:sz w:val="26"/>
                <w:szCs w:val="26"/>
              </w:rPr>
              <w:t>1.</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rsidR="00F960D4" w:rsidRPr="00DD120E" w:rsidP="00814DA7" w14:paraId="246E1775" w14:textId="6FFA6522">
            <w:pPr>
              <w:rPr>
                <w:sz w:val="26"/>
                <w:szCs w:val="26"/>
                <w:lang w:eastAsia="en-US"/>
              </w:rPr>
            </w:pPr>
            <w:r w:rsidRPr="00F960D4">
              <w:rPr>
                <w:sz w:val="26"/>
                <w:szCs w:val="26"/>
                <w:lang w:eastAsia="en-US"/>
              </w:rPr>
              <w:t>Nepieciešamie saistītie tiesību aktu projekti</w:t>
            </w:r>
          </w:p>
        </w:tc>
        <w:tc>
          <w:tcPr>
            <w:tcW w:w="6257" w:type="dxa"/>
            <w:tcBorders>
              <w:top w:val="single" w:sz="4" w:space="0" w:color="auto"/>
              <w:left w:val="single" w:sz="4" w:space="0" w:color="auto"/>
              <w:bottom w:val="single" w:sz="4" w:space="0" w:color="auto"/>
              <w:right w:val="single" w:sz="4" w:space="0" w:color="auto"/>
            </w:tcBorders>
            <w:shd w:val="clear" w:color="auto" w:fill="auto"/>
            <w:hideMark/>
          </w:tcPr>
          <w:p w:rsidR="00F960D4" w:rsidRPr="00DD120E" w:rsidP="00814DA7" w14:paraId="2E86A7FD" w14:textId="201CFD4E">
            <w:pPr>
              <w:pStyle w:val="ListParagraph"/>
              <w:tabs>
                <w:tab w:val="left" w:pos="317"/>
              </w:tabs>
              <w:spacing w:before="60" w:after="60"/>
              <w:ind w:left="34"/>
              <w:jc w:val="both"/>
              <w:rPr>
                <w:bCs/>
                <w:sz w:val="26"/>
                <w:szCs w:val="26"/>
                <w:lang w:eastAsia="en-US"/>
              </w:rPr>
            </w:pPr>
            <w:r>
              <w:rPr>
                <w:bCs/>
                <w:sz w:val="26"/>
                <w:szCs w:val="26"/>
                <w:lang w:eastAsia="en-US"/>
              </w:rPr>
              <w:t xml:space="preserve">Vienlaikus ar šo projektu tiek virzīti grozījumi MK noteikumos Nr.997, MK noteikumos Nr.328, MK noteikumos Nr.518 un MK noteikumos Nr.226. </w:t>
            </w:r>
          </w:p>
        </w:tc>
      </w:tr>
      <w:tr w14:paraId="531D6323" w14:textId="77777777" w:rsidTr="000F70CB">
        <w:tblPrEx>
          <w:tblW w:w="9356" w:type="dxa"/>
          <w:tblInd w:w="-5" w:type="dxa"/>
          <w:tblLook w:val="04A0"/>
        </w:tblPrEx>
        <w:tc>
          <w:tcPr>
            <w:tcW w:w="411" w:type="dxa"/>
            <w:tcBorders>
              <w:top w:val="single" w:sz="4" w:space="0" w:color="auto"/>
              <w:left w:val="single" w:sz="4" w:space="0" w:color="auto"/>
              <w:bottom w:val="single" w:sz="4" w:space="0" w:color="auto"/>
              <w:right w:val="single" w:sz="4" w:space="0" w:color="auto"/>
            </w:tcBorders>
            <w:shd w:val="clear" w:color="auto" w:fill="auto"/>
          </w:tcPr>
          <w:p w:rsidR="00F960D4" w:rsidRPr="00DD120E" w:rsidP="00814DA7" w14:paraId="0FAD4C22" w14:textId="77777777">
            <w:pPr>
              <w:jc w:val="center"/>
              <w:rPr>
                <w:sz w:val="26"/>
                <w:szCs w:val="26"/>
              </w:rPr>
            </w:pPr>
            <w:r w:rsidRPr="00DD120E">
              <w:rPr>
                <w:sz w:val="26"/>
                <w:szCs w:val="26"/>
              </w:rPr>
              <w:t>2.</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F960D4" w:rsidRPr="00DD120E" w:rsidP="00814DA7" w14:paraId="064E6489" w14:textId="5D4D028F">
            <w:pPr>
              <w:rPr>
                <w:color w:val="414142"/>
                <w:sz w:val="26"/>
                <w:szCs w:val="26"/>
              </w:rPr>
            </w:pPr>
            <w:r>
              <w:rPr>
                <w:sz w:val="26"/>
                <w:szCs w:val="26"/>
              </w:rPr>
              <w:t>Cita informācija</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F960D4" w:rsidRPr="00DD120E" w:rsidP="00814DA7" w14:paraId="08738762" w14:textId="6CBE67A7">
            <w:pPr>
              <w:pStyle w:val="ListParagraph"/>
              <w:tabs>
                <w:tab w:val="left" w:pos="317"/>
              </w:tabs>
              <w:spacing w:before="60" w:after="60"/>
              <w:ind w:left="34"/>
              <w:jc w:val="both"/>
              <w:rPr>
                <w:bCs/>
                <w:sz w:val="26"/>
                <w:szCs w:val="26"/>
                <w:lang w:eastAsia="en-US"/>
              </w:rPr>
            </w:pPr>
            <w:r w:rsidRPr="00F960D4">
              <w:rPr>
                <w:bCs/>
                <w:sz w:val="26"/>
                <w:szCs w:val="26"/>
                <w:lang w:eastAsia="en-US"/>
              </w:rPr>
              <w:t xml:space="preserve">Nepieciešams veikt grozījumus </w:t>
            </w:r>
            <w:r w:rsidR="004A25D8">
              <w:rPr>
                <w:bCs/>
                <w:sz w:val="26"/>
                <w:szCs w:val="26"/>
                <w:lang w:eastAsia="en-US"/>
              </w:rPr>
              <w:t xml:space="preserve">finansēšanas nolīgumā par fondu fonda īstenošanu, kas noslēgts starp Altum un Centrālo finanšu un līgumu aģentūru un fondu fonda biznesa plānā. </w:t>
            </w:r>
            <w:r w:rsidRPr="00F960D4">
              <w:rPr>
                <w:bCs/>
                <w:sz w:val="26"/>
                <w:szCs w:val="26"/>
                <w:lang w:eastAsia="en-US"/>
              </w:rPr>
              <w:t xml:space="preserve"> </w:t>
            </w:r>
          </w:p>
        </w:tc>
      </w:tr>
    </w:tbl>
    <w:p w:rsidR="009D7E55" w:rsidP="0090143C" w14:paraId="4B03C236" w14:textId="558B1D1C">
      <w:pPr>
        <w:jc w:val="both"/>
        <w:rPr>
          <w:sz w:val="26"/>
          <w:szCs w:val="2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3"/>
        <w:gridCol w:w="2209"/>
        <w:gridCol w:w="691"/>
        <w:gridCol w:w="1667"/>
        <w:gridCol w:w="2374"/>
        <w:gridCol w:w="2002"/>
      </w:tblGrid>
      <w:tr w14:paraId="7BCD0A88" w14:textId="77777777" w:rsidTr="000F70CB">
        <w:tblPrEx>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356" w:type="dxa"/>
            <w:gridSpan w:val="6"/>
            <w:vAlign w:val="center"/>
          </w:tcPr>
          <w:p w:rsidR="009D7E55" w:rsidRPr="000F70CB" w:rsidP="009D7E55" w14:paraId="2E89E96F" w14:textId="77777777">
            <w:pPr>
              <w:ind w:left="57" w:right="57"/>
              <w:jc w:val="center"/>
              <w:rPr>
                <w:rFonts w:eastAsia="Times New Roman"/>
                <w:sz w:val="26"/>
                <w:szCs w:val="26"/>
              </w:rPr>
            </w:pPr>
            <w:r w:rsidRPr="000F70CB">
              <w:rPr>
                <w:rFonts w:eastAsia="Times New Roman"/>
                <w:b/>
                <w:sz w:val="26"/>
                <w:szCs w:val="26"/>
              </w:rPr>
              <w:t xml:space="preserve">V. </w:t>
            </w:r>
            <w:r w:rsidRPr="000F70CB">
              <w:rPr>
                <w:rFonts w:eastAsia="Times New Roman"/>
                <w:b/>
                <w:color w:val="000000"/>
                <w:sz w:val="26"/>
                <w:szCs w:val="26"/>
              </w:rPr>
              <w:t>Tiesību akta projekta atbilstība Latvijas Republikas starptautiskajām saistībām</w:t>
            </w:r>
          </w:p>
        </w:tc>
      </w:tr>
      <w:tr w14:paraId="13A636B4" w14:textId="77777777" w:rsidTr="000F70CB">
        <w:tblPrEx>
          <w:tblW w:w="9356" w:type="dxa"/>
          <w:tblInd w:w="-5" w:type="dxa"/>
          <w:tblCellMar>
            <w:left w:w="0" w:type="dxa"/>
            <w:right w:w="0" w:type="dxa"/>
          </w:tblCellMar>
          <w:tblLook w:val="0000"/>
        </w:tblPrEx>
        <w:trPr>
          <w:trHeight w:val="553"/>
        </w:trPr>
        <w:tc>
          <w:tcPr>
            <w:tcW w:w="413" w:type="dxa"/>
          </w:tcPr>
          <w:p w:rsidR="009D7E55" w:rsidRPr="000F70CB" w:rsidP="009D7E55" w14:paraId="041A00FD" w14:textId="77777777">
            <w:pPr>
              <w:ind w:left="57" w:right="57"/>
              <w:jc w:val="both"/>
              <w:rPr>
                <w:bCs/>
                <w:sz w:val="26"/>
                <w:szCs w:val="26"/>
              </w:rPr>
            </w:pPr>
            <w:r w:rsidRPr="000F70CB">
              <w:rPr>
                <w:bCs/>
                <w:sz w:val="26"/>
                <w:szCs w:val="26"/>
              </w:rPr>
              <w:t>1.</w:t>
            </w:r>
          </w:p>
        </w:tc>
        <w:tc>
          <w:tcPr>
            <w:tcW w:w="2900" w:type="dxa"/>
            <w:gridSpan w:val="2"/>
          </w:tcPr>
          <w:p w:rsidR="009D7E55" w:rsidRPr="000F70CB" w:rsidP="009D7E55" w14:paraId="74A4ADDE" w14:textId="77777777">
            <w:pPr>
              <w:ind w:left="57" w:right="57"/>
              <w:rPr>
                <w:sz w:val="26"/>
                <w:szCs w:val="26"/>
              </w:rPr>
            </w:pPr>
            <w:r w:rsidRPr="000F70CB">
              <w:rPr>
                <w:color w:val="000000"/>
                <w:sz w:val="26"/>
                <w:szCs w:val="26"/>
              </w:rPr>
              <w:t>Saistības pret Eiropas Savienību</w:t>
            </w:r>
          </w:p>
        </w:tc>
        <w:tc>
          <w:tcPr>
            <w:tcW w:w="6043" w:type="dxa"/>
            <w:gridSpan w:val="3"/>
          </w:tcPr>
          <w:p w:rsidR="009D7E55" w:rsidRPr="000F70CB" w:rsidP="009D7E55" w14:paraId="6CAF142F" w14:textId="3D9A4CDF">
            <w:pPr>
              <w:jc w:val="both"/>
              <w:rPr>
                <w:bCs/>
                <w:sz w:val="26"/>
                <w:szCs w:val="26"/>
              </w:rPr>
            </w:pPr>
            <w:r w:rsidRPr="000F70CB">
              <w:rPr>
                <w:rFonts w:eastAsia="Times New Roman"/>
                <w:sz w:val="26"/>
                <w:szCs w:val="26"/>
              </w:rPr>
              <w:t>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regula Nr. 1303/2013).</w:t>
            </w:r>
          </w:p>
        </w:tc>
      </w:tr>
      <w:tr w14:paraId="4E98F7D6" w14:textId="77777777" w:rsidTr="000F70CB">
        <w:tblPrEx>
          <w:tblW w:w="9356" w:type="dxa"/>
          <w:tblInd w:w="-5" w:type="dxa"/>
          <w:tblCellMar>
            <w:left w:w="0" w:type="dxa"/>
            <w:right w:w="0" w:type="dxa"/>
          </w:tblCellMar>
          <w:tblLook w:val="0000"/>
        </w:tblPrEx>
        <w:trPr>
          <w:trHeight w:val="339"/>
        </w:trPr>
        <w:tc>
          <w:tcPr>
            <w:tcW w:w="413" w:type="dxa"/>
          </w:tcPr>
          <w:p w:rsidR="009D7E55" w:rsidRPr="000F70CB" w:rsidP="009D7E55" w14:paraId="6A8D52F5" w14:textId="77777777">
            <w:pPr>
              <w:ind w:left="57" w:right="57"/>
              <w:jc w:val="both"/>
              <w:rPr>
                <w:bCs/>
                <w:sz w:val="26"/>
                <w:szCs w:val="26"/>
              </w:rPr>
            </w:pPr>
            <w:r w:rsidRPr="000F70CB">
              <w:rPr>
                <w:bCs/>
                <w:sz w:val="26"/>
                <w:szCs w:val="26"/>
              </w:rPr>
              <w:t>2.</w:t>
            </w:r>
          </w:p>
        </w:tc>
        <w:tc>
          <w:tcPr>
            <w:tcW w:w="2900" w:type="dxa"/>
            <w:gridSpan w:val="2"/>
          </w:tcPr>
          <w:p w:rsidR="009D7E55" w:rsidRPr="000F70CB" w:rsidP="009D7E55" w14:paraId="4AB46A5A" w14:textId="77777777">
            <w:pPr>
              <w:ind w:left="57" w:right="57"/>
              <w:rPr>
                <w:sz w:val="26"/>
                <w:szCs w:val="26"/>
              </w:rPr>
            </w:pPr>
            <w:r w:rsidRPr="000F70CB">
              <w:rPr>
                <w:color w:val="000000"/>
                <w:sz w:val="26"/>
                <w:szCs w:val="26"/>
              </w:rPr>
              <w:t>Citas starptautiskās saistības</w:t>
            </w:r>
          </w:p>
        </w:tc>
        <w:tc>
          <w:tcPr>
            <w:tcW w:w="6043" w:type="dxa"/>
            <w:gridSpan w:val="3"/>
          </w:tcPr>
          <w:p w:rsidR="009D7E55" w:rsidRPr="000F70CB" w:rsidP="009D7E55" w14:paraId="0660E760" w14:textId="77777777">
            <w:pPr>
              <w:shd w:val="clear" w:color="auto" w:fill="FFFFFF"/>
              <w:ind w:left="57" w:right="113"/>
              <w:jc w:val="both"/>
              <w:rPr>
                <w:kern w:val="24"/>
                <w:sz w:val="26"/>
                <w:szCs w:val="26"/>
              </w:rPr>
            </w:pPr>
            <w:r w:rsidRPr="000F70CB">
              <w:rPr>
                <w:iCs/>
                <w:color w:val="000000"/>
                <w:sz w:val="26"/>
                <w:szCs w:val="26"/>
              </w:rPr>
              <w:t>Projekts šo jomu neskar.</w:t>
            </w:r>
          </w:p>
        </w:tc>
      </w:tr>
      <w:tr w14:paraId="593EC750" w14:textId="77777777" w:rsidTr="000F70CB">
        <w:tblPrEx>
          <w:tblW w:w="9356" w:type="dxa"/>
          <w:tblInd w:w="-5" w:type="dxa"/>
          <w:tblCellMar>
            <w:left w:w="0" w:type="dxa"/>
            <w:right w:w="0" w:type="dxa"/>
          </w:tblCellMar>
          <w:tblLook w:val="0000"/>
        </w:tblPrEx>
        <w:trPr>
          <w:trHeight w:val="476"/>
        </w:trPr>
        <w:tc>
          <w:tcPr>
            <w:tcW w:w="413" w:type="dxa"/>
          </w:tcPr>
          <w:p w:rsidR="009D7E55" w:rsidRPr="000F70CB" w:rsidP="009D7E55" w14:paraId="5D689BCA" w14:textId="77777777">
            <w:pPr>
              <w:ind w:left="57" w:right="57"/>
              <w:jc w:val="both"/>
              <w:rPr>
                <w:bCs/>
                <w:sz w:val="26"/>
                <w:szCs w:val="26"/>
              </w:rPr>
            </w:pPr>
            <w:r w:rsidRPr="000F70CB">
              <w:rPr>
                <w:bCs/>
                <w:sz w:val="26"/>
                <w:szCs w:val="26"/>
              </w:rPr>
              <w:t>3.</w:t>
            </w:r>
          </w:p>
        </w:tc>
        <w:tc>
          <w:tcPr>
            <w:tcW w:w="2900" w:type="dxa"/>
            <w:gridSpan w:val="2"/>
          </w:tcPr>
          <w:p w:rsidR="009D7E55" w:rsidRPr="000F70CB" w:rsidP="009D7E55" w14:paraId="112D866D" w14:textId="77777777">
            <w:pPr>
              <w:ind w:left="57" w:right="57"/>
              <w:rPr>
                <w:sz w:val="26"/>
                <w:szCs w:val="26"/>
              </w:rPr>
            </w:pPr>
            <w:r w:rsidRPr="000F70CB">
              <w:rPr>
                <w:sz w:val="26"/>
                <w:szCs w:val="26"/>
              </w:rPr>
              <w:t>Cita informācija</w:t>
            </w:r>
          </w:p>
        </w:tc>
        <w:tc>
          <w:tcPr>
            <w:tcW w:w="6043" w:type="dxa"/>
            <w:gridSpan w:val="3"/>
          </w:tcPr>
          <w:p w:rsidR="009D7E55" w:rsidRPr="000F70CB" w:rsidP="009D7E55" w14:paraId="1A8AC89C" w14:textId="77777777">
            <w:pPr>
              <w:shd w:val="clear" w:color="auto" w:fill="FFFFFF"/>
              <w:ind w:left="57" w:right="113"/>
              <w:jc w:val="both"/>
              <w:rPr>
                <w:rFonts w:eastAsia="PMingLiU"/>
                <w:sz w:val="26"/>
                <w:szCs w:val="26"/>
                <w:lang w:eastAsia="ja-JP"/>
              </w:rPr>
            </w:pPr>
            <w:r w:rsidRPr="000F70CB">
              <w:rPr>
                <w:rFonts w:eastAsia="PMingLiU"/>
                <w:sz w:val="26"/>
                <w:szCs w:val="26"/>
                <w:lang w:eastAsia="ja-JP"/>
              </w:rPr>
              <w:t>Nav.</w:t>
            </w:r>
          </w:p>
        </w:tc>
      </w:tr>
      <w:tr w14:paraId="5E21468E" w14:textId="77777777" w:rsidTr="000F70CB">
        <w:tblPrEx>
          <w:tblW w:w="9356" w:type="dxa"/>
          <w:tblInd w:w="-5" w:type="dxa"/>
          <w:tblCellMar>
            <w:left w:w="108" w:type="dxa"/>
            <w:right w:w="108" w:type="dxa"/>
          </w:tblCellMar>
          <w:tblLook w:val="01E0"/>
        </w:tblPrEx>
        <w:tc>
          <w:tcPr>
            <w:tcW w:w="9356" w:type="dxa"/>
            <w:gridSpan w:val="6"/>
            <w:tcBorders>
              <w:top w:val="single" w:sz="4" w:space="0" w:color="auto"/>
              <w:left w:val="single" w:sz="4" w:space="0" w:color="auto"/>
              <w:bottom w:val="single" w:sz="4" w:space="0" w:color="auto"/>
              <w:right w:val="single" w:sz="4" w:space="0" w:color="auto"/>
            </w:tcBorders>
            <w:hideMark/>
          </w:tcPr>
          <w:p w:rsidR="009D7E55" w:rsidRPr="000F70CB" w:rsidP="009D7E55" w14:paraId="0653F66C" w14:textId="77777777">
            <w:pPr>
              <w:jc w:val="center"/>
              <w:rPr>
                <w:rFonts w:eastAsia="Times New Roman"/>
                <w:color w:val="000000"/>
                <w:sz w:val="26"/>
                <w:szCs w:val="26"/>
                <w:lang w:eastAsia="en-US"/>
              </w:rPr>
            </w:pPr>
            <w:r w:rsidRPr="000F70CB">
              <w:rPr>
                <w:rFonts w:eastAsia="Times New Roman"/>
                <w:b/>
                <w:color w:val="000000"/>
                <w:sz w:val="26"/>
                <w:szCs w:val="26"/>
                <w:lang w:eastAsia="en-US"/>
              </w:rPr>
              <w:t>1.tabula. Tiesību akta projekta atbilstība ES tiesību aktiem</w:t>
            </w:r>
          </w:p>
        </w:tc>
      </w:tr>
      <w:tr w14:paraId="06A41EF9" w14:textId="77777777" w:rsidTr="000F70CB">
        <w:tblPrEx>
          <w:tblW w:w="9356" w:type="dxa"/>
          <w:tblInd w:w="-5" w:type="dxa"/>
          <w:tblCellMar>
            <w:left w:w="108" w:type="dxa"/>
            <w:right w:w="108" w:type="dxa"/>
          </w:tblCellMar>
          <w:tblLook w:val="01E0"/>
        </w:tblPrEx>
        <w:tc>
          <w:tcPr>
            <w:tcW w:w="2622" w:type="dxa"/>
            <w:gridSpan w:val="2"/>
            <w:tcBorders>
              <w:top w:val="single" w:sz="4" w:space="0" w:color="auto"/>
              <w:left w:val="single" w:sz="4" w:space="0" w:color="auto"/>
              <w:bottom w:val="single" w:sz="4" w:space="0" w:color="auto"/>
              <w:right w:val="single" w:sz="4" w:space="0" w:color="auto"/>
            </w:tcBorders>
            <w:hideMark/>
          </w:tcPr>
          <w:p w:rsidR="009D7E55" w:rsidRPr="000F70CB" w:rsidP="009D7E55" w14:paraId="3D9C8DB4" w14:textId="77777777">
            <w:pPr>
              <w:rPr>
                <w:color w:val="000000"/>
                <w:sz w:val="26"/>
                <w:szCs w:val="26"/>
                <w:lang w:eastAsia="en-US"/>
              </w:rPr>
            </w:pPr>
            <w:r w:rsidRPr="000F70CB">
              <w:rPr>
                <w:color w:val="000000"/>
                <w:sz w:val="26"/>
                <w:szCs w:val="26"/>
              </w:rPr>
              <w:t>Attiecīgā ES tiesību akta datums, numurs un nosaukums</w:t>
            </w:r>
          </w:p>
        </w:tc>
        <w:tc>
          <w:tcPr>
            <w:tcW w:w="6734" w:type="dxa"/>
            <w:gridSpan w:val="4"/>
            <w:tcBorders>
              <w:top w:val="single" w:sz="4" w:space="0" w:color="auto"/>
              <w:left w:val="single" w:sz="4" w:space="0" w:color="auto"/>
              <w:bottom w:val="single" w:sz="4" w:space="0" w:color="auto"/>
              <w:right w:val="single" w:sz="4" w:space="0" w:color="auto"/>
            </w:tcBorders>
            <w:hideMark/>
          </w:tcPr>
          <w:p w:rsidR="009D7E55" w:rsidRPr="000F70CB" w:rsidP="009D7E55" w14:paraId="39F4FD3F" w14:textId="28121A3F">
            <w:pPr>
              <w:tabs>
                <w:tab w:val="left" w:pos="2628"/>
              </w:tabs>
              <w:jc w:val="both"/>
              <w:rPr>
                <w:rFonts w:eastAsia="Times New Roman"/>
                <w:color w:val="000000"/>
                <w:sz w:val="26"/>
                <w:szCs w:val="26"/>
                <w:lang w:eastAsia="en-US"/>
              </w:rPr>
            </w:pPr>
            <w:r w:rsidRPr="000F70CB">
              <w:rPr>
                <w:rFonts w:eastAsia="Times New Roman"/>
                <w:sz w:val="26"/>
                <w:szCs w:val="26"/>
              </w:rPr>
              <w:t>Ar normatīvo aktu tiek ieviestas prasības no regulas Nr.1303/2013.</w:t>
            </w:r>
          </w:p>
        </w:tc>
      </w:tr>
      <w:tr w14:paraId="25220B1E" w14:textId="77777777" w:rsidTr="000F70CB">
        <w:tblPrEx>
          <w:tblW w:w="9356" w:type="dxa"/>
          <w:tblInd w:w="-5" w:type="dxa"/>
          <w:tblCellMar>
            <w:left w:w="108" w:type="dxa"/>
            <w:right w:w="108" w:type="dxa"/>
          </w:tblCellMar>
          <w:tblLook w:val="01E0"/>
        </w:tblPrEx>
        <w:tc>
          <w:tcPr>
            <w:tcW w:w="2622" w:type="dxa"/>
            <w:gridSpan w:val="2"/>
            <w:tcBorders>
              <w:top w:val="single" w:sz="4" w:space="0" w:color="auto"/>
              <w:left w:val="single" w:sz="4" w:space="0" w:color="auto"/>
              <w:bottom w:val="single" w:sz="4" w:space="0" w:color="auto"/>
              <w:right w:val="single" w:sz="4" w:space="0" w:color="auto"/>
            </w:tcBorders>
            <w:hideMark/>
          </w:tcPr>
          <w:p w:rsidR="009D7E55" w:rsidRPr="000F70CB" w:rsidP="009D7E55" w14:paraId="6144FC10" w14:textId="77777777">
            <w:pPr>
              <w:jc w:val="center"/>
              <w:rPr>
                <w:color w:val="000000"/>
                <w:sz w:val="26"/>
                <w:szCs w:val="26"/>
                <w:lang w:eastAsia="en-US"/>
              </w:rPr>
            </w:pPr>
            <w:r w:rsidRPr="000F70CB">
              <w:rPr>
                <w:color w:val="000000"/>
                <w:sz w:val="26"/>
                <w:szCs w:val="26"/>
              </w:rPr>
              <w:t>A</w:t>
            </w:r>
          </w:p>
        </w:tc>
        <w:tc>
          <w:tcPr>
            <w:tcW w:w="2358" w:type="dxa"/>
            <w:gridSpan w:val="2"/>
            <w:tcBorders>
              <w:top w:val="single" w:sz="4" w:space="0" w:color="auto"/>
              <w:left w:val="single" w:sz="4" w:space="0" w:color="auto"/>
              <w:bottom w:val="single" w:sz="4" w:space="0" w:color="auto"/>
              <w:right w:val="single" w:sz="4" w:space="0" w:color="auto"/>
            </w:tcBorders>
            <w:hideMark/>
          </w:tcPr>
          <w:p w:rsidR="009D7E55" w:rsidRPr="000F70CB" w:rsidP="009D7E55" w14:paraId="2E86E833" w14:textId="77777777">
            <w:pPr>
              <w:jc w:val="center"/>
              <w:rPr>
                <w:color w:val="000000"/>
                <w:sz w:val="26"/>
                <w:szCs w:val="26"/>
                <w:lang w:eastAsia="en-US"/>
              </w:rPr>
            </w:pPr>
            <w:r w:rsidRPr="000F70CB">
              <w:rPr>
                <w:color w:val="000000"/>
                <w:sz w:val="26"/>
                <w:szCs w:val="26"/>
              </w:rPr>
              <w:t>B</w:t>
            </w:r>
          </w:p>
        </w:tc>
        <w:tc>
          <w:tcPr>
            <w:tcW w:w="2374" w:type="dxa"/>
            <w:tcBorders>
              <w:top w:val="single" w:sz="4" w:space="0" w:color="auto"/>
              <w:left w:val="single" w:sz="4" w:space="0" w:color="auto"/>
              <w:bottom w:val="single" w:sz="4" w:space="0" w:color="auto"/>
              <w:right w:val="single" w:sz="4" w:space="0" w:color="auto"/>
            </w:tcBorders>
            <w:hideMark/>
          </w:tcPr>
          <w:p w:rsidR="009D7E55" w:rsidRPr="000F70CB" w:rsidP="009D7E55" w14:paraId="0886C612" w14:textId="77777777">
            <w:pPr>
              <w:jc w:val="center"/>
              <w:rPr>
                <w:color w:val="000000"/>
                <w:sz w:val="26"/>
                <w:szCs w:val="26"/>
                <w:lang w:eastAsia="en-US"/>
              </w:rPr>
            </w:pPr>
            <w:r w:rsidRPr="000F70CB">
              <w:rPr>
                <w:color w:val="000000"/>
                <w:sz w:val="26"/>
                <w:szCs w:val="26"/>
              </w:rPr>
              <w:t>C</w:t>
            </w:r>
          </w:p>
        </w:tc>
        <w:tc>
          <w:tcPr>
            <w:tcW w:w="2002" w:type="dxa"/>
            <w:tcBorders>
              <w:top w:val="single" w:sz="4" w:space="0" w:color="auto"/>
              <w:left w:val="single" w:sz="4" w:space="0" w:color="auto"/>
              <w:bottom w:val="single" w:sz="4" w:space="0" w:color="auto"/>
              <w:right w:val="single" w:sz="4" w:space="0" w:color="auto"/>
            </w:tcBorders>
            <w:hideMark/>
          </w:tcPr>
          <w:p w:rsidR="009D7E55" w:rsidRPr="000F70CB" w:rsidP="009D7E55" w14:paraId="35695657" w14:textId="77777777">
            <w:pPr>
              <w:jc w:val="center"/>
              <w:rPr>
                <w:color w:val="000000"/>
                <w:sz w:val="26"/>
                <w:szCs w:val="26"/>
                <w:lang w:eastAsia="en-US"/>
              </w:rPr>
            </w:pPr>
            <w:r w:rsidRPr="000F70CB">
              <w:rPr>
                <w:color w:val="000000"/>
                <w:sz w:val="26"/>
                <w:szCs w:val="26"/>
              </w:rPr>
              <w:t>D</w:t>
            </w:r>
          </w:p>
        </w:tc>
      </w:tr>
      <w:tr w14:paraId="35D59A42" w14:textId="77777777" w:rsidTr="000F70CB">
        <w:tblPrEx>
          <w:tblW w:w="9356" w:type="dxa"/>
          <w:tblInd w:w="-5" w:type="dxa"/>
          <w:tblCellMar>
            <w:left w:w="108" w:type="dxa"/>
            <w:right w:w="108" w:type="dxa"/>
          </w:tblCellMar>
          <w:tblLook w:val="01E0"/>
        </w:tblPrEx>
        <w:tc>
          <w:tcPr>
            <w:tcW w:w="2622" w:type="dxa"/>
            <w:gridSpan w:val="2"/>
            <w:tcBorders>
              <w:top w:val="single" w:sz="4" w:space="0" w:color="auto"/>
              <w:left w:val="single" w:sz="4" w:space="0" w:color="auto"/>
              <w:bottom w:val="single" w:sz="4" w:space="0" w:color="auto"/>
              <w:right w:val="single" w:sz="4" w:space="0" w:color="auto"/>
            </w:tcBorders>
            <w:hideMark/>
          </w:tcPr>
          <w:p w:rsidR="009D7E55" w:rsidRPr="000F70CB" w:rsidP="009D7E55" w14:paraId="26114AA0" w14:textId="77777777">
            <w:pPr>
              <w:rPr>
                <w:color w:val="000000"/>
                <w:sz w:val="26"/>
                <w:szCs w:val="26"/>
                <w:lang w:eastAsia="en-US"/>
              </w:rPr>
            </w:pPr>
            <w:r w:rsidRPr="000F70CB">
              <w:rPr>
                <w:color w:val="000000"/>
                <w:sz w:val="26"/>
                <w:szCs w:val="26"/>
              </w:rPr>
              <w:t xml:space="preserve">Attiecīgā ES tiesību akta panta numurs (uzskaitot katru tiesību akta </w:t>
            </w:r>
            <w:r w:rsidRPr="000F70CB">
              <w:rPr>
                <w:color w:val="000000"/>
                <w:sz w:val="26"/>
                <w:szCs w:val="26"/>
              </w:rPr>
              <w:br/>
              <w:t>vienību – pantu, daļu, punktu, apakšpunktu)</w:t>
            </w:r>
          </w:p>
        </w:tc>
        <w:tc>
          <w:tcPr>
            <w:tcW w:w="2358" w:type="dxa"/>
            <w:gridSpan w:val="2"/>
            <w:tcBorders>
              <w:top w:val="single" w:sz="4" w:space="0" w:color="auto"/>
              <w:left w:val="single" w:sz="4" w:space="0" w:color="auto"/>
              <w:bottom w:val="single" w:sz="4" w:space="0" w:color="auto"/>
              <w:right w:val="single" w:sz="4" w:space="0" w:color="auto"/>
            </w:tcBorders>
            <w:hideMark/>
          </w:tcPr>
          <w:p w:rsidR="009D7E55" w:rsidRPr="000F70CB" w:rsidP="009D7E55" w14:paraId="0068B5F8" w14:textId="77777777">
            <w:pPr>
              <w:rPr>
                <w:color w:val="000000"/>
                <w:sz w:val="26"/>
                <w:szCs w:val="26"/>
                <w:lang w:eastAsia="en-US"/>
              </w:rPr>
            </w:pPr>
            <w:r w:rsidRPr="000F70CB">
              <w:rPr>
                <w:color w:val="000000"/>
                <w:sz w:val="26"/>
                <w:szCs w:val="26"/>
              </w:rPr>
              <w:t xml:space="preserve">Projekta vienība, kas pārņem vai ievieš katru šīs tabulas A ailē minēto ES tiesību akta vienību, vai </w:t>
            </w:r>
            <w:r w:rsidRPr="000F70CB">
              <w:rPr>
                <w:color w:val="000000"/>
                <w:sz w:val="26"/>
                <w:szCs w:val="26"/>
              </w:rPr>
              <w:t>tiesību akts, kur attiecīgā ES tiesību akta vienība pārņemta vai ieviesta</w:t>
            </w:r>
          </w:p>
        </w:tc>
        <w:tc>
          <w:tcPr>
            <w:tcW w:w="2374" w:type="dxa"/>
            <w:tcBorders>
              <w:top w:val="single" w:sz="4" w:space="0" w:color="auto"/>
              <w:left w:val="single" w:sz="4" w:space="0" w:color="auto"/>
              <w:bottom w:val="single" w:sz="4" w:space="0" w:color="auto"/>
              <w:right w:val="single" w:sz="4" w:space="0" w:color="auto"/>
            </w:tcBorders>
            <w:hideMark/>
          </w:tcPr>
          <w:p w:rsidR="009D7E55" w:rsidRPr="000F70CB" w:rsidP="009D7E55" w14:paraId="4C199667" w14:textId="77777777">
            <w:pPr>
              <w:rPr>
                <w:color w:val="000000"/>
                <w:sz w:val="26"/>
                <w:szCs w:val="26"/>
              </w:rPr>
            </w:pPr>
            <w:r w:rsidRPr="000F70CB">
              <w:rPr>
                <w:color w:val="000000"/>
                <w:sz w:val="26"/>
                <w:szCs w:val="26"/>
              </w:rPr>
              <w:t xml:space="preserve">Informācija par to, vai šīs tabulas A ailē minētās ES tiesību akta vienības tiek pārņemtas vai </w:t>
            </w:r>
            <w:r w:rsidRPr="000F70CB">
              <w:rPr>
                <w:color w:val="000000"/>
                <w:sz w:val="26"/>
                <w:szCs w:val="26"/>
              </w:rPr>
              <w:t>ieviestas pilnībā vai daļēji.</w:t>
            </w:r>
          </w:p>
          <w:p w:rsidR="009D7E55" w:rsidRPr="000F70CB" w:rsidP="009D7E55" w14:paraId="0CABC6D0" w14:textId="77777777">
            <w:pPr>
              <w:rPr>
                <w:color w:val="000000"/>
                <w:sz w:val="26"/>
                <w:szCs w:val="26"/>
              </w:rPr>
            </w:pPr>
            <w:r w:rsidRPr="000F70CB">
              <w:rPr>
                <w:color w:val="000000"/>
                <w:sz w:val="26"/>
                <w:szCs w:val="26"/>
              </w:rPr>
              <w:t>Ja attiecīgā ES tiesību akta vienība tiek pārņemta vai ieviesta daļēji, – sniedz attiecīgu skaidrojumu, kā arī precīzi norāda, kad un kādā veidā ES tiesību akta vienība tiks pārņemta vai ieviesta pilnībā.</w:t>
            </w:r>
          </w:p>
          <w:p w:rsidR="009D7E55" w:rsidRPr="000F70CB" w:rsidP="009D7E55" w14:paraId="34F6CFD0" w14:textId="77777777">
            <w:pPr>
              <w:rPr>
                <w:color w:val="000000"/>
                <w:sz w:val="26"/>
                <w:szCs w:val="26"/>
                <w:lang w:eastAsia="en-US"/>
              </w:rPr>
            </w:pPr>
            <w:r w:rsidRPr="000F70CB">
              <w:rPr>
                <w:color w:val="000000"/>
                <w:sz w:val="26"/>
                <w:szCs w:val="26"/>
              </w:rPr>
              <w:t>Norāda institūciju, kas ir atbildīga par šo saistību izpildi pilnībā</w:t>
            </w:r>
          </w:p>
        </w:tc>
        <w:tc>
          <w:tcPr>
            <w:tcW w:w="2002" w:type="dxa"/>
            <w:tcBorders>
              <w:top w:val="single" w:sz="4" w:space="0" w:color="auto"/>
              <w:left w:val="single" w:sz="4" w:space="0" w:color="auto"/>
              <w:bottom w:val="single" w:sz="4" w:space="0" w:color="auto"/>
              <w:right w:val="single" w:sz="4" w:space="0" w:color="auto"/>
            </w:tcBorders>
            <w:hideMark/>
          </w:tcPr>
          <w:p w:rsidR="009D7E55" w:rsidRPr="000F70CB" w:rsidP="009D7E55" w14:paraId="7B8F2584" w14:textId="77777777">
            <w:pPr>
              <w:rPr>
                <w:color w:val="000000"/>
                <w:sz w:val="26"/>
                <w:szCs w:val="26"/>
              </w:rPr>
            </w:pPr>
            <w:r w:rsidRPr="000F70CB">
              <w:rPr>
                <w:color w:val="000000"/>
                <w:sz w:val="26"/>
                <w:szCs w:val="26"/>
              </w:rPr>
              <w:t xml:space="preserve">Informācija par to, vai šīs tabulas B ailē minētās projekta vienības paredz stingrākas </w:t>
            </w:r>
            <w:r w:rsidRPr="000F70CB">
              <w:rPr>
                <w:color w:val="000000"/>
                <w:sz w:val="26"/>
                <w:szCs w:val="26"/>
              </w:rPr>
              <w:t>prasības nekā šīs tabulas A ailē minētās ES tiesību akta vienības.</w:t>
            </w:r>
          </w:p>
          <w:p w:rsidR="009D7E55" w:rsidRPr="000F70CB" w:rsidP="009D7E55" w14:paraId="3D9F39AE" w14:textId="77777777">
            <w:pPr>
              <w:rPr>
                <w:color w:val="000000"/>
                <w:sz w:val="26"/>
                <w:szCs w:val="26"/>
              </w:rPr>
            </w:pPr>
            <w:r w:rsidRPr="000F70CB">
              <w:rPr>
                <w:color w:val="000000"/>
                <w:sz w:val="26"/>
                <w:szCs w:val="26"/>
              </w:rPr>
              <w:t>Ja projekts satur stingrākas prasības nekā attiecīgais ES tiesību akts, – norāda pamatojumu un samērīgumu.</w:t>
            </w:r>
          </w:p>
          <w:p w:rsidR="009D7E55" w:rsidRPr="000F70CB" w:rsidP="009D7E55" w14:paraId="2074A473" w14:textId="77777777">
            <w:pPr>
              <w:rPr>
                <w:color w:val="000000"/>
                <w:sz w:val="26"/>
                <w:szCs w:val="26"/>
                <w:lang w:eastAsia="en-US"/>
              </w:rPr>
            </w:pPr>
            <w:r w:rsidRPr="000F70CB">
              <w:rPr>
                <w:color w:val="000000"/>
                <w:sz w:val="26"/>
                <w:szCs w:val="26"/>
              </w:rPr>
              <w:t>Norāda iespējamās alternatīvas (t.sk. alternatīvas, kas neparedz tiesiskā regulējuma izstrādi) – kādos gadījumos būtu iespējams izvairīties no stingrāku prasību noteikšanas, nekā paredzēts attiecīgajos ES tiesību aktos</w:t>
            </w:r>
          </w:p>
        </w:tc>
      </w:tr>
      <w:tr w14:paraId="0A3A7076" w14:textId="77777777" w:rsidTr="000F70CB">
        <w:tblPrEx>
          <w:tblW w:w="9356" w:type="dxa"/>
          <w:tblInd w:w="-5" w:type="dxa"/>
          <w:tblCellMar>
            <w:left w:w="108" w:type="dxa"/>
            <w:right w:w="108" w:type="dxa"/>
          </w:tblCellMar>
          <w:tblLook w:val="01E0"/>
        </w:tblPrEx>
        <w:tc>
          <w:tcPr>
            <w:tcW w:w="2622" w:type="dxa"/>
            <w:gridSpan w:val="2"/>
            <w:tcBorders>
              <w:top w:val="single" w:sz="4" w:space="0" w:color="auto"/>
              <w:left w:val="single" w:sz="4" w:space="0" w:color="auto"/>
              <w:bottom w:val="single" w:sz="4" w:space="0" w:color="auto"/>
              <w:right w:val="single" w:sz="4" w:space="0" w:color="auto"/>
            </w:tcBorders>
          </w:tcPr>
          <w:p w:rsidR="00E6084B" w:rsidRPr="000F70CB" w:rsidP="00E6084B" w14:paraId="5E8B9E95" w14:textId="1583F8ED">
            <w:pPr>
              <w:rPr>
                <w:color w:val="000000"/>
                <w:sz w:val="26"/>
                <w:szCs w:val="26"/>
                <w:highlight w:val="yellow"/>
              </w:rPr>
            </w:pPr>
            <w:r w:rsidRPr="000F70CB">
              <w:rPr>
                <w:sz w:val="26"/>
                <w:szCs w:val="26"/>
              </w:rPr>
              <w:t>Regulas Nr.1303/2013.38.panta 6.punkts</w:t>
            </w:r>
          </w:p>
        </w:tc>
        <w:tc>
          <w:tcPr>
            <w:tcW w:w="2358" w:type="dxa"/>
            <w:gridSpan w:val="2"/>
            <w:tcBorders>
              <w:top w:val="single" w:sz="4" w:space="0" w:color="auto"/>
              <w:left w:val="single" w:sz="4" w:space="0" w:color="auto"/>
              <w:bottom w:val="single" w:sz="4" w:space="0" w:color="auto"/>
              <w:right w:val="single" w:sz="4" w:space="0" w:color="auto"/>
            </w:tcBorders>
          </w:tcPr>
          <w:p w:rsidR="00E6084B" w:rsidRPr="000F70CB" w:rsidP="00E6084B" w14:paraId="2D4F9458" w14:textId="79F5640B">
            <w:pPr>
              <w:rPr>
                <w:color w:val="000000"/>
                <w:sz w:val="26"/>
                <w:szCs w:val="26"/>
                <w:highlight w:val="yellow"/>
              </w:rPr>
            </w:pPr>
            <w:r w:rsidRPr="000F70CB">
              <w:rPr>
                <w:sz w:val="26"/>
                <w:szCs w:val="26"/>
              </w:rPr>
              <w:t>Noteikumu projekta 1</w:t>
            </w:r>
            <w:r w:rsidRPr="000F70CB" w:rsidR="00FF47B6">
              <w:rPr>
                <w:sz w:val="26"/>
                <w:szCs w:val="26"/>
              </w:rPr>
              <w:t>2</w:t>
            </w:r>
            <w:r w:rsidRPr="000F70CB">
              <w:rPr>
                <w:sz w:val="26"/>
                <w:szCs w:val="26"/>
              </w:rPr>
              <w:t>.punkts</w:t>
            </w:r>
          </w:p>
        </w:tc>
        <w:tc>
          <w:tcPr>
            <w:tcW w:w="2374" w:type="dxa"/>
            <w:tcBorders>
              <w:top w:val="single" w:sz="4" w:space="0" w:color="auto"/>
              <w:left w:val="single" w:sz="4" w:space="0" w:color="auto"/>
              <w:bottom w:val="single" w:sz="4" w:space="0" w:color="auto"/>
              <w:right w:val="single" w:sz="4" w:space="0" w:color="auto"/>
            </w:tcBorders>
          </w:tcPr>
          <w:p w:rsidR="00E6084B" w:rsidRPr="000F70CB" w:rsidP="00E6084B" w14:paraId="60FAC21E" w14:textId="06D3127D">
            <w:pPr>
              <w:jc w:val="center"/>
              <w:rPr>
                <w:i/>
                <w:color w:val="000000"/>
                <w:sz w:val="26"/>
                <w:szCs w:val="26"/>
                <w:highlight w:val="yellow"/>
              </w:rPr>
            </w:pPr>
            <w:r w:rsidRPr="000F70CB">
              <w:rPr>
                <w:i/>
                <w:sz w:val="26"/>
                <w:szCs w:val="26"/>
              </w:rPr>
              <w:t>Ieviesta pilnībā</w:t>
            </w:r>
          </w:p>
        </w:tc>
        <w:tc>
          <w:tcPr>
            <w:tcW w:w="2002" w:type="dxa"/>
            <w:tcBorders>
              <w:top w:val="single" w:sz="4" w:space="0" w:color="auto"/>
              <w:left w:val="single" w:sz="4" w:space="0" w:color="auto"/>
              <w:bottom w:val="single" w:sz="4" w:space="0" w:color="auto"/>
              <w:right w:val="single" w:sz="4" w:space="0" w:color="auto"/>
            </w:tcBorders>
          </w:tcPr>
          <w:p w:rsidR="00E6084B" w:rsidRPr="000F70CB" w:rsidP="00E6084B" w14:paraId="0EF5E40D" w14:textId="3E66C8D6">
            <w:pPr>
              <w:jc w:val="center"/>
              <w:rPr>
                <w:i/>
                <w:color w:val="000000"/>
                <w:sz w:val="26"/>
                <w:szCs w:val="26"/>
                <w:highlight w:val="yellow"/>
              </w:rPr>
            </w:pPr>
            <w:r w:rsidRPr="000F70CB">
              <w:rPr>
                <w:i/>
                <w:sz w:val="26"/>
                <w:szCs w:val="26"/>
              </w:rPr>
              <w:t>Neparedz stingrākas prasības</w:t>
            </w:r>
          </w:p>
        </w:tc>
      </w:tr>
      <w:tr w14:paraId="130F9E5B" w14:textId="77777777" w:rsidTr="000F70CB">
        <w:tblPrEx>
          <w:tblW w:w="9356" w:type="dxa"/>
          <w:tblInd w:w="-5" w:type="dxa"/>
          <w:tblCellMar>
            <w:left w:w="108" w:type="dxa"/>
            <w:right w:w="108" w:type="dxa"/>
          </w:tblCellMar>
          <w:tblLook w:val="01E0"/>
        </w:tblPrEx>
        <w:tc>
          <w:tcPr>
            <w:tcW w:w="2622" w:type="dxa"/>
            <w:gridSpan w:val="2"/>
            <w:tcBorders>
              <w:top w:val="single" w:sz="4" w:space="0" w:color="auto"/>
              <w:left w:val="single" w:sz="4" w:space="0" w:color="auto"/>
              <w:bottom w:val="single" w:sz="4" w:space="0" w:color="auto"/>
              <w:right w:val="single" w:sz="4" w:space="0" w:color="auto"/>
            </w:tcBorders>
          </w:tcPr>
          <w:p w:rsidR="00E6084B" w:rsidRPr="000F70CB" w:rsidP="00E6084B" w14:paraId="13B33388" w14:textId="083383A0">
            <w:pPr>
              <w:rPr>
                <w:color w:val="000000"/>
                <w:sz w:val="26"/>
                <w:szCs w:val="26"/>
                <w:highlight w:val="yellow"/>
              </w:rPr>
            </w:pPr>
            <w:r w:rsidRPr="000F70CB">
              <w:rPr>
                <w:sz w:val="26"/>
                <w:szCs w:val="26"/>
              </w:rPr>
              <w:t>Regulas Nr.1303/2013.44. un 45. pants</w:t>
            </w:r>
          </w:p>
        </w:tc>
        <w:tc>
          <w:tcPr>
            <w:tcW w:w="2358" w:type="dxa"/>
            <w:gridSpan w:val="2"/>
            <w:tcBorders>
              <w:top w:val="single" w:sz="4" w:space="0" w:color="auto"/>
              <w:left w:val="single" w:sz="4" w:space="0" w:color="auto"/>
              <w:bottom w:val="single" w:sz="4" w:space="0" w:color="auto"/>
              <w:right w:val="single" w:sz="4" w:space="0" w:color="auto"/>
            </w:tcBorders>
          </w:tcPr>
          <w:p w:rsidR="00E6084B" w:rsidRPr="000F70CB" w:rsidP="00E6084B" w14:paraId="5CCCAA6B" w14:textId="292DED92">
            <w:pPr>
              <w:rPr>
                <w:color w:val="000000"/>
                <w:sz w:val="26"/>
                <w:szCs w:val="26"/>
                <w:highlight w:val="yellow"/>
              </w:rPr>
            </w:pPr>
            <w:r w:rsidRPr="000F70CB">
              <w:rPr>
                <w:sz w:val="26"/>
                <w:szCs w:val="26"/>
              </w:rPr>
              <w:t>Noteikumu projekta 1</w:t>
            </w:r>
            <w:r w:rsidRPr="000F70CB" w:rsidR="00FF47B6">
              <w:rPr>
                <w:sz w:val="26"/>
                <w:szCs w:val="26"/>
              </w:rPr>
              <w:t>4</w:t>
            </w:r>
            <w:r w:rsidRPr="000F70CB">
              <w:rPr>
                <w:sz w:val="26"/>
                <w:szCs w:val="26"/>
              </w:rPr>
              <w:t>.punkts</w:t>
            </w:r>
          </w:p>
        </w:tc>
        <w:tc>
          <w:tcPr>
            <w:tcW w:w="2374" w:type="dxa"/>
            <w:tcBorders>
              <w:top w:val="single" w:sz="4" w:space="0" w:color="auto"/>
              <w:left w:val="single" w:sz="4" w:space="0" w:color="auto"/>
              <w:bottom w:val="single" w:sz="4" w:space="0" w:color="auto"/>
              <w:right w:val="single" w:sz="4" w:space="0" w:color="auto"/>
            </w:tcBorders>
          </w:tcPr>
          <w:p w:rsidR="00E6084B" w:rsidRPr="000F70CB" w:rsidP="00E6084B" w14:paraId="32B2A5AF" w14:textId="1EDD5327">
            <w:pPr>
              <w:jc w:val="center"/>
              <w:rPr>
                <w:i/>
                <w:color w:val="000000"/>
                <w:sz w:val="26"/>
                <w:szCs w:val="26"/>
                <w:highlight w:val="yellow"/>
              </w:rPr>
            </w:pPr>
            <w:r w:rsidRPr="000F70CB">
              <w:rPr>
                <w:i/>
                <w:sz w:val="26"/>
                <w:szCs w:val="26"/>
              </w:rPr>
              <w:t>Ieviesta pilnībā</w:t>
            </w:r>
          </w:p>
        </w:tc>
        <w:tc>
          <w:tcPr>
            <w:tcW w:w="2002" w:type="dxa"/>
            <w:tcBorders>
              <w:top w:val="single" w:sz="4" w:space="0" w:color="auto"/>
              <w:left w:val="single" w:sz="4" w:space="0" w:color="auto"/>
              <w:bottom w:val="single" w:sz="4" w:space="0" w:color="auto"/>
              <w:right w:val="single" w:sz="4" w:space="0" w:color="auto"/>
            </w:tcBorders>
          </w:tcPr>
          <w:p w:rsidR="00E6084B" w:rsidRPr="000F70CB" w:rsidP="00E6084B" w14:paraId="0A8B0A1D" w14:textId="2BCBCA53">
            <w:pPr>
              <w:jc w:val="center"/>
              <w:rPr>
                <w:i/>
                <w:color w:val="000000"/>
                <w:sz w:val="26"/>
                <w:szCs w:val="26"/>
                <w:highlight w:val="yellow"/>
              </w:rPr>
            </w:pPr>
            <w:r w:rsidRPr="000F70CB">
              <w:rPr>
                <w:i/>
                <w:sz w:val="26"/>
                <w:szCs w:val="26"/>
              </w:rPr>
              <w:t>Neparedz stingrākas prasības</w:t>
            </w:r>
          </w:p>
        </w:tc>
      </w:tr>
      <w:tr w14:paraId="4B72193C" w14:textId="77777777" w:rsidTr="000F70CB">
        <w:tblPrEx>
          <w:tblW w:w="9356" w:type="dxa"/>
          <w:tblInd w:w="-5" w:type="dxa"/>
          <w:tblCellMar>
            <w:left w:w="108" w:type="dxa"/>
            <w:right w:w="108" w:type="dxa"/>
          </w:tblCellMar>
          <w:tblLook w:val="01E0"/>
        </w:tblPrEx>
        <w:tc>
          <w:tcPr>
            <w:tcW w:w="4980" w:type="dxa"/>
            <w:gridSpan w:val="4"/>
            <w:tcBorders>
              <w:top w:val="single" w:sz="4" w:space="0" w:color="auto"/>
              <w:left w:val="single" w:sz="4" w:space="0" w:color="auto"/>
              <w:bottom w:val="single" w:sz="4" w:space="0" w:color="auto"/>
              <w:right w:val="single" w:sz="4" w:space="0" w:color="auto"/>
            </w:tcBorders>
            <w:hideMark/>
          </w:tcPr>
          <w:p w:rsidR="009D7E55" w:rsidRPr="000F70CB" w:rsidP="009D7E55" w14:paraId="7EF91902" w14:textId="77777777">
            <w:pPr>
              <w:rPr>
                <w:color w:val="000000"/>
                <w:sz w:val="26"/>
                <w:szCs w:val="26"/>
              </w:rPr>
            </w:pPr>
            <w:r w:rsidRPr="000F70CB">
              <w:rPr>
                <w:color w:val="000000"/>
                <w:sz w:val="26"/>
                <w:szCs w:val="26"/>
              </w:rPr>
              <w:t>Kā ir izmantota ES tiesību aktā paredzētā rīcības brīvība dalībvalstij pārņemt vai ieviest noteiktas ES tiesību akta normas?</w:t>
            </w:r>
          </w:p>
          <w:p w:rsidR="009D7E55" w:rsidRPr="000F70CB" w:rsidP="009D7E55" w14:paraId="35416022" w14:textId="77777777">
            <w:pPr>
              <w:rPr>
                <w:i/>
                <w:color w:val="000000"/>
                <w:sz w:val="26"/>
                <w:szCs w:val="26"/>
                <w:lang w:eastAsia="en-US"/>
              </w:rPr>
            </w:pPr>
            <w:r w:rsidRPr="000F70CB">
              <w:rPr>
                <w:color w:val="000000"/>
                <w:sz w:val="26"/>
                <w:szCs w:val="26"/>
              </w:rPr>
              <w:t>Kādēļ?</w:t>
            </w:r>
          </w:p>
        </w:tc>
        <w:tc>
          <w:tcPr>
            <w:tcW w:w="4376" w:type="dxa"/>
            <w:gridSpan w:val="2"/>
            <w:tcBorders>
              <w:top w:val="single" w:sz="4" w:space="0" w:color="auto"/>
              <w:left w:val="single" w:sz="4" w:space="0" w:color="auto"/>
              <w:bottom w:val="single" w:sz="4" w:space="0" w:color="auto"/>
              <w:right w:val="single" w:sz="4" w:space="0" w:color="auto"/>
            </w:tcBorders>
            <w:hideMark/>
          </w:tcPr>
          <w:p w:rsidR="009D7E55" w:rsidRPr="000F70CB" w:rsidP="009D7E55" w14:paraId="2811BC50" w14:textId="72EF48EC">
            <w:pPr>
              <w:rPr>
                <w:color w:val="000000"/>
                <w:sz w:val="26"/>
                <w:szCs w:val="26"/>
                <w:lang w:eastAsia="en-US"/>
              </w:rPr>
            </w:pPr>
            <w:r w:rsidRPr="000F70CB">
              <w:rPr>
                <w:iCs/>
                <w:color w:val="000000"/>
                <w:sz w:val="26"/>
                <w:szCs w:val="26"/>
              </w:rPr>
              <w:t>Regula Nr.1303/2013 rīcības brīvību neparedz.</w:t>
            </w:r>
          </w:p>
        </w:tc>
      </w:tr>
      <w:tr w14:paraId="699CF7F4" w14:textId="77777777" w:rsidTr="000F70CB">
        <w:tblPrEx>
          <w:tblW w:w="9356" w:type="dxa"/>
          <w:tblInd w:w="-5" w:type="dxa"/>
          <w:tblCellMar>
            <w:left w:w="108" w:type="dxa"/>
            <w:right w:w="108" w:type="dxa"/>
          </w:tblCellMar>
          <w:tblLook w:val="01E0"/>
        </w:tblPrEx>
        <w:tc>
          <w:tcPr>
            <w:tcW w:w="4980" w:type="dxa"/>
            <w:gridSpan w:val="4"/>
            <w:tcBorders>
              <w:top w:val="single" w:sz="4" w:space="0" w:color="auto"/>
              <w:left w:val="single" w:sz="4" w:space="0" w:color="auto"/>
              <w:bottom w:val="single" w:sz="4" w:space="0" w:color="auto"/>
              <w:right w:val="single" w:sz="4" w:space="0" w:color="auto"/>
            </w:tcBorders>
            <w:hideMark/>
          </w:tcPr>
          <w:p w:rsidR="009D7E55" w:rsidRPr="000F70CB" w:rsidP="009D7E55" w14:paraId="733EFA45" w14:textId="77777777">
            <w:pPr>
              <w:rPr>
                <w:i/>
                <w:color w:val="000000"/>
                <w:sz w:val="26"/>
                <w:szCs w:val="26"/>
                <w:lang w:eastAsia="en-US"/>
              </w:rPr>
            </w:pPr>
            <w:r w:rsidRPr="000F70CB">
              <w:rPr>
                <w:color w:val="000000"/>
                <w:sz w:val="26"/>
                <w:szCs w:val="26"/>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376" w:type="dxa"/>
            <w:gridSpan w:val="2"/>
            <w:tcBorders>
              <w:top w:val="single" w:sz="4" w:space="0" w:color="auto"/>
              <w:left w:val="single" w:sz="4" w:space="0" w:color="auto"/>
              <w:bottom w:val="single" w:sz="4" w:space="0" w:color="auto"/>
              <w:right w:val="single" w:sz="4" w:space="0" w:color="auto"/>
            </w:tcBorders>
            <w:hideMark/>
          </w:tcPr>
          <w:p w:rsidR="009D7E55" w:rsidRPr="000F70CB" w:rsidP="009D7E55" w14:paraId="52142359" w14:textId="77777777">
            <w:pPr>
              <w:jc w:val="both"/>
              <w:rPr>
                <w:color w:val="000000"/>
                <w:sz w:val="26"/>
                <w:szCs w:val="26"/>
                <w:lang w:eastAsia="en-US"/>
              </w:rPr>
            </w:pPr>
            <w:r w:rsidRPr="000F70CB">
              <w:rPr>
                <w:rFonts w:eastAsia="Times New Roman"/>
                <w:sz w:val="26"/>
                <w:szCs w:val="26"/>
              </w:rPr>
              <w:t xml:space="preserve"> Noteikumu projekts šo jomu neskar.</w:t>
            </w:r>
          </w:p>
        </w:tc>
      </w:tr>
      <w:tr w14:paraId="76E24CE0" w14:textId="77777777" w:rsidTr="000F70CB">
        <w:tblPrEx>
          <w:tblW w:w="9356" w:type="dxa"/>
          <w:tblInd w:w="-5" w:type="dxa"/>
          <w:tblCellMar>
            <w:left w:w="108" w:type="dxa"/>
            <w:right w:w="108" w:type="dxa"/>
          </w:tblCellMar>
          <w:tblLook w:val="01E0"/>
        </w:tblPrEx>
        <w:tc>
          <w:tcPr>
            <w:tcW w:w="4980" w:type="dxa"/>
            <w:gridSpan w:val="4"/>
            <w:tcBorders>
              <w:top w:val="single" w:sz="4" w:space="0" w:color="auto"/>
              <w:left w:val="single" w:sz="4" w:space="0" w:color="auto"/>
              <w:bottom w:val="single" w:sz="4" w:space="0" w:color="auto"/>
              <w:right w:val="single" w:sz="4" w:space="0" w:color="auto"/>
            </w:tcBorders>
            <w:hideMark/>
          </w:tcPr>
          <w:p w:rsidR="009D7E55" w:rsidRPr="000F70CB" w:rsidP="009D7E55" w14:paraId="45E137B0" w14:textId="77777777">
            <w:pPr>
              <w:rPr>
                <w:rFonts w:eastAsia="Times New Roman"/>
                <w:i/>
                <w:color w:val="000000"/>
                <w:sz w:val="26"/>
                <w:szCs w:val="26"/>
                <w:lang w:eastAsia="en-US"/>
              </w:rPr>
            </w:pPr>
            <w:r w:rsidRPr="000F70CB">
              <w:rPr>
                <w:rFonts w:eastAsia="Times New Roman"/>
                <w:color w:val="000000"/>
                <w:sz w:val="26"/>
                <w:szCs w:val="26"/>
                <w:lang w:eastAsia="en-US"/>
              </w:rPr>
              <w:t>Cita informācija</w:t>
            </w:r>
          </w:p>
        </w:tc>
        <w:tc>
          <w:tcPr>
            <w:tcW w:w="4376" w:type="dxa"/>
            <w:gridSpan w:val="2"/>
            <w:tcBorders>
              <w:top w:val="single" w:sz="4" w:space="0" w:color="auto"/>
              <w:left w:val="single" w:sz="4" w:space="0" w:color="auto"/>
              <w:bottom w:val="single" w:sz="4" w:space="0" w:color="auto"/>
              <w:right w:val="single" w:sz="4" w:space="0" w:color="auto"/>
            </w:tcBorders>
            <w:hideMark/>
          </w:tcPr>
          <w:p w:rsidR="009D7E55" w:rsidRPr="000F70CB" w:rsidP="009D7E55" w14:paraId="6C2231ED" w14:textId="77777777">
            <w:pPr>
              <w:rPr>
                <w:color w:val="000000"/>
                <w:sz w:val="26"/>
                <w:szCs w:val="26"/>
                <w:lang w:eastAsia="en-US"/>
              </w:rPr>
            </w:pPr>
            <w:r w:rsidRPr="000F70CB">
              <w:rPr>
                <w:color w:val="000000"/>
                <w:sz w:val="26"/>
                <w:szCs w:val="26"/>
              </w:rPr>
              <w:t>Nav.</w:t>
            </w:r>
          </w:p>
        </w:tc>
      </w:tr>
    </w:tbl>
    <w:p w:rsidR="009D7E55" w:rsidP="0090143C" w14:paraId="00A560D9" w14:textId="139D2EE5">
      <w:pPr>
        <w:jc w:val="both"/>
        <w:rPr>
          <w:sz w:val="26"/>
          <w:szCs w:val="26"/>
        </w:rPr>
      </w:pPr>
    </w:p>
    <w:p w:rsidR="000F70CB" w:rsidP="0090143C" w14:paraId="101CBC2B" w14:textId="77777777">
      <w:pPr>
        <w:jc w:val="both"/>
        <w:rPr>
          <w:sz w:val="26"/>
          <w:szCs w:val="2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20"/>
        <w:gridCol w:w="2814"/>
        <w:gridCol w:w="6222"/>
      </w:tblGrid>
      <w:tr w14:paraId="48412F9A" w14:textId="77777777" w:rsidTr="000F70CB">
        <w:tblPrEx>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356" w:type="dxa"/>
            <w:gridSpan w:val="3"/>
            <w:tcBorders>
              <w:top w:val="single" w:sz="2" w:space="0" w:color="auto"/>
            </w:tcBorders>
            <w:vAlign w:val="center"/>
          </w:tcPr>
          <w:p w:rsidR="00E6084B" w:rsidRPr="000F70CB" w:rsidP="00E6084B" w14:paraId="607A2097" w14:textId="77777777">
            <w:pPr>
              <w:ind w:left="57" w:right="57"/>
              <w:jc w:val="center"/>
              <w:rPr>
                <w:rFonts w:eastAsia="Times New Roman"/>
                <w:sz w:val="26"/>
                <w:szCs w:val="26"/>
              </w:rPr>
            </w:pPr>
            <w:r w:rsidRPr="000F70CB">
              <w:rPr>
                <w:rFonts w:eastAsia="Times New Roman"/>
                <w:b/>
                <w:sz w:val="26"/>
                <w:szCs w:val="26"/>
              </w:rPr>
              <w:t>VI. Sabiedrības līdzdalība un komunikācijas aktivitātes</w:t>
            </w:r>
          </w:p>
        </w:tc>
      </w:tr>
      <w:tr w14:paraId="5C479E37" w14:textId="77777777" w:rsidTr="000F70CB">
        <w:tblPrEx>
          <w:tblW w:w="9356" w:type="dxa"/>
          <w:tblInd w:w="-5" w:type="dxa"/>
          <w:tblCellMar>
            <w:left w:w="0" w:type="dxa"/>
            <w:right w:w="0" w:type="dxa"/>
          </w:tblCellMar>
          <w:tblLook w:val="0000"/>
        </w:tblPrEx>
        <w:trPr>
          <w:trHeight w:val="553"/>
        </w:trPr>
        <w:tc>
          <w:tcPr>
            <w:tcW w:w="320" w:type="dxa"/>
          </w:tcPr>
          <w:p w:rsidR="00E6084B" w:rsidRPr="000F70CB" w:rsidP="00E6084B" w14:paraId="07CC0343" w14:textId="77777777">
            <w:pPr>
              <w:ind w:left="57" w:right="57"/>
              <w:jc w:val="both"/>
              <w:rPr>
                <w:rFonts w:eastAsia="PMingLiU"/>
                <w:bCs/>
                <w:sz w:val="26"/>
                <w:szCs w:val="26"/>
                <w:lang w:eastAsia="ja-JP"/>
              </w:rPr>
            </w:pPr>
            <w:r w:rsidRPr="000F70CB">
              <w:rPr>
                <w:rFonts w:eastAsia="PMingLiU"/>
                <w:bCs/>
                <w:sz w:val="26"/>
                <w:szCs w:val="26"/>
                <w:lang w:eastAsia="ja-JP"/>
              </w:rPr>
              <w:t>1.</w:t>
            </w:r>
          </w:p>
        </w:tc>
        <w:tc>
          <w:tcPr>
            <w:tcW w:w="2814" w:type="dxa"/>
          </w:tcPr>
          <w:p w:rsidR="00E6084B" w:rsidRPr="000F70CB" w:rsidP="00E6084B" w14:paraId="38A5CC6D" w14:textId="77777777">
            <w:pPr>
              <w:tabs>
                <w:tab w:val="left" w:pos="170"/>
              </w:tabs>
              <w:ind w:left="57" w:right="57"/>
              <w:rPr>
                <w:rFonts w:eastAsia="PMingLiU"/>
                <w:sz w:val="26"/>
                <w:szCs w:val="26"/>
                <w:lang w:eastAsia="ja-JP"/>
              </w:rPr>
            </w:pPr>
            <w:r w:rsidRPr="000F70CB">
              <w:rPr>
                <w:rFonts w:eastAsia="PMingLiU"/>
                <w:sz w:val="26"/>
                <w:szCs w:val="26"/>
                <w:lang w:eastAsia="ja-JP"/>
              </w:rPr>
              <w:t>Plānotās sabiedrības līdzdalības un komunikācijas aktivitātes saistībā ar projektu</w:t>
            </w:r>
          </w:p>
        </w:tc>
        <w:tc>
          <w:tcPr>
            <w:tcW w:w="6222" w:type="dxa"/>
          </w:tcPr>
          <w:p w:rsidR="00E6084B" w:rsidRPr="000F70CB" w:rsidP="00E6084B" w14:paraId="4BA03615" w14:textId="77777777">
            <w:pPr>
              <w:shd w:val="clear" w:color="auto" w:fill="FFFFFF"/>
              <w:ind w:left="57" w:right="113"/>
              <w:jc w:val="both"/>
              <w:rPr>
                <w:rFonts w:eastAsia="PMingLiU"/>
                <w:sz w:val="26"/>
                <w:szCs w:val="26"/>
                <w:lang w:eastAsia="ja-JP"/>
              </w:rPr>
            </w:pPr>
            <w:r w:rsidRPr="000F70CB">
              <w:rPr>
                <w:rFonts w:eastAsia="PMingLiU"/>
                <w:sz w:val="26"/>
                <w:szCs w:val="26"/>
                <w:lang w:eastAsia="ja-JP"/>
              </w:rPr>
              <w:t xml:space="preserve">Noteikumu projekts sabiedrības līdzdalību neparedz. </w:t>
            </w:r>
          </w:p>
        </w:tc>
      </w:tr>
      <w:tr w14:paraId="346F8F5C" w14:textId="77777777" w:rsidTr="000F70CB">
        <w:tblPrEx>
          <w:tblW w:w="9356" w:type="dxa"/>
          <w:tblInd w:w="-5" w:type="dxa"/>
          <w:tblCellMar>
            <w:left w:w="0" w:type="dxa"/>
            <w:right w:w="0" w:type="dxa"/>
          </w:tblCellMar>
          <w:tblLook w:val="0000"/>
        </w:tblPrEx>
        <w:trPr>
          <w:trHeight w:val="339"/>
        </w:trPr>
        <w:tc>
          <w:tcPr>
            <w:tcW w:w="320" w:type="dxa"/>
          </w:tcPr>
          <w:p w:rsidR="00E6084B" w:rsidRPr="000F70CB" w:rsidP="00E6084B" w14:paraId="428D94F9" w14:textId="77777777">
            <w:pPr>
              <w:ind w:left="57" w:right="57"/>
              <w:jc w:val="both"/>
              <w:rPr>
                <w:rFonts w:eastAsia="PMingLiU"/>
                <w:bCs/>
                <w:sz w:val="26"/>
                <w:szCs w:val="26"/>
                <w:lang w:eastAsia="ja-JP"/>
              </w:rPr>
            </w:pPr>
            <w:r w:rsidRPr="000F70CB">
              <w:rPr>
                <w:rFonts w:eastAsia="PMingLiU"/>
                <w:bCs/>
                <w:sz w:val="26"/>
                <w:szCs w:val="26"/>
                <w:lang w:eastAsia="ja-JP"/>
              </w:rPr>
              <w:t>2.</w:t>
            </w:r>
          </w:p>
        </w:tc>
        <w:tc>
          <w:tcPr>
            <w:tcW w:w="2814" w:type="dxa"/>
          </w:tcPr>
          <w:p w:rsidR="00E6084B" w:rsidRPr="000F70CB" w:rsidP="00E6084B" w14:paraId="4C98EB00" w14:textId="77777777">
            <w:pPr>
              <w:ind w:left="57" w:right="57"/>
              <w:rPr>
                <w:rFonts w:eastAsia="PMingLiU"/>
                <w:sz w:val="26"/>
                <w:szCs w:val="26"/>
                <w:lang w:eastAsia="ja-JP"/>
              </w:rPr>
            </w:pPr>
            <w:r w:rsidRPr="000F70CB">
              <w:rPr>
                <w:rFonts w:eastAsia="PMingLiU"/>
                <w:sz w:val="26"/>
                <w:szCs w:val="26"/>
                <w:lang w:eastAsia="ja-JP"/>
              </w:rPr>
              <w:t>Sabiedrības līdzdalība projekta izstrādē</w:t>
            </w:r>
          </w:p>
        </w:tc>
        <w:tc>
          <w:tcPr>
            <w:tcW w:w="6222" w:type="dxa"/>
          </w:tcPr>
          <w:p w:rsidR="00E6084B" w:rsidRPr="000F70CB" w:rsidP="00E6084B" w14:paraId="217C30F9" w14:textId="77777777">
            <w:pPr>
              <w:shd w:val="clear" w:color="auto" w:fill="FFFFFF"/>
              <w:ind w:left="57" w:right="113"/>
              <w:jc w:val="both"/>
              <w:rPr>
                <w:rFonts w:eastAsia="PMingLiU"/>
                <w:sz w:val="26"/>
                <w:szCs w:val="26"/>
                <w:shd w:val="clear" w:color="auto" w:fill="FFFFFF"/>
                <w:lang w:eastAsia="ja-JP"/>
              </w:rPr>
            </w:pPr>
            <w:r w:rsidRPr="000F70CB">
              <w:rPr>
                <w:rFonts w:eastAsia="PMingLiU"/>
                <w:sz w:val="26"/>
                <w:szCs w:val="26"/>
                <w:shd w:val="clear" w:color="auto" w:fill="FFFFFF"/>
                <w:lang w:eastAsia="ja-JP"/>
              </w:rPr>
              <w:t>Noteikumu projekts sabiedrības līdzdalību neparedz.</w:t>
            </w:r>
          </w:p>
        </w:tc>
      </w:tr>
      <w:tr w14:paraId="1E4B06E0" w14:textId="77777777" w:rsidTr="000F70CB">
        <w:tblPrEx>
          <w:tblW w:w="9356" w:type="dxa"/>
          <w:tblInd w:w="-5" w:type="dxa"/>
          <w:tblCellMar>
            <w:left w:w="0" w:type="dxa"/>
            <w:right w:w="0" w:type="dxa"/>
          </w:tblCellMar>
          <w:tblLook w:val="0000"/>
        </w:tblPrEx>
        <w:trPr>
          <w:trHeight w:val="476"/>
        </w:trPr>
        <w:tc>
          <w:tcPr>
            <w:tcW w:w="320" w:type="dxa"/>
          </w:tcPr>
          <w:p w:rsidR="00E6084B" w:rsidRPr="000F70CB" w:rsidP="00E6084B" w14:paraId="36DB7A2A" w14:textId="77777777">
            <w:pPr>
              <w:ind w:left="57" w:right="57"/>
              <w:jc w:val="both"/>
              <w:rPr>
                <w:rFonts w:eastAsia="PMingLiU"/>
                <w:bCs/>
                <w:sz w:val="26"/>
                <w:szCs w:val="26"/>
                <w:lang w:eastAsia="ja-JP"/>
              </w:rPr>
            </w:pPr>
            <w:r w:rsidRPr="000F70CB">
              <w:rPr>
                <w:rFonts w:eastAsia="PMingLiU"/>
                <w:bCs/>
                <w:sz w:val="26"/>
                <w:szCs w:val="26"/>
                <w:lang w:eastAsia="ja-JP"/>
              </w:rPr>
              <w:t>3.</w:t>
            </w:r>
          </w:p>
        </w:tc>
        <w:tc>
          <w:tcPr>
            <w:tcW w:w="2814" w:type="dxa"/>
          </w:tcPr>
          <w:p w:rsidR="00E6084B" w:rsidRPr="000F70CB" w:rsidP="00E6084B" w14:paraId="1CEA6A83" w14:textId="77777777">
            <w:pPr>
              <w:ind w:left="57" w:right="57"/>
              <w:rPr>
                <w:rFonts w:eastAsia="PMingLiU"/>
                <w:sz w:val="26"/>
                <w:szCs w:val="26"/>
                <w:lang w:eastAsia="ja-JP"/>
              </w:rPr>
            </w:pPr>
            <w:r w:rsidRPr="000F70CB">
              <w:rPr>
                <w:rFonts w:eastAsia="PMingLiU"/>
                <w:sz w:val="26"/>
                <w:szCs w:val="26"/>
                <w:lang w:eastAsia="ja-JP"/>
              </w:rPr>
              <w:t>Sabiedrības līdzdalības rezultāti</w:t>
            </w:r>
          </w:p>
        </w:tc>
        <w:tc>
          <w:tcPr>
            <w:tcW w:w="6222" w:type="dxa"/>
          </w:tcPr>
          <w:p w:rsidR="00E6084B" w:rsidRPr="000F70CB" w:rsidP="00E6084B" w14:paraId="6804E17A" w14:textId="77777777">
            <w:pPr>
              <w:shd w:val="clear" w:color="auto" w:fill="FFFFFF"/>
              <w:ind w:left="57" w:right="113"/>
              <w:jc w:val="both"/>
              <w:rPr>
                <w:rFonts w:eastAsia="PMingLiU"/>
                <w:sz w:val="26"/>
                <w:szCs w:val="26"/>
                <w:shd w:val="clear" w:color="auto" w:fill="FFFFFF"/>
                <w:lang w:eastAsia="ja-JP"/>
              </w:rPr>
            </w:pPr>
            <w:r w:rsidRPr="000F70CB">
              <w:rPr>
                <w:rFonts w:eastAsia="PMingLiU"/>
                <w:sz w:val="26"/>
                <w:szCs w:val="26"/>
                <w:shd w:val="clear" w:color="auto" w:fill="FFFFFF"/>
                <w:lang w:eastAsia="ja-JP"/>
              </w:rPr>
              <w:t>Nav.</w:t>
            </w:r>
          </w:p>
        </w:tc>
      </w:tr>
      <w:tr w14:paraId="05DBDFE4" w14:textId="77777777" w:rsidTr="000F70CB">
        <w:tblPrEx>
          <w:tblW w:w="9356" w:type="dxa"/>
          <w:tblInd w:w="-5" w:type="dxa"/>
          <w:tblCellMar>
            <w:left w:w="0" w:type="dxa"/>
            <w:right w:w="0" w:type="dxa"/>
          </w:tblCellMar>
          <w:tblLook w:val="0000"/>
        </w:tblPrEx>
        <w:trPr>
          <w:trHeight w:val="70"/>
        </w:trPr>
        <w:tc>
          <w:tcPr>
            <w:tcW w:w="320" w:type="dxa"/>
          </w:tcPr>
          <w:p w:rsidR="00E6084B" w:rsidRPr="000F70CB" w:rsidP="00E6084B" w14:paraId="3F537506" w14:textId="77777777">
            <w:pPr>
              <w:ind w:left="57" w:right="57"/>
              <w:jc w:val="both"/>
              <w:rPr>
                <w:rFonts w:eastAsia="PMingLiU"/>
                <w:bCs/>
                <w:sz w:val="26"/>
                <w:szCs w:val="26"/>
                <w:lang w:eastAsia="ja-JP"/>
              </w:rPr>
            </w:pPr>
            <w:r w:rsidRPr="000F70CB">
              <w:rPr>
                <w:rFonts w:eastAsia="PMingLiU"/>
                <w:bCs/>
                <w:sz w:val="26"/>
                <w:szCs w:val="26"/>
                <w:lang w:eastAsia="ja-JP"/>
              </w:rPr>
              <w:t>4.</w:t>
            </w:r>
          </w:p>
        </w:tc>
        <w:tc>
          <w:tcPr>
            <w:tcW w:w="2814" w:type="dxa"/>
          </w:tcPr>
          <w:p w:rsidR="00E6084B" w:rsidRPr="000F70CB" w:rsidP="00E6084B" w14:paraId="7FBD431D" w14:textId="77777777">
            <w:pPr>
              <w:ind w:left="57" w:right="57"/>
              <w:rPr>
                <w:rFonts w:eastAsia="PMingLiU"/>
                <w:sz w:val="26"/>
                <w:szCs w:val="26"/>
                <w:lang w:eastAsia="ja-JP"/>
              </w:rPr>
            </w:pPr>
            <w:r w:rsidRPr="000F70CB">
              <w:rPr>
                <w:rFonts w:eastAsia="PMingLiU"/>
                <w:sz w:val="26"/>
                <w:szCs w:val="26"/>
                <w:lang w:eastAsia="ja-JP"/>
              </w:rPr>
              <w:t>Cita informācija</w:t>
            </w:r>
          </w:p>
        </w:tc>
        <w:tc>
          <w:tcPr>
            <w:tcW w:w="6222" w:type="dxa"/>
          </w:tcPr>
          <w:p w:rsidR="00E6084B" w:rsidRPr="000F70CB" w:rsidP="00E6084B" w14:paraId="1AC4AADF" w14:textId="77777777">
            <w:pPr>
              <w:ind w:left="57" w:right="113"/>
              <w:jc w:val="both"/>
              <w:rPr>
                <w:rFonts w:eastAsia="PMingLiU"/>
                <w:sz w:val="26"/>
                <w:szCs w:val="26"/>
                <w:lang w:eastAsia="ja-JP"/>
              </w:rPr>
            </w:pPr>
            <w:r w:rsidRPr="000F70CB">
              <w:rPr>
                <w:rFonts w:eastAsia="PMingLiU"/>
                <w:sz w:val="26"/>
                <w:szCs w:val="26"/>
                <w:lang w:eastAsia="ja-JP"/>
              </w:rPr>
              <w:t>Nav.</w:t>
            </w:r>
          </w:p>
        </w:tc>
      </w:tr>
    </w:tbl>
    <w:p w:rsidR="00DD120E" w:rsidRPr="00DD120E" w:rsidP="0090143C" w14:paraId="2703F00C" w14:textId="37362A3F">
      <w:pPr>
        <w:jc w:val="both"/>
        <w:rPr>
          <w:sz w:val="26"/>
          <w:szCs w:val="26"/>
          <w:highlight w:val="yellow"/>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20"/>
        <w:gridCol w:w="2815"/>
        <w:gridCol w:w="6221"/>
      </w:tblGrid>
      <w:tr w14:paraId="33F0CF9E" w14:textId="77777777" w:rsidTr="009D7E55">
        <w:tblPrEx>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356" w:type="dxa"/>
            <w:gridSpan w:val="3"/>
            <w:vAlign w:val="center"/>
          </w:tcPr>
          <w:p w:rsidR="00282E1F" w:rsidRPr="00DD120E" w:rsidP="0090143C" w14:paraId="5D1CC650" w14:textId="77777777">
            <w:pPr>
              <w:pStyle w:val="naisnod"/>
              <w:spacing w:before="0" w:beforeAutospacing="0" w:after="0" w:afterAutospacing="0"/>
              <w:ind w:left="57" w:right="57"/>
              <w:jc w:val="center"/>
              <w:rPr>
                <w:sz w:val="26"/>
                <w:szCs w:val="26"/>
              </w:rPr>
            </w:pPr>
            <w:r w:rsidRPr="00DD120E">
              <w:rPr>
                <w:b/>
                <w:sz w:val="26"/>
                <w:szCs w:val="26"/>
              </w:rPr>
              <w:t>VII. Tiesību akta projekta izpildes nodrošināšana un tās ietekme uz institūcijām</w:t>
            </w:r>
          </w:p>
        </w:tc>
      </w:tr>
      <w:tr w14:paraId="53564E0E" w14:textId="77777777" w:rsidTr="009D7E55">
        <w:tblPrEx>
          <w:tblW w:w="9356" w:type="dxa"/>
          <w:tblInd w:w="-5" w:type="dxa"/>
          <w:tblCellMar>
            <w:left w:w="0" w:type="dxa"/>
            <w:right w:w="0" w:type="dxa"/>
          </w:tblCellMar>
          <w:tblLook w:val="0000"/>
        </w:tblPrEx>
        <w:trPr>
          <w:trHeight w:val="553"/>
        </w:trPr>
        <w:tc>
          <w:tcPr>
            <w:tcW w:w="320" w:type="dxa"/>
          </w:tcPr>
          <w:p w:rsidR="00282E1F" w:rsidRPr="00DD120E" w:rsidP="0090143C" w14:paraId="3859B119" w14:textId="77777777">
            <w:pPr>
              <w:ind w:left="57" w:right="57"/>
              <w:jc w:val="both"/>
              <w:rPr>
                <w:bCs/>
                <w:sz w:val="26"/>
                <w:szCs w:val="26"/>
              </w:rPr>
            </w:pPr>
            <w:r w:rsidRPr="00DD120E">
              <w:rPr>
                <w:bCs/>
                <w:sz w:val="26"/>
                <w:szCs w:val="26"/>
              </w:rPr>
              <w:t>1.</w:t>
            </w:r>
          </w:p>
        </w:tc>
        <w:tc>
          <w:tcPr>
            <w:tcW w:w="2815" w:type="dxa"/>
          </w:tcPr>
          <w:p w:rsidR="00282E1F" w:rsidRPr="00DD120E" w:rsidP="0090143C" w14:paraId="63EBD79C" w14:textId="77777777">
            <w:pPr>
              <w:ind w:left="57" w:right="57"/>
              <w:rPr>
                <w:sz w:val="26"/>
                <w:szCs w:val="26"/>
              </w:rPr>
            </w:pPr>
            <w:r w:rsidRPr="00DD120E">
              <w:rPr>
                <w:sz w:val="26"/>
                <w:szCs w:val="26"/>
              </w:rPr>
              <w:t>Projekta izpildē iesaistītās institūcijas</w:t>
            </w:r>
          </w:p>
        </w:tc>
        <w:tc>
          <w:tcPr>
            <w:tcW w:w="6221" w:type="dxa"/>
          </w:tcPr>
          <w:p w:rsidR="00282E1F" w:rsidRPr="00DD120E" w:rsidP="003107A4" w14:paraId="69BB591B" w14:textId="49F4A190">
            <w:pPr>
              <w:shd w:val="clear" w:color="auto" w:fill="FFFFFF"/>
              <w:ind w:left="57" w:right="113"/>
              <w:jc w:val="both"/>
              <w:rPr>
                <w:sz w:val="26"/>
                <w:szCs w:val="26"/>
              </w:rPr>
            </w:pPr>
            <w:r w:rsidRPr="00DD120E">
              <w:rPr>
                <w:sz w:val="26"/>
                <w:szCs w:val="26"/>
              </w:rPr>
              <w:t xml:space="preserve">Ekonomikas ministrija </w:t>
            </w:r>
            <w:r w:rsidRPr="00DD120E" w:rsidR="003107A4">
              <w:rPr>
                <w:sz w:val="26"/>
                <w:szCs w:val="26"/>
              </w:rPr>
              <w:t>un</w:t>
            </w:r>
            <w:r w:rsidRPr="00DD120E" w:rsidR="00EE03B3">
              <w:rPr>
                <w:sz w:val="26"/>
                <w:szCs w:val="26"/>
              </w:rPr>
              <w:t xml:space="preserve"> </w:t>
            </w:r>
            <w:r w:rsidR="002111F6">
              <w:rPr>
                <w:sz w:val="26"/>
                <w:szCs w:val="26"/>
              </w:rPr>
              <w:t>Altum</w:t>
            </w:r>
            <w:r w:rsidR="006A6412">
              <w:rPr>
                <w:sz w:val="26"/>
                <w:szCs w:val="26"/>
              </w:rPr>
              <w:t xml:space="preserve"> kā fondu fonda īstenotājs.</w:t>
            </w:r>
          </w:p>
        </w:tc>
      </w:tr>
      <w:tr w14:paraId="198EB953" w14:textId="77777777" w:rsidTr="009D7E55">
        <w:tblPrEx>
          <w:tblW w:w="9356" w:type="dxa"/>
          <w:tblInd w:w="-5" w:type="dxa"/>
          <w:tblCellMar>
            <w:left w:w="0" w:type="dxa"/>
            <w:right w:w="0" w:type="dxa"/>
          </w:tblCellMar>
          <w:tblLook w:val="0000"/>
        </w:tblPrEx>
        <w:trPr>
          <w:trHeight w:val="339"/>
        </w:trPr>
        <w:tc>
          <w:tcPr>
            <w:tcW w:w="320" w:type="dxa"/>
          </w:tcPr>
          <w:p w:rsidR="00282E1F" w:rsidRPr="00DD120E" w:rsidP="0090143C" w14:paraId="30FD427B" w14:textId="77777777">
            <w:pPr>
              <w:ind w:left="57" w:right="57"/>
              <w:jc w:val="both"/>
              <w:rPr>
                <w:bCs/>
                <w:sz w:val="26"/>
                <w:szCs w:val="26"/>
              </w:rPr>
            </w:pPr>
            <w:r w:rsidRPr="00DD120E">
              <w:rPr>
                <w:bCs/>
                <w:sz w:val="26"/>
                <w:szCs w:val="26"/>
              </w:rPr>
              <w:t>2.</w:t>
            </w:r>
          </w:p>
        </w:tc>
        <w:tc>
          <w:tcPr>
            <w:tcW w:w="2815" w:type="dxa"/>
          </w:tcPr>
          <w:p w:rsidR="00282E1F" w:rsidRPr="00DD120E" w:rsidP="0090143C" w14:paraId="7EEC48E3" w14:textId="77777777">
            <w:pPr>
              <w:ind w:left="57" w:right="57"/>
              <w:rPr>
                <w:sz w:val="26"/>
                <w:szCs w:val="26"/>
              </w:rPr>
            </w:pPr>
            <w:r w:rsidRPr="00DD120E">
              <w:rPr>
                <w:sz w:val="26"/>
                <w:szCs w:val="26"/>
              </w:rPr>
              <w:t xml:space="preserve">Projekta izpildes ietekme uz pārvaldes funkcijām un institucionālo struktūru. </w:t>
            </w:r>
          </w:p>
          <w:p w:rsidR="00282E1F" w:rsidRPr="00DD120E" w:rsidP="0090143C" w14:paraId="49B5355C" w14:textId="77777777">
            <w:pPr>
              <w:ind w:left="57" w:right="57"/>
              <w:rPr>
                <w:sz w:val="26"/>
                <w:szCs w:val="26"/>
              </w:rPr>
            </w:pPr>
            <w:r w:rsidRPr="00DD120E">
              <w:rPr>
                <w:sz w:val="26"/>
                <w:szCs w:val="26"/>
              </w:rPr>
              <w:t>Jaunu institūciju izveide, esošu institūciju likvidācija vai reorganizācija, to ietekme uz institūcijas cilvēkresursiem</w:t>
            </w:r>
          </w:p>
        </w:tc>
        <w:tc>
          <w:tcPr>
            <w:tcW w:w="6221" w:type="dxa"/>
          </w:tcPr>
          <w:p w:rsidR="00282E1F" w:rsidRPr="00DD120E" w:rsidP="0090143C" w14:paraId="47CCDEDE" w14:textId="77777777">
            <w:pPr>
              <w:shd w:val="clear" w:color="auto" w:fill="FFFFFF"/>
              <w:ind w:left="57" w:right="113"/>
              <w:jc w:val="both"/>
              <w:rPr>
                <w:kern w:val="24"/>
                <w:sz w:val="26"/>
                <w:szCs w:val="26"/>
              </w:rPr>
            </w:pPr>
            <w:r w:rsidRPr="00DD120E">
              <w:rPr>
                <w:sz w:val="26"/>
                <w:szCs w:val="26"/>
              </w:rPr>
              <w:t>Noteikumu p</w:t>
            </w:r>
            <w:r w:rsidRPr="00DD120E" w:rsidR="003107A4">
              <w:rPr>
                <w:sz w:val="26"/>
                <w:szCs w:val="26"/>
              </w:rPr>
              <w:t>rojekts šo jomu neskar.</w:t>
            </w:r>
          </w:p>
        </w:tc>
      </w:tr>
      <w:tr w14:paraId="1973A9C5" w14:textId="77777777" w:rsidTr="009D7E55">
        <w:tblPrEx>
          <w:tblW w:w="9356" w:type="dxa"/>
          <w:tblInd w:w="-5" w:type="dxa"/>
          <w:tblCellMar>
            <w:left w:w="0" w:type="dxa"/>
            <w:right w:w="0" w:type="dxa"/>
          </w:tblCellMar>
          <w:tblLook w:val="0000"/>
        </w:tblPrEx>
        <w:trPr>
          <w:trHeight w:val="476"/>
        </w:trPr>
        <w:tc>
          <w:tcPr>
            <w:tcW w:w="320" w:type="dxa"/>
          </w:tcPr>
          <w:p w:rsidR="00282E1F" w:rsidRPr="00DD120E" w:rsidP="0090143C" w14:paraId="1368745B" w14:textId="77777777">
            <w:pPr>
              <w:ind w:left="57" w:right="57"/>
              <w:jc w:val="both"/>
              <w:rPr>
                <w:bCs/>
                <w:sz w:val="26"/>
                <w:szCs w:val="26"/>
              </w:rPr>
            </w:pPr>
            <w:r w:rsidRPr="00DD120E">
              <w:rPr>
                <w:bCs/>
                <w:sz w:val="26"/>
                <w:szCs w:val="26"/>
              </w:rPr>
              <w:t>3.</w:t>
            </w:r>
          </w:p>
        </w:tc>
        <w:tc>
          <w:tcPr>
            <w:tcW w:w="2815" w:type="dxa"/>
          </w:tcPr>
          <w:p w:rsidR="00282E1F" w:rsidRPr="00DD120E" w:rsidP="0090143C" w14:paraId="29447A50" w14:textId="77777777">
            <w:pPr>
              <w:ind w:left="57" w:right="57"/>
              <w:rPr>
                <w:sz w:val="26"/>
                <w:szCs w:val="26"/>
              </w:rPr>
            </w:pPr>
            <w:r w:rsidRPr="00DD120E">
              <w:rPr>
                <w:sz w:val="26"/>
                <w:szCs w:val="26"/>
              </w:rPr>
              <w:t>Cita informācija</w:t>
            </w:r>
          </w:p>
        </w:tc>
        <w:tc>
          <w:tcPr>
            <w:tcW w:w="6221" w:type="dxa"/>
          </w:tcPr>
          <w:p w:rsidR="00282E1F" w:rsidRPr="00DD120E" w:rsidP="0090143C" w14:paraId="43150BD4" w14:textId="77777777">
            <w:pPr>
              <w:shd w:val="clear" w:color="auto" w:fill="FFFFFF"/>
              <w:ind w:left="57" w:right="113"/>
              <w:jc w:val="both"/>
              <w:rPr>
                <w:sz w:val="26"/>
                <w:szCs w:val="26"/>
              </w:rPr>
            </w:pPr>
            <w:r w:rsidRPr="00DD120E">
              <w:rPr>
                <w:sz w:val="26"/>
                <w:szCs w:val="26"/>
              </w:rPr>
              <w:t>Nav</w:t>
            </w:r>
            <w:r w:rsidRPr="00DD120E" w:rsidR="00DD1F5F">
              <w:rPr>
                <w:sz w:val="26"/>
                <w:szCs w:val="26"/>
              </w:rPr>
              <w:t>.</w:t>
            </w:r>
            <w:r w:rsidRPr="00DD120E">
              <w:rPr>
                <w:sz w:val="26"/>
                <w:szCs w:val="26"/>
              </w:rPr>
              <w:t xml:space="preserve"> </w:t>
            </w:r>
          </w:p>
        </w:tc>
      </w:tr>
    </w:tbl>
    <w:p w:rsidR="00493107" w:rsidRPr="00DD120E" w:rsidP="00C60664" w14:paraId="0544B7AC" w14:textId="77777777">
      <w:pPr>
        <w:jc w:val="both"/>
        <w:rPr>
          <w:sz w:val="26"/>
          <w:szCs w:val="26"/>
        </w:rPr>
      </w:pPr>
    </w:p>
    <w:p w:rsidR="00C870C8" w:rsidP="00493107" w14:paraId="68641CE4" w14:textId="427A7E77">
      <w:pPr>
        <w:jc w:val="both"/>
        <w:rPr>
          <w:sz w:val="26"/>
          <w:szCs w:val="26"/>
        </w:rPr>
      </w:pPr>
    </w:p>
    <w:p w:rsidR="00C870C8" w:rsidRPr="00DD120E" w:rsidP="00493107" w14:paraId="6C48C30B" w14:textId="77777777">
      <w:pPr>
        <w:jc w:val="both"/>
        <w:rPr>
          <w:sz w:val="26"/>
          <w:szCs w:val="26"/>
        </w:rPr>
      </w:pPr>
    </w:p>
    <w:p w:rsidR="00493107" w:rsidRPr="00DD120E" w:rsidP="00493107" w14:paraId="1109BB32" w14:textId="77777777">
      <w:pPr>
        <w:jc w:val="both"/>
        <w:rPr>
          <w:sz w:val="26"/>
          <w:szCs w:val="26"/>
          <w:lang w:eastAsia="en-US"/>
        </w:rPr>
      </w:pPr>
      <w:r w:rsidRPr="00DD120E">
        <w:rPr>
          <w:sz w:val="26"/>
          <w:szCs w:val="26"/>
        </w:rPr>
        <w:t>Ministru prezidenta biedrs,</w:t>
      </w:r>
    </w:p>
    <w:p w:rsidR="00493107" w:rsidRPr="00DD120E" w:rsidP="00493107" w14:paraId="3D5F1C25" w14:textId="77777777">
      <w:pPr>
        <w:jc w:val="both"/>
        <w:rPr>
          <w:sz w:val="26"/>
          <w:szCs w:val="26"/>
        </w:rPr>
      </w:pPr>
      <w:r w:rsidRPr="00DD120E">
        <w:rPr>
          <w:sz w:val="26"/>
          <w:szCs w:val="26"/>
        </w:rPr>
        <w:t>ekonomikas ministrs                                                                      </w:t>
      </w:r>
      <w:r w:rsidRPr="00DD120E" w:rsidR="001C5F7A">
        <w:rPr>
          <w:sz w:val="26"/>
          <w:szCs w:val="26"/>
        </w:rPr>
        <w:t>                   </w:t>
      </w:r>
      <w:r w:rsidRPr="00DD120E" w:rsidR="00BD2587">
        <w:rPr>
          <w:sz w:val="26"/>
          <w:szCs w:val="26"/>
        </w:rPr>
        <w:t xml:space="preserve">      </w:t>
      </w:r>
      <w:r w:rsidRPr="00DD120E" w:rsidR="005208E5">
        <w:rPr>
          <w:sz w:val="26"/>
          <w:szCs w:val="26"/>
        </w:rPr>
        <w:t xml:space="preserve">  </w:t>
      </w:r>
      <w:r w:rsidRPr="00DD120E" w:rsidR="00BD2587">
        <w:rPr>
          <w:sz w:val="26"/>
          <w:szCs w:val="26"/>
        </w:rPr>
        <w:t xml:space="preserve"> </w:t>
      </w:r>
      <w:r w:rsidRPr="00DD120E" w:rsidR="005208E5">
        <w:rPr>
          <w:sz w:val="26"/>
          <w:szCs w:val="26"/>
        </w:rPr>
        <w:t>A. </w:t>
      </w:r>
      <w:r w:rsidRPr="00DD120E" w:rsidR="001C5F7A">
        <w:rPr>
          <w:sz w:val="26"/>
          <w:szCs w:val="26"/>
        </w:rPr>
        <w:t>Ašeradens</w:t>
      </w:r>
    </w:p>
    <w:p w:rsidR="00493107" w:rsidRPr="00DD120E" w:rsidP="00493107" w14:paraId="04C78D03" w14:textId="77777777">
      <w:pPr>
        <w:jc w:val="both"/>
        <w:rPr>
          <w:sz w:val="26"/>
          <w:szCs w:val="26"/>
        </w:rPr>
      </w:pPr>
    </w:p>
    <w:p w:rsidR="00493107" w:rsidRPr="00DD120E" w:rsidP="00493107" w14:paraId="76797032" w14:textId="77777777">
      <w:pPr>
        <w:jc w:val="both"/>
        <w:rPr>
          <w:sz w:val="26"/>
          <w:szCs w:val="26"/>
        </w:rPr>
      </w:pPr>
      <w:r w:rsidRPr="00DD120E">
        <w:rPr>
          <w:sz w:val="26"/>
          <w:szCs w:val="26"/>
        </w:rPr>
        <w:t>Vīza:</w:t>
      </w:r>
    </w:p>
    <w:p w:rsidR="00966768" w:rsidRPr="00DD120E" w:rsidP="00792A80" w14:paraId="2BD232A4" w14:textId="6BD283EE">
      <w:pPr>
        <w:jc w:val="both"/>
        <w:rPr>
          <w:sz w:val="26"/>
          <w:szCs w:val="26"/>
        </w:rPr>
      </w:pPr>
      <w:r w:rsidRPr="00DD120E">
        <w:rPr>
          <w:sz w:val="26"/>
          <w:szCs w:val="26"/>
        </w:rPr>
        <w:t>Valsts sekretār</w:t>
      </w:r>
      <w:r w:rsidRPr="00DD120E" w:rsidR="00792A80">
        <w:rPr>
          <w:sz w:val="26"/>
          <w:szCs w:val="26"/>
        </w:rPr>
        <w:t xml:space="preserve">s </w:t>
      </w:r>
      <w:r w:rsidRPr="00DD120E" w:rsidR="00792A80">
        <w:rPr>
          <w:sz w:val="26"/>
          <w:szCs w:val="26"/>
        </w:rPr>
        <w:tab/>
      </w:r>
      <w:r w:rsidRPr="00DD120E" w:rsidR="00792A80">
        <w:rPr>
          <w:sz w:val="26"/>
          <w:szCs w:val="26"/>
        </w:rPr>
        <w:tab/>
      </w:r>
      <w:r w:rsidRPr="00DD120E" w:rsidR="00792A80">
        <w:rPr>
          <w:sz w:val="26"/>
          <w:szCs w:val="26"/>
        </w:rPr>
        <w:tab/>
      </w:r>
      <w:r w:rsidRPr="00DD120E" w:rsidR="00792A80">
        <w:rPr>
          <w:sz w:val="26"/>
          <w:szCs w:val="26"/>
        </w:rPr>
        <w:tab/>
      </w:r>
      <w:r w:rsidRPr="00DD120E" w:rsidR="00792A80">
        <w:rPr>
          <w:sz w:val="26"/>
          <w:szCs w:val="26"/>
        </w:rPr>
        <w:tab/>
      </w:r>
      <w:r w:rsidRPr="00DD120E" w:rsidR="00792A80">
        <w:rPr>
          <w:sz w:val="26"/>
          <w:szCs w:val="26"/>
        </w:rPr>
        <w:tab/>
      </w:r>
      <w:r w:rsidRPr="00DD120E" w:rsidR="00792A80">
        <w:rPr>
          <w:sz w:val="26"/>
          <w:szCs w:val="26"/>
        </w:rPr>
        <w:tab/>
      </w:r>
      <w:r w:rsidRPr="00DD120E" w:rsidR="00792A80">
        <w:rPr>
          <w:sz w:val="26"/>
          <w:szCs w:val="26"/>
        </w:rPr>
        <w:tab/>
      </w:r>
      <w:r w:rsidRPr="00DD120E" w:rsidR="00792A80">
        <w:rPr>
          <w:sz w:val="26"/>
          <w:szCs w:val="26"/>
        </w:rPr>
        <w:tab/>
      </w:r>
      <w:bookmarkStart w:id="0" w:name="_GoBack"/>
      <w:r w:rsidRPr="00DD120E" w:rsidR="00792A80">
        <w:rPr>
          <w:sz w:val="26"/>
          <w:szCs w:val="26"/>
        </w:rPr>
        <w:t xml:space="preserve">        </w:t>
      </w:r>
      <w:r w:rsidR="00BA2D2D">
        <w:rPr>
          <w:sz w:val="26"/>
          <w:szCs w:val="26"/>
        </w:rPr>
        <w:t>Ē.Eglītis</w:t>
      </w:r>
    </w:p>
    <w:p w:rsidR="00DD120E" w:rsidP="0090143C" w14:paraId="49A6CFB2" w14:textId="23D04427">
      <w:pPr>
        <w:jc w:val="both"/>
        <w:rPr>
          <w:sz w:val="20"/>
        </w:rPr>
      </w:pPr>
      <w:bookmarkEnd w:id="0"/>
    </w:p>
    <w:p w:rsidR="00C870C8" w:rsidP="0090143C" w14:paraId="7DAC87DA" w14:textId="20B873D3">
      <w:pPr>
        <w:jc w:val="both"/>
        <w:rPr>
          <w:sz w:val="20"/>
        </w:rPr>
      </w:pPr>
    </w:p>
    <w:p w:rsidR="00ED523A" w:rsidP="0090143C" w14:paraId="41FA7DBC" w14:textId="2A0C04D3">
      <w:pPr>
        <w:jc w:val="both"/>
        <w:rPr>
          <w:sz w:val="20"/>
        </w:rPr>
      </w:pPr>
    </w:p>
    <w:p w:rsidR="003C6841" w:rsidP="0090143C" w14:paraId="2A21EB4B" w14:textId="77777777">
      <w:pPr>
        <w:jc w:val="both"/>
        <w:rPr>
          <w:sz w:val="20"/>
        </w:rPr>
      </w:pPr>
    </w:p>
    <w:p w:rsidR="003908DB" w:rsidRPr="0090143C" w:rsidP="0090143C" w14:paraId="0DC14FAD" w14:textId="77777777">
      <w:pPr>
        <w:jc w:val="both"/>
        <w:rPr>
          <w:sz w:val="20"/>
        </w:rPr>
      </w:pPr>
      <w:r>
        <w:rPr>
          <w:sz w:val="20"/>
        </w:rPr>
        <w:t>Fernāte</w:t>
      </w:r>
    </w:p>
    <w:p w:rsidR="003908DB" w:rsidRPr="0090143C" w:rsidP="0090143C" w14:paraId="4C1A5ABE" w14:textId="77777777">
      <w:pPr>
        <w:jc w:val="both"/>
        <w:rPr>
          <w:sz w:val="20"/>
        </w:rPr>
      </w:pPr>
      <w:r w:rsidRPr="0090143C">
        <w:rPr>
          <w:sz w:val="20"/>
        </w:rPr>
        <w:t xml:space="preserve">Tel.: </w:t>
      </w:r>
      <w:r w:rsidRPr="0090143C" w:rsidR="003B78AB">
        <w:rPr>
          <w:sz w:val="20"/>
        </w:rPr>
        <w:t>67013</w:t>
      </w:r>
      <w:r w:rsidR="003B78AB">
        <w:rPr>
          <w:sz w:val="20"/>
        </w:rPr>
        <w:t>203</w:t>
      </w:r>
    </w:p>
    <w:p w:rsidR="00485CD9" w:rsidRPr="0090143C" w:rsidP="0090143C" w14:paraId="2A17FC06" w14:textId="77777777">
      <w:pPr>
        <w:jc w:val="both"/>
        <w:rPr>
          <w:sz w:val="20"/>
        </w:rPr>
      </w:pPr>
      <w:r w:rsidRPr="0090143C">
        <w:rPr>
          <w:sz w:val="20"/>
        </w:rPr>
        <w:t xml:space="preserve">e-pasts: </w:t>
      </w:r>
      <w:r>
        <w:fldChar w:fldCharType="begin"/>
      </w:r>
      <w:r>
        <w:instrText xml:space="preserve"> HYPERLINK "mailto:agita.fernate@em.gov.lv" </w:instrText>
      </w:r>
      <w:r>
        <w:fldChar w:fldCharType="separate"/>
      </w:r>
      <w:r w:rsidRPr="004F6294" w:rsidR="00792A80">
        <w:rPr>
          <w:rStyle w:val="Hyperlink"/>
          <w:sz w:val="20"/>
        </w:rPr>
        <w:t>agita.fernate@em.gov.lv</w:t>
      </w:r>
      <w:r>
        <w:fldChar w:fldCharType="end"/>
      </w:r>
    </w:p>
    <w:p w:rsidR="00485CD9" w:rsidRPr="0090143C" w:rsidP="0090143C" w14:paraId="752C3337" w14:textId="77777777">
      <w:pPr>
        <w:jc w:val="both"/>
        <w:rPr>
          <w:sz w:val="20"/>
        </w:rPr>
      </w:pPr>
    </w:p>
    <w:p w:rsidR="007203E9" w:rsidRPr="0090143C" w:rsidP="0090143C" w14:paraId="3BB5B84C" w14:textId="77777777">
      <w:pPr>
        <w:pStyle w:val="Header"/>
        <w:tabs>
          <w:tab w:val="clear" w:pos="4153"/>
          <w:tab w:val="clear" w:pos="8306"/>
        </w:tabs>
        <w:rPr>
          <w:sz w:val="20"/>
          <w:lang w:val="lv-LV"/>
        </w:rPr>
      </w:pPr>
    </w:p>
    <w:sectPr w:rsidSect="0004745A">
      <w:headerReference w:type="default" r:id="rId9"/>
      <w:footerReference w:type="even" r:id="rId10"/>
      <w:footerReference w:type="default" r:id="rId11"/>
      <w:footerReference w:type="first" r:id="rId12"/>
      <w:pgSz w:w="11906" w:h="16838"/>
      <w:pgMar w:top="1135" w:right="424" w:bottom="1134" w:left="1701" w:header="709" w:footer="36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00"/>
    <w:family w:val="roman"/>
    <w:notTrueType/>
    <w:pitch w:val="default"/>
    <w:sig w:usb0="00000001"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4DA7" w:rsidRPr="00186C21" w:rsidP="00AE31DE" w14:paraId="4FA933E7" w14:textId="77777777">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4DA7" w:rsidRPr="003903A8" w:rsidP="00792A80" w14:paraId="09A0B504" w14:textId="14DA39C2">
    <w:pPr>
      <w:ind w:right="709"/>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Pr>
        <w:bCs/>
        <w:sz w:val="20"/>
        <w:szCs w:val="20"/>
      </w:rPr>
      <w:fldChar w:fldCharType="end"/>
    </w:r>
    <w:r w:rsidRPr="00B72940">
      <w:rPr>
        <w:bCs/>
        <w:sz w:val="20"/>
        <w:szCs w:val="20"/>
      </w:rPr>
      <w:t xml:space="preserve">; </w:t>
    </w:r>
  </w:p>
  <w:p w:rsidR="00814DA7" w:rsidRPr="00DA0819" w:rsidP="00DA0819" w14:paraId="754D0E60" w14:textId="77777777">
    <w:pPr>
      <w:ind w:right="709"/>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4DA7" w:rsidRPr="003903A8" w:rsidP="00792A80" w14:paraId="115C7C5F" w14:textId="067A3FC5">
    <w:pPr>
      <w:ind w:right="709"/>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Pr>
        <w:bCs/>
        <w:sz w:val="20"/>
        <w:szCs w:val="20"/>
      </w:rPr>
      <w:fldChar w:fldCharType="end"/>
    </w:r>
    <w:r w:rsidRPr="00B72940">
      <w:rPr>
        <w:bCs/>
        <w:sz w:val="20"/>
        <w:szCs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4DA7" w:rsidP="00AE31DE" w14:paraId="63F5E9D3" w14:textId="4594739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12</w:t>
    </w:r>
    <w:r>
      <w:rPr>
        <w:rStyle w:val="PageNumber"/>
      </w:rPr>
      <w:fldChar w:fldCharType="end"/>
    </w:r>
  </w:p>
  <w:p w:rsidR="00814DA7" w14:paraId="6C1832C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5582E7F"/>
    <w:multiLevelType w:val="hybridMultilevel"/>
    <w:tmpl w:val="0394BC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DE12ACD"/>
    <w:multiLevelType w:val="hybridMultilevel"/>
    <w:tmpl w:val="BF06E8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3555B1C"/>
    <w:multiLevelType w:val="hybridMultilevel"/>
    <w:tmpl w:val="35C08D2E"/>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3" w15:restartNumberingAfterBreak="1">
    <w:nsid w:val="1CDC60C8"/>
    <w:multiLevelType w:val="hybridMultilevel"/>
    <w:tmpl w:val="AC582DDE"/>
    <w:lvl w:ilvl="0">
      <w:start w:val="1"/>
      <w:numFmt w:val="decimal"/>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4" w15:restartNumberingAfterBreak="1">
    <w:nsid w:val="1E5A0A7C"/>
    <w:multiLevelType w:val="hybridMultilevel"/>
    <w:tmpl w:val="0D328324"/>
    <w:lvl w:ilvl="0">
      <w:start w:val="1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229E301B"/>
    <w:multiLevelType w:val="hybridMultilevel"/>
    <w:tmpl w:val="8FBC8B5A"/>
    <w:lvl w:ilvl="0">
      <w:start w:val="1"/>
      <w:numFmt w:val="lowerLetter"/>
      <w:lvlText w:val="%1)"/>
      <w:lvlJc w:val="left"/>
      <w:pPr>
        <w:ind w:left="677" w:hanging="360"/>
      </w:pPr>
      <w:rPr>
        <w:rFonts w:hint="default"/>
        <w:b w:val="0"/>
        <w:i w:val="0"/>
        <w:strike w:val="0"/>
        <w:color w:val="auto"/>
        <w:sz w:val="24"/>
        <w:szCs w:val="20"/>
        <w:vertAlign w:val="baseline"/>
      </w:rPr>
    </w:lvl>
    <w:lvl w:ilvl="1">
      <w:start w:val="1"/>
      <w:numFmt w:val="decimal"/>
      <w:lvlText w:val="%2)"/>
      <w:lvlJc w:val="left"/>
      <w:pPr>
        <w:ind w:left="1457" w:hanging="420"/>
      </w:pPr>
      <w:rPr>
        <w:rFonts w:hint="default"/>
      </w:r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6" w15:restartNumberingAfterBreak="1">
    <w:nsid w:val="2741149C"/>
    <w:multiLevelType w:val="hybridMultilevel"/>
    <w:tmpl w:val="264C7B32"/>
    <w:lvl w:ilvl="0">
      <w:start w:val="12"/>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1">
    <w:nsid w:val="29F024D3"/>
    <w:multiLevelType w:val="hybridMultilevel"/>
    <w:tmpl w:val="5EAE97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2F5D49A0"/>
    <w:multiLevelType w:val="hybridMultilevel"/>
    <w:tmpl w:val="84263E8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0" w15:restartNumberingAfterBreak="1">
    <w:nsid w:val="31BE73E6"/>
    <w:multiLevelType w:val="hybridMultilevel"/>
    <w:tmpl w:val="E2208232"/>
    <w:lvl w:ilvl="0">
      <w:start w:val="1"/>
      <w:numFmt w:val="bullet"/>
      <w:lvlText w:val=""/>
      <w:lvlJc w:val="left"/>
      <w:pPr>
        <w:ind w:left="677" w:hanging="360"/>
      </w:pPr>
      <w:rPr>
        <w:rFonts w:ascii="Symbol" w:hAnsi="Symbol" w:hint="default"/>
        <w:b w:val="0"/>
        <w:i w:val="0"/>
        <w:strike w:val="0"/>
        <w:color w:val="auto"/>
        <w:sz w:val="24"/>
        <w:szCs w:val="20"/>
        <w:vertAlign w:val="baseline"/>
      </w:rPr>
    </w:lvl>
    <w:lvl w:ilvl="1">
      <w:start w:val="1"/>
      <w:numFmt w:val="decimal"/>
      <w:lvlText w:val="%2)"/>
      <w:lvlJc w:val="left"/>
      <w:pPr>
        <w:ind w:left="1457" w:hanging="420"/>
      </w:pPr>
      <w:rPr>
        <w:rFonts w:hint="default"/>
      </w:r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11" w15:restartNumberingAfterBreak="1">
    <w:nsid w:val="31DD2FC2"/>
    <w:multiLevelType w:val="hybridMultilevel"/>
    <w:tmpl w:val="A4B2DCAA"/>
    <w:lvl w:ilvl="0">
      <w:start w:val="2014"/>
      <w:numFmt w:val="bullet"/>
      <w:lvlText w:val=""/>
      <w:lvlJc w:val="left"/>
      <w:pPr>
        <w:ind w:left="720" w:hanging="360"/>
      </w:pPr>
      <w:rPr>
        <w:rFonts w:ascii="Wingdings" w:eastAsia="Calibri"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3B7536E0"/>
    <w:multiLevelType w:val="hybridMultilevel"/>
    <w:tmpl w:val="9E326B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3D400CBB"/>
    <w:multiLevelType w:val="hybridMultilevel"/>
    <w:tmpl w:val="23B409BA"/>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14" w15:restartNumberingAfterBreak="1">
    <w:nsid w:val="41E70B0D"/>
    <w:multiLevelType w:val="hybridMultilevel"/>
    <w:tmpl w:val="21D2C842"/>
    <w:lvl w:ilvl="0">
      <w:start w:val="1"/>
      <w:numFmt w:val="lowerLetter"/>
      <w:lvlText w:val="%1)"/>
      <w:lvlJc w:val="left"/>
      <w:pPr>
        <w:ind w:left="677" w:hanging="360"/>
      </w:pPr>
      <w:rPr>
        <w:rFonts w:hint="default"/>
        <w:b w:val="0"/>
        <w:i w:val="0"/>
        <w:strike w:val="0"/>
        <w:color w:val="auto"/>
        <w:sz w:val="24"/>
        <w:szCs w:val="20"/>
        <w:vertAlign w:val="baseline"/>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15" w15:restartNumberingAfterBreak="1">
    <w:nsid w:val="44053B87"/>
    <w:multiLevelType w:val="hybridMultilevel"/>
    <w:tmpl w:val="8AB4AB8E"/>
    <w:lvl w:ilvl="0">
      <w:start w:val="1"/>
      <w:numFmt w:val="decimal"/>
      <w:lvlText w:val="%1)"/>
      <w:lvlJc w:val="left"/>
      <w:pPr>
        <w:ind w:left="394" w:hanging="360"/>
      </w:pPr>
      <w:rPr>
        <w:rFonts w:ascii="Times New Roman" w:eastAsia="Calibri" w:hAnsi="Times New Roman" w:cs="Times New Roman"/>
        <w:b w:val="0"/>
        <w:color w:val="auto"/>
      </w:rPr>
    </w:lvl>
    <w:lvl w:ilvl="1">
      <w:start w:val="1"/>
      <w:numFmt w:val="lowerLetter"/>
      <w:lvlText w:val="%2."/>
      <w:lvlJc w:val="left"/>
      <w:pPr>
        <w:ind w:left="1114" w:hanging="360"/>
      </w:pPr>
      <w:rPr>
        <w:b w:val="0"/>
      </w:r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16" w15:restartNumberingAfterBreak="1">
    <w:nsid w:val="48FB1577"/>
    <w:multiLevelType w:val="hybridMultilevel"/>
    <w:tmpl w:val="FA8C7A18"/>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17" w15:restartNumberingAfterBreak="1">
    <w:nsid w:val="4C825B7F"/>
    <w:multiLevelType w:val="hybridMultilevel"/>
    <w:tmpl w:val="295CFAEE"/>
    <w:lvl w:ilvl="0">
      <w:start w:val="1"/>
      <w:numFmt w:val="decimal"/>
      <w:lvlText w:val="%1)"/>
      <w:lvlJc w:val="left"/>
      <w:pPr>
        <w:ind w:left="677" w:hanging="360"/>
      </w:pPr>
      <w:rPr>
        <w:rFonts w:hint="default"/>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18" w15:restartNumberingAfterBreak="1">
    <w:nsid w:val="4F2F7791"/>
    <w:multiLevelType w:val="hybridMultilevel"/>
    <w:tmpl w:val="81622462"/>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9" w15:restartNumberingAfterBreak="1">
    <w:nsid w:val="517825C9"/>
    <w:multiLevelType w:val="hybridMultilevel"/>
    <w:tmpl w:val="9A0EAB60"/>
    <w:lvl w:ilvl="0">
      <w:start w:val="1"/>
      <w:numFmt w:val="decimal"/>
      <w:lvlText w:val="%1)"/>
      <w:lvlJc w:val="left"/>
      <w:pPr>
        <w:ind w:left="720" w:hanging="360"/>
      </w:pPr>
      <w:rPr>
        <w:rFonts w:ascii="Times New Roman" w:eastAsia="Times New Roman" w:hAnsi="Times New Roman" w:cs="Times New Roman"/>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1">
    <w:nsid w:val="53BB68C8"/>
    <w:multiLevelType w:val="hybridMultilevel"/>
    <w:tmpl w:val="0ED69C54"/>
    <w:lvl w:ilvl="0">
      <w:start w:val="1"/>
      <w:numFmt w:val="lowerLetter"/>
      <w:lvlText w:val="%1)"/>
      <w:lvlJc w:val="left"/>
      <w:pPr>
        <w:ind w:left="677" w:hanging="360"/>
      </w:pPr>
      <w:rPr>
        <w:rFonts w:hint="default"/>
        <w:b w:val="0"/>
        <w:i w:val="0"/>
        <w:strike w:val="0"/>
        <w:color w:val="auto"/>
        <w:sz w:val="24"/>
        <w:szCs w:val="20"/>
        <w:vertAlign w:val="baseline"/>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21" w15:restartNumberingAfterBreak="1">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1">
    <w:nsid w:val="606265EF"/>
    <w:multiLevelType w:val="hybridMultilevel"/>
    <w:tmpl w:val="329292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1">
    <w:nsid w:val="60CC4408"/>
    <w:multiLevelType w:val="hybridMultilevel"/>
    <w:tmpl w:val="DC067C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636026BC"/>
    <w:multiLevelType w:val="hybridMultilevel"/>
    <w:tmpl w:val="72AA61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647D4B51"/>
    <w:multiLevelType w:val="hybridMultilevel"/>
    <w:tmpl w:val="C444F6F4"/>
    <w:lvl w:ilvl="0">
      <w:start w:val="1"/>
      <w:numFmt w:val="lowerLetter"/>
      <w:lvlText w:val="%1)"/>
      <w:lvlJc w:val="left"/>
      <w:pPr>
        <w:ind w:left="677" w:hanging="360"/>
      </w:pPr>
      <w:rPr>
        <w:rFonts w:hint="default"/>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26" w15:restartNumberingAfterBreak="1">
    <w:nsid w:val="65496172"/>
    <w:multiLevelType w:val="hybridMultilevel"/>
    <w:tmpl w:val="61DA6F60"/>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7" w15:restartNumberingAfterBreak="1">
    <w:nsid w:val="655669D7"/>
    <w:multiLevelType w:val="hybridMultilevel"/>
    <w:tmpl w:val="56E895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1">
    <w:nsid w:val="6CB933B5"/>
    <w:multiLevelType w:val="hybridMultilevel"/>
    <w:tmpl w:val="EFA2C9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1">
    <w:nsid w:val="70A95DF4"/>
    <w:multiLevelType w:val="hybridMultilevel"/>
    <w:tmpl w:val="61522146"/>
    <w:lvl w:ilvl="0">
      <w:start w:val="1"/>
      <w:numFmt w:val="decimal"/>
      <w:lvlText w:val="%1)"/>
      <w:lvlJc w:val="left"/>
      <w:pPr>
        <w:ind w:left="394" w:hanging="360"/>
      </w:pPr>
      <w:rPr>
        <w:rFonts w:hint="default"/>
        <w:b w:val="0"/>
        <w:i w:val="0"/>
        <w:strike w:val="0"/>
        <w:color w:val="auto"/>
        <w:sz w:val="24"/>
        <w:szCs w:val="20"/>
        <w:vertAlign w:val="baseline"/>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30" w15:restartNumberingAfterBreak="1">
    <w:nsid w:val="73A723FE"/>
    <w:multiLevelType w:val="hybridMultilevel"/>
    <w:tmpl w:val="DD127B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1">
    <w:nsid w:val="7A1F5183"/>
    <w:multiLevelType w:val="hybridMultilevel"/>
    <w:tmpl w:val="CFB86A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1">
    <w:nsid w:val="7F9F5E28"/>
    <w:multiLevelType w:val="hybridMultilevel"/>
    <w:tmpl w:val="93DE29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9"/>
  </w:num>
  <w:num w:numId="3">
    <w:abstractNumId w:val="31"/>
  </w:num>
  <w:num w:numId="4">
    <w:abstractNumId w:val="29"/>
  </w:num>
  <w:num w:numId="5">
    <w:abstractNumId w:val="10"/>
  </w:num>
  <w:num w:numId="6">
    <w:abstractNumId w:val="20"/>
  </w:num>
  <w:num w:numId="7">
    <w:abstractNumId w:val="14"/>
  </w:num>
  <w:num w:numId="8">
    <w:abstractNumId w:val="8"/>
  </w:num>
  <w:num w:numId="9">
    <w:abstractNumId w:val="5"/>
  </w:num>
  <w:num w:numId="10">
    <w:abstractNumId w:val="11"/>
  </w:num>
  <w:num w:numId="11">
    <w:abstractNumId w:val="15"/>
  </w:num>
  <w:num w:numId="12">
    <w:abstractNumId w:val="28"/>
  </w:num>
  <w:num w:numId="13">
    <w:abstractNumId w:val="17"/>
  </w:num>
  <w:num w:numId="14">
    <w:abstractNumId w:val="25"/>
  </w:num>
  <w:num w:numId="15">
    <w:abstractNumId w:val="2"/>
  </w:num>
  <w:num w:numId="16">
    <w:abstractNumId w:val="32"/>
  </w:num>
  <w:num w:numId="17">
    <w:abstractNumId w:val="3"/>
  </w:num>
  <w:num w:numId="18">
    <w:abstractNumId w:val="22"/>
  </w:num>
  <w:num w:numId="19">
    <w:abstractNumId w:val="19"/>
  </w:num>
  <w:num w:numId="20">
    <w:abstractNumId w:val="16"/>
  </w:num>
  <w:num w:numId="21">
    <w:abstractNumId w:val="18"/>
  </w:num>
  <w:num w:numId="22">
    <w:abstractNumId w:val="26"/>
  </w:num>
  <w:num w:numId="23">
    <w:abstractNumId w:val="23"/>
  </w:num>
  <w:num w:numId="24">
    <w:abstractNumId w:val="24"/>
  </w:num>
  <w:num w:numId="25">
    <w:abstractNumId w:val="21"/>
  </w:num>
  <w:num w:numId="26">
    <w:abstractNumId w:val="27"/>
  </w:num>
  <w:num w:numId="27">
    <w:abstractNumId w:val="13"/>
  </w:num>
  <w:num w:numId="28">
    <w:abstractNumId w:val="0"/>
  </w:num>
  <w:num w:numId="29">
    <w:abstractNumId w:val="30"/>
  </w:num>
  <w:num w:numId="30">
    <w:abstractNumId w:val="4"/>
  </w:num>
  <w:num w:numId="31">
    <w:abstractNumId w:val="6"/>
  </w:num>
  <w:num w:numId="32">
    <w:abstractNumId w:val="1"/>
  </w:num>
  <w:num w:numId="3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109A"/>
    <w:rsid w:val="0000172D"/>
    <w:rsid w:val="00002171"/>
    <w:rsid w:val="0000254C"/>
    <w:rsid w:val="00002E0E"/>
    <w:rsid w:val="00003A26"/>
    <w:rsid w:val="00003CA7"/>
    <w:rsid w:val="000054C8"/>
    <w:rsid w:val="000069F6"/>
    <w:rsid w:val="00006CDD"/>
    <w:rsid w:val="000070AB"/>
    <w:rsid w:val="00007210"/>
    <w:rsid w:val="00010130"/>
    <w:rsid w:val="0001036C"/>
    <w:rsid w:val="00010489"/>
    <w:rsid w:val="00010917"/>
    <w:rsid w:val="00010D44"/>
    <w:rsid w:val="0001104C"/>
    <w:rsid w:val="00011F50"/>
    <w:rsid w:val="0001204F"/>
    <w:rsid w:val="000126CC"/>
    <w:rsid w:val="00013138"/>
    <w:rsid w:val="00013582"/>
    <w:rsid w:val="00014D26"/>
    <w:rsid w:val="00016A4F"/>
    <w:rsid w:val="00016DB8"/>
    <w:rsid w:val="00016FFA"/>
    <w:rsid w:val="00021136"/>
    <w:rsid w:val="00021948"/>
    <w:rsid w:val="000226EF"/>
    <w:rsid w:val="00022716"/>
    <w:rsid w:val="00022ADB"/>
    <w:rsid w:val="00023A5E"/>
    <w:rsid w:val="00023F43"/>
    <w:rsid w:val="00025982"/>
    <w:rsid w:val="00025D9F"/>
    <w:rsid w:val="0002670D"/>
    <w:rsid w:val="000276C4"/>
    <w:rsid w:val="00027C48"/>
    <w:rsid w:val="00030C51"/>
    <w:rsid w:val="00031531"/>
    <w:rsid w:val="00032C84"/>
    <w:rsid w:val="00032CC9"/>
    <w:rsid w:val="00033622"/>
    <w:rsid w:val="00033962"/>
    <w:rsid w:val="00035163"/>
    <w:rsid w:val="000358CC"/>
    <w:rsid w:val="000363D2"/>
    <w:rsid w:val="00036BA5"/>
    <w:rsid w:val="0003707C"/>
    <w:rsid w:val="00037EA8"/>
    <w:rsid w:val="00041C63"/>
    <w:rsid w:val="0004227B"/>
    <w:rsid w:val="0004309D"/>
    <w:rsid w:val="00043C55"/>
    <w:rsid w:val="0004637B"/>
    <w:rsid w:val="000464F0"/>
    <w:rsid w:val="00046B88"/>
    <w:rsid w:val="0004745A"/>
    <w:rsid w:val="0004782E"/>
    <w:rsid w:val="00047ADE"/>
    <w:rsid w:val="000501E1"/>
    <w:rsid w:val="00050381"/>
    <w:rsid w:val="000503D4"/>
    <w:rsid w:val="00052002"/>
    <w:rsid w:val="00052018"/>
    <w:rsid w:val="00055786"/>
    <w:rsid w:val="00055DB1"/>
    <w:rsid w:val="00056289"/>
    <w:rsid w:val="00056326"/>
    <w:rsid w:val="00057D59"/>
    <w:rsid w:val="000600BF"/>
    <w:rsid w:val="00061BA5"/>
    <w:rsid w:val="00062019"/>
    <w:rsid w:val="00062143"/>
    <w:rsid w:val="000624F1"/>
    <w:rsid w:val="000628C6"/>
    <w:rsid w:val="000643D4"/>
    <w:rsid w:val="000648AC"/>
    <w:rsid w:val="00064C5E"/>
    <w:rsid w:val="0006611D"/>
    <w:rsid w:val="000663AF"/>
    <w:rsid w:val="000671DF"/>
    <w:rsid w:val="000706BF"/>
    <w:rsid w:val="00070927"/>
    <w:rsid w:val="000709EF"/>
    <w:rsid w:val="000715EF"/>
    <w:rsid w:val="000732C5"/>
    <w:rsid w:val="00075707"/>
    <w:rsid w:val="00076AD3"/>
    <w:rsid w:val="00080875"/>
    <w:rsid w:val="00081113"/>
    <w:rsid w:val="000817DA"/>
    <w:rsid w:val="00081C1B"/>
    <w:rsid w:val="000835D0"/>
    <w:rsid w:val="00083A4D"/>
    <w:rsid w:val="00084A32"/>
    <w:rsid w:val="00085257"/>
    <w:rsid w:val="00085C7A"/>
    <w:rsid w:val="0008752E"/>
    <w:rsid w:val="0009001A"/>
    <w:rsid w:val="00091649"/>
    <w:rsid w:val="0009178C"/>
    <w:rsid w:val="0009364F"/>
    <w:rsid w:val="00093676"/>
    <w:rsid w:val="000941C6"/>
    <w:rsid w:val="00094212"/>
    <w:rsid w:val="0009448B"/>
    <w:rsid w:val="00094926"/>
    <w:rsid w:val="00095292"/>
    <w:rsid w:val="000952A1"/>
    <w:rsid w:val="000953D7"/>
    <w:rsid w:val="00096395"/>
    <w:rsid w:val="00096654"/>
    <w:rsid w:val="0009693B"/>
    <w:rsid w:val="000A0387"/>
    <w:rsid w:val="000A03A6"/>
    <w:rsid w:val="000A09B1"/>
    <w:rsid w:val="000A0CBE"/>
    <w:rsid w:val="000A2823"/>
    <w:rsid w:val="000A423C"/>
    <w:rsid w:val="000A534A"/>
    <w:rsid w:val="000A5AF7"/>
    <w:rsid w:val="000A79AB"/>
    <w:rsid w:val="000B3E3D"/>
    <w:rsid w:val="000B3E6C"/>
    <w:rsid w:val="000B46E1"/>
    <w:rsid w:val="000B582B"/>
    <w:rsid w:val="000B744A"/>
    <w:rsid w:val="000B74F2"/>
    <w:rsid w:val="000B7AB5"/>
    <w:rsid w:val="000C0F79"/>
    <w:rsid w:val="000C1255"/>
    <w:rsid w:val="000C2000"/>
    <w:rsid w:val="000C47D8"/>
    <w:rsid w:val="000C4F50"/>
    <w:rsid w:val="000C50B4"/>
    <w:rsid w:val="000C52BB"/>
    <w:rsid w:val="000C5A7E"/>
    <w:rsid w:val="000D0DCE"/>
    <w:rsid w:val="000D0F0C"/>
    <w:rsid w:val="000D1838"/>
    <w:rsid w:val="000D1988"/>
    <w:rsid w:val="000D2016"/>
    <w:rsid w:val="000D2C17"/>
    <w:rsid w:val="000D2E24"/>
    <w:rsid w:val="000D34A8"/>
    <w:rsid w:val="000D3D70"/>
    <w:rsid w:val="000D4C0F"/>
    <w:rsid w:val="000D51C1"/>
    <w:rsid w:val="000D5433"/>
    <w:rsid w:val="000D5611"/>
    <w:rsid w:val="000D5891"/>
    <w:rsid w:val="000D7999"/>
    <w:rsid w:val="000E120B"/>
    <w:rsid w:val="000E2161"/>
    <w:rsid w:val="000E327F"/>
    <w:rsid w:val="000E43ED"/>
    <w:rsid w:val="000E5231"/>
    <w:rsid w:val="000E5BDF"/>
    <w:rsid w:val="000E6573"/>
    <w:rsid w:val="000E6952"/>
    <w:rsid w:val="000E6DCD"/>
    <w:rsid w:val="000F06A3"/>
    <w:rsid w:val="000F0C52"/>
    <w:rsid w:val="000F0E3B"/>
    <w:rsid w:val="000F14BE"/>
    <w:rsid w:val="000F288D"/>
    <w:rsid w:val="000F2A34"/>
    <w:rsid w:val="000F3247"/>
    <w:rsid w:val="000F4DC7"/>
    <w:rsid w:val="000F4F3B"/>
    <w:rsid w:val="000F5686"/>
    <w:rsid w:val="000F56A7"/>
    <w:rsid w:val="000F70CB"/>
    <w:rsid w:val="001004CE"/>
    <w:rsid w:val="001008E2"/>
    <w:rsid w:val="00100ADC"/>
    <w:rsid w:val="00100D7C"/>
    <w:rsid w:val="001011B5"/>
    <w:rsid w:val="001012ED"/>
    <w:rsid w:val="001020FB"/>
    <w:rsid w:val="00102912"/>
    <w:rsid w:val="001037F8"/>
    <w:rsid w:val="00103A6C"/>
    <w:rsid w:val="00103DC5"/>
    <w:rsid w:val="00104292"/>
    <w:rsid w:val="00104E5A"/>
    <w:rsid w:val="00104E6E"/>
    <w:rsid w:val="00105004"/>
    <w:rsid w:val="0010529D"/>
    <w:rsid w:val="00105319"/>
    <w:rsid w:val="00111230"/>
    <w:rsid w:val="00111E1B"/>
    <w:rsid w:val="0011253D"/>
    <w:rsid w:val="0011299A"/>
    <w:rsid w:val="00112EE9"/>
    <w:rsid w:val="00112F49"/>
    <w:rsid w:val="001133EE"/>
    <w:rsid w:val="00113BA6"/>
    <w:rsid w:val="00115480"/>
    <w:rsid w:val="0011584F"/>
    <w:rsid w:val="00120406"/>
    <w:rsid w:val="00120ACA"/>
    <w:rsid w:val="00121D4F"/>
    <w:rsid w:val="00121F0F"/>
    <w:rsid w:val="001221A7"/>
    <w:rsid w:val="001246EA"/>
    <w:rsid w:val="0012495C"/>
    <w:rsid w:val="00124F0E"/>
    <w:rsid w:val="00125297"/>
    <w:rsid w:val="00125BE7"/>
    <w:rsid w:val="00126C02"/>
    <w:rsid w:val="00126D76"/>
    <w:rsid w:val="00126F8A"/>
    <w:rsid w:val="00130B8C"/>
    <w:rsid w:val="001320BC"/>
    <w:rsid w:val="001323C1"/>
    <w:rsid w:val="001333C1"/>
    <w:rsid w:val="001336C1"/>
    <w:rsid w:val="00133C20"/>
    <w:rsid w:val="001356F7"/>
    <w:rsid w:val="00136085"/>
    <w:rsid w:val="001363E2"/>
    <w:rsid w:val="00136B1B"/>
    <w:rsid w:val="0013732C"/>
    <w:rsid w:val="001404C5"/>
    <w:rsid w:val="001408A3"/>
    <w:rsid w:val="001418C6"/>
    <w:rsid w:val="00141D62"/>
    <w:rsid w:val="001428A9"/>
    <w:rsid w:val="00142902"/>
    <w:rsid w:val="00142AEA"/>
    <w:rsid w:val="00142E70"/>
    <w:rsid w:val="0014304D"/>
    <w:rsid w:val="00144115"/>
    <w:rsid w:val="00144810"/>
    <w:rsid w:val="00144BF2"/>
    <w:rsid w:val="00145FE3"/>
    <w:rsid w:val="0014605B"/>
    <w:rsid w:val="00150BF6"/>
    <w:rsid w:val="00152A3B"/>
    <w:rsid w:val="0015323A"/>
    <w:rsid w:val="00153AEE"/>
    <w:rsid w:val="00155174"/>
    <w:rsid w:val="001556AE"/>
    <w:rsid w:val="001556FF"/>
    <w:rsid w:val="00155B68"/>
    <w:rsid w:val="00155D30"/>
    <w:rsid w:val="0015709E"/>
    <w:rsid w:val="001571DB"/>
    <w:rsid w:val="00160C06"/>
    <w:rsid w:val="00160F99"/>
    <w:rsid w:val="00161239"/>
    <w:rsid w:val="001612BF"/>
    <w:rsid w:val="00161453"/>
    <w:rsid w:val="0016179D"/>
    <w:rsid w:val="00161E68"/>
    <w:rsid w:val="00161F2B"/>
    <w:rsid w:val="001625A1"/>
    <w:rsid w:val="00162A19"/>
    <w:rsid w:val="00162E94"/>
    <w:rsid w:val="00162EED"/>
    <w:rsid w:val="00162EF1"/>
    <w:rsid w:val="00163EB4"/>
    <w:rsid w:val="00164215"/>
    <w:rsid w:val="001658E9"/>
    <w:rsid w:val="00165D1C"/>
    <w:rsid w:val="0016667D"/>
    <w:rsid w:val="00167959"/>
    <w:rsid w:val="00171627"/>
    <w:rsid w:val="00171ED2"/>
    <w:rsid w:val="001725AE"/>
    <w:rsid w:val="00172F58"/>
    <w:rsid w:val="001750CD"/>
    <w:rsid w:val="00176350"/>
    <w:rsid w:val="00177068"/>
    <w:rsid w:val="00177BCB"/>
    <w:rsid w:val="00180BDE"/>
    <w:rsid w:val="00185B15"/>
    <w:rsid w:val="00186C21"/>
    <w:rsid w:val="001913BD"/>
    <w:rsid w:val="00192CCE"/>
    <w:rsid w:val="001934C4"/>
    <w:rsid w:val="00193D46"/>
    <w:rsid w:val="00194DD2"/>
    <w:rsid w:val="00195D1F"/>
    <w:rsid w:val="00196226"/>
    <w:rsid w:val="0019632B"/>
    <w:rsid w:val="001966A3"/>
    <w:rsid w:val="0019688E"/>
    <w:rsid w:val="001979DD"/>
    <w:rsid w:val="001A060A"/>
    <w:rsid w:val="001A2127"/>
    <w:rsid w:val="001A2DC9"/>
    <w:rsid w:val="001A36DB"/>
    <w:rsid w:val="001A3B59"/>
    <w:rsid w:val="001A4757"/>
    <w:rsid w:val="001A478A"/>
    <w:rsid w:val="001A478B"/>
    <w:rsid w:val="001A5627"/>
    <w:rsid w:val="001A5867"/>
    <w:rsid w:val="001A5A2B"/>
    <w:rsid w:val="001A6A96"/>
    <w:rsid w:val="001A6B23"/>
    <w:rsid w:val="001A756C"/>
    <w:rsid w:val="001B0A1F"/>
    <w:rsid w:val="001B2391"/>
    <w:rsid w:val="001B2891"/>
    <w:rsid w:val="001B28B5"/>
    <w:rsid w:val="001B2B6D"/>
    <w:rsid w:val="001B50DE"/>
    <w:rsid w:val="001B5678"/>
    <w:rsid w:val="001B6148"/>
    <w:rsid w:val="001B6264"/>
    <w:rsid w:val="001B688B"/>
    <w:rsid w:val="001B7CB1"/>
    <w:rsid w:val="001C1418"/>
    <w:rsid w:val="001C1AC7"/>
    <w:rsid w:val="001C26FE"/>
    <w:rsid w:val="001C346C"/>
    <w:rsid w:val="001C363B"/>
    <w:rsid w:val="001C4291"/>
    <w:rsid w:val="001C5252"/>
    <w:rsid w:val="001C53BB"/>
    <w:rsid w:val="001C5F7A"/>
    <w:rsid w:val="001C70DA"/>
    <w:rsid w:val="001C759E"/>
    <w:rsid w:val="001C7820"/>
    <w:rsid w:val="001C7994"/>
    <w:rsid w:val="001D0A42"/>
    <w:rsid w:val="001D0A43"/>
    <w:rsid w:val="001D0D63"/>
    <w:rsid w:val="001D2003"/>
    <w:rsid w:val="001D2B79"/>
    <w:rsid w:val="001D2BED"/>
    <w:rsid w:val="001D2C76"/>
    <w:rsid w:val="001D2F71"/>
    <w:rsid w:val="001D33B2"/>
    <w:rsid w:val="001D4894"/>
    <w:rsid w:val="001D5DA0"/>
    <w:rsid w:val="001D5FE3"/>
    <w:rsid w:val="001D623A"/>
    <w:rsid w:val="001E05C0"/>
    <w:rsid w:val="001E065F"/>
    <w:rsid w:val="001E1862"/>
    <w:rsid w:val="001E1D73"/>
    <w:rsid w:val="001E228E"/>
    <w:rsid w:val="001E3369"/>
    <w:rsid w:val="001E4B6D"/>
    <w:rsid w:val="001E4E6D"/>
    <w:rsid w:val="001E5BDF"/>
    <w:rsid w:val="001E5C2E"/>
    <w:rsid w:val="001E5DF4"/>
    <w:rsid w:val="001E6375"/>
    <w:rsid w:val="001F0275"/>
    <w:rsid w:val="001F0AD5"/>
    <w:rsid w:val="001F14A5"/>
    <w:rsid w:val="001F14FA"/>
    <w:rsid w:val="001F1B20"/>
    <w:rsid w:val="001F275F"/>
    <w:rsid w:val="001F2E31"/>
    <w:rsid w:val="001F34E6"/>
    <w:rsid w:val="001F361F"/>
    <w:rsid w:val="001F3D4C"/>
    <w:rsid w:val="001F4160"/>
    <w:rsid w:val="001F4DB2"/>
    <w:rsid w:val="001F4DD8"/>
    <w:rsid w:val="001F5063"/>
    <w:rsid w:val="001F595C"/>
    <w:rsid w:val="001F65F3"/>
    <w:rsid w:val="001F7947"/>
    <w:rsid w:val="0020001C"/>
    <w:rsid w:val="0020004B"/>
    <w:rsid w:val="002003F2"/>
    <w:rsid w:val="00202DA4"/>
    <w:rsid w:val="002030DB"/>
    <w:rsid w:val="0020342E"/>
    <w:rsid w:val="002062E4"/>
    <w:rsid w:val="00206342"/>
    <w:rsid w:val="00206722"/>
    <w:rsid w:val="00207072"/>
    <w:rsid w:val="00207B52"/>
    <w:rsid w:val="002111F6"/>
    <w:rsid w:val="0021154C"/>
    <w:rsid w:val="002116BD"/>
    <w:rsid w:val="002117D0"/>
    <w:rsid w:val="00212218"/>
    <w:rsid w:val="00214A06"/>
    <w:rsid w:val="00214F0B"/>
    <w:rsid w:val="00215375"/>
    <w:rsid w:val="00215ED7"/>
    <w:rsid w:val="0021747A"/>
    <w:rsid w:val="00220078"/>
    <w:rsid w:val="002202EA"/>
    <w:rsid w:val="00220DBD"/>
    <w:rsid w:val="00221CCE"/>
    <w:rsid w:val="00222172"/>
    <w:rsid w:val="00222580"/>
    <w:rsid w:val="00222C27"/>
    <w:rsid w:val="0022567B"/>
    <w:rsid w:val="002305A8"/>
    <w:rsid w:val="00230DC6"/>
    <w:rsid w:val="002322D3"/>
    <w:rsid w:val="00232B52"/>
    <w:rsid w:val="002349E1"/>
    <w:rsid w:val="00234F2B"/>
    <w:rsid w:val="00235496"/>
    <w:rsid w:val="002363B4"/>
    <w:rsid w:val="00237EFC"/>
    <w:rsid w:val="002413A6"/>
    <w:rsid w:val="00241E63"/>
    <w:rsid w:val="002421F8"/>
    <w:rsid w:val="00242936"/>
    <w:rsid w:val="00244398"/>
    <w:rsid w:val="00244759"/>
    <w:rsid w:val="002463FA"/>
    <w:rsid w:val="00246486"/>
    <w:rsid w:val="0024658B"/>
    <w:rsid w:val="00246617"/>
    <w:rsid w:val="00246F31"/>
    <w:rsid w:val="00250B85"/>
    <w:rsid w:val="00251EC4"/>
    <w:rsid w:val="002524B8"/>
    <w:rsid w:val="002539BA"/>
    <w:rsid w:val="00253B3F"/>
    <w:rsid w:val="00253F70"/>
    <w:rsid w:val="00254261"/>
    <w:rsid w:val="00254323"/>
    <w:rsid w:val="0025451F"/>
    <w:rsid w:val="00254A20"/>
    <w:rsid w:val="00254CDC"/>
    <w:rsid w:val="00255E6A"/>
    <w:rsid w:val="00255FEF"/>
    <w:rsid w:val="00256D1B"/>
    <w:rsid w:val="00260BCD"/>
    <w:rsid w:val="00261452"/>
    <w:rsid w:val="00261A6E"/>
    <w:rsid w:val="00261ED1"/>
    <w:rsid w:val="002636FC"/>
    <w:rsid w:val="00263FC3"/>
    <w:rsid w:val="00265208"/>
    <w:rsid w:val="002668BD"/>
    <w:rsid w:val="002673AF"/>
    <w:rsid w:val="00267907"/>
    <w:rsid w:val="002703C7"/>
    <w:rsid w:val="00271EB3"/>
    <w:rsid w:val="0027234B"/>
    <w:rsid w:val="002724B6"/>
    <w:rsid w:val="0027270B"/>
    <w:rsid w:val="00272C99"/>
    <w:rsid w:val="002732E7"/>
    <w:rsid w:val="00273339"/>
    <w:rsid w:val="002735CD"/>
    <w:rsid w:val="0027378C"/>
    <w:rsid w:val="002737E1"/>
    <w:rsid w:val="0027380B"/>
    <w:rsid w:val="00273F81"/>
    <w:rsid w:val="00275FF8"/>
    <w:rsid w:val="00277ACD"/>
    <w:rsid w:val="00280927"/>
    <w:rsid w:val="00280F91"/>
    <w:rsid w:val="00282093"/>
    <w:rsid w:val="00282E1F"/>
    <w:rsid w:val="00283E34"/>
    <w:rsid w:val="0028403E"/>
    <w:rsid w:val="00285F34"/>
    <w:rsid w:val="00286353"/>
    <w:rsid w:val="00287763"/>
    <w:rsid w:val="002877C0"/>
    <w:rsid w:val="002919D2"/>
    <w:rsid w:val="00291E5B"/>
    <w:rsid w:val="002922AA"/>
    <w:rsid w:val="002924D8"/>
    <w:rsid w:val="00293318"/>
    <w:rsid w:val="00293548"/>
    <w:rsid w:val="0029357C"/>
    <w:rsid w:val="0029369E"/>
    <w:rsid w:val="0029375C"/>
    <w:rsid w:val="00293BE3"/>
    <w:rsid w:val="00293BEA"/>
    <w:rsid w:val="002959ED"/>
    <w:rsid w:val="00296AB3"/>
    <w:rsid w:val="002976ED"/>
    <w:rsid w:val="002A15EF"/>
    <w:rsid w:val="002A1D97"/>
    <w:rsid w:val="002A3545"/>
    <w:rsid w:val="002A37F4"/>
    <w:rsid w:val="002A3FAF"/>
    <w:rsid w:val="002A5C20"/>
    <w:rsid w:val="002B30CC"/>
    <w:rsid w:val="002B4865"/>
    <w:rsid w:val="002B49EC"/>
    <w:rsid w:val="002B4A30"/>
    <w:rsid w:val="002B4D5F"/>
    <w:rsid w:val="002B5A2C"/>
    <w:rsid w:val="002B628A"/>
    <w:rsid w:val="002B6636"/>
    <w:rsid w:val="002B746F"/>
    <w:rsid w:val="002B79A1"/>
    <w:rsid w:val="002C2714"/>
    <w:rsid w:val="002C2730"/>
    <w:rsid w:val="002C2A3D"/>
    <w:rsid w:val="002C493C"/>
    <w:rsid w:val="002C52EB"/>
    <w:rsid w:val="002C5C63"/>
    <w:rsid w:val="002C65BC"/>
    <w:rsid w:val="002C6C37"/>
    <w:rsid w:val="002C752A"/>
    <w:rsid w:val="002C75AF"/>
    <w:rsid w:val="002C7B42"/>
    <w:rsid w:val="002D0033"/>
    <w:rsid w:val="002D10F3"/>
    <w:rsid w:val="002D1242"/>
    <w:rsid w:val="002D1AAA"/>
    <w:rsid w:val="002D2DC3"/>
    <w:rsid w:val="002D370A"/>
    <w:rsid w:val="002E0B99"/>
    <w:rsid w:val="002E167C"/>
    <w:rsid w:val="002E1A3E"/>
    <w:rsid w:val="002E1CF9"/>
    <w:rsid w:val="002E2F15"/>
    <w:rsid w:val="002E3280"/>
    <w:rsid w:val="002E4AC5"/>
    <w:rsid w:val="002E55A9"/>
    <w:rsid w:val="002F2281"/>
    <w:rsid w:val="002F5BDF"/>
    <w:rsid w:val="002F7665"/>
    <w:rsid w:val="002F7833"/>
    <w:rsid w:val="00303775"/>
    <w:rsid w:val="00303A7F"/>
    <w:rsid w:val="00303CA0"/>
    <w:rsid w:val="003046B0"/>
    <w:rsid w:val="00304D05"/>
    <w:rsid w:val="00305015"/>
    <w:rsid w:val="00305FE3"/>
    <w:rsid w:val="00306BDD"/>
    <w:rsid w:val="00306C1E"/>
    <w:rsid w:val="003107A4"/>
    <w:rsid w:val="003112BD"/>
    <w:rsid w:val="003116A3"/>
    <w:rsid w:val="0031255F"/>
    <w:rsid w:val="0031340F"/>
    <w:rsid w:val="003134F0"/>
    <w:rsid w:val="003143DF"/>
    <w:rsid w:val="00314552"/>
    <w:rsid w:val="00315B99"/>
    <w:rsid w:val="00320DEC"/>
    <w:rsid w:val="0032152A"/>
    <w:rsid w:val="003224D5"/>
    <w:rsid w:val="00322AB4"/>
    <w:rsid w:val="00323471"/>
    <w:rsid w:val="00323828"/>
    <w:rsid w:val="00323B3C"/>
    <w:rsid w:val="00324557"/>
    <w:rsid w:val="00324DE2"/>
    <w:rsid w:val="003251E1"/>
    <w:rsid w:val="003258F1"/>
    <w:rsid w:val="0032595C"/>
    <w:rsid w:val="00325C75"/>
    <w:rsid w:val="00326A33"/>
    <w:rsid w:val="00326FA6"/>
    <w:rsid w:val="0032708F"/>
    <w:rsid w:val="00330635"/>
    <w:rsid w:val="00330C43"/>
    <w:rsid w:val="00330D4D"/>
    <w:rsid w:val="00332436"/>
    <w:rsid w:val="00332951"/>
    <w:rsid w:val="0033321E"/>
    <w:rsid w:val="0033401C"/>
    <w:rsid w:val="00334AA3"/>
    <w:rsid w:val="00334B92"/>
    <w:rsid w:val="0033710F"/>
    <w:rsid w:val="00337DBF"/>
    <w:rsid w:val="00340A6F"/>
    <w:rsid w:val="00341869"/>
    <w:rsid w:val="003422F9"/>
    <w:rsid w:val="00342E1B"/>
    <w:rsid w:val="00343C7B"/>
    <w:rsid w:val="00344178"/>
    <w:rsid w:val="00345AC5"/>
    <w:rsid w:val="00347231"/>
    <w:rsid w:val="003474CB"/>
    <w:rsid w:val="0034786E"/>
    <w:rsid w:val="0035093B"/>
    <w:rsid w:val="00350CB0"/>
    <w:rsid w:val="00352812"/>
    <w:rsid w:val="0035311D"/>
    <w:rsid w:val="003577C7"/>
    <w:rsid w:val="00360258"/>
    <w:rsid w:val="00360CDE"/>
    <w:rsid w:val="00362B4E"/>
    <w:rsid w:val="00362FEC"/>
    <w:rsid w:val="00365127"/>
    <w:rsid w:val="00366D85"/>
    <w:rsid w:val="0036786A"/>
    <w:rsid w:val="00370AE0"/>
    <w:rsid w:val="003735E7"/>
    <w:rsid w:val="00373A5D"/>
    <w:rsid w:val="003743B1"/>
    <w:rsid w:val="003746F0"/>
    <w:rsid w:val="0037545A"/>
    <w:rsid w:val="003805E5"/>
    <w:rsid w:val="003838CA"/>
    <w:rsid w:val="0038424B"/>
    <w:rsid w:val="00384F30"/>
    <w:rsid w:val="0038574C"/>
    <w:rsid w:val="00385C2A"/>
    <w:rsid w:val="00385DEB"/>
    <w:rsid w:val="00386863"/>
    <w:rsid w:val="003873D1"/>
    <w:rsid w:val="003903A8"/>
    <w:rsid w:val="003908DB"/>
    <w:rsid w:val="0039273B"/>
    <w:rsid w:val="00392E82"/>
    <w:rsid w:val="003933E9"/>
    <w:rsid w:val="00393472"/>
    <w:rsid w:val="003934B8"/>
    <w:rsid w:val="00393D05"/>
    <w:rsid w:val="003942BF"/>
    <w:rsid w:val="003944A8"/>
    <w:rsid w:val="003949D4"/>
    <w:rsid w:val="00394C33"/>
    <w:rsid w:val="003969CE"/>
    <w:rsid w:val="003A0C47"/>
    <w:rsid w:val="003A2154"/>
    <w:rsid w:val="003A2A13"/>
    <w:rsid w:val="003A34D3"/>
    <w:rsid w:val="003A3816"/>
    <w:rsid w:val="003A4651"/>
    <w:rsid w:val="003A4AC8"/>
    <w:rsid w:val="003A6127"/>
    <w:rsid w:val="003A6AB4"/>
    <w:rsid w:val="003B0CCD"/>
    <w:rsid w:val="003B0FF1"/>
    <w:rsid w:val="003B31CD"/>
    <w:rsid w:val="003B39A6"/>
    <w:rsid w:val="003B45FA"/>
    <w:rsid w:val="003B4632"/>
    <w:rsid w:val="003B5C85"/>
    <w:rsid w:val="003B601E"/>
    <w:rsid w:val="003B6492"/>
    <w:rsid w:val="003B69F4"/>
    <w:rsid w:val="003B78AB"/>
    <w:rsid w:val="003B7C62"/>
    <w:rsid w:val="003C2574"/>
    <w:rsid w:val="003C2797"/>
    <w:rsid w:val="003C2DA4"/>
    <w:rsid w:val="003C39F1"/>
    <w:rsid w:val="003C4567"/>
    <w:rsid w:val="003C58BF"/>
    <w:rsid w:val="003C5D25"/>
    <w:rsid w:val="003C6841"/>
    <w:rsid w:val="003C6CB6"/>
    <w:rsid w:val="003C6E0F"/>
    <w:rsid w:val="003C7725"/>
    <w:rsid w:val="003C7C96"/>
    <w:rsid w:val="003D2917"/>
    <w:rsid w:val="003D3ADD"/>
    <w:rsid w:val="003D3DC7"/>
    <w:rsid w:val="003D42F9"/>
    <w:rsid w:val="003D5485"/>
    <w:rsid w:val="003D5CDD"/>
    <w:rsid w:val="003E1992"/>
    <w:rsid w:val="003E3AE6"/>
    <w:rsid w:val="003E4701"/>
    <w:rsid w:val="003E5435"/>
    <w:rsid w:val="003E5C83"/>
    <w:rsid w:val="003E6164"/>
    <w:rsid w:val="003E62BA"/>
    <w:rsid w:val="003E73BB"/>
    <w:rsid w:val="003E755C"/>
    <w:rsid w:val="003F0705"/>
    <w:rsid w:val="003F11A0"/>
    <w:rsid w:val="003F1B8F"/>
    <w:rsid w:val="003F222E"/>
    <w:rsid w:val="003F24CB"/>
    <w:rsid w:val="003F2A0D"/>
    <w:rsid w:val="003F36CD"/>
    <w:rsid w:val="003F373D"/>
    <w:rsid w:val="003F3DFF"/>
    <w:rsid w:val="003F60F0"/>
    <w:rsid w:val="00400158"/>
    <w:rsid w:val="0040028C"/>
    <w:rsid w:val="0040030D"/>
    <w:rsid w:val="00400D2F"/>
    <w:rsid w:val="00401FC2"/>
    <w:rsid w:val="004045C7"/>
    <w:rsid w:val="00404748"/>
    <w:rsid w:val="0040559D"/>
    <w:rsid w:val="00405B29"/>
    <w:rsid w:val="00406797"/>
    <w:rsid w:val="0040720F"/>
    <w:rsid w:val="00407AA4"/>
    <w:rsid w:val="00410D7A"/>
    <w:rsid w:val="004110C4"/>
    <w:rsid w:val="0041189F"/>
    <w:rsid w:val="00411984"/>
    <w:rsid w:val="00411B8F"/>
    <w:rsid w:val="00413696"/>
    <w:rsid w:val="00414B46"/>
    <w:rsid w:val="0041545D"/>
    <w:rsid w:val="0041659D"/>
    <w:rsid w:val="00416D98"/>
    <w:rsid w:val="00416F89"/>
    <w:rsid w:val="0041705E"/>
    <w:rsid w:val="00417528"/>
    <w:rsid w:val="004176B2"/>
    <w:rsid w:val="0042049C"/>
    <w:rsid w:val="004227C9"/>
    <w:rsid w:val="00422D8D"/>
    <w:rsid w:val="00424630"/>
    <w:rsid w:val="00424D8D"/>
    <w:rsid w:val="00425024"/>
    <w:rsid w:val="0042513B"/>
    <w:rsid w:val="00425B84"/>
    <w:rsid w:val="00425FF2"/>
    <w:rsid w:val="00426074"/>
    <w:rsid w:val="00426A4A"/>
    <w:rsid w:val="004274FB"/>
    <w:rsid w:val="00427BE1"/>
    <w:rsid w:val="00431321"/>
    <w:rsid w:val="00431C6A"/>
    <w:rsid w:val="00431F6D"/>
    <w:rsid w:val="00433222"/>
    <w:rsid w:val="00433CA3"/>
    <w:rsid w:val="00435601"/>
    <w:rsid w:val="0043571D"/>
    <w:rsid w:val="004359E1"/>
    <w:rsid w:val="00435B0F"/>
    <w:rsid w:val="004365FE"/>
    <w:rsid w:val="004368C0"/>
    <w:rsid w:val="00436B87"/>
    <w:rsid w:val="00437130"/>
    <w:rsid w:val="00437EB4"/>
    <w:rsid w:val="00440253"/>
    <w:rsid w:val="004405B1"/>
    <w:rsid w:val="00443631"/>
    <w:rsid w:val="004437F3"/>
    <w:rsid w:val="00443837"/>
    <w:rsid w:val="00445707"/>
    <w:rsid w:val="004462A6"/>
    <w:rsid w:val="0044757A"/>
    <w:rsid w:val="004477A8"/>
    <w:rsid w:val="00447B9B"/>
    <w:rsid w:val="00450554"/>
    <w:rsid w:val="0045164A"/>
    <w:rsid w:val="00452232"/>
    <w:rsid w:val="00452237"/>
    <w:rsid w:val="00453421"/>
    <w:rsid w:val="00453898"/>
    <w:rsid w:val="0045457B"/>
    <w:rsid w:val="00454890"/>
    <w:rsid w:val="00454A09"/>
    <w:rsid w:val="00454DFA"/>
    <w:rsid w:val="004565EC"/>
    <w:rsid w:val="004566DA"/>
    <w:rsid w:val="00457218"/>
    <w:rsid w:val="00457912"/>
    <w:rsid w:val="004602A6"/>
    <w:rsid w:val="004603AF"/>
    <w:rsid w:val="0046091D"/>
    <w:rsid w:val="00461384"/>
    <w:rsid w:val="00462BB3"/>
    <w:rsid w:val="0046461F"/>
    <w:rsid w:val="00464EF7"/>
    <w:rsid w:val="00465744"/>
    <w:rsid w:val="004666BD"/>
    <w:rsid w:val="0046732D"/>
    <w:rsid w:val="00467EA6"/>
    <w:rsid w:val="0047025D"/>
    <w:rsid w:val="00471474"/>
    <w:rsid w:val="00471CA1"/>
    <w:rsid w:val="00473AFD"/>
    <w:rsid w:val="00473C57"/>
    <w:rsid w:val="00473F4F"/>
    <w:rsid w:val="00474707"/>
    <w:rsid w:val="00474E65"/>
    <w:rsid w:val="00474F10"/>
    <w:rsid w:val="00475999"/>
    <w:rsid w:val="00475BF5"/>
    <w:rsid w:val="00476B8E"/>
    <w:rsid w:val="004773BC"/>
    <w:rsid w:val="00477C25"/>
    <w:rsid w:val="004803A0"/>
    <w:rsid w:val="00482751"/>
    <w:rsid w:val="00482E5C"/>
    <w:rsid w:val="00483994"/>
    <w:rsid w:val="00484D6F"/>
    <w:rsid w:val="00485372"/>
    <w:rsid w:val="0048582F"/>
    <w:rsid w:val="00485857"/>
    <w:rsid w:val="00485CD9"/>
    <w:rsid w:val="00486002"/>
    <w:rsid w:val="00486163"/>
    <w:rsid w:val="004867DC"/>
    <w:rsid w:val="004907F6"/>
    <w:rsid w:val="00490BC2"/>
    <w:rsid w:val="00490F42"/>
    <w:rsid w:val="00493107"/>
    <w:rsid w:val="004943B2"/>
    <w:rsid w:val="004960DD"/>
    <w:rsid w:val="00496640"/>
    <w:rsid w:val="00497B1B"/>
    <w:rsid w:val="004A0A47"/>
    <w:rsid w:val="004A0AA3"/>
    <w:rsid w:val="004A24A5"/>
    <w:rsid w:val="004A25D8"/>
    <w:rsid w:val="004A3D81"/>
    <w:rsid w:val="004A42D9"/>
    <w:rsid w:val="004A4EFE"/>
    <w:rsid w:val="004A570F"/>
    <w:rsid w:val="004A7FFE"/>
    <w:rsid w:val="004B0CAD"/>
    <w:rsid w:val="004B16F6"/>
    <w:rsid w:val="004B1C26"/>
    <w:rsid w:val="004B2292"/>
    <w:rsid w:val="004B38D7"/>
    <w:rsid w:val="004B39D4"/>
    <w:rsid w:val="004B3BA8"/>
    <w:rsid w:val="004B4564"/>
    <w:rsid w:val="004B4BD9"/>
    <w:rsid w:val="004C1386"/>
    <w:rsid w:val="004C25C3"/>
    <w:rsid w:val="004C30B5"/>
    <w:rsid w:val="004C348C"/>
    <w:rsid w:val="004C3A3D"/>
    <w:rsid w:val="004C41DC"/>
    <w:rsid w:val="004C4308"/>
    <w:rsid w:val="004C50C9"/>
    <w:rsid w:val="004C7D56"/>
    <w:rsid w:val="004C7DDE"/>
    <w:rsid w:val="004D09D2"/>
    <w:rsid w:val="004D1CDA"/>
    <w:rsid w:val="004D383D"/>
    <w:rsid w:val="004D3C11"/>
    <w:rsid w:val="004D3C8A"/>
    <w:rsid w:val="004D3D5A"/>
    <w:rsid w:val="004D74C1"/>
    <w:rsid w:val="004E01A7"/>
    <w:rsid w:val="004E03A5"/>
    <w:rsid w:val="004E1136"/>
    <w:rsid w:val="004E159F"/>
    <w:rsid w:val="004E1DEB"/>
    <w:rsid w:val="004E2372"/>
    <w:rsid w:val="004E2585"/>
    <w:rsid w:val="004E2859"/>
    <w:rsid w:val="004E29B5"/>
    <w:rsid w:val="004E2A2E"/>
    <w:rsid w:val="004E2F39"/>
    <w:rsid w:val="004E3504"/>
    <w:rsid w:val="004E4568"/>
    <w:rsid w:val="004E5360"/>
    <w:rsid w:val="004E62C3"/>
    <w:rsid w:val="004E64FA"/>
    <w:rsid w:val="004E668B"/>
    <w:rsid w:val="004F0AC4"/>
    <w:rsid w:val="004F0FB1"/>
    <w:rsid w:val="004F171B"/>
    <w:rsid w:val="004F1AEB"/>
    <w:rsid w:val="004F1BAE"/>
    <w:rsid w:val="004F1BD3"/>
    <w:rsid w:val="004F1F0C"/>
    <w:rsid w:val="004F22CB"/>
    <w:rsid w:val="004F2CCB"/>
    <w:rsid w:val="004F38FE"/>
    <w:rsid w:val="004F6294"/>
    <w:rsid w:val="004F6878"/>
    <w:rsid w:val="004F7D9F"/>
    <w:rsid w:val="005003A9"/>
    <w:rsid w:val="005011A8"/>
    <w:rsid w:val="00502855"/>
    <w:rsid w:val="0050359C"/>
    <w:rsid w:val="00503BDF"/>
    <w:rsid w:val="00504A57"/>
    <w:rsid w:val="00504C88"/>
    <w:rsid w:val="00504DE4"/>
    <w:rsid w:val="005050DC"/>
    <w:rsid w:val="0050586E"/>
    <w:rsid w:val="005065E4"/>
    <w:rsid w:val="00506F73"/>
    <w:rsid w:val="00510A23"/>
    <w:rsid w:val="00512138"/>
    <w:rsid w:val="00513342"/>
    <w:rsid w:val="00513D72"/>
    <w:rsid w:val="00513EF3"/>
    <w:rsid w:val="00513FBB"/>
    <w:rsid w:val="00514837"/>
    <w:rsid w:val="00514E3B"/>
    <w:rsid w:val="00515068"/>
    <w:rsid w:val="00515B13"/>
    <w:rsid w:val="00517A8F"/>
    <w:rsid w:val="00517CFE"/>
    <w:rsid w:val="0052015A"/>
    <w:rsid w:val="0052047B"/>
    <w:rsid w:val="005208E5"/>
    <w:rsid w:val="005209DB"/>
    <w:rsid w:val="00520A23"/>
    <w:rsid w:val="00521703"/>
    <w:rsid w:val="00521A52"/>
    <w:rsid w:val="0052227D"/>
    <w:rsid w:val="005223A7"/>
    <w:rsid w:val="005229D7"/>
    <w:rsid w:val="00524E89"/>
    <w:rsid w:val="0052528B"/>
    <w:rsid w:val="00526830"/>
    <w:rsid w:val="00526AB9"/>
    <w:rsid w:val="00526FD3"/>
    <w:rsid w:val="00527678"/>
    <w:rsid w:val="0053108F"/>
    <w:rsid w:val="0053322A"/>
    <w:rsid w:val="005339A0"/>
    <w:rsid w:val="00533B0E"/>
    <w:rsid w:val="00535EB4"/>
    <w:rsid w:val="00536E0E"/>
    <w:rsid w:val="005370F6"/>
    <w:rsid w:val="00540260"/>
    <w:rsid w:val="00540474"/>
    <w:rsid w:val="0054053E"/>
    <w:rsid w:val="00541C9A"/>
    <w:rsid w:val="00541FD4"/>
    <w:rsid w:val="00542E2B"/>
    <w:rsid w:val="00543C2C"/>
    <w:rsid w:val="00544E9A"/>
    <w:rsid w:val="00545540"/>
    <w:rsid w:val="00545601"/>
    <w:rsid w:val="00545D8D"/>
    <w:rsid w:val="0054625A"/>
    <w:rsid w:val="00546C98"/>
    <w:rsid w:val="00546E2E"/>
    <w:rsid w:val="00547711"/>
    <w:rsid w:val="00551390"/>
    <w:rsid w:val="00551742"/>
    <w:rsid w:val="005529CA"/>
    <w:rsid w:val="00552BEC"/>
    <w:rsid w:val="00554AB1"/>
    <w:rsid w:val="00555A9D"/>
    <w:rsid w:val="00555C6A"/>
    <w:rsid w:val="00555F3E"/>
    <w:rsid w:val="0055651A"/>
    <w:rsid w:val="00557080"/>
    <w:rsid w:val="005576B0"/>
    <w:rsid w:val="00557EA5"/>
    <w:rsid w:val="00560A2D"/>
    <w:rsid w:val="00565507"/>
    <w:rsid w:val="005659B6"/>
    <w:rsid w:val="00566497"/>
    <w:rsid w:val="0056689A"/>
    <w:rsid w:val="005670FE"/>
    <w:rsid w:val="005708D1"/>
    <w:rsid w:val="0057235E"/>
    <w:rsid w:val="00572523"/>
    <w:rsid w:val="00573772"/>
    <w:rsid w:val="005739B0"/>
    <w:rsid w:val="0057463A"/>
    <w:rsid w:val="0057481D"/>
    <w:rsid w:val="005753E6"/>
    <w:rsid w:val="005757C3"/>
    <w:rsid w:val="00576865"/>
    <w:rsid w:val="00576D0E"/>
    <w:rsid w:val="005775BF"/>
    <w:rsid w:val="00577E20"/>
    <w:rsid w:val="0058130D"/>
    <w:rsid w:val="00582658"/>
    <w:rsid w:val="005855B0"/>
    <w:rsid w:val="00586678"/>
    <w:rsid w:val="00586D51"/>
    <w:rsid w:val="00587A37"/>
    <w:rsid w:val="005908C8"/>
    <w:rsid w:val="00590C28"/>
    <w:rsid w:val="00591A64"/>
    <w:rsid w:val="005921A0"/>
    <w:rsid w:val="005925F6"/>
    <w:rsid w:val="00592B42"/>
    <w:rsid w:val="00593014"/>
    <w:rsid w:val="005935AE"/>
    <w:rsid w:val="00593C30"/>
    <w:rsid w:val="00595346"/>
    <w:rsid w:val="00596457"/>
    <w:rsid w:val="005A016F"/>
    <w:rsid w:val="005A0E62"/>
    <w:rsid w:val="005A10FB"/>
    <w:rsid w:val="005A2057"/>
    <w:rsid w:val="005A3C4F"/>
    <w:rsid w:val="005A4B0F"/>
    <w:rsid w:val="005A4CA6"/>
    <w:rsid w:val="005A5474"/>
    <w:rsid w:val="005A6A6F"/>
    <w:rsid w:val="005A6C93"/>
    <w:rsid w:val="005A7353"/>
    <w:rsid w:val="005B08F6"/>
    <w:rsid w:val="005B11E3"/>
    <w:rsid w:val="005B13AF"/>
    <w:rsid w:val="005B26BE"/>
    <w:rsid w:val="005B2E98"/>
    <w:rsid w:val="005B34BC"/>
    <w:rsid w:val="005B4971"/>
    <w:rsid w:val="005B582E"/>
    <w:rsid w:val="005B5E8C"/>
    <w:rsid w:val="005B66B2"/>
    <w:rsid w:val="005B702B"/>
    <w:rsid w:val="005B7A2B"/>
    <w:rsid w:val="005C009E"/>
    <w:rsid w:val="005C03CF"/>
    <w:rsid w:val="005C04AE"/>
    <w:rsid w:val="005C0957"/>
    <w:rsid w:val="005C0EAF"/>
    <w:rsid w:val="005C1BC3"/>
    <w:rsid w:val="005C1C2D"/>
    <w:rsid w:val="005C2175"/>
    <w:rsid w:val="005C2695"/>
    <w:rsid w:val="005C28BB"/>
    <w:rsid w:val="005C2DA0"/>
    <w:rsid w:val="005C39E7"/>
    <w:rsid w:val="005C3B2C"/>
    <w:rsid w:val="005C6CE3"/>
    <w:rsid w:val="005D127A"/>
    <w:rsid w:val="005D1609"/>
    <w:rsid w:val="005D1819"/>
    <w:rsid w:val="005D4842"/>
    <w:rsid w:val="005D4BD9"/>
    <w:rsid w:val="005D5A73"/>
    <w:rsid w:val="005D70B9"/>
    <w:rsid w:val="005E2246"/>
    <w:rsid w:val="005E527A"/>
    <w:rsid w:val="005E5885"/>
    <w:rsid w:val="005E6398"/>
    <w:rsid w:val="005E716D"/>
    <w:rsid w:val="005E7925"/>
    <w:rsid w:val="005F07D3"/>
    <w:rsid w:val="005F0C1C"/>
    <w:rsid w:val="005F256C"/>
    <w:rsid w:val="005F3977"/>
    <w:rsid w:val="005F5523"/>
    <w:rsid w:val="005F78CF"/>
    <w:rsid w:val="00601522"/>
    <w:rsid w:val="00602A68"/>
    <w:rsid w:val="00602C7A"/>
    <w:rsid w:val="00603A52"/>
    <w:rsid w:val="00603D1A"/>
    <w:rsid w:val="00604B03"/>
    <w:rsid w:val="00604DE7"/>
    <w:rsid w:val="00606D36"/>
    <w:rsid w:val="00607C2F"/>
    <w:rsid w:val="00607FF6"/>
    <w:rsid w:val="006100BF"/>
    <w:rsid w:val="00612807"/>
    <w:rsid w:val="0061539D"/>
    <w:rsid w:val="006159B1"/>
    <w:rsid w:val="0061651A"/>
    <w:rsid w:val="006167BF"/>
    <w:rsid w:val="006168D2"/>
    <w:rsid w:val="00616FC8"/>
    <w:rsid w:val="00617094"/>
    <w:rsid w:val="0061743E"/>
    <w:rsid w:val="006174DE"/>
    <w:rsid w:val="006177B3"/>
    <w:rsid w:val="006203D0"/>
    <w:rsid w:val="00621AB0"/>
    <w:rsid w:val="006222A8"/>
    <w:rsid w:val="00624F44"/>
    <w:rsid w:val="006307C0"/>
    <w:rsid w:val="006308B1"/>
    <w:rsid w:val="00630B3B"/>
    <w:rsid w:val="00630FA5"/>
    <w:rsid w:val="006310E2"/>
    <w:rsid w:val="00631240"/>
    <w:rsid w:val="0063145B"/>
    <w:rsid w:val="00631534"/>
    <w:rsid w:val="00631FB8"/>
    <w:rsid w:val="006325D3"/>
    <w:rsid w:val="00632612"/>
    <w:rsid w:val="00633F09"/>
    <w:rsid w:val="0063453D"/>
    <w:rsid w:val="00634856"/>
    <w:rsid w:val="006354BD"/>
    <w:rsid w:val="0063679F"/>
    <w:rsid w:val="00637115"/>
    <w:rsid w:val="006375D7"/>
    <w:rsid w:val="00637945"/>
    <w:rsid w:val="00637F8C"/>
    <w:rsid w:val="0064001D"/>
    <w:rsid w:val="00640EE3"/>
    <w:rsid w:val="00640F88"/>
    <w:rsid w:val="006411A9"/>
    <w:rsid w:val="0064131E"/>
    <w:rsid w:val="00642B0A"/>
    <w:rsid w:val="006441C8"/>
    <w:rsid w:val="00644742"/>
    <w:rsid w:val="00644F99"/>
    <w:rsid w:val="00647C54"/>
    <w:rsid w:val="00650359"/>
    <w:rsid w:val="00650F99"/>
    <w:rsid w:val="006515E9"/>
    <w:rsid w:val="006516B3"/>
    <w:rsid w:val="00652E55"/>
    <w:rsid w:val="00653CC2"/>
    <w:rsid w:val="00653DE8"/>
    <w:rsid w:val="006542E4"/>
    <w:rsid w:val="00655A09"/>
    <w:rsid w:val="006560C2"/>
    <w:rsid w:val="00656FCD"/>
    <w:rsid w:val="00660212"/>
    <w:rsid w:val="00662129"/>
    <w:rsid w:val="00662B5B"/>
    <w:rsid w:val="00662D5E"/>
    <w:rsid w:val="00663CC5"/>
    <w:rsid w:val="00666D36"/>
    <w:rsid w:val="00671392"/>
    <w:rsid w:val="006718EF"/>
    <w:rsid w:val="006719D2"/>
    <w:rsid w:val="00673092"/>
    <w:rsid w:val="0067593B"/>
    <w:rsid w:val="00676D30"/>
    <w:rsid w:val="006773D7"/>
    <w:rsid w:val="00677826"/>
    <w:rsid w:val="006806C4"/>
    <w:rsid w:val="0068314C"/>
    <w:rsid w:val="0068454C"/>
    <w:rsid w:val="00686C26"/>
    <w:rsid w:val="00687E19"/>
    <w:rsid w:val="00687FA7"/>
    <w:rsid w:val="00690170"/>
    <w:rsid w:val="0069169A"/>
    <w:rsid w:val="006918A2"/>
    <w:rsid w:val="00692584"/>
    <w:rsid w:val="0069386D"/>
    <w:rsid w:val="00693999"/>
    <w:rsid w:val="00693B20"/>
    <w:rsid w:val="00694DC3"/>
    <w:rsid w:val="0069543C"/>
    <w:rsid w:val="00697523"/>
    <w:rsid w:val="006A0793"/>
    <w:rsid w:val="006A10CA"/>
    <w:rsid w:val="006A25EB"/>
    <w:rsid w:val="006A3A6B"/>
    <w:rsid w:val="006A3BA8"/>
    <w:rsid w:val="006A48D9"/>
    <w:rsid w:val="006A5FDF"/>
    <w:rsid w:val="006A6412"/>
    <w:rsid w:val="006A7153"/>
    <w:rsid w:val="006B13B3"/>
    <w:rsid w:val="006B2982"/>
    <w:rsid w:val="006B3406"/>
    <w:rsid w:val="006B3439"/>
    <w:rsid w:val="006B431E"/>
    <w:rsid w:val="006B4D9B"/>
    <w:rsid w:val="006B55C3"/>
    <w:rsid w:val="006B6832"/>
    <w:rsid w:val="006B75C7"/>
    <w:rsid w:val="006B7DFE"/>
    <w:rsid w:val="006C08B4"/>
    <w:rsid w:val="006C3682"/>
    <w:rsid w:val="006C3EDF"/>
    <w:rsid w:val="006C451E"/>
    <w:rsid w:val="006C6368"/>
    <w:rsid w:val="006C7116"/>
    <w:rsid w:val="006D04E8"/>
    <w:rsid w:val="006D1EED"/>
    <w:rsid w:val="006D2391"/>
    <w:rsid w:val="006D2742"/>
    <w:rsid w:val="006D2DAA"/>
    <w:rsid w:val="006D4A39"/>
    <w:rsid w:val="006D4A3D"/>
    <w:rsid w:val="006D4F76"/>
    <w:rsid w:val="006D6ADC"/>
    <w:rsid w:val="006D7B92"/>
    <w:rsid w:val="006E164A"/>
    <w:rsid w:val="006E1A40"/>
    <w:rsid w:val="006E2371"/>
    <w:rsid w:val="006E39D0"/>
    <w:rsid w:val="006E3A79"/>
    <w:rsid w:val="006E41E2"/>
    <w:rsid w:val="006E4338"/>
    <w:rsid w:val="006E47D4"/>
    <w:rsid w:val="006E4CE1"/>
    <w:rsid w:val="006E5786"/>
    <w:rsid w:val="006E654C"/>
    <w:rsid w:val="006E712D"/>
    <w:rsid w:val="006E73CE"/>
    <w:rsid w:val="006E7C0D"/>
    <w:rsid w:val="006F0F9F"/>
    <w:rsid w:val="006F1EFE"/>
    <w:rsid w:val="006F5701"/>
    <w:rsid w:val="006F5A7D"/>
    <w:rsid w:val="007002B3"/>
    <w:rsid w:val="007002DF"/>
    <w:rsid w:val="00700968"/>
    <w:rsid w:val="0070131C"/>
    <w:rsid w:val="00701815"/>
    <w:rsid w:val="00701847"/>
    <w:rsid w:val="00702183"/>
    <w:rsid w:val="00702642"/>
    <w:rsid w:val="007032A7"/>
    <w:rsid w:val="00703D69"/>
    <w:rsid w:val="007045F4"/>
    <w:rsid w:val="0070486B"/>
    <w:rsid w:val="007058CD"/>
    <w:rsid w:val="007070BD"/>
    <w:rsid w:val="0071172A"/>
    <w:rsid w:val="007117AB"/>
    <w:rsid w:val="0071382C"/>
    <w:rsid w:val="00713CA6"/>
    <w:rsid w:val="00715246"/>
    <w:rsid w:val="007152C2"/>
    <w:rsid w:val="0071583D"/>
    <w:rsid w:val="00715B2A"/>
    <w:rsid w:val="007162B8"/>
    <w:rsid w:val="00716646"/>
    <w:rsid w:val="00716CB3"/>
    <w:rsid w:val="00716DF3"/>
    <w:rsid w:val="00717E52"/>
    <w:rsid w:val="007203E9"/>
    <w:rsid w:val="00723FE4"/>
    <w:rsid w:val="00724926"/>
    <w:rsid w:val="00724E9D"/>
    <w:rsid w:val="007252A5"/>
    <w:rsid w:val="0072561B"/>
    <w:rsid w:val="0072584B"/>
    <w:rsid w:val="007258D3"/>
    <w:rsid w:val="00725D61"/>
    <w:rsid w:val="00727A98"/>
    <w:rsid w:val="00730033"/>
    <w:rsid w:val="00730A9A"/>
    <w:rsid w:val="00730AAC"/>
    <w:rsid w:val="00730DEF"/>
    <w:rsid w:val="00731140"/>
    <w:rsid w:val="00732B36"/>
    <w:rsid w:val="00735728"/>
    <w:rsid w:val="007373D3"/>
    <w:rsid w:val="00737E7E"/>
    <w:rsid w:val="00740E0A"/>
    <w:rsid w:val="00740F9B"/>
    <w:rsid w:val="007410CF"/>
    <w:rsid w:val="00743536"/>
    <w:rsid w:val="00743680"/>
    <w:rsid w:val="0074374A"/>
    <w:rsid w:val="00743A0D"/>
    <w:rsid w:val="00743CD5"/>
    <w:rsid w:val="0074525F"/>
    <w:rsid w:val="0074534E"/>
    <w:rsid w:val="00747929"/>
    <w:rsid w:val="007509A3"/>
    <w:rsid w:val="00752E42"/>
    <w:rsid w:val="007535C0"/>
    <w:rsid w:val="00753AB0"/>
    <w:rsid w:val="00753FC7"/>
    <w:rsid w:val="0075444B"/>
    <w:rsid w:val="00754FFC"/>
    <w:rsid w:val="00756366"/>
    <w:rsid w:val="0076036F"/>
    <w:rsid w:val="007626DA"/>
    <w:rsid w:val="00762BB2"/>
    <w:rsid w:val="00763A6A"/>
    <w:rsid w:val="00763E53"/>
    <w:rsid w:val="007650F5"/>
    <w:rsid w:val="00765680"/>
    <w:rsid w:val="00765AAC"/>
    <w:rsid w:val="007660E1"/>
    <w:rsid w:val="007662D1"/>
    <w:rsid w:val="00766442"/>
    <w:rsid w:val="0076691E"/>
    <w:rsid w:val="00767C41"/>
    <w:rsid w:val="00771694"/>
    <w:rsid w:val="00771758"/>
    <w:rsid w:val="00772941"/>
    <w:rsid w:val="007729DB"/>
    <w:rsid w:val="0077305F"/>
    <w:rsid w:val="00773A85"/>
    <w:rsid w:val="00773E94"/>
    <w:rsid w:val="00775563"/>
    <w:rsid w:val="007759EA"/>
    <w:rsid w:val="00776E68"/>
    <w:rsid w:val="0077707B"/>
    <w:rsid w:val="00777540"/>
    <w:rsid w:val="007808CD"/>
    <w:rsid w:val="00781895"/>
    <w:rsid w:val="0078372F"/>
    <w:rsid w:val="007843D8"/>
    <w:rsid w:val="0078552E"/>
    <w:rsid w:val="0078726F"/>
    <w:rsid w:val="0079068A"/>
    <w:rsid w:val="00790757"/>
    <w:rsid w:val="007908D6"/>
    <w:rsid w:val="00791797"/>
    <w:rsid w:val="0079179D"/>
    <w:rsid w:val="0079230C"/>
    <w:rsid w:val="00792A80"/>
    <w:rsid w:val="00792B36"/>
    <w:rsid w:val="007939B9"/>
    <w:rsid w:val="007939BC"/>
    <w:rsid w:val="007944D3"/>
    <w:rsid w:val="007959D3"/>
    <w:rsid w:val="007967C2"/>
    <w:rsid w:val="00796848"/>
    <w:rsid w:val="00796A3B"/>
    <w:rsid w:val="0079752F"/>
    <w:rsid w:val="00797F33"/>
    <w:rsid w:val="007A0387"/>
    <w:rsid w:val="007A0A6F"/>
    <w:rsid w:val="007A1722"/>
    <w:rsid w:val="007A3282"/>
    <w:rsid w:val="007A368E"/>
    <w:rsid w:val="007A3DD8"/>
    <w:rsid w:val="007A41B7"/>
    <w:rsid w:val="007A4687"/>
    <w:rsid w:val="007A547F"/>
    <w:rsid w:val="007A5611"/>
    <w:rsid w:val="007A6742"/>
    <w:rsid w:val="007A69F0"/>
    <w:rsid w:val="007A7CE8"/>
    <w:rsid w:val="007B0293"/>
    <w:rsid w:val="007B06BE"/>
    <w:rsid w:val="007B08A2"/>
    <w:rsid w:val="007B14ED"/>
    <w:rsid w:val="007B3382"/>
    <w:rsid w:val="007B34BD"/>
    <w:rsid w:val="007B3EC9"/>
    <w:rsid w:val="007B4935"/>
    <w:rsid w:val="007B642D"/>
    <w:rsid w:val="007B6A8D"/>
    <w:rsid w:val="007B7025"/>
    <w:rsid w:val="007C02F5"/>
    <w:rsid w:val="007C089A"/>
    <w:rsid w:val="007C20E6"/>
    <w:rsid w:val="007C281D"/>
    <w:rsid w:val="007C337A"/>
    <w:rsid w:val="007C39BB"/>
    <w:rsid w:val="007C465F"/>
    <w:rsid w:val="007C48F8"/>
    <w:rsid w:val="007C59C9"/>
    <w:rsid w:val="007C61D1"/>
    <w:rsid w:val="007C6F56"/>
    <w:rsid w:val="007C7CD8"/>
    <w:rsid w:val="007D115F"/>
    <w:rsid w:val="007D1A9C"/>
    <w:rsid w:val="007D2880"/>
    <w:rsid w:val="007D34E5"/>
    <w:rsid w:val="007D3894"/>
    <w:rsid w:val="007D467E"/>
    <w:rsid w:val="007D491B"/>
    <w:rsid w:val="007D5B2C"/>
    <w:rsid w:val="007E1388"/>
    <w:rsid w:val="007E19B0"/>
    <w:rsid w:val="007E4850"/>
    <w:rsid w:val="007E5013"/>
    <w:rsid w:val="007E5597"/>
    <w:rsid w:val="007E6491"/>
    <w:rsid w:val="007E6B8B"/>
    <w:rsid w:val="007E757C"/>
    <w:rsid w:val="007E7AAD"/>
    <w:rsid w:val="007F2637"/>
    <w:rsid w:val="007F2753"/>
    <w:rsid w:val="007F293E"/>
    <w:rsid w:val="007F33A1"/>
    <w:rsid w:val="007F34A1"/>
    <w:rsid w:val="007F52DF"/>
    <w:rsid w:val="007F5FF8"/>
    <w:rsid w:val="007F639A"/>
    <w:rsid w:val="007F6B79"/>
    <w:rsid w:val="007F7144"/>
    <w:rsid w:val="008001BF"/>
    <w:rsid w:val="008019F1"/>
    <w:rsid w:val="00801DE0"/>
    <w:rsid w:val="008025E5"/>
    <w:rsid w:val="008032CD"/>
    <w:rsid w:val="008046EF"/>
    <w:rsid w:val="008052BB"/>
    <w:rsid w:val="00806368"/>
    <w:rsid w:val="00806F09"/>
    <w:rsid w:val="00807166"/>
    <w:rsid w:val="00807DA5"/>
    <w:rsid w:val="00810B5B"/>
    <w:rsid w:val="008113E6"/>
    <w:rsid w:val="00811FD5"/>
    <w:rsid w:val="00812350"/>
    <w:rsid w:val="0081309E"/>
    <w:rsid w:val="00813C6F"/>
    <w:rsid w:val="00814DA7"/>
    <w:rsid w:val="00816075"/>
    <w:rsid w:val="008172A5"/>
    <w:rsid w:val="0082022E"/>
    <w:rsid w:val="00822172"/>
    <w:rsid w:val="0082442F"/>
    <w:rsid w:val="00824711"/>
    <w:rsid w:val="00824F43"/>
    <w:rsid w:val="0082508A"/>
    <w:rsid w:val="00830138"/>
    <w:rsid w:val="00834375"/>
    <w:rsid w:val="00834C8E"/>
    <w:rsid w:val="0083560F"/>
    <w:rsid w:val="00835FC5"/>
    <w:rsid w:val="00836D51"/>
    <w:rsid w:val="00836FAA"/>
    <w:rsid w:val="00842CF0"/>
    <w:rsid w:val="00844F61"/>
    <w:rsid w:val="00845E72"/>
    <w:rsid w:val="0084692A"/>
    <w:rsid w:val="00846A52"/>
    <w:rsid w:val="00850210"/>
    <w:rsid w:val="008504DC"/>
    <w:rsid w:val="00850A80"/>
    <w:rsid w:val="0085200C"/>
    <w:rsid w:val="0085260F"/>
    <w:rsid w:val="0085338B"/>
    <w:rsid w:val="008542CA"/>
    <w:rsid w:val="00855F45"/>
    <w:rsid w:val="0085621C"/>
    <w:rsid w:val="00856D3C"/>
    <w:rsid w:val="008572C2"/>
    <w:rsid w:val="0086037D"/>
    <w:rsid w:val="00860C20"/>
    <w:rsid w:val="0086136A"/>
    <w:rsid w:val="00861F9D"/>
    <w:rsid w:val="0086228E"/>
    <w:rsid w:val="00862D38"/>
    <w:rsid w:val="00862E1F"/>
    <w:rsid w:val="0086590F"/>
    <w:rsid w:val="00866593"/>
    <w:rsid w:val="008668F1"/>
    <w:rsid w:val="00866E70"/>
    <w:rsid w:val="00866FDE"/>
    <w:rsid w:val="00867797"/>
    <w:rsid w:val="00867B85"/>
    <w:rsid w:val="00871074"/>
    <w:rsid w:val="00871202"/>
    <w:rsid w:val="00871DF3"/>
    <w:rsid w:val="00872696"/>
    <w:rsid w:val="00873983"/>
    <w:rsid w:val="00873E50"/>
    <w:rsid w:val="0087484E"/>
    <w:rsid w:val="00875F2C"/>
    <w:rsid w:val="00875FC0"/>
    <w:rsid w:val="008762EE"/>
    <w:rsid w:val="0087658C"/>
    <w:rsid w:val="00876EFD"/>
    <w:rsid w:val="00880BF6"/>
    <w:rsid w:val="00880E65"/>
    <w:rsid w:val="00882FF6"/>
    <w:rsid w:val="008843EF"/>
    <w:rsid w:val="008849C8"/>
    <w:rsid w:val="008849EB"/>
    <w:rsid w:val="008850E9"/>
    <w:rsid w:val="008853B0"/>
    <w:rsid w:val="00887D64"/>
    <w:rsid w:val="008908B4"/>
    <w:rsid w:val="008909C2"/>
    <w:rsid w:val="008927D4"/>
    <w:rsid w:val="00892FF9"/>
    <w:rsid w:val="00893283"/>
    <w:rsid w:val="00893326"/>
    <w:rsid w:val="00893512"/>
    <w:rsid w:val="00893F35"/>
    <w:rsid w:val="00893FBD"/>
    <w:rsid w:val="0089574D"/>
    <w:rsid w:val="0089638A"/>
    <w:rsid w:val="008968DE"/>
    <w:rsid w:val="00896CFD"/>
    <w:rsid w:val="00896EEF"/>
    <w:rsid w:val="008A0C3F"/>
    <w:rsid w:val="008A28E1"/>
    <w:rsid w:val="008A34DC"/>
    <w:rsid w:val="008A3FDC"/>
    <w:rsid w:val="008A43C4"/>
    <w:rsid w:val="008A497D"/>
    <w:rsid w:val="008A4E08"/>
    <w:rsid w:val="008A639B"/>
    <w:rsid w:val="008A6430"/>
    <w:rsid w:val="008A6881"/>
    <w:rsid w:val="008A799D"/>
    <w:rsid w:val="008B0346"/>
    <w:rsid w:val="008B202C"/>
    <w:rsid w:val="008B2080"/>
    <w:rsid w:val="008B44C6"/>
    <w:rsid w:val="008B73FA"/>
    <w:rsid w:val="008B767B"/>
    <w:rsid w:val="008C0689"/>
    <w:rsid w:val="008C099D"/>
    <w:rsid w:val="008C0ED3"/>
    <w:rsid w:val="008C1304"/>
    <w:rsid w:val="008C1B8F"/>
    <w:rsid w:val="008C24CB"/>
    <w:rsid w:val="008C2B98"/>
    <w:rsid w:val="008C3AF3"/>
    <w:rsid w:val="008C4116"/>
    <w:rsid w:val="008C474C"/>
    <w:rsid w:val="008C510E"/>
    <w:rsid w:val="008C54EA"/>
    <w:rsid w:val="008C5E94"/>
    <w:rsid w:val="008C70B0"/>
    <w:rsid w:val="008C7460"/>
    <w:rsid w:val="008C7633"/>
    <w:rsid w:val="008D06F4"/>
    <w:rsid w:val="008D0D4A"/>
    <w:rsid w:val="008D1451"/>
    <w:rsid w:val="008D14AF"/>
    <w:rsid w:val="008D3142"/>
    <w:rsid w:val="008D43DF"/>
    <w:rsid w:val="008D46C8"/>
    <w:rsid w:val="008D475E"/>
    <w:rsid w:val="008D4B84"/>
    <w:rsid w:val="008D4FBF"/>
    <w:rsid w:val="008D583F"/>
    <w:rsid w:val="008D5987"/>
    <w:rsid w:val="008D64C6"/>
    <w:rsid w:val="008D701B"/>
    <w:rsid w:val="008D770A"/>
    <w:rsid w:val="008E1526"/>
    <w:rsid w:val="008E1B45"/>
    <w:rsid w:val="008E2886"/>
    <w:rsid w:val="008E3328"/>
    <w:rsid w:val="008E3879"/>
    <w:rsid w:val="008E3B04"/>
    <w:rsid w:val="008E4853"/>
    <w:rsid w:val="008E486C"/>
    <w:rsid w:val="008E5138"/>
    <w:rsid w:val="008E517E"/>
    <w:rsid w:val="008E52AE"/>
    <w:rsid w:val="008E53E0"/>
    <w:rsid w:val="008E5A0E"/>
    <w:rsid w:val="008E65C8"/>
    <w:rsid w:val="008E7DE2"/>
    <w:rsid w:val="008F071F"/>
    <w:rsid w:val="008F1412"/>
    <w:rsid w:val="008F1432"/>
    <w:rsid w:val="008F1D55"/>
    <w:rsid w:val="008F23E8"/>
    <w:rsid w:val="008F2C35"/>
    <w:rsid w:val="008F3036"/>
    <w:rsid w:val="008F4E4A"/>
    <w:rsid w:val="008F51B9"/>
    <w:rsid w:val="008F5616"/>
    <w:rsid w:val="008F6EA9"/>
    <w:rsid w:val="008F74E6"/>
    <w:rsid w:val="00900EA0"/>
    <w:rsid w:val="0090143C"/>
    <w:rsid w:val="00901DE0"/>
    <w:rsid w:val="009028C9"/>
    <w:rsid w:val="0090301A"/>
    <w:rsid w:val="009059D7"/>
    <w:rsid w:val="00907F21"/>
    <w:rsid w:val="009109E4"/>
    <w:rsid w:val="00912151"/>
    <w:rsid w:val="0091317F"/>
    <w:rsid w:val="00913472"/>
    <w:rsid w:val="00915F28"/>
    <w:rsid w:val="009163B2"/>
    <w:rsid w:val="0091658B"/>
    <w:rsid w:val="009179C9"/>
    <w:rsid w:val="00920513"/>
    <w:rsid w:val="00920F0A"/>
    <w:rsid w:val="0092249F"/>
    <w:rsid w:val="00922C2C"/>
    <w:rsid w:val="00923280"/>
    <w:rsid w:val="00923EDC"/>
    <w:rsid w:val="00924B31"/>
    <w:rsid w:val="00925022"/>
    <w:rsid w:val="00925454"/>
    <w:rsid w:val="009254F8"/>
    <w:rsid w:val="009258D9"/>
    <w:rsid w:val="00925ACC"/>
    <w:rsid w:val="00925D6C"/>
    <w:rsid w:val="00927E6F"/>
    <w:rsid w:val="009313E6"/>
    <w:rsid w:val="00932DEC"/>
    <w:rsid w:val="00935088"/>
    <w:rsid w:val="009363FF"/>
    <w:rsid w:val="00936600"/>
    <w:rsid w:val="00936A7E"/>
    <w:rsid w:val="009378FC"/>
    <w:rsid w:val="00941D20"/>
    <w:rsid w:val="00941F50"/>
    <w:rsid w:val="0094235F"/>
    <w:rsid w:val="00942E88"/>
    <w:rsid w:val="00944CA3"/>
    <w:rsid w:val="00945BD9"/>
    <w:rsid w:val="00946D7D"/>
    <w:rsid w:val="00946DBE"/>
    <w:rsid w:val="009470E0"/>
    <w:rsid w:val="00947CD9"/>
    <w:rsid w:val="00950DD5"/>
    <w:rsid w:val="0095132D"/>
    <w:rsid w:val="009536E6"/>
    <w:rsid w:val="00953C2C"/>
    <w:rsid w:val="00953CB4"/>
    <w:rsid w:val="00953F60"/>
    <w:rsid w:val="00954258"/>
    <w:rsid w:val="009550BC"/>
    <w:rsid w:val="00955C0E"/>
    <w:rsid w:val="00956951"/>
    <w:rsid w:val="00956ACC"/>
    <w:rsid w:val="00961A25"/>
    <w:rsid w:val="00961F6D"/>
    <w:rsid w:val="009623F4"/>
    <w:rsid w:val="0096309A"/>
    <w:rsid w:val="00963FFD"/>
    <w:rsid w:val="00965266"/>
    <w:rsid w:val="00965315"/>
    <w:rsid w:val="00966386"/>
    <w:rsid w:val="0096668D"/>
    <w:rsid w:val="00966768"/>
    <w:rsid w:val="009668FA"/>
    <w:rsid w:val="0096741A"/>
    <w:rsid w:val="00967449"/>
    <w:rsid w:val="0097068A"/>
    <w:rsid w:val="00970E38"/>
    <w:rsid w:val="00971D65"/>
    <w:rsid w:val="00973D50"/>
    <w:rsid w:val="00976440"/>
    <w:rsid w:val="009767C5"/>
    <w:rsid w:val="009777FF"/>
    <w:rsid w:val="00980ABB"/>
    <w:rsid w:val="00981725"/>
    <w:rsid w:val="00981765"/>
    <w:rsid w:val="00983B23"/>
    <w:rsid w:val="00983EEF"/>
    <w:rsid w:val="009840ED"/>
    <w:rsid w:val="009842D1"/>
    <w:rsid w:val="00984E63"/>
    <w:rsid w:val="009850BC"/>
    <w:rsid w:val="009865D3"/>
    <w:rsid w:val="00986A57"/>
    <w:rsid w:val="009905AC"/>
    <w:rsid w:val="009914B7"/>
    <w:rsid w:val="00991CE7"/>
    <w:rsid w:val="00992308"/>
    <w:rsid w:val="00992418"/>
    <w:rsid w:val="00992A58"/>
    <w:rsid w:val="0099490B"/>
    <w:rsid w:val="00995EC2"/>
    <w:rsid w:val="00996FB2"/>
    <w:rsid w:val="009973B6"/>
    <w:rsid w:val="00997A5B"/>
    <w:rsid w:val="009A059E"/>
    <w:rsid w:val="009A0899"/>
    <w:rsid w:val="009A2656"/>
    <w:rsid w:val="009A3608"/>
    <w:rsid w:val="009A3FDD"/>
    <w:rsid w:val="009A6963"/>
    <w:rsid w:val="009A6C95"/>
    <w:rsid w:val="009B037F"/>
    <w:rsid w:val="009B0444"/>
    <w:rsid w:val="009B0FB9"/>
    <w:rsid w:val="009B229C"/>
    <w:rsid w:val="009B259F"/>
    <w:rsid w:val="009B2679"/>
    <w:rsid w:val="009B3DF7"/>
    <w:rsid w:val="009B52C1"/>
    <w:rsid w:val="009B59CA"/>
    <w:rsid w:val="009B7318"/>
    <w:rsid w:val="009C0F32"/>
    <w:rsid w:val="009C11AB"/>
    <w:rsid w:val="009C197B"/>
    <w:rsid w:val="009C321E"/>
    <w:rsid w:val="009C344B"/>
    <w:rsid w:val="009C3FEA"/>
    <w:rsid w:val="009C47EB"/>
    <w:rsid w:val="009C5E21"/>
    <w:rsid w:val="009C6150"/>
    <w:rsid w:val="009C61B9"/>
    <w:rsid w:val="009C6B25"/>
    <w:rsid w:val="009C6BF2"/>
    <w:rsid w:val="009C708C"/>
    <w:rsid w:val="009C717B"/>
    <w:rsid w:val="009D0470"/>
    <w:rsid w:val="009D0802"/>
    <w:rsid w:val="009D14A2"/>
    <w:rsid w:val="009D20E5"/>
    <w:rsid w:val="009D2449"/>
    <w:rsid w:val="009D2B59"/>
    <w:rsid w:val="009D31EF"/>
    <w:rsid w:val="009D39FF"/>
    <w:rsid w:val="009D4635"/>
    <w:rsid w:val="009D5626"/>
    <w:rsid w:val="009D5A02"/>
    <w:rsid w:val="009D63FE"/>
    <w:rsid w:val="009D7E55"/>
    <w:rsid w:val="009E0591"/>
    <w:rsid w:val="009E16AA"/>
    <w:rsid w:val="009E4086"/>
    <w:rsid w:val="009E4632"/>
    <w:rsid w:val="009E538D"/>
    <w:rsid w:val="009E5533"/>
    <w:rsid w:val="009E6D94"/>
    <w:rsid w:val="009F1856"/>
    <w:rsid w:val="009F1F63"/>
    <w:rsid w:val="009F2175"/>
    <w:rsid w:val="009F2919"/>
    <w:rsid w:val="009F2A98"/>
    <w:rsid w:val="009F35C5"/>
    <w:rsid w:val="009F5004"/>
    <w:rsid w:val="009F6DE1"/>
    <w:rsid w:val="009F7C1D"/>
    <w:rsid w:val="009F7FF6"/>
    <w:rsid w:val="00A011FE"/>
    <w:rsid w:val="00A0147D"/>
    <w:rsid w:val="00A019DD"/>
    <w:rsid w:val="00A03660"/>
    <w:rsid w:val="00A036CB"/>
    <w:rsid w:val="00A04098"/>
    <w:rsid w:val="00A041A8"/>
    <w:rsid w:val="00A04B88"/>
    <w:rsid w:val="00A04BA4"/>
    <w:rsid w:val="00A04BB2"/>
    <w:rsid w:val="00A05249"/>
    <w:rsid w:val="00A0651B"/>
    <w:rsid w:val="00A066C7"/>
    <w:rsid w:val="00A074F9"/>
    <w:rsid w:val="00A104E4"/>
    <w:rsid w:val="00A10E1C"/>
    <w:rsid w:val="00A119C5"/>
    <w:rsid w:val="00A12878"/>
    <w:rsid w:val="00A1353F"/>
    <w:rsid w:val="00A14660"/>
    <w:rsid w:val="00A146F0"/>
    <w:rsid w:val="00A15658"/>
    <w:rsid w:val="00A16034"/>
    <w:rsid w:val="00A16489"/>
    <w:rsid w:val="00A165CE"/>
    <w:rsid w:val="00A17EE4"/>
    <w:rsid w:val="00A207A8"/>
    <w:rsid w:val="00A21EB9"/>
    <w:rsid w:val="00A23607"/>
    <w:rsid w:val="00A2423C"/>
    <w:rsid w:val="00A253BF"/>
    <w:rsid w:val="00A2589E"/>
    <w:rsid w:val="00A26DA7"/>
    <w:rsid w:val="00A2712C"/>
    <w:rsid w:val="00A278FB"/>
    <w:rsid w:val="00A2797D"/>
    <w:rsid w:val="00A279D9"/>
    <w:rsid w:val="00A3026A"/>
    <w:rsid w:val="00A304F9"/>
    <w:rsid w:val="00A311FF"/>
    <w:rsid w:val="00A31A2E"/>
    <w:rsid w:val="00A33041"/>
    <w:rsid w:val="00A33047"/>
    <w:rsid w:val="00A40C9E"/>
    <w:rsid w:val="00A416BB"/>
    <w:rsid w:val="00A41D19"/>
    <w:rsid w:val="00A428A2"/>
    <w:rsid w:val="00A435C8"/>
    <w:rsid w:val="00A44195"/>
    <w:rsid w:val="00A45825"/>
    <w:rsid w:val="00A45F13"/>
    <w:rsid w:val="00A46A0D"/>
    <w:rsid w:val="00A46A29"/>
    <w:rsid w:val="00A477DB"/>
    <w:rsid w:val="00A503F8"/>
    <w:rsid w:val="00A50676"/>
    <w:rsid w:val="00A509FE"/>
    <w:rsid w:val="00A50FDD"/>
    <w:rsid w:val="00A53AC0"/>
    <w:rsid w:val="00A53BF9"/>
    <w:rsid w:val="00A5416B"/>
    <w:rsid w:val="00A552A2"/>
    <w:rsid w:val="00A56B1F"/>
    <w:rsid w:val="00A57407"/>
    <w:rsid w:val="00A60B4E"/>
    <w:rsid w:val="00A61866"/>
    <w:rsid w:val="00A61944"/>
    <w:rsid w:val="00A61C40"/>
    <w:rsid w:val="00A61DFF"/>
    <w:rsid w:val="00A623FC"/>
    <w:rsid w:val="00A63BE8"/>
    <w:rsid w:val="00A65005"/>
    <w:rsid w:val="00A66199"/>
    <w:rsid w:val="00A6734F"/>
    <w:rsid w:val="00A67527"/>
    <w:rsid w:val="00A71A45"/>
    <w:rsid w:val="00A73D8C"/>
    <w:rsid w:val="00A748EE"/>
    <w:rsid w:val="00A7499C"/>
    <w:rsid w:val="00A75566"/>
    <w:rsid w:val="00A76C62"/>
    <w:rsid w:val="00A7718D"/>
    <w:rsid w:val="00A807E4"/>
    <w:rsid w:val="00A810B9"/>
    <w:rsid w:val="00A81715"/>
    <w:rsid w:val="00A81BC0"/>
    <w:rsid w:val="00A82BCE"/>
    <w:rsid w:val="00A83214"/>
    <w:rsid w:val="00A8321F"/>
    <w:rsid w:val="00A8482E"/>
    <w:rsid w:val="00A84BA5"/>
    <w:rsid w:val="00A84D91"/>
    <w:rsid w:val="00A86747"/>
    <w:rsid w:val="00A876DA"/>
    <w:rsid w:val="00A87984"/>
    <w:rsid w:val="00A87C09"/>
    <w:rsid w:val="00A908E0"/>
    <w:rsid w:val="00A9195A"/>
    <w:rsid w:val="00A9356E"/>
    <w:rsid w:val="00A93AAA"/>
    <w:rsid w:val="00A940F7"/>
    <w:rsid w:val="00A943A5"/>
    <w:rsid w:val="00A94DDE"/>
    <w:rsid w:val="00A951CE"/>
    <w:rsid w:val="00A952E2"/>
    <w:rsid w:val="00A956CF"/>
    <w:rsid w:val="00A96EF5"/>
    <w:rsid w:val="00A975EA"/>
    <w:rsid w:val="00AA0057"/>
    <w:rsid w:val="00AA0482"/>
    <w:rsid w:val="00AA1E9E"/>
    <w:rsid w:val="00AA34E2"/>
    <w:rsid w:val="00AA3C8F"/>
    <w:rsid w:val="00AA3C90"/>
    <w:rsid w:val="00AA4AB1"/>
    <w:rsid w:val="00AA4E8A"/>
    <w:rsid w:val="00AA7959"/>
    <w:rsid w:val="00AB09B4"/>
    <w:rsid w:val="00AB1CB7"/>
    <w:rsid w:val="00AB2558"/>
    <w:rsid w:val="00AB3B97"/>
    <w:rsid w:val="00AB4076"/>
    <w:rsid w:val="00AB4123"/>
    <w:rsid w:val="00AB419D"/>
    <w:rsid w:val="00AB7295"/>
    <w:rsid w:val="00AC1244"/>
    <w:rsid w:val="00AC1405"/>
    <w:rsid w:val="00AC2E05"/>
    <w:rsid w:val="00AC324A"/>
    <w:rsid w:val="00AC3C70"/>
    <w:rsid w:val="00AC440F"/>
    <w:rsid w:val="00AC4798"/>
    <w:rsid w:val="00AC4893"/>
    <w:rsid w:val="00AC5E53"/>
    <w:rsid w:val="00AC739B"/>
    <w:rsid w:val="00AC7A4B"/>
    <w:rsid w:val="00AD07D5"/>
    <w:rsid w:val="00AD0CFD"/>
    <w:rsid w:val="00AD1877"/>
    <w:rsid w:val="00AD21F1"/>
    <w:rsid w:val="00AD2BD3"/>
    <w:rsid w:val="00AD31BF"/>
    <w:rsid w:val="00AD3F42"/>
    <w:rsid w:val="00AD4270"/>
    <w:rsid w:val="00AD4816"/>
    <w:rsid w:val="00AD4B0A"/>
    <w:rsid w:val="00AD5806"/>
    <w:rsid w:val="00AD59F8"/>
    <w:rsid w:val="00AD6654"/>
    <w:rsid w:val="00AD74D3"/>
    <w:rsid w:val="00AD7F47"/>
    <w:rsid w:val="00AE08E4"/>
    <w:rsid w:val="00AE2252"/>
    <w:rsid w:val="00AE266F"/>
    <w:rsid w:val="00AE2B57"/>
    <w:rsid w:val="00AE2CDE"/>
    <w:rsid w:val="00AE2F03"/>
    <w:rsid w:val="00AE31DE"/>
    <w:rsid w:val="00AE368A"/>
    <w:rsid w:val="00AE3E9C"/>
    <w:rsid w:val="00AE4369"/>
    <w:rsid w:val="00AE4AE9"/>
    <w:rsid w:val="00AE542A"/>
    <w:rsid w:val="00AE5A52"/>
    <w:rsid w:val="00AE5D47"/>
    <w:rsid w:val="00AE63B2"/>
    <w:rsid w:val="00AE655D"/>
    <w:rsid w:val="00AE6B86"/>
    <w:rsid w:val="00AE77FE"/>
    <w:rsid w:val="00AF0203"/>
    <w:rsid w:val="00AF187D"/>
    <w:rsid w:val="00AF1DA1"/>
    <w:rsid w:val="00AF3C86"/>
    <w:rsid w:val="00AF429D"/>
    <w:rsid w:val="00AF49AD"/>
    <w:rsid w:val="00AF5E83"/>
    <w:rsid w:val="00AF6E0E"/>
    <w:rsid w:val="00AF6E7B"/>
    <w:rsid w:val="00B009FE"/>
    <w:rsid w:val="00B02599"/>
    <w:rsid w:val="00B025B5"/>
    <w:rsid w:val="00B03BE9"/>
    <w:rsid w:val="00B051CF"/>
    <w:rsid w:val="00B0571A"/>
    <w:rsid w:val="00B0623F"/>
    <w:rsid w:val="00B063C8"/>
    <w:rsid w:val="00B070CA"/>
    <w:rsid w:val="00B105D9"/>
    <w:rsid w:val="00B10BD7"/>
    <w:rsid w:val="00B151C2"/>
    <w:rsid w:val="00B16F38"/>
    <w:rsid w:val="00B17BFE"/>
    <w:rsid w:val="00B201C9"/>
    <w:rsid w:val="00B20394"/>
    <w:rsid w:val="00B222DF"/>
    <w:rsid w:val="00B2445C"/>
    <w:rsid w:val="00B24512"/>
    <w:rsid w:val="00B24994"/>
    <w:rsid w:val="00B24E57"/>
    <w:rsid w:val="00B25431"/>
    <w:rsid w:val="00B25686"/>
    <w:rsid w:val="00B25DF5"/>
    <w:rsid w:val="00B25E7E"/>
    <w:rsid w:val="00B268B8"/>
    <w:rsid w:val="00B26AF6"/>
    <w:rsid w:val="00B30577"/>
    <w:rsid w:val="00B3086C"/>
    <w:rsid w:val="00B31421"/>
    <w:rsid w:val="00B315D8"/>
    <w:rsid w:val="00B31AB6"/>
    <w:rsid w:val="00B32E32"/>
    <w:rsid w:val="00B33800"/>
    <w:rsid w:val="00B34073"/>
    <w:rsid w:val="00B360B9"/>
    <w:rsid w:val="00B360D0"/>
    <w:rsid w:val="00B36911"/>
    <w:rsid w:val="00B3731E"/>
    <w:rsid w:val="00B40964"/>
    <w:rsid w:val="00B430D1"/>
    <w:rsid w:val="00B4453B"/>
    <w:rsid w:val="00B44CB4"/>
    <w:rsid w:val="00B44EAE"/>
    <w:rsid w:val="00B474A9"/>
    <w:rsid w:val="00B47BDD"/>
    <w:rsid w:val="00B51132"/>
    <w:rsid w:val="00B512BF"/>
    <w:rsid w:val="00B5257C"/>
    <w:rsid w:val="00B52842"/>
    <w:rsid w:val="00B52EAB"/>
    <w:rsid w:val="00B535C9"/>
    <w:rsid w:val="00B537F2"/>
    <w:rsid w:val="00B54274"/>
    <w:rsid w:val="00B54E8A"/>
    <w:rsid w:val="00B55107"/>
    <w:rsid w:val="00B5537F"/>
    <w:rsid w:val="00B56A70"/>
    <w:rsid w:val="00B57127"/>
    <w:rsid w:val="00B57A56"/>
    <w:rsid w:val="00B604F9"/>
    <w:rsid w:val="00B60E0C"/>
    <w:rsid w:val="00B61CD1"/>
    <w:rsid w:val="00B6281D"/>
    <w:rsid w:val="00B62AF1"/>
    <w:rsid w:val="00B62CC3"/>
    <w:rsid w:val="00B644D5"/>
    <w:rsid w:val="00B64EC4"/>
    <w:rsid w:val="00B656EB"/>
    <w:rsid w:val="00B6570A"/>
    <w:rsid w:val="00B657CA"/>
    <w:rsid w:val="00B658E2"/>
    <w:rsid w:val="00B67C1F"/>
    <w:rsid w:val="00B700C4"/>
    <w:rsid w:val="00B72940"/>
    <w:rsid w:val="00B72FDA"/>
    <w:rsid w:val="00B7428A"/>
    <w:rsid w:val="00B75347"/>
    <w:rsid w:val="00B7579E"/>
    <w:rsid w:val="00B75835"/>
    <w:rsid w:val="00B75C50"/>
    <w:rsid w:val="00B75CB4"/>
    <w:rsid w:val="00B76139"/>
    <w:rsid w:val="00B76F3C"/>
    <w:rsid w:val="00B77B4D"/>
    <w:rsid w:val="00B77F0E"/>
    <w:rsid w:val="00B826D8"/>
    <w:rsid w:val="00B83C91"/>
    <w:rsid w:val="00B840F1"/>
    <w:rsid w:val="00B841E0"/>
    <w:rsid w:val="00B8555E"/>
    <w:rsid w:val="00B85B4F"/>
    <w:rsid w:val="00B8618F"/>
    <w:rsid w:val="00B86304"/>
    <w:rsid w:val="00B86843"/>
    <w:rsid w:val="00B87ECD"/>
    <w:rsid w:val="00B90735"/>
    <w:rsid w:val="00B91FC8"/>
    <w:rsid w:val="00B922CD"/>
    <w:rsid w:val="00B924DB"/>
    <w:rsid w:val="00B9306B"/>
    <w:rsid w:val="00B932C9"/>
    <w:rsid w:val="00B93972"/>
    <w:rsid w:val="00B94204"/>
    <w:rsid w:val="00B957AC"/>
    <w:rsid w:val="00B96022"/>
    <w:rsid w:val="00B96CAE"/>
    <w:rsid w:val="00B97065"/>
    <w:rsid w:val="00BA0050"/>
    <w:rsid w:val="00BA1673"/>
    <w:rsid w:val="00BA1872"/>
    <w:rsid w:val="00BA20AE"/>
    <w:rsid w:val="00BA2D2D"/>
    <w:rsid w:val="00BA38EB"/>
    <w:rsid w:val="00BA551D"/>
    <w:rsid w:val="00BA5737"/>
    <w:rsid w:val="00BA581D"/>
    <w:rsid w:val="00BB0240"/>
    <w:rsid w:val="00BB04C9"/>
    <w:rsid w:val="00BB0CB6"/>
    <w:rsid w:val="00BB161D"/>
    <w:rsid w:val="00BB2692"/>
    <w:rsid w:val="00BB2CDC"/>
    <w:rsid w:val="00BB4C92"/>
    <w:rsid w:val="00BB5DCA"/>
    <w:rsid w:val="00BB5E04"/>
    <w:rsid w:val="00BB63CE"/>
    <w:rsid w:val="00BB7696"/>
    <w:rsid w:val="00BC02DC"/>
    <w:rsid w:val="00BC15BD"/>
    <w:rsid w:val="00BC1EFB"/>
    <w:rsid w:val="00BC25A0"/>
    <w:rsid w:val="00BC2B8C"/>
    <w:rsid w:val="00BC2F1E"/>
    <w:rsid w:val="00BC449A"/>
    <w:rsid w:val="00BC4BB5"/>
    <w:rsid w:val="00BC62D4"/>
    <w:rsid w:val="00BC73A3"/>
    <w:rsid w:val="00BC75BB"/>
    <w:rsid w:val="00BC7AD1"/>
    <w:rsid w:val="00BD0612"/>
    <w:rsid w:val="00BD140F"/>
    <w:rsid w:val="00BD2587"/>
    <w:rsid w:val="00BD3238"/>
    <w:rsid w:val="00BD44FE"/>
    <w:rsid w:val="00BD58F1"/>
    <w:rsid w:val="00BD5F95"/>
    <w:rsid w:val="00BD6F0F"/>
    <w:rsid w:val="00BD76BF"/>
    <w:rsid w:val="00BE0007"/>
    <w:rsid w:val="00BE02EF"/>
    <w:rsid w:val="00BE0597"/>
    <w:rsid w:val="00BE0E3E"/>
    <w:rsid w:val="00BE3160"/>
    <w:rsid w:val="00BE3AA2"/>
    <w:rsid w:val="00BE459F"/>
    <w:rsid w:val="00BE5AEF"/>
    <w:rsid w:val="00BE6F8E"/>
    <w:rsid w:val="00BE702E"/>
    <w:rsid w:val="00BF0BAD"/>
    <w:rsid w:val="00BF3252"/>
    <w:rsid w:val="00BF5DDA"/>
    <w:rsid w:val="00BF60E2"/>
    <w:rsid w:val="00BF620C"/>
    <w:rsid w:val="00BF77E6"/>
    <w:rsid w:val="00C005E4"/>
    <w:rsid w:val="00C0084A"/>
    <w:rsid w:val="00C021B6"/>
    <w:rsid w:val="00C023EF"/>
    <w:rsid w:val="00C02E41"/>
    <w:rsid w:val="00C035A3"/>
    <w:rsid w:val="00C03F4B"/>
    <w:rsid w:val="00C047CE"/>
    <w:rsid w:val="00C04862"/>
    <w:rsid w:val="00C04A96"/>
    <w:rsid w:val="00C0524A"/>
    <w:rsid w:val="00C05DC1"/>
    <w:rsid w:val="00C065E4"/>
    <w:rsid w:val="00C06B3B"/>
    <w:rsid w:val="00C06DC6"/>
    <w:rsid w:val="00C07A2F"/>
    <w:rsid w:val="00C10479"/>
    <w:rsid w:val="00C11733"/>
    <w:rsid w:val="00C12CB2"/>
    <w:rsid w:val="00C12E31"/>
    <w:rsid w:val="00C13F92"/>
    <w:rsid w:val="00C14721"/>
    <w:rsid w:val="00C163A1"/>
    <w:rsid w:val="00C16982"/>
    <w:rsid w:val="00C20A44"/>
    <w:rsid w:val="00C21984"/>
    <w:rsid w:val="00C21D54"/>
    <w:rsid w:val="00C22A2D"/>
    <w:rsid w:val="00C235A0"/>
    <w:rsid w:val="00C23F5F"/>
    <w:rsid w:val="00C24033"/>
    <w:rsid w:val="00C25908"/>
    <w:rsid w:val="00C314DD"/>
    <w:rsid w:val="00C31D99"/>
    <w:rsid w:val="00C32BFC"/>
    <w:rsid w:val="00C34400"/>
    <w:rsid w:val="00C355D8"/>
    <w:rsid w:val="00C36699"/>
    <w:rsid w:val="00C37F8E"/>
    <w:rsid w:val="00C4256A"/>
    <w:rsid w:val="00C42606"/>
    <w:rsid w:val="00C42CC8"/>
    <w:rsid w:val="00C42D9F"/>
    <w:rsid w:val="00C43431"/>
    <w:rsid w:val="00C43A8F"/>
    <w:rsid w:val="00C44220"/>
    <w:rsid w:val="00C4597D"/>
    <w:rsid w:val="00C45F6C"/>
    <w:rsid w:val="00C46C58"/>
    <w:rsid w:val="00C46DB3"/>
    <w:rsid w:val="00C472ED"/>
    <w:rsid w:val="00C501DF"/>
    <w:rsid w:val="00C5098C"/>
    <w:rsid w:val="00C50E98"/>
    <w:rsid w:val="00C537E9"/>
    <w:rsid w:val="00C5535C"/>
    <w:rsid w:val="00C561A5"/>
    <w:rsid w:val="00C56F2C"/>
    <w:rsid w:val="00C6029A"/>
    <w:rsid w:val="00C60664"/>
    <w:rsid w:val="00C61083"/>
    <w:rsid w:val="00C61A59"/>
    <w:rsid w:val="00C62A3D"/>
    <w:rsid w:val="00C637BD"/>
    <w:rsid w:val="00C63CA4"/>
    <w:rsid w:val="00C64C06"/>
    <w:rsid w:val="00C64C41"/>
    <w:rsid w:val="00C64F99"/>
    <w:rsid w:val="00C66758"/>
    <w:rsid w:val="00C668DF"/>
    <w:rsid w:val="00C66F61"/>
    <w:rsid w:val="00C676FD"/>
    <w:rsid w:val="00C718C7"/>
    <w:rsid w:val="00C7250B"/>
    <w:rsid w:val="00C733AC"/>
    <w:rsid w:val="00C73DA6"/>
    <w:rsid w:val="00C748FD"/>
    <w:rsid w:val="00C75F30"/>
    <w:rsid w:val="00C80A37"/>
    <w:rsid w:val="00C8516D"/>
    <w:rsid w:val="00C86869"/>
    <w:rsid w:val="00C870C8"/>
    <w:rsid w:val="00C90E7B"/>
    <w:rsid w:val="00C923C1"/>
    <w:rsid w:val="00C93500"/>
    <w:rsid w:val="00C93B60"/>
    <w:rsid w:val="00C94156"/>
    <w:rsid w:val="00C94246"/>
    <w:rsid w:val="00C94FFA"/>
    <w:rsid w:val="00C95CCF"/>
    <w:rsid w:val="00C95E93"/>
    <w:rsid w:val="00C95F14"/>
    <w:rsid w:val="00C966E5"/>
    <w:rsid w:val="00C96B69"/>
    <w:rsid w:val="00C96BF5"/>
    <w:rsid w:val="00C97DC9"/>
    <w:rsid w:val="00CA1F44"/>
    <w:rsid w:val="00CA1F99"/>
    <w:rsid w:val="00CA3433"/>
    <w:rsid w:val="00CA351E"/>
    <w:rsid w:val="00CA3691"/>
    <w:rsid w:val="00CA40DF"/>
    <w:rsid w:val="00CA4EF5"/>
    <w:rsid w:val="00CA5B04"/>
    <w:rsid w:val="00CA641E"/>
    <w:rsid w:val="00CB1DA7"/>
    <w:rsid w:val="00CB344B"/>
    <w:rsid w:val="00CB4145"/>
    <w:rsid w:val="00CB556A"/>
    <w:rsid w:val="00CB5873"/>
    <w:rsid w:val="00CB5E7B"/>
    <w:rsid w:val="00CB7BCF"/>
    <w:rsid w:val="00CC2802"/>
    <w:rsid w:val="00CC3BB9"/>
    <w:rsid w:val="00CC5847"/>
    <w:rsid w:val="00CC6032"/>
    <w:rsid w:val="00CC6AAF"/>
    <w:rsid w:val="00CD081E"/>
    <w:rsid w:val="00CD189A"/>
    <w:rsid w:val="00CD1CDC"/>
    <w:rsid w:val="00CD222D"/>
    <w:rsid w:val="00CD284B"/>
    <w:rsid w:val="00CD2D41"/>
    <w:rsid w:val="00CD34CD"/>
    <w:rsid w:val="00CD39FC"/>
    <w:rsid w:val="00CD5D39"/>
    <w:rsid w:val="00CD6B9C"/>
    <w:rsid w:val="00CD6D1A"/>
    <w:rsid w:val="00CD7F01"/>
    <w:rsid w:val="00CE0E71"/>
    <w:rsid w:val="00CE1AF7"/>
    <w:rsid w:val="00CE26C7"/>
    <w:rsid w:val="00CE366C"/>
    <w:rsid w:val="00CE5250"/>
    <w:rsid w:val="00CE66CD"/>
    <w:rsid w:val="00CE7C62"/>
    <w:rsid w:val="00CF21FE"/>
    <w:rsid w:val="00CF2793"/>
    <w:rsid w:val="00CF3404"/>
    <w:rsid w:val="00CF47A0"/>
    <w:rsid w:val="00D02EF2"/>
    <w:rsid w:val="00D03531"/>
    <w:rsid w:val="00D038A8"/>
    <w:rsid w:val="00D0408F"/>
    <w:rsid w:val="00D06875"/>
    <w:rsid w:val="00D06FF9"/>
    <w:rsid w:val="00D1005B"/>
    <w:rsid w:val="00D11105"/>
    <w:rsid w:val="00D11AF8"/>
    <w:rsid w:val="00D12BC1"/>
    <w:rsid w:val="00D13578"/>
    <w:rsid w:val="00D13CD2"/>
    <w:rsid w:val="00D16243"/>
    <w:rsid w:val="00D1656E"/>
    <w:rsid w:val="00D17A04"/>
    <w:rsid w:val="00D20309"/>
    <w:rsid w:val="00D21127"/>
    <w:rsid w:val="00D2252E"/>
    <w:rsid w:val="00D233DB"/>
    <w:rsid w:val="00D23481"/>
    <w:rsid w:val="00D23EE9"/>
    <w:rsid w:val="00D253CA"/>
    <w:rsid w:val="00D26271"/>
    <w:rsid w:val="00D30519"/>
    <w:rsid w:val="00D30B83"/>
    <w:rsid w:val="00D31719"/>
    <w:rsid w:val="00D31ABC"/>
    <w:rsid w:val="00D33081"/>
    <w:rsid w:val="00D338AB"/>
    <w:rsid w:val="00D37B9E"/>
    <w:rsid w:val="00D40D87"/>
    <w:rsid w:val="00D41A59"/>
    <w:rsid w:val="00D432B7"/>
    <w:rsid w:val="00D43562"/>
    <w:rsid w:val="00D439B2"/>
    <w:rsid w:val="00D43F8B"/>
    <w:rsid w:val="00D44275"/>
    <w:rsid w:val="00D4602A"/>
    <w:rsid w:val="00D4637C"/>
    <w:rsid w:val="00D46FC9"/>
    <w:rsid w:val="00D52D77"/>
    <w:rsid w:val="00D53132"/>
    <w:rsid w:val="00D549A5"/>
    <w:rsid w:val="00D54B0E"/>
    <w:rsid w:val="00D55248"/>
    <w:rsid w:val="00D556E7"/>
    <w:rsid w:val="00D55E6F"/>
    <w:rsid w:val="00D560EF"/>
    <w:rsid w:val="00D56CD9"/>
    <w:rsid w:val="00D608DA"/>
    <w:rsid w:val="00D60987"/>
    <w:rsid w:val="00D615CD"/>
    <w:rsid w:val="00D62196"/>
    <w:rsid w:val="00D62721"/>
    <w:rsid w:val="00D62868"/>
    <w:rsid w:val="00D642F4"/>
    <w:rsid w:val="00D64DBC"/>
    <w:rsid w:val="00D65F49"/>
    <w:rsid w:val="00D70622"/>
    <w:rsid w:val="00D709A3"/>
    <w:rsid w:val="00D70AD6"/>
    <w:rsid w:val="00D70C7F"/>
    <w:rsid w:val="00D7163F"/>
    <w:rsid w:val="00D71BC9"/>
    <w:rsid w:val="00D724F1"/>
    <w:rsid w:val="00D72C05"/>
    <w:rsid w:val="00D72F92"/>
    <w:rsid w:val="00D73847"/>
    <w:rsid w:val="00D73B20"/>
    <w:rsid w:val="00D7406C"/>
    <w:rsid w:val="00D74243"/>
    <w:rsid w:val="00D75802"/>
    <w:rsid w:val="00D75E9A"/>
    <w:rsid w:val="00D773A6"/>
    <w:rsid w:val="00D80DF0"/>
    <w:rsid w:val="00D81371"/>
    <w:rsid w:val="00D827F6"/>
    <w:rsid w:val="00D82E46"/>
    <w:rsid w:val="00D8411F"/>
    <w:rsid w:val="00D844E1"/>
    <w:rsid w:val="00D855B6"/>
    <w:rsid w:val="00D855ED"/>
    <w:rsid w:val="00D86891"/>
    <w:rsid w:val="00D873EA"/>
    <w:rsid w:val="00D90916"/>
    <w:rsid w:val="00D90D0A"/>
    <w:rsid w:val="00D90DAC"/>
    <w:rsid w:val="00D91571"/>
    <w:rsid w:val="00D91DB2"/>
    <w:rsid w:val="00D921CE"/>
    <w:rsid w:val="00D92FF1"/>
    <w:rsid w:val="00D931C7"/>
    <w:rsid w:val="00D9352C"/>
    <w:rsid w:val="00D93B9D"/>
    <w:rsid w:val="00D93C8B"/>
    <w:rsid w:val="00D94A8C"/>
    <w:rsid w:val="00D95B6A"/>
    <w:rsid w:val="00D960E5"/>
    <w:rsid w:val="00D96256"/>
    <w:rsid w:val="00D96514"/>
    <w:rsid w:val="00D97E4F"/>
    <w:rsid w:val="00DA0819"/>
    <w:rsid w:val="00DA28DA"/>
    <w:rsid w:val="00DA35BD"/>
    <w:rsid w:val="00DA3713"/>
    <w:rsid w:val="00DA3A24"/>
    <w:rsid w:val="00DA3FBC"/>
    <w:rsid w:val="00DA4FB4"/>
    <w:rsid w:val="00DA5167"/>
    <w:rsid w:val="00DA60C5"/>
    <w:rsid w:val="00DA6F8F"/>
    <w:rsid w:val="00DA7E9C"/>
    <w:rsid w:val="00DB032F"/>
    <w:rsid w:val="00DB0593"/>
    <w:rsid w:val="00DB15A0"/>
    <w:rsid w:val="00DB27AC"/>
    <w:rsid w:val="00DB3047"/>
    <w:rsid w:val="00DB3AAA"/>
    <w:rsid w:val="00DB4733"/>
    <w:rsid w:val="00DB4886"/>
    <w:rsid w:val="00DB49B6"/>
    <w:rsid w:val="00DB55DA"/>
    <w:rsid w:val="00DB60C3"/>
    <w:rsid w:val="00DB6A47"/>
    <w:rsid w:val="00DC2E8F"/>
    <w:rsid w:val="00DC3D3A"/>
    <w:rsid w:val="00DC4924"/>
    <w:rsid w:val="00DC4FE2"/>
    <w:rsid w:val="00DC5938"/>
    <w:rsid w:val="00DC67D9"/>
    <w:rsid w:val="00DC6AB9"/>
    <w:rsid w:val="00DC7574"/>
    <w:rsid w:val="00DD0E8E"/>
    <w:rsid w:val="00DD120E"/>
    <w:rsid w:val="00DD15F7"/>
    <w:rsid w:val="00DD16B0"/>
    <w:rsid w:val="00DD1F5F"/>
    <w:rsid w:val="00DD47B9"/>
    <w:rsid w:val="00DD4CEC"/>
    <w:rsid w:val="00DD5B84"/>
    <w:rsid w:val="00DD6343"/>
    <w:rsid w:val="00DD63E8"/>
    <w:rsid w:val="00DD6C65"/>
    <w:rsid w:val="00DD7D9D"/>
    <w:rsid w:val="00DE0149"/>
    <w:rsid w:val="00DE28C9"/>
    <w:rsid w:val="00DE306B"/>
    <w:rsid w:val="00DE329D"/>
    <w:rsid w:val="00DE498C"/>
    <w:rsid w:val="00DE5170"/>
    <w:rsid w:val="00DE541D"/>
    <w:rsid w:val="00DE649D"/>
    <w:rsid w:val="00DE716C"/>
    <w:rsid w:val="00DE7216"/>
    <w:rsid w:val="00DF02AB"/>
    <w:rsid w:val="00DF08EF"/>
    <w:rsid w:val="00DF1387"/>
    <w:rsid w:val="00DF1FF6"/>
    <w:rsid w:val="00DF200A"/>
    <w:rsid w:val="00DF4E69"/>
    <w:rsid w:val="00DF5118"/>
    <w:rsid w:val="00DF5307"/>
    <w:rsid w:val="00DF76ED"/>
    <w:rsid w:val="00E01A7E"/>
    <w:rsid w:val="00E01CE0"/>
    <w:rsid w:val="00E01F86"/>
    <w:rsid w:val="00E023F1"/>
    <w:rsid w:val="00E02626"/>
    <w:rsid w:val="00E027FA"/>
    <w:rsid w:val="00E02F2A"/>
    <w:rsid w:val="00E047BC"/>
    <w:rsid w:val="00E051C8"/>
    <w:rsid w:val="00E05D03"/>
    <w:rsid w:val="00E05F25"/>
    <w:rsid w:val="00E05F79"/>
    <w:rsid w:val="00E06025"/>
    <w:rsid w:val="00E06324"/>
    <w:rsid w:val="00E068C7"/>
    <w:rsid w:val="00E1076E"/>
    <w:rsid w:val="00E10D4B"/>
    <w:rsid w:val="00E13FA8"/>
    <w:rsid w:val="00E15357"/>
    <w:rsid w:val="00E15AFF"/>
    <w:rsid w:val="00E166D5"/>
    <w:rsid w:val="00E16883"/>
    <w:rsid w:val="00E16A68"/>
    <w:rsid w:val="00E2233C"/>
    <w:rsid w:val="00E22CDB"/>
    <w:rsid w:val="00E22CFD"/>
    <w:rsid w:val="00E2351F"/>
    <w:rsid w:val="00E240AA"/>
    <w:rsid w:val="00E246BE"/>
    <w:rsid w:val="00E24A2E"/>
    <w:rsid w:val="00E24CA9"/>
    <w:rsid w:val="00E24CF3"/>
    <w:rsid w:val="00E261CA"/>
    <w:rsid w:val="00E262B7"/>
    <w:rsid w:val="00E26820"/>
    <w:rsid w:val="00E306A6"/>
    <w:rsid w:val="00E30776"/>
    <w:rsid w:val="00E30BA5"/>
    <w:rsid w:val="00E340FF"/>
    <w:rsid w:val="00E35208"/>
    <w:rsid w:val="00E3522D"/>
    <w:rsid w:val="00E35D25"/>
    <w:rsid w:val="00E35D4A"/>
    <w:rsid w:val="00E360F8"/>
    <w:rsid w:val="00E36DC1"/>
    <w:rsid w:val="00E40ED9"/>
    <w:rsid w:val="00E4188C"/>
    <w:rsid w:val="00E43B36"/>
    <w:rsid w:val="00E43E44"/>
    <w:rsid w:val="00E44189"/>
    <w:rsid w:val="00E44D48"/>
    <w:rsid w:val="00E44DA7"/>
    <w:rsid w:val="00E4648C"/>
    <w:rsid w:val="00E46A2B"/>
    <w:rsid w:val="00E46C63"/>
    <w:rsid w:val="00E46F83"/>
    <w:rsid w:val="00E47790"/>
    <w:rsid w:val="00E50D68"/>
    <w:rsid w:val="00E52086"/>
    <w:rsid w:val="00E52957"/>
    <w:rsid w:val="00E540AC"/>
    <w:rsid w:val="00E55AE0"/>
    <w:rsid w:val="00E56046"/>
    <w:rsid w:val="00E57045"/>
    <w:rsid w:val="00E6084B"/>
    <w:rsid w:val="00E60CE1"/>
    <w:rsid w:val="00E61CFA"/>
    <w:rsid w:val="00E635BB"/>
    <w:rsid w:val="00E639CA"/>
    <w:rsid w:val="00E63D4C"/>
    <w:rsid w:val="00E640A7"/>
    <w:rsid w:val="00E648CE"/>
    <w:rsid w:val="00E64CA0"/>
    <w:rsid w:val="00E65AD1"/>
    <w:rsid w:val="00E66FB3"/>
    <w:rsid w:val="00E70410"/>
    <w:rsid w:val="00E707EA"/>
    <w:rsid w:val="00E70F08"/>
    <w:rsid w:val="00E70F67"/>
    <w:rsid w:val="00E72D1B"/>
    <w:rsid w:val="00E73E6D"/>
    <w:rsid w:val="00E74934"/>
    <w:rsid w:val="00E761AC"/>
    <w:rsid w:val="00E80B92"/>
    <w:rsid w:val="00E8387C"/>
    <w:rsid w:val="00E83FA4"/>
    <w:rsid w:val="00E844F3"/>
    <w:rsid w:val="00E8593D"/>
    <w:rsid w:val="00E85DDF"/>
    <w:rsid w:val="00E90021"/>
    <w:rsid w:val="00E90B90"/>
    <w:rsid w:val="00E91082"/>
    <w:rsid w:val="00E9197D"/>
    <w:rsid w:val="00E91CB1"/>
    <w:rsid w:val="00E91CBB"/>
    <w:rsid w:val="00E93A00"/>
    <w:rsid w:val="00E95952"/>
    <w:rsid w:val="00E96379"/>
    <w:rsid w:val="00E96422"/>
    <w:rsid w:val="00E97957"/>
    <w:rsid w:val="00EA3726"/>
    <w:rsid w:val="00EA4047"/>
    <w:rsid w:val="00EA49AA"/>
    <w:rsid w:val="00EA4D5C"/>
    <w:rsid w:val="00EA5017"/>
    <w:rsid w:val="00EA7BB0"/>
    <w:rsid w:val="00EB06DC"/>
    <w:rsid w:val="00EB0DBC"/>
    <w:rsid w:val="00EB2952"/>
    <w:rsid w:val="00EB3EC7"/>
    <w:rsid w:val="00EB4A11"/>
    <w:rsid w:val="00EB5B17"/>
    <w:rsid w:val="00EB62E2"/>
    <w:rsid w:val="00EB6DC3"/>
    <w:rsid w:val="00EB732A"/>
    <w:rsid w:val="00EB7476"/>
    <w:rsid w:val="00EC08CA"/>
    <w:rsid w:val="00EC24E4"/>
    <w:rsid w:val="00EC2863"/>
    <w:rsid w:val="00EC39A5"/>
    <w:rsid w:val="00EC3D62"/>
    <w:rsid w:val="00EC456A"/>
    <w:rsid w:val="00EC5A90"/>
    <w:rsid w:val="00EC6456"/>
    <w:rsid w:val="00EC735A"/>
    <w:rsid w:val="00ED0902"/>
    <w:rsid w:val="00ED2051"/>
    <w:rsid w:val="00ED2163"/>
    <w:rsid w:val="00ED2F5B"/>
    <w:rsid w:val="00ED3C45"/>
    <w:rsid w:val="00ED40A3"/>
    <w:rsid w:val="00ED427C"/>
    <w:rsid w:val="00ED523A"/>
    <w:rsid w:val="00ED6511"/>
    <w:rsid w:val="00ED69A1"/>
    <w:rsid w:val="00ED6B55"/>
    <w:rsid w:val="00EE014C"/>
    <w:rsid w:val="00EE03B3"/>
    <w:rsid w:val="00EE082F"/>
    <w:rsid w:val="00EE09FD"/>
    <w:rsid w:val="00EE0B57"/>
    <w:rsid w:val="00EE184D"/>
    <w:rsid w:val="00EE3411"/>
    <w:rsid w:val="00EE48F5"/>
    <w:rsid w:val="00EE68B1"/>
    <w:rsid w:val="00EF063C"/>
    <w:rsid w:val="00EF0904"/>
    <w:rsid w:val="00EF1EE0"/>
    <w:rsid w:val="00EF37D0"/>
    <w:rsid w:val="00EF3A3C"/>
    <w:rsid w:val="00EF4776"/>
    <w:rsid w:val="00EF48F6"/>
    <w:rsid w:val="00EF492A"/>
    <w:rsid w:val="00EF508C"/>
    <w:rsid w:val="00EF53ED"/>
    <w:rsid w:val="00F0108C"/>
    <w:rsid w:val="00F019E3"/>
    <w:rsid w:val="00F01A62"/>
    <w:rsid w:val="00F033EC"/>
    <w:rsid w:val="00F03E93"/>
    <w:rsid w:val="00F044AE"/>
    <w:rsid w:val="00F06706"/>
    <w:rsid w:val="00F06BC0"/>
    <w:rsid w:val="00F07DBC"/>
    <w:rsid w:val="00F10DE0"/>
    <w:rsid w:val="00F11CA0"/>
    <w:rsid w:val="00F11CD2"/>
    <w:rsid w:val="00F12142"/>
    <w:rsid w:val="00F121B4"/>
    <w:rsid w:val="00F1303D"/>
    <w:rsid w:val="00F1304E"/>
    <w:rsid w:val="00F13EFC"/>
    <w:rsid w:val="00F152F5"/>
    <w:rsid w:val="00F15885"/>
    <w:rsid w:val="00F15FE9"/>
    <w:rsid w:val="00F166A4"/>
    <w:rsid w:val="00F178E3"/>
    <w:rsid w:val="00F20882"/>
    <w:rsid w:val="00F20ADE"/>
    <w:rsid w:val="00F20E46"/>
    <w:rsid w:val="00F20F94"/>
    <w:rsid w:val="00F2111F"/>
    <w:rsid w:val="00F21E58"/>
    <w:rsid w:val="00F2253B"/>
    <w:rsid w:val="00F2331D"/>
    <w:rsid w:val="00F23AF8"/>
    <w:rsid w:val="00F24423"/>
    <w:rsid w:val="00F247DF"/>
    <w:rsid w:val="00F24960"/>
    <w:rsid w:val="00F30D0C"/>
    <w:rsid w:val="00F3206A"/>
    <w:rsid w:val="00F368B9"/>
    <w:rsid w:val="00F3773D"/>
    <w:rsid w:val="00F37B54"/>
    <w:rsid w:val="00F40005"/>
    <w:rsid w:val="00F40051"/>
    <w:rsid w:val="00F4140E"/>
    <w:rsid w:val="00F4267D"/>
    <w:rsid w:val="00F43649"/>
    <w:rsid w:val="00F43854"/>
    <w:rsid w:val="00F43924"/>
    <w:rsid w:val="00F43A4B"/>
    <w:rsid w:val="00F50D66"/>
    <w:rsid w:val="00F51F0D"/>
    <w:rsid w:val="00F52693"/>
    <w:rsid w:val="00F526B2"/>
    <w:rsid w:val="00F52711"/>
    <w:rsid w:val="00F532FD"/>
    <w:rsid w:val="00F55299"/>
    <w:rsid w:val="00F5554F"/>
    <w:rsid w:val="00F57FA6"/>
    <w:rsid w:val="00F62410"/>
    <w:rsid w:val="00F62772"/>
    <w:rsid w:val="00F638B2"/>
    <w:rsid w:val="00F63ABB"/>
    <w:rsid w:val="00F63B8D"/>
    <w:rsid w:val="00F63D64"/>
    <w:rsid w:val="00F6441C"/>
    <w:rsid w:val="00F645B6"/>
    <w:rsid w:val="00F64735"/>
    <w:rsid w:val="00F653BE"/>
    <w:rsid w:val="00F6588F"/>
    <w:rsid w:val="00F65F16"/>
    <w:rsid w:val="00F664D5"/>
    <w:rsid w:val="00F668D5"/>
    <w:rsid w:val="00F705AB"/>
    <w:rsid w:val="00F7111F"/>
    <w:rsid w:val="00F71FB6"/>
    <w:rsid w:val="00F72FA8"/>
    <w:rsid w:val="00F73768"/>
    <w:rsid w:val="00F7573D"/>
    <w:rsid w:val="00F75EE3"/>
    <w:rsid w:val="00F76277"/>
    <w:rsid w:val="00F766CE"/>
    <w:rsid w:val="00F77172"/>
    <w:rsid w:val="00F80C09"/>
    <w:rsid w:val="00F81DB5"/>
    <w:rsid w:val="00F81FCE"/>
    <w:rsid w:val="00F82FF6"/>
    <w:rsid w:val="00F8388A"/>
    <w:rsid w:val="00F843A0"/>
    <w:rsid w:val="00F8454B"/>
    <w:rsid w:val="00F84AE3"/>
    <w:rsid w:val="00F85406"/>
    <w:rsid w:val="00F85790"/>
    <w:rsid w:val="00F87A20"/>
    <w:rsid w:val="00F90489"/>
    <w:rsid w:val="00F91EAD"/>
    <w:rsid w:val="00F924D8"/>
    <w:rsid w:val="00F93A02"/>
    <w:rsid w:val="00F9473F"/>
    <w:rsid w:val="00F951A6"/>
    <w:rsid w:val="00F9523F"/>
    <w:rsid w:val="00F95D54"/>
    <w:rsid w:val="00F95D9D"/>
    <w:rsid w:val="00F960D4"/>
    <w:rsid w:val="00FA16E2"/>
    <w:rsid w:val="00FA312C"/>
    <w:rsid w:val="00FA3ACF"/>
    <w:rsid w:val="00FA3EF1"/>
    <w:rsid w:val="00FA456E"/>
    <w:rsid w:val="00FA4747"/>
    <w:rsid w:val="00FB0643"/>
    <w:rsid w:val="00FB1994"/>
    <w:rsid w:val="00FB21C8"/>
    <w:rsid w:val="00FB325C"/>
    <w:rsid w:val="00FB49D3"/>
    <w:rsid w:val="00FB5C88"/>
    <w:rsid w:val="00FB5DD5"/>
    <w:rsid w:val="00FB6A80"/>
    <w:rsid w:val="00FC083D"/>
    <w:rsid w:val="00FC22A4"/>
    <w:rsid w:val="00FC233D"/>
    <w:rsid w:val="00FC30E4"/>
    <w:rsid w:val="00FC3120"/>
    <w:rsid w:val="00FC3238"/>
    <w:rsid w:val="00FC3359"/>
    <w:rsid w:val="00FC3974"/>
    <w:rsid w:val="00FC4C13"/>
    <w:rsid w:val="00FC4DDB"/>
    <w:rsid w:val="00FC683C"/>
    <w:rsid w:val="00FC68E4"/>
    <w:rsid w:val="00FC7693"/>
    <w:rsid w:val="00FD0032"/>
    <w:rsid w:val="00FD2E24"/>
    <w:rsid w:val="00FD4552"/>
    <w:rsid w:val="00FD45F7"/>
    <w:rsid w:val="00FD4E29"/>
    <w:rsid w:val="00FD578F"/>
    <w:rsid w:val="00FD5DCE"/>
    <w:rsid w:val="00FD5DF2"/>
    <w:rsid w:val="00FD6099"/>
    <w:rsid w:val="00FD68B7"/>
    <w:rsid w:val="00FD7A43"/>
    <w:rsid w:val="00FD7F9D"/>
    <w:rsid w:val="00FE1D79"/>
    <w:rsid w:val="00FE38B9"/>
    <w:rsid w:val="00FE3EE8"/>
    <w:rsid w:val="00FE41B8"/>
    <w:rsid w:val="00FE6D46"/>
    <w:rsid w:val="00FE77D9"/>
    <w:rsid w:val="00FE7F98"/>
    <w:rsid w:val="00FF1239"/>
    <w:rsid w:val="00FF1441"/>
    <w:rsid w:val="00FF1FC4"/>
    <w:rsid w:val="00FF21F0"/>
    <w:rsid w:val="00FF22D0"/>
    <w:rsid w:val="00FF2F2A"/>
    <w:rsid w:val="00FF3C80"/>
    <w:rsid w:val="00FF3E80"/>
    <w:rsid w:val="00FF47B6"/>
    <w:rsid w:val="00FF49AF"/>
    <w:rsid w:val="00FF4A18"/>
    <w:rsid w:val="00FF5F3E"/>
    <w:rsid w:val="00FF6014"/>
    <w:rsid w:val="00FF61BE"/>
    <w:rsid w:val="00FF687C"/>
    <w:rsid w:val="00FF717E"/>
    <w:rsid w:val="00FF7ED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D329D025-680F-442F-8FD4-1AFA6912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3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paragraph" w:customStyle="1" w:styleId="Normal1">
    <w:name w:val="Normal1"/>
    <w:basedOn w:val="Normal"/>
    <w:rsid w:val="0033401C"/>
    <w:pPr>
      <w:spacing w:before="100" w:beforeAutospacing="1" w:after="100" w:afterAutospacing="1"/>
    </w:pPr>
    <w:rPr>
      <w:rFonts w:eastAsia="Times New Roman"/>
    </w:rPr>
  </w:style>
  <w:style w:type="paragraph" w:customStyle="1" w:styleId="naislab">
    <w:name w:val="naislab"/>
    <w:basedOn w:val="Normal"/>
    <w:uiPriority w:val="99"/>
    <w:rsid w:val="0012495C"/>
    <w:pPr>
      <w:spacing w:before="68" w:after="68"/>
      <w:jc w:val="right"/>
    </w:pPr>
    <w:rPr>
      <w:rFonts w:eastAsia="Times New Roman"/>
      <w:sz w:val="28"/>
    </w:rPr>
  </w:style>
  <w:style w:type="character" w:styleId="Emphasis">
    <w:name w:val="Emphasis"/>
    <w:basedOn w:val="DefaultParagraphFont"/>
    <w:uiPriority w:val="20"/>
    <w:qFormat/>
    <w:rsid w:val="004C34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52D2D-8B6B-4FAA-B1D6-887B8BD13FFF}">
  <ds:schemaRef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0403aeb7-10dd-41a9-8f8e-1fc0ec5546a5"/>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3.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4.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AF03A1-132C-4D4A-8A07-F0EF6A3B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17380</Words>
  <Characters>9907</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Grozījumi MK noteikumos Nr.118</vt:lpstr>
    </vt:vector>
  </TitlesOfParts>
  <Company/>
  <LinksUpToDate>false</LinksUpToDate>
  <CharactersWithSpaces>27233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noteikumos Nr.118</dc:title>
  <dc:subject>Noteikumu projekta anotācija</dc:subject>
  <dc:creator>Agita Fernāte</dc:creator>
  <dc:description>agita.fernate@em.gov.lv, 67013203</dc:description>
  <cp:lastModifiedBy>Agita Fernāte</cp:lastModifiedBy>
  <cp:revision>5</cp:revision>
  <cp:lastPrinted>2017-10-26T10:35:00Z</cp:lastPrinted>
  <dcterms:created xsi:type="dcterms:W3CDTF">2018-03-26T06:23:00Z</dcterms:created>
  <dcterms:modified xsi:type="dcterms:W3CDTF">2018-04-09T06:25:00Z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