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644812" w:rsidRPr="00130F81" w:rsidP="00644812" w14:paraId="6FFE6D1B" w14:textId="7DC41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130F8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</w:t>
      </w:r>
      <w:r w:rsidR="00B4215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rīkojuma </w:t>
      </w:r>
      <w:r w:rsidRPr="00130F8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 “</w:t>
      </w:r>
      <w:r w:rsidRPr="00B42152" w:rsidR="00B4215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Par elektroenerģijas </w:t>
      </w:r>
      <w:r w:rsidR="001A7A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kopējās </w:t>
      </w:r>
      <w:r w:rsidRPr="00B42152" w:rsidR="00B4215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obligātā iepirkuma </w:t>
      </w:r>
      <w:r w:rsidR="001A7A7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un jaudas </w:t>
      </w:r>
      <w:r w:rsidRPr="00B42152" w:rsidR="00B4215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komponentes samazināšanu</w:t>
      </w:r>
      <w:r w:rsidRPr="00130F8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B40AD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130F8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706FBD" w:rsidP="00894C55" w14:paraId="0EAC9DAC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4680A9D1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E5323B" w14:paraId="0F2982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76E42751" w14:textId="77777777" w:rsidTr="00C73964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50FF82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541" w:rsidP="006B5476" w14:paraId="3E113A46" w14:textId="6A478F50">
            <w:pPr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352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projekta “Par elektroenerģijas kopējās obligātā iepirkuma un jaudas komponentes samazināšanu”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- r</w:t>
            </w:r>
            <w:r w:rsidRPr="00C73964" w:rsidR="00C73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īkojuma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</w:t>
            </w:r>
            <w:r w:rsidRPr="00C73964" w:rsidR="006448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mērķis ir </w:t>
            </w:r>
            <w:r w:rsidRPr="00C73964" w:rsidR="00C73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nodrošināt </w:t>
            </w:r>
            <w:r w:rsidR="001833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elektroenerģijas </w:t>
            </w:r>
            <w:r w:rsidR="00C47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kopējās </w:t>
            </w:r>
            <w:r w:rsidRPr="00C73964" w:rsidR="00C73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obligātā iepirkuma </w:t>
            </w:r>
            <w:r w:rsidR="00404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jaudas </w:t>
            </w:r>
            <w:r w:rsidRPr="00C73964" w:rsidR="00C73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komponentes vidējās vērtības samazinājumu </w:t>
            </w:r>
            <w:r w:rsidRPr="00471EDB" w:rsidR="00404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25,79 </w:t>
            </w:r>
            <w:r w:rsidRPr="001F49E4" w:rsidR="00404A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A372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/MWh  līdz 22,68</w:t>
            </w:r>
            <w:r w:rsidRPr="00471EDB" w:rsidR="00404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F49E4" w:rsidR="00404A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71EDB" w:rsidR="00404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/M</w:t>
            </w:r>
            <w:r w:rsidR="00404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Wh, sākot ar 2018.gada 1.jūliju, </w:t>
            </w:r>
            <w:r w:rsidRPr="00C73964" w:rsidR="00C73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nodrošinot elektroenerģijas </w:t>
            </w:r>
            <w:r w:rsidR="000660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izmaksu</w:t>
            </w:r>
            <w:r w:rsidRPr="00C73964" w:rsidR="00C73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samazinājumu visiem </w:t>
            </w:r>
            <w:r w:rsidR="00C73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elektroenerģijas </w:t>
            </w:r>
            <w:r w:rsidRPr="00C73964" w:rsidR="00C73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galapatērētājiem. </w:t>
            </w:r>
            <w:r w:rsidR="00404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Risinājums mērķa sasniegšanai nodrošina</w:t>
            </w:r>
            <w:r w:rsidRPr="00C73964" w:rsidR="00404A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neitrālu ietekmi uz visp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ārējās valdības budžeta bilanci.</w:t>
            </w:r>
          </w:p>
          <w:p w:rsidR="00E5323B" w:rsidRPr="00330E14" w:rsidP="00252541" w14:paraId="7545192F" w14:textId="31C3C2B4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C73964" w:rsidR="006448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stājas spēkā </w:t>
            </w:r>
            <w:r w:rsidRPr="00C739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parakstīšanas brīdī.</w:t>
            </w:r>
          </w:p>
        </w:tc>
      </w:tr>
    </w:tbl>
    <w:p w:rsidR="00E5323B" w:rsidRPr="00706FBD" w:rsidP="00E5323B" w14:paraId="29C54963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74AD11CE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E5323B" w14:paraId="109D11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14:paraId="449FA7F4" w14:textId="77777777" w:rsidTr="002A3A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2E91087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0CFDB3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2A3AFF" w14:paraId="7BDF67D7" w14:textId="64403A3A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</w:t>
            </w:r>
            <w:r w:rsidRPr="003E56D2" w:rsidR="00AA5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izstrādāts pēc ministru prezidenta biedra, ekonomikas ministra iniciatīvas.</w:t>
            </w:r>
            <w:r w:rsidRPr="00130F81" w:rsidR="00AA59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04FF4BAE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3BFB176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2ABE9D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0F" w:rsidP="00DD1F0F" w14:paraId="684646B5" w14:textId="02AC7354">
            <w:pPr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E74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 uz 2017.gada 22.septembra Ministru kabineta 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īkojuma</w:t>
            </w:r>
            <w:r w:rsidRPr="004E74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Nr.530 “Par konceptuālo ziņoju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 “</w:t>
            </w:r>
            <w:r w:rsidRPr="004E74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Kompleksi pasākumi elektroenerģijas tirgus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attīstībai”</w:t>
            </w:r>
            <w:r w:rsidRPr="004E74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2.1.apakšpunktu un</w:t>
            </w:r>
            <w:r w:rsidRPr="004E74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Sabiedrisko pakalpojumu regulēšanas komisijas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Regulators) </w:t>
            </w:r>
            <w:r w:rsidRPr="004E74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2017.gada 23.novembra lēmumu Nr.139 “Par obligātā iepirkuma un jaudas komponentēm no 2018.gada 1.janvāra”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Regulatora lēmums Nr. 139) pašlaik noteiktā</w:t>
            </w:r>
            <w:r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645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elektroenerģijas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96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kopējās </w:t>
            </w:r>
            <w:r w:rsidRPr="00645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obligā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iepirkuma un jaudas komponentes vidējā</w:t>
            </w:r>
            <w:r w:rsidRPr="00645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vērtī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ba</w:t>
            </w:r>
            <w:r w:rsidRPr="00645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25,79 </w:t>
            </w:r>
            <w:r w:rsidRPr="00A94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45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/MWh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DD1F0F" w:rsidP="003E3580" w14:paraId="5A902E1F" w14:textId="0264A521">
            <w:pPr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Elektroenerģijas augstās </w:t>
            </w:r>
            <w:r w:rsidR="00A16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Latvijā, ko veido ar</w:t>
            </w:r>
            <w:r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 obligātā iepirkuma un jaudas kompone</w:t>
            </w:r>
            <w:r w:rsidR="00EC45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nt</w:t>
            </w:r>
            <w:r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atstāj negatīvu ietekmi uz mājsaimniecību izdevumiem un tautsaimniecību kopumā</w:t>
            </w:r>
            <w:r w:rsidR="001478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D9534C" w:rsidP="00D9534C" w14:paraId="6A1F9317" w14:textId="2E20053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E74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2017.gadā hidroelektrostaciju darbībai labvēlīgie laikapstākļi sekmēja “Latvenergo” koncerna peļņas pieaugumu, tādējādi ieņēmumus no dividendēm iespējams izmantot obligātā iepirkuma komponentes vidējās vērtības samazināšanai.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C96008" w:rsidP="007E2359" w14:paraId="61D162B5" w14:textId="3003E62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E2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Izmantojot </w:t>
            </w:r>
            <w:r w:rsidR="009406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7E2359" w:rsidR="00A948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E2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“Latvenergo” </w:t>
            </w:r>
            <w:r w:rsidRPr="007E2359" w:rsidR="00A948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virsplāna dividendes</w:t>
            </w:r>
            <w:r w:rsidR="000B7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</w:t>
            </w:r>
            <w:r w:rsidRPr="007E2359" w:rsidR="000B7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2017.</w:t>
            </w:r>
            <w:r w:rsidR="000B7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pārkata gadu</w:t>
            </w:r>
            <w:r w:rsidRPr="007E2359" w:rsidR="00A948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iespējams</w:t>
            </w:r>
            <w:r w:rsidRPr="007E2359" w:rsidR="007E2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nodrošināt </w:t>
            </w:r>
            <w:r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kopējās elektroenerģijas </w:t>
            </w:r>
            <w:r w:rsidRPr="006450D6"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obligā</w:t>
            </w:r>
            <w:r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iepirkuma un jaudas komponentes</w:t>
            </w:r>
            <w:r w:rsidRPr="007E2359" w:rsidR="007E2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vidējā</w:t>
            </w:r>
            <w:r w:rsidR="00A04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7E2359" w:rsidR="007E2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vērtības samazinājumu ar neitrālu ietekmi uz vispārējās valdības budžeta bilanci, tādējādi nodrošinot </w:t>
            </w:r>
            <w:r w:rsidRPr="00471EDB" w:rsidR="007E2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elektroenerģijas </w:t>
            </w:r>
            <w:r w:rsidR="00A16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izmaksu</w:t>
            </w:r>
            <w:r w:rsidRPr="00471EDB" w:rsidR="007E2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samazinājumu visiem galapatērētājiem.</w:t>
            </w:r>
            <w:r w:rsidRPr="00471EDB" w:rsidR="004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Paredzēts, ka ar </w:t>
            </w:r>
            <w:r w:rsidR="00B700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AC7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īkojuma</w:t>
            </w:r>
            <w:r w:rsidRPr="00471EDB" w:rsidR="004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projektā ietverto risinājumu būs iespējams samazināt pašlaik noteikto </w:t>
            </w:r>
            <w:r w:rsidR="00917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elektroenerģijas </w:t>
            </w:r>
            <w:r w:rsidR="00C963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kopējās </w:t>
            </w:r>
            <w:r w:rsidRPr="006450D6" w:rsidR="00917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obligā</w:t>
            </w:r>
            <w:r w:rsidR="00917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iepirkuma un jaudas komponentes vidējo vērtību </w:t>
            </w:r>
            <w:r w:rsidRPr="00471EDB" w:rsidR="004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25,79 </w:t>
            </w:r>
            <w:r w:rsidRPr="001F49E4" w:rsidR="00471E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A372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/MWh  līdz 22,68</w:t>
            </w:r>
            <w:r w:rsidRPr="00471EDB" w:rsidR="004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F49E4" w:rsidR="00471E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71EDB" w:rsidR="00471E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/MWh, sākot ar 2018.gada 1.jūliju.</w:t>
            </w:r>
          </w:p>
          <w:p w:rsidR="00C96008" w:rsidRPr="00FD3847" w:rsidP="00C96008" w14:paraId="40F8D244" w14:textId="7777777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Ņemot vērā minēto, lai periodā no 2018.gada 1.jūlija nodrošinātu elektroenerģijas kopējās obligātā iepirkuma un jaudas komponentes vidējo vērtību 22,68 </w:t>
            </w:r>
            <w:r w:rsidRPr="00FD38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r w:rsidRPr="00FD38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/MWh līmenī, veicamas šādas darbības:</w:t>
            </w:r>
          </w:p>
          <w:p w:rsidR="00BB60DD" w:rsidP="00C96008" w14:paraId="2CBDAA86" w14:textId="23F3B4B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 AS “Latvenergo” virspeļņas dividendes par 2017.</w:t>
            </w:r>
            <w:r w:rsidRPr="003E4DF3" w:rsidR="004F4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pārskata gadu ieskaitāmas 62,20 milj. </w:t>
            </w:r>
            <w:r w:rsidRPr="003E4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valsts budžetā 2018.gadā. No šīs summas </w:t>
            </w:r>
            <w:r w:rsidRPr="003E4DF3" w:rsidR="003024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10,5 </w:t>
            </w:r>
            <w:r w:rsidRP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Pr="003E4D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E4DF3" w:rsidR="00494C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attiecināmi uz</w:t>
            </w:r>
            <w:r w:rsidRP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elektroenerģijas kopējās obligātā iepirkuma un jaudas komponentes vidējās vērtības mazinā</w:t>
            </w:r>
            <w:r w:rsidRPr="003E4DF3" w:rsidR="00494C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šanu</w:t>
            </w:r>
            <w:r w:rsidRP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2018.gada otrajā pusē</w:t>
            </w:r>
            <w:r w:rsidRPr="003E4DF3" w:rsidR="006C22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(sākot ar 1. jūliju)</w:t>
            </w:r>
            <w:r w:rsidRPr="003E4DF3" w:rsidR="001A0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līdz ar to </w:t>
            </w:r>
            <w:r w:rsidRPr="003E4DF3" w:rsidR="00E03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papildus līdz šim plānotajam saskaņā ar 2017.gada 22.septembra Ministru kabineta r</w:t>
            </w:r>
            <w:r w:rsidRPr="00CA5CE2" w:rsidR="00E03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īkojumu Nr.530 “Par konceptuālo ziņojumu “Kompleksi pasākumi elektroenerģijas tirgus </w:t>
            </w:r>
            <w:r w:rsidRPr="00090A05" w:rsidR="00E03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attīstībai”” </w:t>
            </w:r>
            <w:r w:rsidR="008232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šie 10,5 milj. </w:t>
            </w:r>
            <w:r w:rsidRPr="00823299" w:rsidR="00823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8232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90A05" w:rsidR="001A0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paredzami </w:t>
            </w:r>
            <w:r w:rsidRPr="00090A05" w:rsidR="00CA5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 gad</w:t>
            </w:r>
            <w:r w:rsidR="00CA5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CA5CE2" w:rsidR="00E03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Ekonomikas ministrijas </w:t>
            </w:r>
            <w:r w:rsidRPr="00090A05" w:rsidR="00E03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 apakšprogrammā 29.02.00 “Elektroenerģijas lietotāju atbalsts”.</w:t>
            </w:r>
          </w:p>
          <w:p w:rsidR="00F14FA0" w:rsidP="00C96008" w14:paraId="620A582C" w14:textId="123E59E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267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B26765" w:rsidR="00C96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avukārt 51,7 milj. </w:t>
            </w:r>
            <w:r w:rsidRPr="00B26765" w:rsidR="00C9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26765" w:rsidR="00C96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267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būtu </w:t>
            </w:r>
            <w:r w:rsidRPr="00B26765" w:rsidR="00C96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attiecināmi uz saskaņā ar </w:t>
            </w:r>
            <w:r w:rsidR="00565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2017. gada 21. novembra Ministru kabineta rīkojumu</w:t>
            </w:r>
            <w:r w:rsidRPr="004E742A" w:rsidR="00565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Nr.685 “Par garantētās maksas par koģenerācijas elektrostacijā uzstādīto elektrisko jaudu saistību samazināšanu </w:t>
            </w:r>
            <w:r w:rsidR="00565C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 “Latvenergo”” (turpmāk – rīkojums Nr. 685) </w:t>
            </w:r>
            <w:r w:rsidRPr="00B267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izmaksātā</w:t>
            </w:r>
            <w:r w:rsidRPr="00B26765" w:rsidR="00C96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avansa, kuram ir noteikta nākotnes nosacījumu izpilde, pārvēršanu par beznosacījuma kompensāciju AS “Latvenergo” (proporcionāli samazinot avansu par laika posmu no 2019.gada 1.janvāra līdz 2028.gada 23.septembrim).</w:t>
            </w:r>
          </w:p>
          <w:p w:rsidR="00C96008" w:rsidP="00C96008" w14:paraId="24A7530C" w14:textId="5978F93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to varētu īstenot paralēli šim rīkojuma projektam apstiprināšanai Ministru kabinetā tiek </w:t>
            </w:r>
            <w:r w:rsidR="005A28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sniegts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grozījums</w:t>
            </w:r>
            <w:r w:rsidR="00C977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A174F" w:rsidR="00C97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 gada 10. marta noteikumos Nr.221 “Noteikumi par elektroenerģijas ražošanu un cenu noteikšanu, ražojot elektroenerģiju koģenerācijā</w:t>
            </w:r>
            <w:r w:rsidR="00C97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2A6C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paredzēs, </w:t>
            </w:r>
            <w:r w:rsidR="002A6C09">
              <w:rPr>
                <w:rFonts w:ascii="Times New Roman" w:hAnsi="Times New Roman" w:cs="Times New Roman"/>
                <w:sz w:val="24"/>
                <w:szCs w:val="24"/>
              </w:rPr>
              <w:t xml:space="preserve">ka balstoties uz tā komersanta iesniegumu, </w:t>
            </w:r>
            <w:r w:rsidR="002A6C09">
              <w:rPr>
                <w:rFonts w:ascii="Times New Roman" w:hAnsi="Times New Roman" w:cs="Times New Roman"/>
                <w:sz w:val="24"/>
                <w:szCs w:val="24"/>
              </w:rPr>
              <w:t>kurš ir izmantojis Noteikumu Nr.221 IV</w:t>
            </w:r>
            <w:r w:rsidR="002A6C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A6C09">
              <w:rPr>
                <w:rFonts w:ascii="Times New Roman" w:hAnsi="Times New Roman" w:cs="Times New Roman"/>
                <w:sz w:val="24"/>
                <w:szCs w:val="24"/>
              </w:rPr>
              <w:t xml:space="preserve">. nodaļā noteiktās tiesības un par kuru izmantošanu ir pieņemts administratīvais akts, Ministru kabinets var lemt par Noteikumu Nr.221 </w:t>
            </w:r>
            <w:r w:rsidR="002A6C09">
              <w:rPr>
                <w:rFonts w:ascii="Times New Roman" w:hAnsi="Times New Roman" w:eastAsiaTheme="minorEastAsia" w:cs="Times New Roman"/>
                <w:sz w:val="24"/>
                <w:szCs w:val="24"/>
              </w:rPr>
              <w:t>56.</w:t>
            </w:r>
            <w:r w:rsidR="002A6C09">
              <w:rPr>
                <w:rFonts w:ascii="Times New Roman" w:hAnsi="Times New Roman" w:eastAsiaTheme="minorEastAsia" w:cs="Times New Roman"/>
                <w:sz w:val="24"/>
                <w:szCs w:val="24"/>
                <w:vertAlign w:val="superscript"/>
              </w:rPr>
              <w:t>23</w:t>
            </w:r>
            <w:r w:rsidR="002A6C09">
              <w:rPr>
                <w:rFonts w:ascii="Times New Roman" w:hAnsi="Times New Roman" w:eastAsiaTheme="minorEastAsia" w:cs="Times New Roman"/>
                <w:sz w:val="24"/>
                <w:szCs w:val="24"/>
              </w:rPr>
              <w:t xml:space="preserve"> punktā minētā avansa saistību izpildes pārskatīšanu attiecībā uz atlikušās avansa daļas izmaksu pa gadiem. </w:t>
            </w:r>
            <w:r w:rsidR="00CB4A91">
              <w:rPr>
                <w:rFonts w:ascii="Times New Roman" w:hAnsi="Times New Roman" w:eastAsiaTheme="minorEastAsia" w:cs="Times New Roman"/>
                <w:sz w:val="24"/>
                <w:szCs w:val="24"/>
              </w:rPr>
              <w:t>Uz tā pamata</w:t>
            </w:r>
            <w:r w:rsidR="00356AC2">
              <w:rPr>
                <w:rFonts w:ascii="Times New Roman" w:hAnsi="Times New Roman" w:eastAsiaTheme="minorEastAsia" w:cs="Times New Roman"/>
                <w:sz w:val="24"/>
                <w:szCs w:val="24"/>
              </w:rPr>
              <w:t xml:space="preserve"> Ministru kabinets lems</w:t>
            </w:r>
            <w:r w:rsidR="002A6C09">
              <w:rPr>
                <w:rFonts w:ascii="Times New Roman" w:hAnsi="Times New Roman" w:eastAsiaTheme="minorEastAsia" w:cs="Times New Roman"/>
                <w:sz w:val="24"/>
                <w:szCs w:val="24"/>
              </w:rPr>
              <w:t xml:space="preserve"> par </w:t>
            </w:r>
            <w:r w:rsidRPr="00356AC2" w:rsidR="003A5AB0">
              <w:rPr>
                <w:rFonts w:ascii="Times New Roman" w:hAnsi="Times New Roman" w:eastAsiaTheme="minorEastAsia" w:cs="Times New Roman"/>
                <w:sz w:val="24"/>
                <w:szCs w:val="24"/>
              </w:rPr>
              <w:t xml:space="preserve">attiecīgiem </w:t>
            </w:r>
            <w:r w:rsidRPr="00356AC2" w:rsidR="002A6C09">
              <w:rPr>
                <w:rFonts w:ascii="Times New Roman" w:hAnsi="Times New Roman" w:eastAsiaTheme="minorEastAsia" w:cs="Times New Roman"/>
                <w:sz w:val="24"/>
                <w:szCs w:val="24"/>
              </w:rPr>
              <w:t>grozījumiem sākotnējā administratīvajā aktā</w:t>
            </w:r>
            <w:r w:rsidR="003A5AB0">
              <w:rPr>
                <w:rFonts w:ascii="Times New Roman" w:hAnsi="Times New Roman" w:eastAsiaTheme="minorEastAsia" w:cs="Times New Roman"/>
                <w:sz w:val="24"/>
                <w:szCs w:val="24"/>
              </w:rPr>
              <w:t xml:space="preserve"> (</w:t>
            </w:r>
            <w:r w:rsidR="003A5A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rīkojumā</w:t>
            </w:r>
            <w:r w:rsidRPr="004E742A" w:rsidR="00F749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Nr.685</w:t>
            </w:r>
            <w:r w:rsidR="003A5A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:rsidR="00C96008" w:rsidP="00C96008" w14:paraId="48A6F77F" w14:textId="64585D7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Praktiski tas nozīmē</w:t>
            </w:r>
            <w:r w:rsidR="00AB4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2C61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valsts, saņemot 51,7 </w:t>
            </w:r>
            <w:r w:rsidR="00AB49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milj. </w:t>
            </w:r>
            <w:r w:rsidRPr="00B22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AS “Latvenergo” virspeļņ</w:t>
            </w:r>
            <w:r w:rsidR="002C61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dividendes 2018.gadā, atteiktos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AS “Latvenergo” </w:t>
            </w:r>
            <w:r w:rsidRPr="00700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noteikto saistību izpild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Pr="00700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valsts atbalsta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perioda beigām identiski 51,7 milj. </w:t>
            </w:r>
            <w:r w:rsidRPr="00B220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apmērā, vienlaik</w:t>
            </w:r>
            <w:r w:rsidR="001B6D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 AS </w:t>
            </w:r>
            <w:r w:rsidR="002C61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“Latvenergo” saglabāsies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pienākums turpināt </w:t>
            </w:r>
            <w:r w:rsidRPr="00700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Noteikumos Nr.221 noteikto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pienākumu</w:t>
            </w:r>
            <w:r w:rsidRPr="00700E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izpild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i.</w:t>
            </w:r>
            <w:r w:rsidR="001E15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C96008" w:rsidP="00C96008" w14:paraId="48719C00" w14:textId="7D2A75B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C4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</w:t>
            </w:r>
            <w:r w:rsidR="008C4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</w:t>
            </w:r>
            <w:r w:rsidRPr="008C4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8C4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C4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samazināti valsts budžeta ilgtermiņa izdevumi</w:t>
            </w:r>
            <w:r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2"/>
            </w:r>
            <w:r w:rsidR="008C4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- par </w:t>
            </w:r>
            <w:r w:rsidR="004D1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5,3</w:t>
            </w:r>
            <w:r w:rsidR="006A77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="004D1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milj. </w:t>
            </w:r>
            <w:r w:rsidR="004D1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euro </w:t>
            </w:r>
            <w:r w:rsidR="004D1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laika posmā no 2019. gada līdz 2027. gadam (ieskaitot) un par 3,88 milj. </w:t>
            </w:r>
            <w:r w:rsidR="004D1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4D16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2028. gadā</w:t>
            </w:r>
            <w:r w:rsidRPr="008C4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A0441F" w:rsidP="00B65218" w14:paraId="0A295B80" w14:textId="46D0FAF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 </w:t>
            </w:r>
            <w:r w:rsidR="00C96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“Latvenergo” virspeļņas dividendes</w:t>
            </w:r>
            <w:r w:rsidR="007B68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15,8 </w:t>
            </w:r>
            <w:r w:rsidR="005947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milj. </w:t>
            </w:r>
            <w:r w:rsidRPr="006E7C1A" w:rsidR="00C960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C96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pārnesamas uz 2018.pārskata gadu un ieskaitāmas valsts budžetā 2019.gadā elektroenerģijas </w:t>
            </w:r>
            <w:r w:rsidRPr="00B65218" w:rsidR="00C96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kopējās obligātā iepirkuma un jaudas komponentes vidējās vērtības mazināšanai</w:t>
            </w:r>
            <w:r w:rsidRPr="00B65218" w:rsidR="001004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</w:t>
            </w:r>
            <w:r w:rsidRPr="00A044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tbilstoši Eiropas Kontu sistēmas metodoloģijai lēmumu par dividenžu pārnešanu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pieņems</w:t>
            </w:r>
            <w:r w:rsidR="00247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akcionāru sapulcē</w:t>
            </w:r>
            <w:r w:rsidRPr="00A044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novirzot šos līdzekļus </w:t>
            </w:r>
            <w:r w:rsidR="002471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šim mērķim paredzētā</w:t>
            </w:r>
            <w:r w:rsidRPr="00A044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rezervē.</w:t>
            </w:r>
            <w:r w:rsidRPr="004C2C4C">
              <w:t xml:space="preserve"> </w:t>
            </w:r>
          </w:p>
          <w:p w:rsidR="00C96008" w:rsidP="00B65218" w14:paraId="497A962C" w14:textId="66F5A80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par attiecīgo summu </w:t>
            </w:r>
            <w:r w:rsidR="00377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(15,8 milj. </w:t>
            </w:r>
            <w:r w:rsidR="00377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377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Pr="00B65218" w:rsid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palielināms </w:t>
            </w:r>
            <w:r w:rsidR="00C02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budžeta finansējums</w:t>
            </w:r>
            <w:r w:rsidRPr="00B65218" w:rsid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</w:t>
            </w:r>
            <w:r w:rsidR="003E4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Pr="00B65218" w:rsid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.gadā </w:t>
            </w:r>
            <w:r w:rsidRP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elektroenerģijas kopējās obligātā iepirkuma un jaudas komponentes vidējās vērtības </w:t>
            </w:r>
            <w:r w:rsidRPr="00B65218" w:rsid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vajadzībām salīdzinājumā ar 2017.gada 22.septembra Ministru kabineta rīkojumā Nr.530 “Par konceptuālo ziņojumu “Kompleksi pasākumi elektroenerģijas tirgus attīstībai”</w:t>
            </w:r>
            <w:r w:rsidRPr="00A0441F" w:rsid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noteikto</w:t>
            </w:r>
            <w:r w:rsidRPr="00B65218" w:rsidR="00B652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C96008" w:rsidP="00C96008" w14:paraId="5648FFB8" w14:textId="56AE842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3) AS “Latvenergo” 2019.pārskata gada dividendes un uzņēmuma ienākuma nodoklis 9,8 milj.</w:t>
            </w:r>
            <w:r w:rsidR="0009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6E7C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6E7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ieskaitāmi valsts budžetā 2020.gadā, novirzāmi elektroenerģijas kopējās obligātā iepirkuma un jaudas komponentes </w:t>
            </w:r>
            <w:r w:rsidRPr="00724A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jās vērtības mazināšanai</w:t>
            </w:r>
            <w:r w:rsidR="00A369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2021.gadā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06606B" w:rsidRPr="004E742A" w:rsidP="00BC6241" w14:paraId="1A81EA1E" w14:textId="42A1F85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Būtiski, ka rīkojuma projekts paredz fiskāli neitrālu risinājumu. Vienlaikus, pastāv iespēja, ka </w:t>
            </w:r>
            <w:r w:rsidR="00F15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pēc plānoto </w:t>
            </w:r>
            <w:r w:rsidR="00F15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grozījumu veikšanas rīkojumā Nr.685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Statistikas birojs varētu neatzīt jau faktiski veiktā avansa maksājuma plānoto samazināšanu. Tādā gadījumā elektroenerģijas kopējās </w:t>
            </w:r>
            <w:r w:rsidRPr="00645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obligā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 iepirkuma un jaudas komponentes vidējās</w:t>
            </w:r>
            <w:r w:rsidRPr="006450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vērtī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bas noturēšanai 22,68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63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/</w:t>
            </w:r>
            <w:r w:rsidRPr="00263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MWh līmenī būs jārod papildus līdzekļi </w:t>
            </w:r>
            <w:r w:rsidRPr="00092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budžetā </w:t>
            </w:r>
            <w:r w:rsidRPr="002632A9" w:rsidR="00263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5,3</w:t>
            </w:r>
            <w:r w:rsidR="006A77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Pr="00263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milj. </w:t>
            </w:r>
            <w:r w:rsidRPr="00263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63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632A9" w:rsidR="002012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 gadā un 2020. gadā</w:t>
            </w:r>
            <w:r w:rsidRPr="00263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14:paraId="2C2654D5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510710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170A30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AFF" w:rsidRPr="00706FBD" w:rsidP="002A3AFF" w14:paraId="7CE9B0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30F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14:paraId="5B8F8054" w14:textId="77777777" w:rsidTr="002A3AF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559139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3F6855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3AFF" w:rsidRPr="00706FBD" w:rsidP="002A3AFF" w14:paraId="20A100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706FBD" w:rsidP="00E5323B" w14:paraId="2B3AFE25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280F8F35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06FBD" w:rsidP="00E5323B" w14:paraId="11348C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22126D6D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77F5AA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26A1F1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BB1" w:rsidP="00835BB1" w14:paraId="62AC3A75" w14:textId="4C5E8BB2">
            <w:pPr>
              <w:pStyle w:val="Default"/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F32FB">
              <w:rPr>
                <w:rFonts w:ascii="Times New Roman" w:hAnsi="Times New Roman"/>
                <w:color w:val="000000" w:themeColor="text1"/>
              </w:rPr>
              <w:t xml:space="preserve">Ražotāji, kas </w:t>
            </w:r>
            <w:r>
              <w:rPr>
                <w:rFonts w:ascii="Times New Roman" w:hAnsi="Times New Roman"/>
                <w:color w:val="000000" w:themeColor="text1"/>
              </w:rPr>
              <w:t xml:space="preserve">saskaņā ar Noteikumu Nr.221 </w:t>
            </w:r>
            <w:r w:rsidRPr="00870824">
              <w:rPr>
                <w:rFonts w:ascii="Times New Roman" w:hAnsi="Times New Roman" w:cs="Times New Roman"/>
              </w:rPr>
              <w:t>56.</w:t>
            </w:r>
            <w:r w:rsidRPr="00870824">
              <w:rPr>
                <w:rFonts w:ascii="Times New Roman" w:hAnsi="Times New Roman" w:cs="Times New Roman"/>
                <w:vertAlign w:val="superscript"/>
              </w:rPr>
              <w:t>22</w:t>
            </w:r>
            <w:r w:rsidRPr="00A1668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punktu </w:t>
            </w:r>
            <w:r w:rsidRPr="00EF32FB">
              <w:rPr>
                <w:rFonts w:ascii="Times New Roman" w:hAnsi="Times New Roman"/>
                <w:color w:val="000000" w:themeColor="text1"/>
              </w:rPr>
              <w:t>izmanto tiesības valsts garantētās maksas par koģenerācijas elektrostacijā uzstādīto elektrisko jaudu saistību samazināšanai, saņemot vienreizēju diskontētu maksājumu.</w:t>
            </w:r>
          </w:p>
          <w:p w:rsidR="00E5323B" w:rsidRPr="00706FBD" w:rsidP="00B31F31" w14:paraId="2DC9641D" w14:textId="29AD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A0E09">
              <w:rPr>
                <w:rFonts w:ascii="Times New Roman" w:hAnsi="Times New Roman"/>
                <w:color w:val="000000" w:themeColor="text1"/>
                <w:sz w:val="24"/>
              </w:rPr>
              <w:t>Visi elektroenerģijas galapatērētāji, ņemot vērā</w:t>
            </w:r>
            <w:r w:rsidRPr="00AA0E09" w:rsidR="00AA0E09">
              <w:rPr>
                <w:rFonts w:ascii="Times New Roman" w:hAnsi="Times New Roman"/>
                <w:color w:val="000000" w:themeColor="text1"/>
                <w:sz w:val="24"/>
              </w:rPr>
              <w:t xml:space="preserve"> iesp</w:t>
            </w:r>
            <w:r w:rsidR="001238D4">
              <w:rPr>
                <w:rFonts w:ascii="Times New Roman" w:hAnsi="Times New Roman"/>
                <w:color w:val="000000" w:themeColor="text1"/>
                <w:sz w:val="24"/>
              </w:rPr>
              <w:t>ēju veikt</w:t>
            </w:r>
            <w:r w:rsidRPr="00AA0E09" w:rsidR="00AA0E09">
              <w:rPr>
                <w:rFonts w:ascii="Times New Roman" w:hAnsi="Times New Roman"/>
                <w:color w:val="000000" w:themeColor="text1"/>
                <w:sz w:val="24"/>
              </w:rPr>
              <w:t xml:space="preserve"> obligātās iepirkuma komponentes</w:t>
            </w:r>
            <w:r w:rsidRPr="00AA0E09">
              <w:rPr>
                <w:rFonts w:ascii="Times New Roman" w:hAnsi="Times New Roman"/>
                <w:color w:val="000000" w:themeColor="text1"/>
                <w:sz w:val="24"/>
              </w:rPr>
              <w:t xml:space="preserve"> izmaksu samazinājumu.</w:t>
            </w:r>
          </w:p>
        </w:tc>
      </w:tr>
      <w:tr w14:paraId="0B6EB3FC" w14:textId="77777777" w:rsidTr="00AA590A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37FCAD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739D30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47B" w:rsidRPr="005908D5" w:rsidP="001238D4" w14:paraId="424C7D46" w14:textId="078E0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Īstenojot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projektā iekļauto risinājumu elektroenerģijas obligātā iepirkuma izmaksu mazināšanai, samazināsies kopējas elektroenerģijas izmaksas galapatērētājiem, tādējādi nodrošinot mājsaimniecību un uzņēmēju izdevumu samazināšanos un </w:t>
            </w:r>
            <w:r w:rsidR="00AF15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veicinot uzņēmumu, īpaši energoietilpīgu uzņēmu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mu, starptautisko konkurētspēju, kā arī samazināsies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budžeta izdevumi ilgtermiņā.</w:t>
            </w:r>
            <w:r w:rsidR="005908D5">
              <w:rPr>
                <w:vertAlign w:val="superscript"/>
              </w:rPr>
              <w:t>1</w:t>
            </w:r>
          </w:p>
        </w:tc>
      </w:tr>
      <w:tr w14:paraId="69311183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30FB7DF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3B1B9D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AA590A" w14:paraId="2D8883B2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attiecināms, jo ar noteikumu projektu radītās </w:t>
            </w:r>
            <w:r w:rsidRPr="00595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administratīvās izmaksas (naudas izteiksmē) gada laikā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nepārsniedz</w:t>
            </w:r>
            <w:r w:rsidRPr="00595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2000 </w:t>
            </w:r>
            <w:r w:rsidRPr="00B31F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595D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14:paraId="2865B0FA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1A79C4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4C69C5A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10D076AE" w14:textId="0852DE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1F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14:paraId="2D9C8AE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06FBD" w:rsidP="00E5323B" w14:paraId="604330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0CA4A1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06FBD" w:rsidP="00E5323B" w14:paraId="22C654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FD6171" w:rsidP="00E5323B" w14:paraId="69898899" w14:textId="7997ECE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FD6171" w14:paraId="54694E03" w14:textId="77777777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 w:type="page"/>
      </w:r>
    </w:p>
    <w:p w:rsidR="002A3AFF" w:rsidRPr="00706FBD" w:rsidP="00E5323B" w14:paraId="62A1F098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5"/>
        <w:gridCol w:w="1103"/>
        <w:gridCol w:w="30"/>
        <w:gridCol w:w="1136"/>
        <w:gridCol w:w="30"/>
        <w:gridCol w:w="950"/>
        <w:gridCol w:w="1200"/>
        <w:gridCol w:w="955"/>
        <w:gridCol w:w="1119"/>
        <w:gridCol w:w="1197"/>
      </w:tblGrid>
      <w:tr w14:paraId="054EA1F3" w14:textId="77777777" w:rsidTr="00FD6171">
        <w:tblPrEx>
          <w:tblW w:w="5000" w:type="pct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899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AF" w:rsidRPr="00706FBD" w:rsidP="00181F42" w14:paraId="0B9C46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14:paraId="234A547E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3E9219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05F5CB63" w14:textId="35D22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</w:t>
            </w: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54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188419F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r w:rsidRPr="00F27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14:paraId="5CFC1FA3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759836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3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6B716B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79305B72" w14:textId="76CAD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2019.gads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F311914" w14:textId="5434A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2020.gads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299BE710" w14:textId="4A5B0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2021.gads</w:t>
            </w:r>
          </w:p>
        </w:tc>
      </w:tr>
      <w:tr w14:paraId="0F249980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F568D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6798711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3F3F7B0E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0160A6CD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73EBAA5C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32F38BDA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448F5F3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3E103741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14:paraId="6A9FCC01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0A2171A9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0120FAD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0FF02AEE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0BABA017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52294B9A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15462418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3EE37BB2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380D2060" w14:textId="7777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14:paraId="30DFA404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31F" w:rsidRPr="00F2731F" w:rsidP="00F2731F" w14:paraId="0F6226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E516D6" w14:paraId="437EB5F1" w14:textId="15EB0B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89 314 340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4F299A" w14:paraId="6F16A5F4" w14:textId="678223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62 200 000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4F299A" w14:paraId="52E985D0" w14:textId="039F6F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18 237 801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4F299A" w14:paraId="63BF6649" w14:textId="681E91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15 800 000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4F299A" w14:paraId="40C3E3AC" w14:textId="69F8E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18 835 506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4F299A" w14:paraId="36021F91" w14:textId="53677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9 800 000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643D49" w14:paraId="0A81CE9A" w14:textId="42719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</w:t>
            </w:r>
          </w:p>
        </w:tc>
      </w:tr>
      <w:tr w14:paraId="0B99739E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0EA3FE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E516D6" w14:paraId="4468490D" w14:textId="7B68FF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89 314 340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E516D6" w14:paraId="6FC7408D" w14:textId="53C68F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62 200 000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E516D6" w14:paraId="4A045057" w14:textId="08547A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18 237 801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E516D6" w14:paraId="228B01D5" w14:textId="7EE2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15 800 000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E516D6" w14:paraId="49D21541" w14:textId="47E1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18 835 506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1B864664" w14:textId="367E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9 800 000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94733C3" w14:textId="45259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</w:t>
            </w:r>
          </w:p>
        </w:tc>
      </w:tr>
      <w:tr w14:paraId="7E2DED33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31F" w:rsidRPr="00F2731F" w:rsidP="00F2731F" w14:paraId="18F53B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12FB8C0A" w14:textId="4456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573804FE" w14:textId="39CE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1B24684E" w14:textId="73BF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5EC23E9E" w14:textId="2C3E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5CE91BC6" w14:textId="5FFAE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75DB55BD" w14:textId="0AF49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7A75398E" w14:textId="64C1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14:paraId="47B4E2E3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31F" w:rsidRPr="00F2731F" w:rsidP="00F2731F" w14:paraId="42F1BE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F14002A" w14:textId="047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D571B22" w14:textId="3999F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21B8B2F5" w14:textId="65E8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45B61F0B" w14:textId="6FC59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76D1D21E" w14:textId="2E46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6A76C308" w14:textId="3B45D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31F" w:rsidRPr="00F2731F" w:rsidP="00F2731F" w14:paraId="6924E6BD" w14:textId="4D13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14:paraId="287EE61C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9B" w:rsidRPr="00F2731F" w:rsidP="00B73F9B" w14:paraId="0170EC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642C6E70" w14:textId="52B6A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89 314 340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1795BD65" w14:textId="709DB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668F908C" w14:textId="7648F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18 237 801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2CA9484A" w14:textId="24B9F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10 500 000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75471B44" w14:textId="4512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18 835 506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43EDFE7B" w14:textId="44AF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15 800 000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1C489B6A" w14:textId="5D05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9 800 000</w:t>
            </w:r>
          </w:p>
        </w:tc>
      </w:tr>
      <w:tr w14:paraId="0E5AADE1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9B" w:rsidRPr="00F2731F" w:rsidP="00B73F9B" w14:paraId="274E87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0AA89719" w14:textId="0881E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89 314 340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00B94791" w14:textId="601D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5EFB42F7" w14:textId="1C4DE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18 237 801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6844EDE6" w14:textId="2458F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10 500 000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376772A3" w14:textId="75DEA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C3443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18 835 506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16A5A824" w14:textId="389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15 800 000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F9B" w:rsidRPr="00F2731F" w:rsidP="00B73F9B" w14:paraId="6C302725" w14:textId="27EA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73F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9 800 000</w:t>
            </w:r>
          </w:p>
        </w:tc>
      </w:tr>
      <w:tr w14:paraId="6F49E33B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47CD58E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2BD81FF6" w14:textId="2DD8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1D4EE0E2" w14:textId="0302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61600A3" w14:textId="5E7B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5235271" w14:textId="1A4A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71EA22C" w14:textId="2BD0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D406C1D" w14:textId="6FBF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B8097BC" w14:textId="140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14:paraId="47BF79D0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009F49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9DDBD71" w14:textId="27A2C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AB97EB4" w14:textId="65D9E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93E9EED" w14:textId="15C7A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263B448" w14:textId="07DB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607DAE3" w14:textId="319C9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3665212A" w14:textId="662C8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0B62BE9" w14:textId="39BE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14:paraId="27A013B6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17B0F7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B0778A6" w14:textId="65FBD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8AC6972" w14:textId="7D7C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62 200 000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39561F0B" w14:textId="73B9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37F1C0AA" w14:textId="12C6D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5D3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FF5D3D" w:rsidR="00FF5D3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3</w:t>
            </w:r>
            <w:r w:rsidRPr="00FF5D3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00 000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079012A" w14:textId="3D9EF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D2E8611" w14:textId="3A898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-6 000 000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CDA23E7" w14:textId="19E1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</w:t>
            </w:r>
          </w:p>
        </w:tc>
      </w:tr>
      <w:tr w14:paraId="5B4768FC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4320E8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0912AAA" w14:textId="64E1E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3C1E9C31" w14:textId="2159D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62 200 000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D5AD4DF" w14:textId="05E18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20A55D62" w14:textId="49B38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5D3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5 300 000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2FC4183" w14:textId="617C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2269E7F4" w14:textId="5E79B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-6 000 000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3F4394F" w14:textId="154B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</w:t>
            </w:r>
          </w:p>
        </w:tc>
      </w:tr>
      <w:tr w14:paraId="6B96BD25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5D936A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B772F31" w14:textId="5E68B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265A70A0" w14:textId="06059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69F6D7C" w14:textId="7EEEF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D381333" w14:textId="6D8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B456DC2" w14:textId="6685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1908A56" w14:textId="58CBD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117DD6E" w14:textId="213BF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14:paraId="53B1E688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10E31B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3AD1A9F" w14:textId="389D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2E33F98" w14:textId="4C5BC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30B918B" w14:textId="7461D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1DDB6DD8" w14:textId="5FA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611C420" w14:textId="0C78E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29DAC21" w14:textId="7386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25E16A25" w14:textId="3B3C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31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14:paraId="2FE5C63C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776" w:rsidRPr="00F2731F" w:rsidP="00C26776" w14:paraId="6AE5C8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776" w:rsidRPr="00F2731F" w:rsidP="00C26776" w14:paraId="0C3B2980" w14:textId="19DE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7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776" w:rsidRPr="00F2731F" w:rsidP="00C26776" w14:paraId="54B3DE0D" w14:textId="3D4D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2C7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776" w:rsidRPr="00F2731F" w:rsidP="00C26776" w14:paraId="135A8EAA" w14:textId="21F4E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7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776" w:rsidRPr="00F2731F" w:rsidP="00C26776" w14:paraId="141FBF7D" w14:textId="6F3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7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776" w:rsidRPr="00F2731F" w:rsidP="00C26776" w14:paraId="2101ECF0" w14:textId="0FC9C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7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776" w:rsidRPr="00F2731F" w:rsidP="00C26776" w14:paraId="61EB7473" w14:textId="4A45D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7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776" w:rsidRPr="00F2731F" w:rsidP="00C26776" w14:paraId="20DF41A3" w14:textId="749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2677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14:paraId="462EDA0A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1CF2B2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25AC5162" w14:textId="369BB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EBAEF2C" w14:textId="7B439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62 200 000</w:t>
            </w:r>
          </w:p>
        </w:tc>
        <w:tc>
          <w:tcPr>
            <w:tcW w:w="9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4764B44" w14:textId="61F8B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B03332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9325935" w14:textId="3CF2A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red"/>
                <w:lang w:eastAsia="lv-LV"/>
              </w:rPr>
            </w:pPr>
            <w:r w:rsidRPr="00FF5D3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5 300 000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B94F023" w14:textId="6F32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B03332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BCD5D29" w14:textId="094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-6 000 000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207BBDD8" w14:textId="0B21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NA</w:t>
            </w:r>
          </w:p>
        </w:tc>
      </w:tr>
      <w:tr w14:paraId="03B984D2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0E6F91E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93DA7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D4FF679" w14:textId="33D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516D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62 200 000</w:t>
            </w:r>
          </w:p>
        </w:tc>
        <w:tc>
          <w:tcPr>
            <w:tcW w:w="9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FAF6E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82B355F" w14:textId="10E7B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lv-LV"/>
              </w:rPr>
            </w:pPr>
            <w:r w:rsidRPr="00FF5D3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5 300 000</w:t>
            </w:r>
          </w:p>
        </w:tc>
        <w:tc>
          <w:tcPr>
            <w:tcW w:w="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CAB29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D6F37FF" w14:textId="1B37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-6 000 000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3EC4172A" w14:textId="779F9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NA</w:t>
            </w:r>
          </w:p>
        </w:tc>
      </w:tr>
      <w:tr w14:paraId="1BAB0AFC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7F2928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907A4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54300DC" w14:textId="7D4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684F2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5525F41" w14:textId="6DE8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41D2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6D0AF49C" w14:textId="74E29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F5D3D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856F969" w14:textId="33A9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F5D3D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</w:tr>
      <w:tr w14:paraId="10FC51BA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0BD137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44038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ECD5285" w14:textId="5239C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3332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0</w:t>
            </w:r>
          </w:p>
        </w:tc>
        <w:tc>
          <w:tcPr>
            <w:tcW w:w="9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5E3AA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0A0E304E" w14:textId="7E42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3332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0</w:t>
            </w:r>
          </w:p>
        </w:tc>
        <w:tc>
          <w:tcPr>
            <w:tcW w:w="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D5FDA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415BD814" w14:textId="7B26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3332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B7D4CE8" w14:textId="7B78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03332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0</w:t>
            </w:r>
          </w:p>
        </w:tc>
      </w:tr>
      <w:tr w14:paraId="7F8319DB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3AD800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675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7101FD" w14:paraId="0B921D84" w14:textId="49E21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</w:rPr>
              <w:t>Rīkojuma projektā piedāvātais risinājums ļauj novirzīt AS “Latvenergo” virsplāna dividendes OIK samazināšanai no 25,79 </w:t>
            </w:r>
            <w:r>
              <w:rPr>
                <w:rFonts w:ascii="Times New Roman" w:hAnsi="Times New Roman" w:cs="Times New Roman"/>
                <w:i/>
                <w:sz w:val="24"/>
              </w:rPr>
              <w:t>euro</w:t>
            </w:r>
            <w:r>
              <w:rPr>
                <w:rFonts w:ascii="Times New Roman" w:hAnsi="Times New Roman" w:cs="Times New Roman"/>
                <w:sz w:val="24"/>
              </w:rPr>
              <w:t>/MWh līdz 22,68 </w:t>
            </w:r>
            <w:r>
              <w:rPr>
                <w:rFonts w:ascii="Times New Roman" w:hAnsi="Times New Roman" w:cs="Times New Roman"/>
                <w:i/>
                <w:sz w:val="24"/>
              </w:rPr>
              <w:t>euro</w:t>
            </w:r>
            <w:r>
              <w:rPr>
                <w:rFonts w:ascii="Times New Roman" w:hAnsi="Times New Roman" w:cs="Times New Roman"/>
                <w:sz w:val="24"/>
              </w:rPr>
              <w:t>/MWh</w:t>
            </w:r>
            <w:r w:rsidR="008D4682">
              <w:rPr>
                <w:rFonts w:ascii="Times New Roman" w:hAnsi="Times New Roman" w:cs="Times New Roman"/>
                <w:sz w:val="24"/>
              </w:rPr>
              <w:t xml:space="preserve"> vidēja termiņa perspektīvā (</w:t>
            </w:r>
            <w:r w:rsidR="003B4043">
              <w:rPr>
                <w:rFonts w:ascii="Times New Roman" w:hAnsi="Times New Roman" w:cs="Times New Roman"/>
                <w:sz w:val="24"/>
              </w:rPr>
              <w:t>no 2018. gada 1. jūlija līdz 2020. </w:t>
            </w:r>
            <w:r w:rsidR="008D4682">
              <w:rPr>
                <w:rFonts w:ascii="Times New Roman" w:hAnsi="Times New Roman" w:cs="Times New Roman"/>
                <w:sz w:val="24"/>
              </w:rPr>
              <w:t>gadam ieskaitot)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14:paraId="2D1DDBBE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6383DC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675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54B489F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98C832B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6D83CA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675" w:type="dxa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99A" w:rsidRPr="00F2731F" w:rsidP="004F299A" w14:paraId="73EA961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3AC7A865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6E90AC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6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3F36F7A7" w14:textId="1192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v-LV"/>
              </w:rPr>
            </w:pPr>
            <w:r w:rsidRPr="00C4509B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14:paraId="68FCB803" w14:textId="77777777" w:rsidTr="00FD6171">
        <w:tblPrEx>
          <w:tblW w:w="5000" w:type="pct"/>
          <w:jc w:val="center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99A" w:rsidRPr="00F2731F" w:rsidP="004F299A" w14:paraId="189405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73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6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8D" w:rsidRPr="00593280" w:rsidP="004F299A" w14:paraId="53A45FE4" w14:textId="5929F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593280">
              <w:rPr>
                <w:rFonts w:ascii="Times New Roman" w:hAnsi="Times New Roman" w:cs="Times New Roman"/>
                <w:sz w:val="24"/>
              </w:rPr>
              <w:t>Rīkojuma projekta ietekme uz vidēja termiņa 2018.-2020. gadam bāzi pēc Eiropas Nacionālo Kontu Sistēmas:</w:t>
            </w:r>
          </w:p>
          <w:tbl>
            <w:tblPr>
              <w:tblW w:w="452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000"/>
              <w:gridCol w:w="1232"/>
              <w:gridCol w:w="1334"/>
              <w:gridCol w:w="1276"/>
            </w:tblGrid>
            <w:tr w14:paraId="6BF646E0" w14:textId="77777777" w:rsidTr="002B0AEC">
              <w:tblPrEx>
                <w:tblW w:w="4520" w:type="pct"/>
                <w:jc w:val="center"/>
                <w:tblCellSpacing w:w="15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  <w:jc w:val="center"/>
              </w:trPr>
              <w:tc>
                <w:tcPr>
                  <w:tcW w:w="2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0A05" w:rsidRPr="00593280" w:rsidP="00090A05" w14:paraId="5D885F10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0A05" w:rsidRPr="00593280" w:rsidP="00090A05" w14:paraId="364A23C9" w14:textId="77777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2018</w:t>
                  </w:r>
                </w:p>
              </w:tc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0A05" w:rsidRPr="00593280" w:rsidP="00090A05" w14:paraId="554B95A2" w14:textId="77777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2019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0A05" w:rsidRPr="00593280" w:rsidP="00090A05" w14:paraId="4FB849DB" w14:textId="77777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2020</w:t>
                  </w:r>
                </w:p>
              </w:tc>
            </w:tr>
            <w:tr w14:paraId="74C17F47" w14:textId="77777777" w:rsidTr="002B0AEC">
              <w:tblPrEx>
                <w:tblW w:w="4520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  <w:jc w:val="center"/>
              </w:trPr>
              <w:tc>
                <w:tcPr>
                  <w:tcW w:w="2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6209E3ED" w14:textId="7777777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Valsts budžeta izdevumi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51519A2A" w14:textId="52706C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62 200 00</w:t>
                  </w:r>
                </w:p>
              </w:tc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42941274" w14:textId="70DD73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15 800 000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4594B3C6" w14:textId="311972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9 800 000</w:t>
                  </w:r>
                </w:p>
              </w:tc>
            </w:tr>
            <w:tr w14:paraId="761D6A6B" w14:textId="77777777" w:rsidTr="002B0AEC">
              <w:tblPrEx>
                <w:tblW w:w="4520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  <w:jc w:val="center"/>
              </w:trPr>
              <w:tc>
                <w:tcPr>
                  <w:tcW w:w="2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3E3CCA84" w14:textId="777777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OIK dotācija, t.sk. administrēšanas vajadzībām (Ietekme)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44AB3EB1" w14:textId="20F2AF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10 500 000</w:t>
                  </w:r>
                </w:p>
              </w:tc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7890E3E4" w14:textId="194AD6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21 100 000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C58" w:rsidRPr="00593280" w:rsidP="00B43C58" w14:paraId="698388A1" w14:textId="7F3F54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15 100 000</w:t>
                  </w:r>
                </w:p>
              </w:tc>
            </w:tr>
            <w:tr w14:paraId="143F81BE" w14:textId="77777777" w:rsidTr="002B0AEC">
              <w:tblPrEx>
                <w:tblW w:w="4520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  <w:jc w:val="center"/>
              </w:trPr>
              <w:tc>
                <w:tcPr>
                  <w:tcW w:w="2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61887438" w14:textId="27174C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Avansa maksājums jaudas maksājuma kompensācijai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79055CE1" w14:textId="713D23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51 700 000</w:t>
                  </w:r>
                </w:p>
              </w:tc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5DC910E8" w14:textId="3DBDAAD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- 5 300 000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059A8726" w14:textId="3FAB70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- 5 300 000</w:t>
                  </w:r>
                </w:p>
              </w:tc>
            </w:tr>
            <w:tr w14:paraId="6C8A6343" w14:textId="77777777" w:rsidTr="002B0AEC">
              <w:tblPrEx>
                <w:tblW w:w="4520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  <w:jc w:val="center"/>
              </w:trPr>
              <w:tc>
                <w:tcPr>
                  <w:tcW w:w="2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63610DB1" w14:textId="18AD2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Valsts budžeta ieņēmumi</w:t>
                  </w:r>
                  <w:r w:rsidRPr="00593280" w:rsidR="007D6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no AS “Latvenergo” virspeļņas dividendēm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36EFAC40" w14:textId="56163D8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62 200 00</w:t>
                  </w:r>
                </w:p>
              </w:tc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23AFF675" w14:textId="6B0217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15 800 000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308EACDD" w14:textId="0A3139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9 800 000</w:t>
                  </w:r>
                </w:p>
              </w:tc>
            </w:tr>
            <w:tr w14:paraId="444EB2B1" w14:textId="77777777" w:rsidTr="002B0AEC">
              <w:tblPrEx>
                <w:tblW w:w="4520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  <w:jc w:val="center"/>
              </w:trPr>
              <w:tc>
                <w:tcPr>
                  <w:tcW w:w="2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358044A7" w14:textId="22CE62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Bilance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0879207A" w14:textId="3CBDB4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29DFA90F" w14:textId="54D2B0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04657BE5" w14:textId="31C923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14:paraId="2546C1F0" w14:textId="77777777" w:rsidTr="002B0AEC">
              <w:tblPrEx>
                <w:tblW w:w="4520" w:type="pct"/>
                <w:jc w:val="center"/>
                <w:tblCellSpacing w:w="15" w:type="dxa"/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15" w:type="dxa"/>
                <w:jc w:val="center"/>
              </w:trPr>
              <w:tc>
                <w:tcPr>
                  <w:tcW w:w="21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1A2A1A7A" w14:textId="1E74CD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Vidējais OIK, EUR/MWh</w:t>
                  </w:r>
                </w:p>
              </w:tc>
              <w:tc>
                <w:tcPr>
                  <w:tcW w:w="8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1725434F" w14:textId="4B5298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  <w:r w:rsidRPr="00593280" w:rsidR="00EF5A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</w:t>
                  </w: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,</w:t>
                  </w:r>
                  <w:r w:rsidRPr="00593280" w:rsidR="00EF5A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68</w:t>
                  </w:r>
                  <w:r>
                    <w:rPr>
                      <w:rStyle w:val="FootnoteReference"/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footnoteReference w:id="3"/>
                  </w:r>
                </w:p>
              </w:tc>
              <w:tc>
                <w:tcPr>
                  <w:tcW w:w="9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593280" w:rsidP="00090A05" w14:paraId="0B93DA83" w14:textId="02066B6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22,68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3AE4" w:rsidRPr="00090A05" w:rsidP="00090A05" w14:paraId="42327888" w14:textId="5F801BC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5932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22,68</w:t>
                  </w:r>
                </w:p>
              </w:tc>
            </w:tr>
          </w:tbl>
          <w:p w:rsidR="00090A05" w:rsidRPr="00F2731F" w:rsidP="004F299A" w14:paraId="01A9C524" w14:textId="63FF8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v-LV"/>
              </w:rPr>
            </w:pPr>
          </w:p>
        </w:tc>
      </w:tr>
    </w:tbl>
    <w:p w:rsidR="00F2731F" w:rsidP="00E5323B" w14:paraId="77681D45" w14:textId="7037D3E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F2731F" w:rsidRPr="00706FBD" w:rsidP="00E5323B" w14:paraId="28C93E3B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342ABF8" w14:textId="77777777" w:rsidTr="00181F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FF" w:rsidRPr="00706FBD" w:rsidP="00181F42" w14:paraId="121B1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14:paraId="72BE9B04" w14:textId="77777777" w:rsidTr="00181F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577" w:rsidRPr="00706FBD" w:rsidP="00265349" w14:paraId="1FCC1141" w14:textId="5D5B2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Pamatojoties uz </w:t>
            </w:r>
            <w:r w:rsidR="006637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īkojuma projektu, lai </w:t>
            </w:r>
            <w:r w:rsidRPr="00C67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samazināt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Pr="00C67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pašlaik noteikto obligā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tā iepirkuma komponentes vidējo vērtību, nepieciešams ar </w:t>
            </w:r>
            <w:r w:rsidRPr="00C67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Sabiedrisko pakalpojumu re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gulēšanas komisijas 2017.gada 23</w:t>
            </w:r>
            <w:r w:rsidRPr="00C67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novembra lēmumu Nr.139 “</w:t>
            </w:r>
            <w:r w:rsidRPr="00C67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Par obligā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tā iepirkuma un jaudas komponentēm no 2018.gada 1.janvāra” noteikto obligātā iepirkuma un jaudas komponentes pārrēķins un izdodams </w:t>
            </w:r>
            <w:r w:rsidRPr="00C67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Sabiedrisko pakalpojumu regulēšanas komisijas padomes lēmums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C677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Par obligātā iepirkuma un jaudas komponentēm no 2018.gada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1.jūlija.</w:t>
            </w:r>
          </w:p>
        </w:tc>
      </w:tr>
    </w:tbl>
    <w:p w:rsidR="002A3AFF" w:rsidRPr="00706FBD" w:rsidP="00E5323B" w14:paraId="154DCF55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5927519B" w14:textId="77777777" w:rsidTr="00181F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FF" w:rsidRPr="00706FBD" w:rsidP="00181F42" w14:paraId="6517B2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14:paraId="497ACD56" w14:textId="77777777" w:rsidTr="00181F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FF" w:rsidRPr="00706FBD" w:rsidP="00181F42" w14:paraId="54728C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2A3AFF" w:rsidRPr="00706FBD" w:rsidP="00E5323B" w14:paraId="07243988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40828B55" w14:textId="77777777" w:rsidTr="00181F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BD" w:rsidRPr="00706FBD" w:rsidP="00181F42" w14:paraId="13BFCF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14:paraId="3CF3C759" w14:textId="77777777" w:rsidTr="00706F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6B281B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7CAD9B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2B3F78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14:paraId="238F60E1" w14:textId="77777777" w:rsidTr="00706F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6F3374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240384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35FC1A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14:paraId="17FFA6EC" w14:textId="77777777" w:rsidTr="00706F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4E846C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4953D4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300A58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14:paraId="7A0E4950" w14:textId="77777777" w:rsidTr="00706FB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706FBD" w14:paraId="45B36BA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706FBD" w14:paraId="0F3596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633ADE" w14:paraId="15E7D620" w14:textId="22AC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706FBD" w:rsidRPr="00706FBD" w:rsidP="00E5323B" w14:paraId="111F6B0A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06FB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0638AE09" w14:textId="77777777" w:rsidTr="00181F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BD" w:rsidRPr="00706FBD" w:rsidP="00181F42" w14:paraId="7D5A24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14:paraId="0C5793EA" w14:textId="77777777" w:rsidTr="00181F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477931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0F7E88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043550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14:paraId="6B44494C" w14:textId="77777777" w:rsidTr="00181F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16D232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18FA78C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5BF89A4C" w14:textId="211FD1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Pr="00706F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neparedz pārvaldes funkciju paplašināšanu un jaunu valsts institūciju veidošanu</w:t>
            </w:r>
          </w:p>
        </w:tc>
      </w:tr>
      <w:tr w14:paraId="6EFEF8C7" w14:textId="77777777" w:rsidTr="00181F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35BCD3D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281769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BD" w:rsidRPr="00706FBD" w:rsidP="00181F42" w14:paraId="2537F6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6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C75927" w:rsidP="00894C55" w14:paraId="469AD165" w14:textId="0F78CB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bookmarkStart w:id="0" w:name="_GoBack"/>
      <w:bookmarkEnd w:id="0"/>
    </w:p>
    <w:p w:rsidR="00036CE7" w:rsidRPr="00706FBD" w:rsidP="00036CE7" w14:paraId="3C5FE722" w14:textId="77777777">
      <w:pPr>
        <w:rPr>
          <w:rFonts w:ascii="Times New Roman" w:hAnsi="Times New Roman" w:cs="Times New Roman"/>
          <w:bCs/>
          <w:sz w:val="28"/>
          <w:szCs w:val="28"/>
        </w:rPr>
      </w:pPr>
    </w:p>
    <w:p w:rsidR="00036CE7" w:rsidRPr="00706FBD" w:rsidP="00080ED3" w14:paraId="4632DC37" w14:textId="6D236861">
      <w:pPr>
        <w:tabs>
          <w:tab w:val="center" w:pos="9071"/>
        </w:tabs>
        <w:rPr>
          <w:rFonts w:ascii="Times New Roman" w:hAnsi="Times New Roman" w:cs="Times New Roman"/>
          <w:bCs/>
          <w:sz w:val="28"/>
          <w:szCs w:val="28"/>
        </w:rPr>
      </w:pPr>
      <w:r w:rsidRPr="00706FBD">
        <w:rPr>
          <w:rFonts w:ascii="Times New Roman" w:hAnsi="Times New Roman" w:cs="Times New Roman"/>
          <w:bCs/>
          <w:sz w:val="28"/>
          <w:szCs w:val="28"/>
        </w:rPr>
        <w:t>Ministru prezidenta bied</w:t>
      </w:r>
      <w:r w:rsidR="00080ED3">
        <w:rPr>
          <w:rFonts w:ascii="Times New Roman" w:hAnsi="Times New Roman" w:cs="Times New Roman"/>
          <w:bCs/>
          <w:sz w:val="28"/>
          <w:szCs w:val="28"/>
        </w:rPr>
        <w:t>rs,</w:t>
      </w:r>
      <w:r w:rsidR="00080ED3">
        <w:rPr>
          <w:rFonts w:ascii="Times New Roman" w:hAnsi="Times New Roman" w:cs="Times New Roman"/>
          <w:bCs/>
          <w:sz w:val="28"/>
          <w:szCs w:val="28"/>
        </w:rPr>
        <w:br/>
        <w:t>ekonomikas ministrs</w:t>
      </w:r>
      <w:r w:rsidR="00080ED3">
        <w:rPr>
          <w:rFonts w:ascii="Times New Roman" w:hAnsi="Times New Roman" w:cs="Times New Roman"/>
          <w:bCs/>
          <w:sz w:val="28"/>
          <w:szCs w:val="28"/>
        </w:rPr>
        <w:tab/>
        <w:t xml:space="preserve">Arvils </w:t>
      </w:r>
      <w:r w:rsidRPr="00706FBD">
        <w:rPr>
          <w:rFonts w:ascii="Times New Roman" w:hAnsi="Times New Roman" w:cs="Times New Roman"/>
          <w:bCs/>
          <w:sz w:val="28"/>
          <w:szCs w:val="28"/>
        </w:rPr>
        <w:t>Ašeradens</w:t>
      </w:r>
    </w:p>
    <w:p w:rsidR="00036CE7" w:rsidRPr="00706FBD" w:rsidP="00036CE7" w14:paraId="28371428" w14:textId="77777777">
      <w:pPr>
        <w:pStyle w:val="nais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36CE7" w:rsidRPr="00706FBD" w:rsidP="00036CE7" w14:paraId="640D04C4" w14:textId="77777777">
      <w:pPr>
        <w:pStyle w:val="nais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FBD">
        <w:rPr>
          <w:bCs/>
          <w:color w:val="000000"/>
          <w:sz w:val="28"/>
          <w:szCs w:val="28"/>
        </w:rPr>
        <w:t>Vīza:</w:t>
      </w:r>
    </w:p>
    <w:p w:rsidR="00894C55" w:rsidRPr="00F65545" w:rsidP="00F65545" w14:paraId="674EAAE7" w14:textId="28AD9D53">
      <w:pPr>
        <w:tabs>
          <w:tab w:val="center" w:pos="907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Valsts sekretārs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Ēriks </w:t>
      </w:r>
      <w:r w:rsidR="00C0466A">
        <w:rPr>
          <w:rFonts w:ascii="Times New Roman" w:hAnsi="Times New Roman" w:cs="Times New Roman"/>
          <w:color w:val="000000"/>
          <w:sz w:val="28"/>
          <w:szCs w:val="28"/>
        </w:rPr>
        <w:t>Eglītis</w:t>
      </w:r>
    </w:p>
    <w:sectPr w:rsidSect="00F31C5F">
      <w:headerReference w:type="default" r:id="rId6"/>
      <w:footerReference w:type="default" r:id="rId7"/>
      <w:footerReference w:type="first" r:id="rId8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F42" w:rsidRPr="00894C55" w14:paraId="79AE6A98" w14:textId="7806AFC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EMAnot_230418_OIK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1F42" w:rsidRPr="000532B2" w:rsidP="000532B2" w14:paraId="2719712E" w14:textId="62C38AF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EMAnot_230418_OIK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81F42" w:rsidP="00894C55" w14:paraId="0C22C5D6" w14:textId="77777777">
      <w:pPr>
        <w:spacing w:after="0" w:line="240" w:lineRule="auto"/>
      </w:pPr>
      <w:r>
        <w:separator/>
      </w:r>
    </w:p>
  </w:footnote>
  <w:footnote w:type="continuationSeparator" w:id="1">
    <w:p w:rsidR="00181F42" w:rsidP="00894C55" w14:paraId="4CC79A5A" w14:textId="77777777">
      <w:pPr>
        <w:spacing w:after="0" w:line="240" w:lineRule="auto"/>
      </w:pPr>
      <w:r>
        <w:continuationSeparator/>
      </w:r>
    </w:p>
  </w:footnote>
  <w:footnote w:id="2">
    <w:p w:rsidR="00181F42" w:rsidP="00C96008" w14:paraId="723689D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08D5">
        <w:rPr>
          <w:szCs w:val="24"/>
        </w:rPr>
        <w:t>Pēc Eiropas Nacionālo Kontu Sistēmas uzskaites metodes</w:t>
      </w:r>
    </w:p>
  </w:footnote>
  <w:footnote w:id="3">
    <w:p w:rsidR="00181F42" w14:paraId="3AA1B679" w14:textId="57B2FB6A">
      <w:pPr>
        <w:pStyle w:val="FootnoteText"/>
      </w:pPr>
      <w:r>
        <w:rPr>
          <w:rStyle w:val="FootnoteReference"/>
        </w:rPr>
        <w:footnoteRef/>
      </w:r>
      <w:r>
        <w:t xml:space="preserve"> Ar 2018. gada 1. jūliju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21711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181F42" w:rsidRPr="00C25B49" w14:paraId="108E6EC5" w14:textId="72935DE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8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22857A8"/>
    <w:multiLevelType w:val="hybridMultilevel"/>
    <w:tmpl w:val="5B4855E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A71A98"/>
    <w:multiLevelType w:val="hybridMultilevel"/>
    <w:tmpl w:val="3B6282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7B45AB9"/>
    <w:multiLevelType w:val="hybridMultilevel"/>
    <w:tmpl w:val="DAA8F4F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5BB9"/>
    <w:rsid w:val="00036CE7"/>
    <w:rsid w:val="0004137E"/>
    <w:rsid w:val="000520B8"/>
    <w:rsid w:val="000532B2"/>
    <w:rsid w:val="000538F3"/>
    <w:rsid w:val="0006606B"/>
    <w:rsid w:val="00066810"/>
    <w:rsid w:val="000706F2"/>
    <w:rsid w:val="00073BA7"/>
    <w:rsid w:val="00080ED3"/>
    <w:rsid w:val="00090A05"/>
    <w:rsid w:val="0009232A"/>
    <w:rsid w:val="00094F59"/>
    <w:rsid w:val="000A7877"/>
    <w:rsid w:val="000B0CBB"/>
    <w:rsid w:val="000B7C19"/>
    <w:rsid w:val="000C208D"/>
    <w:rsid w:val="000D0A5A"/>
    <w:rsid w:val="000D59EA"/>
    <w:rsid w:val="000D69D6"/>
    <w:rsid w:val="0010047A"/>
    <w:rsid w:val="001160FB"/>
    <w:rsid w:val="001238D4"/>
    <w:rsid w:val="00123FB7"/>
    <w:rsid w:val="00130F81"/>
    <w:rsid w:val="00140218"/>
    <w:rsid w:val="001465A6"/>
    <w:rsid w:val="001478FD"/>
    <w:rsid w:val="001579F5"/>
    <w:rsid w:val="00165DE3"/>
    <w:rsid w:val="001702BF"/>
    <w:rsid w:val="0017147B"/>
    <w:rsid w:val="00181B6C"/>
    <w:rsid w:val="00181F42"/>
    <w:rsid w:val="0018332E"/>
    <w:rsid w:val="00186F94"/>
    <w:rsid w:val="001A0F2E"/>
    <w:rsid w:val="001A7A79"/>
    <w:rsid w:val="001B6D12"/>
    <w:rsid w:val="001B7A00"/>
    <w:rsid w:val="001E154B"/>
    <w:rsid w:val="001F49E4"/>
    <w:rsid w:val="002012F3"/>
    <w:rsid w:val="00204C3A"/>
    <w:rsid w:val="002124DA"/>
    <w:rsid w:val="00215100"/>
    <w:rsid w:val="0022175A"/>
    <w:rsid w:val="00224689"/>
    <w:rsid w:val="002275D4"/>
    <w:rsid w:val="002422C6"/>
    <w:rsid w:val="00243426"/>
    <w:rsid w:val="002471DC"/>
    <w:rsid w:val="00252541"/>
    <w:rsid w:val="002632A9"/>
    <w:rsid w:val="00265349"/>
    <w:rsid w:val="00274B25"/>
    <w:rsid w:val="002870D6"/>
    <w:rsid w:val="00297933"/>
    <w:rsid w:val="002A3AFF"/>
    <w:rsid w:val="002A6C09"/>
    <w:rsid w:val="002B0AEC"/>
    <w:rsid w:val="002B7316"/>
    <w:rsid w:val="002C612A"/>
    <w:rsid w:val="002D1D53"/>
    <w:rsid w:val="002D2736"/>
    <w:rsid w:val="002E1C05"/>
    <w:rsid w:val="002E761C"/>
    <w:rsid w:val="002F3267"/>
    <w:rsid w:val="002F41FB"/>
    <w:rsid w:val="00302441"/>
    <w:rsid w:val="00302F2A"/>
    <w:rsid w:val="00303AE4"/>
    <w:rsid w:val="00307BA5"/>
    <w:rsid w:val="003260B7"/>
    <w:rsid w:val="00327C94"/>
    <w:rsid w:val="00330E14"/>
    <w:rsid w:val="00356AC2"/>
    <w:rsid w:val="00370172"/>
    <w:rsid w:val="00372577"/>
    <w:rsid w:val="0037716C"/>
    <w:rsid w:val="0038104F"/>
    <w:rsid w:val="00383508"/>
    <w:rsid w:val="00390089"/>
    <w:rsid w:val="003A5AB0"/>
    <w:rsid w:val="003B0BF9"/>
    <w:rsid w:val="003B4043"/>
    <w:rsid w:val="003D131F"/>
    <w:rsid w:val="003D24A9"/>
    <w:rsid w:val="003E0791"/>
    <w:rsid w:val="003E3580"/>
    <w:rsid w:val="003E4DF3"/>
    <w:rsid w:val="003E56D2"/>
    <w:rsid w:val="003F02E6"/>
    <w:rsid w:val="003F28AC"/>
    <w:rsid w:val="0040094B"/>
    <w:rsid w:val="004035F7"/>
    <w:rsid w:val="00404A68"/>
    <w:rsid w:val="004177AA"/>
    <w:rsid w:val="004215E9"/>
    <w:rsid w:val="00427084"/>
    <w:rsid w:val="00427232"/>
    <w:rsid w:val="00427995"/>
    <w:rsid w:val="004454FE"/>
    <w:rsid w:val="0045609D"/>
    <w:rsid w:val="00456E40"/>
    <w:rsid w:val="00471EDB"/>
    <w:rsid w:val="00471F27"/>
    <w:rsid w:val="00477113"/>
    <w:rsid w:val="00487035"/>
    <w:rsid w:val="00494C22"/>
    <w:rsid w:val="004A5AAF"/>
    <w:rsid w:val="004B6561"/>
    <w:rsid w:val="004C2C4C"/>
    <w:rsid w:val="004D161E"/>
    <w:rsid w:val="004E5587"/>
    <w:rsid w:val="004E742A"/>
    <w:rsid w:val="004E7FD8"/>
    <w:rsid w:val="004F1E44"/>
    <w:rsid w:val="004F299A"/>
    <w:rsid w:val="004F40D8"/>
    <w:rsid w:val="0050178F"/>
    <w:rsid w:val="00503027"/>
    <w:rsid w:val="00507335"/>
    <w:rsid w:val="00512E39"/>
    <w:rsid w:val="00517388"/>
    <w:rsid w:val="00526A24"/>
    <w:rsid w:val="00535C34"/>
    <w:rsid w:val="00555157"/>
    <w:rsid w:val="00565CC9"/>
    <w:rsid w:val="0057741F"/>
    <w:rsid w:val="00584397"/>
    <w:rsid w:val="005908D5"/>
    <w:rsid w:val="00593280"/>
    <w:rsid w:val="0059471B"/>
    <w:rsid w:val="00595D36"/>
    <w:rsid w:val="005A28BA"/>
    <w:rsid w:val="005B1E11"/>
    <w:rsid w:val="005D2309"/>
    <w:rsid w:val="005F3458"/>
    <w:rsid w:val="005F35F1"/>
    <w:rsid w:val="00603901"/>
    <w:rsid w:val="00603F38"/>
    <w:rsid w:val="00607A3A"/>
    <w:rsid w:val="00633ADE"/>
    <w:rsid w:val="006356BA"/>
    <w:rsid w:val="00643D49"/>
    <w:rsid w:val="00644812"/>
    <w:rsid w:val="006450D6"/>
    <w:rsid w:val="006515E2"/>
    <w:rsid w:val="00655F2C"/>
    <w:rsid w:val="006637ED"/>
    <w:rsid w:val="0068207B"/>
    <w:rsid w:val="00684706"/>
    <w:rsid w:val="00695600"/>
    <w:rsid w:val="006A2CF3"/>
    <w:rsid w:val="006A7780"/>
    <w:rsid w:val="006B5476"/>
    <w:rsid w:val="006C2236"/>
    <w:rsid w:val="006E1081"/>
    <w:rsid w:val="006E7C1A"/>
    <w:rsid w:val="00700E44"/>
    <w:rsid w:val="007055BF"/>
    <w:rsid w:val="00706FBD"/>
    <w:rsid w:val="007101FD"/>
    <w:rsid w:val="00710A9D"/>
    <w:rsid w:val="00720585"/>
    <w:rsid w:val="00724AC0"/>
    <w:rsid w:val="0073416B"/>
    <w:rsid w:val="007351B4"/>
    <w:rsid w:val="0076439A"/>
    <w:rsid w:val="00773AF6"/>
    <w:rsid w:val="00787786"/>
    <w:rsid w:val="00791A58"/>
    <w:rsid w:val="00795F71"/>
    <w:rsid w:val="007B3AB3"/>
    <w:rsid w:val="007B689B"/>
    <w:rsid w:val="007C0065"/>
    <w:rsid w:val="007D63C2"/>
    <w:rsid w:val="007E21A4"/>
    <w:rsid w:val="007E2359"/>
    <w:rsid w:val="007E5F7A"/>
    <w:rsid w:val="007E73AB"/>
    <w:rsid w:val="00803B33"/>
    <w:rsid w:val="00805C0F"/>
    <w:rsid w:val="008070D4"/>
    <w:rsid w:val="00816C11"/>
    <w:rsid w:val="00823299"/>
    <w:rsid w:val="00832E84"/>
    <w:rsid w:val="00835BB1"/>
    <w:rsid w:val="00835EC6"/>
    <w:rsid w:val="0084098E"/>
    <w:rsid w:val="00854834"/>
    <w:rsid w:val="00860338"/>
    <w:rsid w:val="00865F43"/>
    <w:rsid w:val="00870824"/>
    <w:rsid w:val="00894C55"/>
    <w:rsid w:val="008C4A34"/>
    <w:rsid w:val="008D4682"/>
    <w:rsid w:val="008D7B7F"/>
    <w:rsid w:val="008E45FC"/>
    <w:rsid w:val="00900BA3"/>
    <w:rsid w:val="009031AD"/>
    <w:rsid w:val="009179FD"/>
    <w:rsid w:val="00930058"/>
    <w:rsid w:val="00932F39"/>
    <w:rsid w:val="0093524A"/>
    <w:rsid w:val="00940458"/>
    <w:rsid w:val="0094064F"/>
    <w:rsid w:val="00941D89"/>
    <w:rsid w:val="00946458"/>
    <w:rsid w:val="0097217B"/>
    <w:rsid w:val="0098447A"/>
    <w:rsid w:val="009A2654"/>
    <w:rsid w:val="009A47CC"/>
    <w:rsid w:val="009B406D"/>
    <w:rsid w:val="009C61C0"/>
    <w:rsid w:val="009D01A2"/>
    <w:rsid w:val="009D3DC5"/>
    <w:rsid w:val="009E225A"/>
    <w:rsid w:val="009E56DA"/>
    <w:rsid w:val="009F12EF"/>
    <w:rsid w:val="00A0441F"/>
    <w:rsid w:val="00A04712"/>
    <w:rsid w:val="00A04E73"/>
    <w:rsid w:val="00A0672A"/>
    <w:rsid w:val="00A10FC3"/>
    <w:rsid w:val="00A11ADD"/>
    <w:rsid w:val="00A12849"/>
    <w:rsid w:val="00A163D7"/>
    <w:rsid w:val="00A16682"/>
    <w:rsid w:val="00A21BC4"/>
    <w:rsid w:val="00A23F0E"/>
    <w:rsid w:val="00A26751"/>
    <w:rsid w:val="00A339A2"/>
    <w:rsid w:val="00A36986"/>
    <w:rsid w:val="00A37257"/>
    <w:rsid w:val="00A40C5A"/>
    <w:rsid w:val="00A5439C"/>
    <w:rsid w:val="00A57FB5"/>
    <w:rsid w:val="00A6073E"/>
    <w:rsid w:val="00A614DA"/>
    <w:rsid w:val="00A730C9"/>
    <w:rsid w:val="00A77913"/>
    <w:rsid w:val="00A80BFC"/>
    <w:rsid w:val="00A8264B"/>
    <w:rsid w:val="00A90B41"/>
    <w:rsid w:val="00A94899"/>
    <w:rsid w:val="00AA0E09"/>
    <w:rsid w:val="00AA156D"/>
    <w:rsid w:val="00AA590A"/>
    <w:rsid w:val="00AA62AA"/>
    <w:rsid w:val="00AB49CA"/>
    <w:rsid w:val="00AB78D5"/>
    <w:rsid w:val="00AC76D5"/>
    <w:rsid w:val="00AD2C7E"/>
    <w:rsid w:val="00AD7250"/>
    <w:rsid w:val="00AD7E42"/>
    <w:rsid w:val="00AE5567"/>
    <w:rsid w:val="00AE587F"/>
    <w:rsid w:val="00AF1239"/>
    <w:rsid w:val="00AF153B"/>
    <w:rsid w:val="00AF381A"/>
    <w:rsid w:val="00B0120C"/>
    <w:rsid w:val="00B03332"/>
    <w:rsid w:val="00B1168D"/>
    <w:rsid w:val="00B16480"/>
    <w:rsid w:val="00B2165C"/>
    <w:rsid w:val="00B220BA"/>
    <w:rsid w:val="00B26765"/>
    <w:rsid w:val="00B31F31"/>
    <w:rsid w:val="00B378B6"/>
    <w:rsid w:val="00B40AD3"/>
    <w:rsid w:val="00B42152"/>
    <w:rsid w:val="00B43C58"/>
    <w:rsid w:val="00B5511D"/>
    <w:rsid w:val="00B641AA"/>
    <w:rsid w:val="00B65218"/>
    <w:rsid w:val="00B6751A"/>
    <w:rsid w:val="00B70090"/>
    <w:rsid w:val="00B73F9B"/>
    <w:rsid w:val="00B753CB"/>
    <w:rsid w:val="00B8770C"/>
    <w:rsid w:val="00B942C1"/>
    <w:rsid w:val="00BA20AA"/>
    <w:rsid w:val="00BB60DD"/>
    <w:rsid w:val="00BC6241"/>
    <w:rsid w:val="00BD4425"/>
    <w:rsid w:val="00BD4FD9"/>
    <w:rsid w:val="00BF52DF"/>
    <w:rsid w:val="00BF53A6"/>
    <w:rsid w:val="00C02867"/>
    <w:rsid w:val="00C0466A"/>
    <w:rsid w:val="00C17D50"/>
    <w:rsid w:val="00C21A10"/>
    <w:rsid w:val="00C25B49"/>
    <w:rsid w:val="00C262D1"/>
    <w:rsid w:val="00C26776"/>
    <w:rsid w:val="00C30AFE"/>
    <w:rsid w:val="00C34430"/>
    <w:rsid w:val="00C428C6"/>
    <w:rsid w:val="00C4509B"/>
    <w:rsid w:val="00C46C12"/>
    <w:rsid w:val="00C47D09"/>
    <w:rsid w:val="00C60FFF"/>
    <w:rsid w:val="00C67731"/>
    <w:rsid w:val="00C73964"/>
    <w:rsid w:val="00C75927"/>
    <w:rsid w:val="00C80A5C"/>
    <w:rsid w:val="00C923DC"/>
    <w:rsid w:val="00C96008"/>
    <w:rsid w:val="00C96391"/>
    <w:rsid w:val="00C9776A"/>
    <w:rsid w:val="00CA174F"/>
    <w:rsid w:val="00CA5CE2"/>
    <w:rsid w:val="00CB4A91"/>
    <w:rsid w:val="00CC0D2D"/>
    <w:rsid w:val="00CC5FE2"/>
    <w:rsid w:val="00CD2E03"/>
    <w:rsid w:val="00CD3635"/>
    <w:rsid w:val="00CE13EC"/>
    <w:rsid w:val="00CE5657"/>
    <w:rsid w:val="00CF295E"/>
    <w:rsid w:val="00D03B67"/>
    <w:rsid w:val="00D133F8"/>
    <w:rsid w:val="00D14A3E"/>
    <w:rsid w:val="00D215CF"/>
    <w:rsid w:val="00D35E6F"/>
    <w:rsid w:val="00D4273F"/>
    <w:rsid w:val="00D51F1E"/>
    <w:rsid w:val="00D61C1F"/>
    <w:rsid w:val="00D642BA"/>
    <w:rsid w:val="00D715B9"/>
    <w:rsid w:val="00D83128"/>
    <w:rsid w:val="00D90781"/>
    <w:rsid w:val="00D90FD0"/>
    <w:rsid w:val="00D9534C"/>
    <w:rsid w:val="00DC7EB7"/>
    <w:rsid w:val="00DD1F0F"/>
    <w:rsid w:val="00DE24AA"/>
    <w:rsid w:val="00DF0F9D"/>
    <w:rsid w:val="00E03EEF"/>
    <w:rsid w:val="00E03F99"/>
    <w:rsid w:val="00E156F2"/>
    <w:rsid w:val="00E171AD"/>
    <w:rsid w:val="00E25310"/>
    <w:rsid w:val="00E3716B"/>
    <w:rsid w:val="00E37808"/>
    <w:rsid w:val="00E516D6"/>
    <w:rsid w:val="00E5280E"/>
    <w:rsid w:val="00E5323B"/>
    <w:rsid w:val="00E66910"/>
    <w:rsid w:val="00E67FB8"/>
    <w:rsid w:val="00E8276C"/>
    <w:rsid w:val="00E8749E"/>
    <w:rsid w:val="00E878C1"/>
    <w:rsid w:val="00E90C01"/>
    <w:rsid w:val="00E96CEC"/>
    <w:rsid w:val="00E96D3D"/>
    <w:rsid w:val="00E97E44"/>
    <w:rsid w:val="00EA1DA3"/>
    <w:rsid w:val="00EA486E"/>
    <w:rsid w:val="00EA717F"/>
    <w:rsid w:val="00EB27D5"/>
    <w:rsid w:val="00EC4592"/>
    <w:rsid w:val="00ED07CC"/>
    <w:rsid w:val="00ED546B"/>
    <w:rsid w:val="00ED6C57"/>
    <w:rsid w:val="00EE4EFF"/>
    <w:rsid w:val="00EF2A08"/>
    <w:rsid w:val="00EF32FB"/>
    <w:rsid w:val="00EF5AE6"/>
    <w:rsid w:val="00F14FA0"/>
    <w:rsid w:val="00F15CEE"/>
    <w:rsid w:val="00F2731F"/>
    <w:rsid w:val="00F31C5F"/>
    <w:rsid w:val="00F370A8"/>
    <w:rsid w:val="00F50344"/>
    <w:rsid w:val="00F57B0C"/>
    <w:rsid w:val="00F65545"/>
    <w:rsid w:val="00F7496A"/>
    <w:rsid w:val="00F8015A"/>
    <w:rsid w:val="00F82AE8"/>
    <w:rsid w:val="00F92A19"/>
    <w:rsid w:val="00F9371C"/>
    <w:rsid w:val="00FC3624"/>
    <w:rsid w:val="00FD065D"/>
    <w:rsid w:val="00FD335D"/>
    <w:rsid w:val="00FD3847"/>
    <w:rsid w:val="00FD4AD5"/>
    <w:rsid w:val="00FD6171"/>
    <w:rsid w:val="00FF450B"/>
    <w:rsid w:val="00FF5D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812104-3B16-471C-A980-F3F9B306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aliases w:val="Fußn,Fußnotentext Char,Fußnotentext Char Char,Fußnotentext Char Char Char Char,Fußnotentext Char Char Char Char Char Char,Fußnotentext Char1,Fußnotentext Char1 Char Char Char,Fußnotentext Char1 Char Char Char Char,Fußnotentext Char1 Char1"/>
    <w:basedOn w:val="Normal"/>
    <w:link w:val="FootnoteTextChar"/>
    <w:rsid w:val="002A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aliases w:val="Fußnotentext Char Char Char,Fußnotentext Char Char Char Char Char,Fußnotentext Char Char1,Fußnotentext Char1 Char,Fußnotentext Char1 Char Char Char Char Char,Fußnotentext Char1 Char Char Char Char1,Fußnotentext Char1 Char1 Char"/>
    <w:basedOn w:val="DefaultParagraphFont"/>
    <w:link w:val="FootnoteText"/>
    <w:rsid w:val="002A3AF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Reference Superscript,SUPERS"/>
    <w:rsid w:val="002A3A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3A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FF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03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36C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EF2A08"/>
    <w:pPr>
      <w:spacing w:before="63" w:after="6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31F3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styleId="NoSpacing">
    <w:name w:val="No Spacing"/>
    <w:qFormat/>
    <w:rsid w:val="00DC7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C53A-48B4-4BE2-BA71-BF55A96D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7842</Words>
  <Characters>4471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AEED</cp:lastModifiedBy>
  <cp:revision>275</cp:revision>
  <cp:lastPrinted>2018-04-23T08:41:00Z</cp:lastPrinted>
  <dcterms:created xsi:type="dcterms:W3CDTF">2018-03-27T09:14:00Z</dcterms:created>
  <dcterms:modified xsi:type="dcterms:W3CDTF">2018-04-23T12:03:00Z</dcterms:modified>
</cp:coreProperties>
</file>