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D6ECA" w:rsidRPr="00CD371F" w:rsidP="001154C6" w14:paraId="4D0BA31A" w14:textId="77777777">
      <w:pPr>
        <w:jc w:val="center"/>
        <w:rPr>
          <w:b/>
          <w:sz w:val="26"/>
          <w:szCs w:val="26"/>
        </w:rPr>
      </w:pPr>
    </w:p>
    <w:p w:rsidR="003908DB" w:rsidRPr="00DE1A53" w:rsidP="001154C6" w14:paraId="527CEBB8" w14:textId="77777777">
      <w:pPr>
        <w:jc w:val="center"/>
        <w:rPr>
          <w:b/>
          <w:sz w:val="26"/>
          <w:szCs w:val="26"/>
        </w:rPr>
      </w:pPr>
      <w:r w:rsidRPr="00DE1A53">
        <w:rPr>
          <w:b/>
          <w:sz w:val="26"/>
          <w:szCs w:val="26"/>
        </w:rPr>
        <w:t xml:space="preserve">Ministru kabineta </w:t>
      </w:r>
      <w:r w:rsidRPr="00DE1A53" w:rsidR="00330635">
        <w:rPr>
          <w:b/>
          <w:sz w:val="26"/>
          <w:szCs w:val="26"/>
        </w:rPr>
        <w:t>noteikumu</w:t>
      </w:r>
      <w:r w:rsidRPr="00DE1A53" w:rsidR="00EA5DC3">
        <w:rPr>
          <w:b/>
          <w:sz w:val="26"/>
          <w:szCs w:val="26"/>
        </w:rPr>
        <w:t xml:space="preserve"> projekta „</w:t>
      </w:r>
      <w:r w:rsidRPr="00DE1A53" w:rsidR="000C090B">
        <w:rPr>
          <w:b/>
          <w:sz w:val="26"/>
          <w:szCs w:val="26"/>
        </w:rPr>
        <w:t>Grozījumi Ministru kabineta 2010.gada 26.oktobra noteikumos Nr.997„Noteikumi par garantijām komersantu un atbilstošu lauksaimniecības pakalpojumu kooperatīvo sabiedrību konkurētspējas uzlabošanai”</w:t>
      </w:r>
      <w:r w:rsidRPr="00DE1A53" w:rsidR="000518A7">
        <w:rPr>
          <w:b/>
          <w:sz w:val="26"/>
          <w:szCs w:val="26"/>
        </w:rPr>
        <w:t>”</w:t>
      </w:r>
      <w:r w:rsidRPr="00DE1A53" w:rsidR="00EA5DC3">
        <w:rPr>
          <w:b/>
          <w:sz w:val="26"/>
          <w:szCs w:val="26"/>
        </w:rPr>
        <w:t xml:space="preserve"> </w:t>
      </w:r>
      <w:r w:rsidRPr="00DE1A53">
        <w:rPr>
          <w:b/>
          <w:sz w:val="26"/>
          <w:szCs w:val="26"/>
        </w:rPr>
        <w:t>sākotnējās ietekmes novērtējuma ziņojums (anotācija)</w:t>
      </w:r>
    </w:p>
    <w:p w:rsidR="00EA5DC3" w:rsidRPr="00DE1A53" w:rsidP="001154C6" w14:paraId="1D6BD26E" w14:textId="77777777">
      <w:pPr>
        <w:jc w:val="center"/>
        <w:rPr>
          <w:b/>
          <w:sz w:val="26"/>
          <w:szCs w:val="26"/>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1379"/>
        <w:gridCol w:w="7290"/>
      </w:tblGrid>
      <w:tr w14:paraId="2C29E670" w14:textId="77777777" w:rsidTr="00CD371F">
        <w:tblPrEx>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DE1A53" w:rsidP="001154C6" w14:paraId="4C747E9B" w14:textId="77777777">
            <w:pPr>
              <w:pStyle w:val="ListParagraph"/>
              <w:tabs>
                <w:tab w:val="left" w:pos="2268"/>
                <w:tab w:val="left" w:pos="2410"/>
              </w:tabs>
              <w:ind w:left="1080"/>
              <w:jc w:val="center"/>
              <w:rPr>
                <w:b/>
                <w:sz w:val="26"/>
                <w:szCs w:val="26"/>
                <w:lang w:eastAsia="en-US"/>
              </w:rPr>
            </w:pPr>
            <w:r w:rsidRPr="00DE1A53">
              <w:rPr>
                <w:b/>
                <w:bCs/>
                <w:sz w:val="26"/>
                <w:szCs w:val="26"/>
              </w:rPr>
              <w:t>I. Tiesību akta projekta izstrādes nepieciešamība</w:t>
            </w:r>
          </w:p>
        </w:tc>
      </w:tr>
      <w:tr w14:paraId="2C0EAA3D"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DE1A53" w:rsidP="001154C6" w14:paraId="5E7A2044" w14:textId="77777777">
            <w:pPr>
              <w:jc w:val="center"/>
              <w:rPr>
                <w:sz w:val="26"/>
                <w:szCs w:val="26"/>
                <w:lang w:eastAsia="en-US"/>
              </w:rPr>
            </w:pPr>
            <w:r w:rsidRPr="00DE1A53">
              <w:rPr>
                <w:sz w:val="26"/>
                <w:szCs w:val="26"/>
              </w:rPr>
              <w:t>1.</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C61A59" w:rsidRPr="00DE1A53" w:rsidP="001154C6" w14:paraId="0E34B8C8" w14:textId="77777777">
            <w:pPr>
              <w:tabs>
                <w:tab w:val="left" w:pos="1904"/>
              </w:tabs>
              <w:rPr>
                <w:sz w:val="26"/>
                <w:szCs w:val="26"/>
                <w:lang w:eastAsia="en-US"/>
              </w:rPr>
            </w:pPr>
            <w:r w:rsidRPr="00DE1A53">
              <w:rPr>
                <w:sz w:val="26"/>
                <w:szCs w:val="26"/>
              </w:rPr>
              <w:t>Pamatojums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DE1A53" w:rsidP="001154C6" w14:paraId="17A18F99" w14:textId="77777777">
            <w:pPr>
              <w:pStyle w:val="ListParagraph"/>
              <w:tabs>
                <w:tab w:val="left" w:pos="317"/>
              </w:tabs>
              <w:ind w:left="34"/>
              <w:jc w:val="both"/>
              <w:rPr>
                <w:sz w:val="26"/>
                <w:szCs w:val="26"/>
                <w:shd w:val="clear" w:color="auto" w:fill="FFFFFF"/>
              </w:rPr>
            </w:pPr>
            <w:r w:rsidRPr="00DE1A53">
              <w:rPr>
                <w:sz w:val="26"/>
                <w:szCs w:val="26"/>
              </w:rPr>
              <w:t>N</w:t>
            </w:r>
            <w:r w:rsidRPr="00DE1A53" w:rsidR="003D5485">
              <w:rPr>
                <w:sz w:val="26"/>
                <w:szCs w:val="26"/>
              </w:rPr>
              <w:t xml:space="preserve">oteikumu projekts </w:t>
            </w:r>
            <w:r w:rsidRPr="00DE1A53" w:rsidR="003D5485">
              <w:rPr>
                <w:sz w:val="26"/>
                <w:szCs w:val="26"/>
                <w:shd w:val="clear" w:color="auto" w:fill="FFFFFF"/>
              </w:rPr>
              <w:t xml:space="preserve">izstrādāts </w:t>
            </w:r>
            <w:r w:rsidRPr="00DE1A53" w:rsidR="00DA0819">
              <w:rPr>
                <w:sz w:val="26"/>
                <w:szCs w:val="26"/>
                <w:shd w:val="clear" w:color="auto" w:fill="FFFFFF"/>
              </w:rPr>
              <w:t xml:space="preserve">saskaņā ar </w:t>
            </w:r>
            <w:r w:rsidRPr="00DE1A53" w:rsidR="00EA5DC3">
              <w:rPr>
                <w:sz w:val="26"/>
                <w:szCs w:val="26"/>
                <w:shd w:val="clear" w:color="auto" w:fill="FFFFFF"/>
              </w:rPr>
              <w:t>Eiropas Savienības struktūrfondu un Kohēzijas fonda 2014.-2020.gada plānošanas perioda vadības likuma</w:t>
            </w:r>
            <w:r w:rsidRPr="00DE1A53" w:rsidR="00992ABE">
              <w:rPr>
                <w:sz w:val="26"/>
                <w:szCs w:val="26"/>
                <w:shd w:val="clear" w:color="auto" w:fill="FFFFFF"/>
              </w:rPr>
              <w:t xml:space="preserve"> </w:t>
            </w:r>
            <w:r w:rsidRPr="00DE1A53" w:rsidR="00EA5DC3">
              <w:rPr>
                <w:sz w:val="26"/>
                <w:szCs w:val="26"/>
                <w:shd w:val="clear" w:color="auto" w:fill="FFFFFF"/>
              </w:rPr>
              <w:t>20.panta 1</w:t>
            </w:r>
            <w:r w:rsidRPr="00DE1A53" w:rsidR="000C090B">
              <w:rPr>
                <w:sz w:val="26"/>
                <w:szCs w:val="26"/>
                <w:shd w:val="clear" w:color="auto" w:fill="FFFFFF"/>
              </w:rPr>
              <w:t>4</w:t>
            </w:r>
            <w:r w:rsidRPr="00DE1A53" w:rsidR="00EA5DC3">
              <w:rPr>
                <w:sz w:val="26"/>
                <w:szCs w:val="26"/>
                <w:shd w:val="clear" w:color="auto" w:fill="FFFFFF"/>
              </w:rPr>
              <w:t>.punktu</w:t>
            </w:r>
            <w:r w:rsidRPr="00DE1A53" w:rsidR="000C090B">
              <w:rPr>
                <w:sz w:val="26"/>
                <w:szCs w:val="26"/>
                <w:shd w:val="clear" w:color="auto" w:fill="FFFFFF"/>
              </w:rPr>
              <w:t xml:space="preserve"> un Attīstības finanšu institūcijas likuma 12.panta ceturto daļu</w:t>
            </w:r>
            <w:r w:rsidRPr="00DE1A53" w:rsidR="007E1388">
              <w:rPr>
                <w:sz w:val="26"/>
                <w:szCs w:val="26"/>
                <w:shd w:val="clear" w:color="auto" w:fill="FFFFFF"/>
              </w:rPr>
              <w:t>.</w:t>
            </w:r>
          </w:p>
        </w:tc>
      </w:tr>
      <w:tr w14:paraId="0A4CB6A6"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DE1A53" w:rsidP="001154C6" w14:paraId="49A5AED7" w14:textId="77777777">
            <w:pPr>
              <w:jc w:val="center"/>
              <w:rPr>
                <w:sz w:val="26"/>
                <w:szCs w:val="26"/>
                <w:lang w:eastAsia="en-US"/>
              </w:rPr>
            </w:pPr>
            <w:bookmarkStart w:id="0" w:name="_Hlk508179895"/>
            <w:r w:rsidRPr="00DE1A53">
              <w:rPr>
                <w:sz w:val="26"/>
                <w:szCs w:val="26"/>
              </w:rPr>
              <w:t>2.</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6A3A6B" w:rsidRPr="00DE1A53" w:rsidP="001154C6" w14:paraId="74314F49" w14:textId="77777777">
            <w:pPr>
              <w:jc w:val="both"/>
              <w:rPr>
                <w:sz w:val="26"/>
                <w:szCs w:val="26"/>
                <w:lang w:eastAsia="en-US"/>
              </w:rPr>
            </w:pPr>
            <w:r w:rsidRPr="00DE1A53">
              <w:rPr>
                <w:sz w:val="26"/>
                <w:szCs w:val="26"/>
              </w:rPr>
              <w:t>Pašreizējā situācija un problēmas, kuru risināšanai tiesību akta projekts izstrādāts, tiesiskā regulējuma mērķis un būtība</w:t>
            </w:r>
          </w:p>
          <w:p w:rsidR="006A3A6B" w:rsidRPr="00DE1A53" w:rsidP="001154C6" w14:paraId="22BB93EA" w14:textId="77777777">
            <w:pPr>
              <w:rPr>
                <w:sz w:val="26"/>
                <w:szCs w:val="26"/>
                <w:lang w:eastAsia="en-US"/>
              </w:rPr>
            </w:pPr>
          </w:p>
          <w:p w:rsidR="006A3A6B" w:rsidRPr="00DE1A53" w:rsidP="001154C6" w14:paraId="11263D2B" w14:textId="77777777">
            <w:pPr>
              <w:rPr>
                <w:sz w:val="26"/>
                <w:szCs w:val="26"/>
                <w:lang w:eastAsia="en-US"/>
              </w:rPr>
            </w:pPr>
          </w:p>
          <w:p w:rsidR="006A3A6B" w:rsidRPr="00DE1A53" w:rsidP="001154C6" w14:paraId="03056734" w14:textId="77777777">
            <w:pPr>
              <w:rPr>
                <w:sz w:val="26"/>
                <w:szCs w:val="26"/>
                <w:lang w:eastAsia="en-US"/>
              </w:rPr>
            </w:pPr>
          </w:p>
          <w:p w:rsidR="006A3A6B" w:rsidRPr="00DE1A53" w:rsidP="001154C6" w14:paraId="0154DB6F" w14:textId="77777777">
            <w:pPr>
              <w:rPr>
                <w:sz w:val="26"/>
                <w:szCs w:val="26"/>
                <w:lang w:eastAsia="en-US"/>
              </w:rPr>
            </w:pPr>
          </w:p>
          <w:p w:rsidR="006A3A6B" w:rsidRPr="00DE1A53" w:rsidP="001154C6" w14:paraId="2F72E4E1" w14:textId="77777777">
            <w:pPr>
              <w:rPr>
                <w:sz w:val="26"/>
                <w:szCs w:val="26"/>
                <w:lang w:eastAsia="en-US"/>
              </w:rPr>
            </w:pPr>
          </w:p>
          <w:p w:rsidR="006A3A6B" w:rsidRPr="00DE1A53" w:rsidP="001154C6" w14:paraId="65C35503" w14:textId="77777777">
            <w:pPr>
              <w:rPr>
                <w:sz w:val="26"/>
                <w:szCs w:val="26"/>
                <w:lang w:eastAsia="en-US"/>
              </w:rPr>
            </w:pPr>
          </w:p>
          <w:p w:rsidR="006A3A6B" w:rsidRPr="00DE1A53" w:rsidP="001154C6" w14:paraId="11A13384" w14:textId="77777777">
            <w:pPr>
              <w:rPr>
                <w:sz w:val="26"/>
                <w:szCs w:val="26"/>
                <w:lang w:eastAsia="en-US"/>
              </w:rPr>
            </w:pPr>
          </w:p>
          <w:p w:rsidR="006A3A6B" w:rsidRPr="00DE1A53" w:rsidP="001154C6" w14:paraId="7041FB75" w14:textId="77777777">
            <w:pPr>
              <w:rPr>
                <w:sz w:val="26"/>
                <w:szCs w:val="26"/>
                <w:lang w:eastAsia="en-US"/>
              </w:rPr>
            </w:pPr>
          </w:p>
          <w:p w:rsidR="006A3A6B" w:rsidRPr="00DE1A53" w:rsidP="001154C6" w14:paraId="2E58B3A9" w14:textId="77777777">
            <w:pPr>
              <w:rPr>
                <w:sz w:val="26"/>
                <w:szCs w:val="26"/>
                <w:lang w:eastAsia="en-US"/>
              </w:rPr>
            </w:pPr>
          </w:p>
          <w:p w:rsidR="006A3A6B" w:rsidRPr="00DE1A53" w:rsidP="001154C6" w14:paraId="1BF1337D" w14:textId="77777777">
            <w:pPr>
              <w:rPr>
                <w:sz w:val="26"/>
                <w:szCs w:val="26"/>
                <w:lang w:eastAsia="en-US"/>
              </w:rPr>
            </w:pPr>
          </w:p>
          <w:p w:rsidR="006A3A6B" w:rsidRPr="00DE1A53" w:rsidP="001154C6" w14:paraId="0F50F4C4" w14:textId="77777777">
            <w:pPr>
              <w:rPr>
                <w:sz w:val="26"/>
                <w:szCs w:val="26"/>
                <w:lang w:eastAsia="en-US"/>
              </w:rPr>
            </w:pPr>
          </w:p>
          <w:p w:rsidR="006A3A6B" w:rsidRPr="00DE1A53" w:rsidP="001154C6" w14:paraId="2FCAB914" w14:textId="77777777">
            <w:pPr>
              <w:rPr>
                <w:sz w:val="26"/>
                <w:szCs w:val="26"/>
                <w:lang w:eastAsia="en-US"/>
              </w:rPr>
            </w:pPr>
          </w:p>
          <w:p w:rsidR="006A3A6B" w:rsidRPr="00DE1A53" w:rsidP="001154C6" w14:paraId="0F2AFEBF" w14:textId="77777777">
            <w:pPr>
              <w:rPr>
                <w:sz w:val="26"/>
                <w:szCs w:val="26"/>
                <w:lang w:eastAsia="en-US"/>
              </w:rPr>
            </w:pPr>
          </w:p>
          <w:p w:rsidR="006A3A6B" w:rsidRPr="00DE1A53" w:rsidP="001154C6" w14:paraId="7F7BADFD" w14:textId="77777777">
            <w:pPr>
              <w:rPr>
                <w:sz w:val="26"/>
                <w:szCs w:val="26"/>
                <w:lang w:eastAsia="en-US"/>
              </w:rPr>
            </w:pPr>
          </w:p>
          <w:p w:rsidR="006A3A6B" w:rsidRPr="00DE1A53" w:rsidP="001154C6" w14:paraId="46CEC37D" w14:textId="77777777">
            <w:pPr>
              <w:rPr>
                <w:sz w:val="26"/>
                <w:szCs w:val="26"/>
                <w:lang w:eastAsia="en-US"/>
              </w:rPr>
            </w:pPr>
          </w:p>
          <w:p w:rsidR="006A3A6B" w:rsidRPr="00DE1A53" w:rsidP="001154C6" w14:paraId="052E6090" w14:textId="77777777">
            <w:pPr>
              <w:rPr>
                <w:sz w:val="26"/>
                <w:szCs w:val="26"/>
                <w:lang w:eastAsia="en-US"/>
              </w:rPr>
            </w:pPr>
          </w:p>
          <w:p w:rsidR="006A3A6B" w:rsidRPr="00DE1A53" w:rsidP="001154C6" w14:paraId="5F3B3918" w14:textId="77777777">
            <w:pPr>
              <w:rPr>
                <w:sz w:val="26"/>
                <w:szCs w:val="26"/>
                <w:lang w:eastAsia="en-US"/>
              </w:rPr>
            </w:pPr>
          </w:p>
          <w:p w:rsidR="006A3A6B" w:rsidRPr="00DE1A53" w:rsidP="001154C6" w14:paraId="7E0A442D" w14:textId="77777777">
            <w:pPr>
              <w:rPr>
                <w:sz w:val="26"/>
                <w:szCs w:val="26"/>
                <w:lang w:eastAsia="en-US"/>
              </w:rPr>
            </w:pPr>
          </w:p>
          <w:p w:rsidR="006A3A6B" w:rsidRPr="00DE1A53" w:rsidP="001154C6" w14:paraId="6AE67937" w14:textId="77777777">
            <w:pPr>
              <w:rPr>
                <w:sz w:val="26"/>
                <w:szCs w:val="26"/>
                <w:lang w:eastAsia="en-US"/>
              </w:rPr>
            </w:pPr>
          </w:p>
          <w:p w:rsidR="006A3A6B" w:rsidRPr="00DE1A53" w:rsidP="001154C6" w14:paraId="26C53163" w14:textId="77777777">
            <w:pPr>
              <w:rPr>
                <w:sz w:val="26"/>
                <w:szCs w:val="26"/>
                <w:lang w:eastAsia="en-US"/>
              </w:rPr>
            </w:pPr>
          </w:p>
          <w:p w:rsidR="006A3A6B" w:rsidRPr="00DE1A53" w:rsidP="001154C6" w14:paraId="760466EC" w14:textId="77777777">
            <w:pPr>
              <w:ind w:firstLine="720"/>
              <w:rPr>
                <w:sz w:val="26"/>
                <w:szCs w:val="26"/>
                <w:lang w:eastAsia="en-US"/>
              </w:rPr>
            </w:pPr>
          </w:p>
          <w:p w:rsidR="006A3A6B" w:rsidRPr="00DE1A53" w:rsidP="001154C6" w14:paraId="21ED6246" w14:textId="77777777">
            <w:pPr>
              <w:rPr>
                <w:sz w:val="26"/>
                <w:szCs w:val="26"/>
                <w:lang w:eastAsia="en-US"/>
              </w:rPr>
            </w:pPr>
          </w:p>
          <w:p w:rsidR="00D22E45" w:rsidP="001154C6" w14:paraId="2ADFD8B2" w14:textId="4995E38B">
            <w:pPr>
              <w:ind w:firstLine="720"/>
              <w:rPr>
                <w:sz w:val="26"/>
                <w:szCs w:val="26"/>
                <w:lang w:eastAsia="en-US"/>
              </w:rPr>
            </w:pPr>
          </w:p>
          <w:p w:rsidR="00D22E45" w:rsidRPr="00D22E45" w:rsidP="00EE4514" w14:paraId="249D07A5" w14:textId="77777777">
            <w:pPr>
              <w:rPr>
                <w:sz w:val="26"/>
                <w:szCs w:val="26"/>
                <w:lang w:eastAsia="en-US"/>
              </w:rPr>
            </w:pPr>
          </w:p>
          <w:p w:rsidR="00CA5405" w:rsidRPr="00D22E45" w:rsidP="00EE4514" w14:paraId="16471CF2" w14:textId="412E3466">
            <w:pPr>
              <w:rPr>
                <w:sz w:val="26"/>
                <w:szCs w:val="26"/>
                <w:lang w:eastAsia="en-US"/>
              </w:rPr>
            </w:pPr>
          </w:p>
          <w:p w:rsidR="00CA5405" w:rsidRPr="00DE1A53" w:rsidP="000B6D50" w14:paraId="70518862" w14:textId="77777777">
            <w:pPr>
              <w:rPr>
                <w:sz w:val="26"/>
                <w:szCs w:val="26"/>
                <w:lang w:eastAsia="en-US"/>
              </w:rPr>
            </w:pPr>
          </w:p>
          <w:p w:rsidR="00C61A59" w:rsidRPr="00DE1A53" w:rsidP="000B6D50" w14:paraId="4F59956F" w14:textId="3AC69BBE">
            <w:pPr>
              <w:rPr>
                <w:sz w:val="26"/>
                <w:szCs w:val="26"/>
                <w:lang w:eastAsia="en-US"/>
              </w:rPr>
            </w:pP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B13AD3" w:rsidRPr="00DE1A53" w:rsidP="00B13AD3" w14:paraId="6888E028" w14:textId="0DB4ABCE">
            <w:pPr>
              <w:pStyle w:val="Default"/>
              <w:jc w:val="both"/>
              <w:rPr>
                <w:sz w:val="26"/>
                <w:szCs w:val="26"/>
              </w:rPr>
            </w:pPr>
            <w:r w:rsidRPr="00DE1A53">
              <w:rPr>
                <w:sz w:val="26"/>
                <w:szCs w:val="26"/>
              </w:rPr>
              <w:t xml:space="preserve">Noteikumu projekts ir izstrādāts, lai saskaņā ar 2017.gada 28.novembra 2014.–2020.gada plānošanas perioda Eiropas Savienības struktūrfondu un Kohēzijas fonda Uzraudzības komitejas sēdē apstiprināto dokumentu “Aktualizētais tirgus nepilnību </w:t>
            </w:r>
            <w:r w:rsidRPr="00DE1A53">
              <w:rPr>
                <w:sz w:val="26"/>
                <w:szCs w:val="26"/>
              </w:rPr>
              <w:t>izvērtējums</w:t>
            </w:r>
            <w:r w:rsidRPr="00DE1A53">
              <w:rPr>
                <w:sz w:val="26"/>
                <w:szCs w:val="26"/>
              </w:rPr>
              <w:t xml:space="preserve"> finanšu pieejamības jomā: Finanšu instrumentu programmu īstenošanas progresa ziņojums” palielinātu Ministru kabineta 2010.gada 26.oktobra noteikumu Nr.997 “Noteikumi par garantijām komersantu un atbilstošu lauksaimniecības pakalpojumu kooperatīvo sabiedrību konkurētspējas uzlabošanai”</w:t>
            </w:r>
            <w:r w:rsidRPr="00DE1A53" w:rsidR="008E09BF">
              <w:rPr>
                <w:sz w:val="26"/>
                <w:szCs w:val="26"/>
              </w:rPr>
              <w:t xml:space="preserve"> (turpmāk – MK noteikumi Nr.997)</w:t>
            </w:r>
            <w:r w:rsidRPr="00DE1A53">
              <w:rPr>
                <w:sz w:val="26"/>
                <w:szCs w:val="26"/>
              </w:rPr>
              <w:t xml:space="preserve"> ietvaros noteikto 3.1.1.1. pasākumam “Aizdevumu garantijas”</w:t>
            </w:r>
            <w:r w:rsidRPr="00DE1A53" w:rsidR="005D5C24">
              <w:rPr>
                <w:sz w:val="26"/>
                <w:szCs w:val="26"/>
              </w:rPr>
              <w:t xml:space="preserve"> (turpmāk – 3.1.1.1.pasākums)</w:t>
            </w:r>
            <w:r w:rsidRPr="00DE1A53">
              <w:rPr>
                <w:sz w:val="26"/>
                <w:szCs w:val="26"/>
              </w:rPr>
              <w:t xml:space="preserve"> plānoto un pieejamo Eiropas Reģionālās attīstības fonda (turpmāk – ERAF) finansējumu</w:t>
            </w:r>
            <w:r w:rsidRPr="00DE1A53" w:rsidR="005D5C24">
              <w:rPr>
                <w:sz w:val="26"/>
                <w:szCs w:val="26"/>
              </w:rPr>
              <w:t xml:space="preserve">, un veiktus citus grozījumus, kas </w:t>
            </w:r>
            <w:r w:rsidRPr="00DE1A53" w:rsidR="007B29E1">
              <w:rPr>
                <w:sz w:val="26"/>
                <w:szCs w:val="26"/>
              </w:rPr>
              <w:t xml:space="preserve">labvēlīgi ietekmēs </w:t>
            </w:r>
            <w:r w:rsidRPr="00DE1A53" w:rsidR="008E09BF">
              <w:rPr>
                <w:sz w:val="26"/>
                <w:szCs w:val="26"/>
              </w:rPr>
              <w:t>atbalsta saņēmēju loku.</w:t>
            </w:r>
          </w:p>
          <w:p w:rsidR="005D5C24" w:rsidRPr="00DE1A53" w:rsidP="00B13AD3" w14:paraId="660C40E9" w14:textId="77777777">
            <w:pPr>
              <w:pStyle w:val="Default"/>
              <w:jc w:val="both"/>
              <w:rPr>
                <w:sz w:val="26"/>
                <w:szCs w:val="26"/>
              </w:rPr>
            </w:pPr>
          </w:p>
          <w:p w:rsidR="005D5C24" w:rsidRPr="00DE1A53" w:rsidP="005D5C24" w14:paraId="7F231770" w14:textId="77777777">
            <w:pPr>
              <w:pStyle w:val="Default"/>
              <w:spacing w:after="120"/>
              <w:jc w:val="both"/>
              <w:rPr>
                <w:b/>
                <w:i/>
                <w:sz w:val="26"/>
                <w:szCs w:val="26"/>
              </w:rPr>
            </w:pPr>
            <w:r w:rsidRPr="00DE1A53">
              <w:rPr>
                <w:b/>
                <w:i/>
                <w:sz w:val="26"/>
                <w:szCs w:val="26"/>
              </w:rPr>
              <w:t>ERAF finansējuma palielinā</w:t>
            </w:r>
            <w:r w:rsidRPr="00DE1A53" w:rsidR="008E09BF">
              <w:rPr>
                <w:b/>
                <w:i/>
                <w:sz w:val="26"/>
                <w:szCs w:val="26"/>
              </w:rPr>
              <w:t>šana</w:t>
            </w:r>
          </w:p>
          <w:p w:rsidR="00B13AD3" w:rsidRPr="00DE1A53" w:rsidP="008E09BF" w14:paraId="00471A01" w14:textId="0CD250FF">
            <w:pPr>
              <w:pStyle w:val="Default"/>
              <w:spacing w:after="120"/>
              <w:jc w:val="both"/>
              <w:rPr>
                <w:sz w:val="26"/>
                <w:szCs w:val="26"/>
              </w:rPr>
            </w:pPr>
            <w:r w:rsidRPr="00DE1A53">
              <w:rPr>
                <w:sz w:val="26"/>
                <w:szCs w:val="26"/>
              </w:rPr>
              <w:t xml:space="preserve">Šobrīd garantijām pieejamais ERAF finansējuma apmērs ir 15 000 000 </w:t>
            </w:r>
            <w:r w:rsidRPr="00DE1A53">
              <w:rPr>
                <w:i/>
                <w:sz w:val="26"/>
                <w:szCs w:val="26"/>
              </w:rPr>
              <w:t>euro</w:t>
            </w:r>
            <w:r w:rsidRPr="00DE1A53">
              <w:rPr>
                <w:sz w:val="26"/>
                <w:szCs w:val="26"/>
              </w:rPr>
              <w:t xml:space="preserve"> un a</w:t>
            </w:r>
            <w:r w:rsidRPr="00DE1A53">
              <w:rPr>
                <w:sz w:val="26"/>
                <w:szCs w:val="26"/>
              </w:rPr>
              <w:t>tbilstoši MK noteikumu Nr.997 27.punktam aizdevumu garantiju sniegšanas te</w:t>
            </w:r>
            <w:r w:rsidRPr="00DE1A53">
              <w:rPr>
                <w:sz w:val="26"/>
                <w:szCs w:val="26"/>
              </w:rPr>
              <w:t>rmiņš ir 2020.gada 31.decembris.</w:t>
            </w:r>
            <w:r w:rsidRPr="00DE1A53">
              <w:rPr>
                <w:sz w:val="26"/>
                <w:szCs w:val="26"/>
              </w:rPr>
              <w:t xml:space="preserve"> </w:t>
            </w:r>
            <w:r w:rsidRPr="00DE1A53">
              <w:rPr>
                <w:sz w:val="26"/>
                <w:szCs w:val="26"/>
              </w:rPr>
              <w:t>Ņ</w:t>
            </w:r>
            <w:r w:rsidRPr="00DE1A53">
              <w:rPr>
                <w:sz w:val="26"/>
                <w:szCs w:val="26"/>
              </w:rPr>
              <w:t>emot vērā līdzšinējos ERAF izlietojuma rādītājus,</w:t>
            </w:r>
            <w:r w:rsidRPr="00DE1A53" w:rsidR="00DC4078">
              <w:rPr>
                <w:sz w:val="26"/>
                <w:szCs w:val="26"/>
              </w:rPr>
              <w:t xml:space="preserve"> akciju sabiedrība “Attīstības finanšu institūcija </w:t>
            </w:r>
            <w:r w:rsidRPr="00DE1A53" w:rsidR="00DC4078">
              <w:rPr>
                <w:sz w:val="26"/>
                <w:szCs w:val="26"/>
              </w:rPr>
              <w:t>Altum</w:t>
            </w:r>
            <w:r w:rsidRPr="00DE1A53" w:rsidR="00DC4078">
              <w:rPr>
                <w:sz w:val="26"/>
                <w:szCs w:val="26"/>
              </w:rPr>
              <w:t xml:space="preserve"> (turpmāk – </w:t>
            </w:r>
            <w:r w:rsidRPr="00DE1A53" w:rsidR="00295EA4">
              <w:rPr>
                <w:sz w:val="26"/>
                <w:szCs w:val="26"/>
              </w:rPr>
              <w:t xml:space="preserve">sabiedrība </w:t>
            </w:r>
            <w:r w:rsidRPr="00DE1A53">
              <w:rPr>
                <w:sz w:val="26"/>
                <w:szCs w:val="26"/>
              </w:rPr>
              <w:t>Altum</w:t>
            </w:r>
            <w:r w:rsidRPr="00DE1A53" w:rsidR="00DC4078">
              <w:rPr>
                <w:sz w:val="26"/>
                <w:szCs w:val="26"/>
              </w:rPr>
              <w:t>)</w:t>
            </w:r>
            <w:r w:rsidRPr="00DE1A53">
              <w:rPr>
                <w:sz w:val="26"/>
                <w:szCs w:val="26"/>
              </w:rPr>
              <w:t xml:space="preserve"> prognozē, ka individuālajām garantijām piešķirtais ERAF finansējums tiks izlietots pilnā apmērā jau līdz 2018.gada beigām, ja būtiski nemainās finanšu tirgus situācija un pieejamība komercbanku aizdevumiem.</w:t>
            </w:r>
            <w:r w:rsidRPr="00DE1A53" w:rsidR="009571C3">
              <w:rPr>
                <w:sz w:val="26"/>
                <w:szCs w:val="26"/>
              </w:rPr>
              <w:t xml:space="preserve"> Tāpēc</w:t>
            </w:r>
            <w:r w:rsidRPr="00DE1A53" w:rsidR="005D5C24">
              <w:rPr>
                <w:sz w:val="26"/>
                <w:szCs w:val="26"/>
              </w:rPr>
              <w:t xml:space="preserve"> ņemot vērā minēto, kā arī saskaņā ar 2017.gada 28.novembra 2014.–2020.gada plānošanas perioda Eiropas Savienības struktūrfondu un Kohēzijas fonda Uzraudzības komitejas sēdē apstiprināto dokumentu “Aktualizētais tirgus nepilnību </w:t>
            </w:r>
            <w:r w:rsidRPr="00DE1A53" w:rsidR="005D5C24">
              <w:rPr>
                <w:sz w:val="26"/>
                <w:szCs w:val="26"/>
              </w:rPr>
              <w:t>izvērtējums</w:t>
            </w:r>
            <w:r w:rsidRPr="00DE1A53" w:rsidR="005D5C24">
              <w:rPr>
                <w:sz w:val="26"/>
                <w:szCs w:val="26"/>
              </w:rPr>
              <w:t xml:space="preserve"> finanšu pieejamības jomā: Finanšu instrumentu programmu īstenošanas progresa ziņojums” </w:t>
            </w:r>
            <w:r w:rsidRPr="00DE1A53" w:rsidR="005D5C24">
              <w:rPr>
                <w:b/>
                <w:sz w:val="26"/>
                <w:szCs w:val="26"/>
              </w:rPr>
              <w:t>tiek palielināts</w:t>
            </w:r>
            <w:r w:rsidRPr="00DE1A53" w:rsidR="009571C3">
              <w:rPr>
                <w:b/>
                <w:sz w:val="26"/>
                <w:szCs w:val="26"/>
              </w:rPr>
              <w:t xml:space="preserve"> </w:t>
            </w:r>
            <w:r w:rsidRPr="00DE1A53" w:rsidR="005D5C24">
              <w:rPr>
                <w:b/>
                <w:sz w:val="26"/>
                <w:szCs w:val="26"/>
              </w:rPr>
              <w:t xml:space="preserve">3.1.1.1.pasākuma </w:t>
            </w:r>
            <w:r w:rsidRPr="00DE1A53">
              <w:rPr>
                <w:b/>
                <w:sz w:val="26"/>
                <w:szCs w:val="26"/>
              </w:rPr>
              <w:t xml:space="preserve">ERAF </w:t>
            </w:r>
            <w:r w:rsidRPr="00DE1A53" w:rsidR="005D5C24">
              <w:rPr>
                <w:b/>
                <w:sz w:val="26"/>
                <w:szCs w:val="26"/>
              </w:rPr>
              <w:t>finansējums līdz 44 800 000</w:t>
            </w:r>
            <w:r w:rsidRPr="00DE1A53" w:rsidR="005D5C24">
              <w:rPr>
                <w:sz w:val="26"/>
                <w:szCs w:val="26"/>
              </w:rPr>
              <w:t xml:space="preserve"> </w:t>
            </w:r>
            <w:r w:rsidRPr="00DE1A53" w:rsidR="005D5C24">
              <w:rPr>
                <w:b/>
                <w:i/>
                <w:sz w:val="26"/>
                <w:szCs w:val="26"/>
              </w:rPr>
              <w:t>euro</w:t>
            </w:r>
            <w:r w:rsidRPr="00DE1A53" w:rsidR="005D5C24">
              <w:rPr>
                <w:b/>
                <w:i/>
                <w:sz w:val="26"/>
                <w:szCs w:val="26"/>
              </w:rPr>
              <w:t xml:space="preserve"> </w:t>
            </w:r>
            <w:r w:rsidRPr="00DE1A53" w:rsidR="005D5C24">
              <w:rPr>
                <w:b/>
                <w:sz w:val="26"/>
                <w:szCs w:val="26"/>
              </w:rPr>
              <w:t xml:space="preserve">apmēram, t.sk. snieguma rezerve </w:t>
            </w:r>
            <w:r w:rsidRPr="00DE1A53" w:rsidR="007A24C6">
              <w:rPr>
                <w:b/>
                <w:sz w:val="26"/>
                <w:szCs w:val="26"/>
              </w:rPr>
              <w:t>6 510 677</w:t>
            </w:r>
            <w:r w:rsidRPr="00DE1A53" w:rsidR="005D5C24">
              <w:rPr>
                <w:b/>
                <w:i/>
                <w:sz w:val="26"/>
                <w:szCs w:val="26"/>
              </w:rPr>
              <w:t xml:space="preserve"> </w:t>
            </w:r>
            <w:r w:rsidRPr="00DE1A53" w:rsidR="005D5C24">
              <w:rPr>
                <w:b/>
                <w:i/>
                <w:sz w:val="26"/>
                <w:szCs w:val="26"/>
              </w:rPr>
              <w:t>euro</w:t>
            </w:r>
            <w:r w:rsidRPr="00DE1A53" w:rsidR="001F1A2B">
              <w:rPr>
                <w:b/>
                <w:i/>
                <w:sz w:val="26"/>
                <w:szCs w:val="26"/>
              </w:rPr>
              <w:t>.</w:t>
            </w:r>
            <w:r w:rsidRPr="00DE1A53" w:rsidR="001F1A2B">
              <w:rPr>
                <w:sz w:val="26"/>
                <w:szCs w:val="26"/>
              </w:rPr>
              <w:t xml:space="preserve"> </w:t>
            </w:r>
            <w:r w:rsidRPr="00DE1A53" w:rsidR="00DC4078">
              <w:rPr>
                <w:sz w:val="26"/>
                <w:szCs w:val="26"/>
              </w:rPr>
              <w:t xml:space="preserve">MK noteikumos Nr.997 ar šiem grozījumiem tiek izdalīts gan plānotais, gan </w:t>
            </w:r>
            <w:r w:rsidRPr="00DE1A53" w:rsidR="001F1A2B">
              <w:rPr>
                <w:sz w:val="26"/>
                <w:szCs w:val="26"/>
              </w:rPr>
              <w:t xml:space="preserve">šobrīd </w:t>
            </w:r>
            <w:r w:rsidRPr="00DE1A53" w:rsidR="00DC4078">
              <w:rPr>
                <w:sz w:val="26"/>
                <w:szCs w:val="26"/>
              </w:rPr>
              <w:t>pieejamais finans</w:t>
            </w:r>
            <w:r w:rsidRPr="00DE1A53" w:rsidR="001F1A2B">
              <w:rPr>
                <w:sz w:val="26"/>
                <w:szCs w:val="26"/>
              </w:rPr>
              <w:t xml:space="preserve">ējums </w:t>
            </w:r>
            <w:r w:rsidRPr="00DE1A53" w:rsidR="007A24C6">
              <w:rPr>
                <w:sz w:val="26"/>
                <w:szCs w:val="26"/>
              </w:rPr>
              <w:t>38 289 323</w:t>
            </w:r>
            <w:r w:rsidRPr="00DE1A53" w:rsidR="004607B7">
              <w:rPr>
                <w:sz w:val="26"/>
                <w:szCs w:val="26"/>
              </w:rPr>
              <w:t xml:space="preserve"> </w:t>
            </w:r>
            <w:r w:rsidRPr="00DE1A53" w:rsidR="001F1A2B">
              <w:rPr>
                <w:i/>
                <w:sz w:val="26"/>
                <w:szCs w:val="26"/>
              </w:rPr>
              <w:t>euro</w:t>
            </w:r>
            <w:r w:rsidRPr="00DE1A53" w:rsidR="001F1A2B">
              <w:rPr>
                <w:sz w:val="26"/>
                <w:szCs w:val="26"/>
              </w:rPr>
              <w:t xml:space="preserve"> apmērā,</w:t>
            </w:r>
            <w:r w:rsidRPr="00DE1A53" w:rsidR="00DC4078">
              <w:rPr>
                <w:sz w:val="26"/>
                <w:szCs w:val="26"/>
              </w:rPr>
              <w:t xml:space="preserve"> kas ir </w:t>
            </w:r>
            <w:r w:rsidRPr="00DE1A53" w:rsidR="001F1A2B">
              <w:rPr>
                <w:sz w:val="26"/>
                <w:szCs w:val="26"/>
              </w:rPr>
              <w:t xml:space="preserve">finansējums </w:t>
            </w:r>
            <w:r w:rsidRPr="00DE1A53" w:rsidR="00DC4078">
              <w:rPr>
                <w:sz w:val="26"/>
                <w:szCs w:val="26"/>
              </w:rPr>
              <w:t xml:space="preserve">bez snieguma rezerves finansējuma. Ekonomikas ministrija (turpmāk – EM) pēc Eiropas Komisijas lēmuma par snieguma ietvara izpildi no 2019. gada 1. janvāra </w:t>
            </w:r>
            <w:r w:rsidRPr="00DE1A53" w:rsidR="00DC4078">
              <w:rPr>
                <w:sz w:val="26"/>
                <w:szCs w:val="26"/>
              </w:rPr>
              <w:t xml:space="preserve">palielinās </w:t>
            </w:r>
            <w:r w:rsidRPr="00DE1A53" w:rsidR="001F1A2B">
              <w:rPr>
                <w:sz w:val="26"/>
                <w:szCs w:val="26"/>
              </w:rPr>
              <w:t xml:space="preserve">atbalstam </w:t>
            </w:r>
            <w:r w:rsidRPr="00DE1A53" w:rsidR="00DC4078">
              <w:rPr>
                <w:sz w:val="26"/>
                <w:szCs w:val="26"/>
              </w:rPr>
              <w:t>pieejamo attiecināmo finansējumu līdz MK noteikumos noteikt</w:t>
            </w:r>
            <w:r w:rsidRPr="00DE1A53" w:rsidR="001F1A2B">
              <w:rPr>
                <w:sz w:val="26"/>
                <w:szCs w:val="26"/>
              </w:rPr>
              <w:t>ajam</w:t>
            </w:r>
            <w:r w:rsidRPr="00DE1A53" w:rsidR="00DC4078">
              <w:rPr>
                <w:sz w:val="26"/>
                <w:szCs w:val="26"/>
              </w:rPr>
              <w:t xml:space="preserve"> plānotajam kopējam</w:t>
            </w:r>
            <w:r w:rsidRPr="00DE1A53" w:rsidR="001F1A2B">
              <w:rPr>
                <w:sz w:val="26"/>
                <w:szCs w:val="26"/>
              </w:rPr>
              <w:t xml:space="preserve"> attiecināmajam</w:t>
            </w:r>
            <w:r w:rsidRPr="00DE1A53" w:rsidR="00DC4078">
              <w:rPr>
                <w:sz w:val="26"/>
                <w:szCs w:val="26"/>
              </w:rPr>
              <w:t xml:space="preserve"> finansējuma apmēram.</w:t>
            </w:r>
            <w:r w:rsidRPr="00DE1A53" w:rsidR="005D5C24">
              <w:rPr>
                <w:sz w:val="26"/>
                <w:szCs w:val="26"/>
              </w:rPr>
              <w:t xml:space="preserve"> P</w:t>
            </w:r>
            <w:r w:rsidRPr="00DE1A53" w:rsidR="009571C3">
              <w:rPr>
                <w:sz w:val="26"/>
                <w:szCs w:val="26"/>
              </w:rPr>
              <w:t>alielināt finansējumu atbalstam</w:t>
            </w:r>
            <w:r w:rsidRPr="00DE1A53" w:rsidR="005D5C24">
              <w:rPr>
                <w:sz w:val="26"/>
                <w:szCs w:val="26"/>
              </w:rPr>
              <w:t xml:space="preserve"> ir nepieciešams</w:t>
            </w:r>
            <w:r w:rsidRPr="00DE1A53" w:rsidR="009571C3">
              <w:rPr>
                <w:sz w:val="26"/>
                <w:szCs w:val="26"/>
              </w:rPr>
              <w:t xml:space="preserve">, jo </w:t>
            </w:r>
            <w:r w:rsidRPr="00DE1A53">
              <w:rPr>
                <w:sz w:val="26"/>
                <w:szCs w:val="26"/>
              </w:rPr>
              <w:t xml:space="preserve">garantijas ir instruments, kas kopumā sekmē finansējuma pieejamību komersantiem situācijās, kad tā rīcībā esošais nodrošinājums nav pietiekošs kredītresursu piesaistei nepieciešamā apjomā, īpaši MVU segmentā, papildus komercbanku produktiem. </w:t>
            </w:r>
          </w:p>
          <w:p w:rsidR="00767697" w:rsidRPr="00DE1A53" w:rsidP="00B13AD3" w14:paraId="42BD44A5" w14:textId="77777777">
            <w:pPr>
              <w:pStyle w:val="Default"/>
              <w:jc w:val="both"/>
              <w:rPr>
                <w:sz w:val="26"/>
                <w:szCs w:val="26"/>
              </w:rPr>
            </w:pPr>
            <w:r w:rsidRPr="00DE1A53">
              <w:rPr>
                <w:sz w:val="26"/>
                <w:szCs w:val="26"/>
              </w:rPr>
              <w:t>Paralēli noteikumu projektam tiek virzīti attiecīgie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 noteikumi Nr.118).</w:t>
            </w:r>
          </w:p>
          <w:p w:rsidR="008E09BF" w:rsidRPr="00DE1A53" w:rsidP="00B13AD3" w14:paraId="71FF5531" w14:textId="77777777">
            <w:pPr>
              <w:pStyle w:val="Default"/>
              <w:jc w:val="both"/>
              <w:rPr>
                <w:sz w:val="26"/>
                <w:szCs w:val="26"/>
              </w:rPr>
            </w:pPr>
          </w:p>
          <w:p w:rsidR="008E09BF" w:rsidRPr="00DE1A53" w:rsidP="008E09BF" w14:paraId="6B742C90" w14:textId="77777777">
            <w:pPr>
              <w:pStyle w:val="Default"/>
              <w:spacing w:after="120"/>
              <w:rPr>
                <w:b/>
                <w:bCs/>
                <w:i/>
                <w:sz w:val="26"/>
                <w:szCs w:val="26"/>
              </w:rPr>
            </w:pPr>
            <w:r w:rsidRPr="00DE1A53">
              <w:rPr>
                <w:b/>
                <w:bCs/>
                <w:i/>
                <w:sz w:val="26"/>
                <w:szCs w:val="26"/>
              </w:rPr>
              <w:t>Finansējums lielajiem komersantiem</w:t>
            </w:r>
          </w:p>
          <w:p w:rsidR="008E09BF" w:rsidRPr="00DE1A53" w:rsidP="008E09BF" w14:paraId="62DE8294" w14:textId="5DCE9314">
            <w:pPr>
              <w:pStyle w:val="Default"/>
              <w:jc w:val="both"/>
              <w:rPr>
                <w:b/>
                <w:bCs/>
                <w:sz w:val="26"/>
                <w:szCs w:val="26"/>
              </w:rPr>
            </w:pPr>
            <w:r w:rsidRPr="00DE1A53">
              <w:rPr>
                <w:bCs/>
                <w:sz w:val="26"/>
                <w:szCs w:val="26"/>
              </w:rPr>
              <w:t xml:space="preserve">Ar </w:t>
            </w:r>
            <w:r w:rsidR="00725E71">
              <w:rPr>
                <w:bCs/>
                <w:sz w:val="26"/>
                <w:szCs w:val="26"/>
              </w:rPr>
              <w:t>2017.gada</w:t>
            </w:r>
            <w:r w:rsidRPr="00DE1A53">
              <w:rPr>
                <w:bCs/>
                <w:sz w:val="26"/>
                <w:szCs w:val="26"/>
              </w:rPr>
              <w:t xml:space="preserve"> februāra MK noteikumu Nr.997 grozījumiem lielajiem komersantiem tika novirzīts finansējums - 3.1.3. aktivitātes "Apmācības un konsultācijas komercdarbības un </w:t>
            </w:r>
            <w:r w:rsidRPr="00DE1A53">
              <w:rPr>
                <w:bCs/>
                <w:sz w:val="26"/>
                <w:szCs w:val="26"/>
              </w:rPr>
              <w:t>pašnodarbinātības</w:t>
            </w:r>
            <w:r w:rsidRPr="00DE1A53">
              <w:rPr>
                <w:bCs/>
                <w:sz w:val="26"/>
                <w:szCs w:val="26"/>
              </w:rPr>
              <w:t xml:space="preserve"> uzsācējiem" finansējums 675 586 </w:t>
            </w:r>
            <w:r w:rsidRPr="00DE1A53">
              <w:rPr>
                <w:bCs/>
                <w:sz w:val="26"/>
                <w:szCs w:val="26"/>
              </w:rPr>
              <w:t>euro</w:t>
            </w:r>
            <w:r w:rsidRPr="00DE1A53">
              <w:rPr>
                <w:bCs/>
                <w:sz w:val="26"/>
                <w:szCs w:val="26"/>
              </w:rPr>
              <w:t xml:space="preserve"> apmērā, kā arī otro reizi atmaksātais finansējums darbības programmas "Cilvēkresursi un nodarbinātība" 1.3.1.2. aktivitātes "Atbalsts </w:t>
            </w:r>
            <w:r w:rsidRPr="00DE1A53">
              <w:rPr>
                <w:bCs/>
                <w:sz w:val="26"/>
                <w:szCs w:val="26"/>
              </w:rPr>
              <w:t>pašnodarbinātības</w:t>
            </w:r>
            <w:r w:rsidRPr="00DE1A53">
              <w:rPr>
                <w:bCs/>
                <w:sz w:val="26"/>
                <w:szCs w:val="26"/>
              </w:rPr>
              <w:t xml:space="preserve"> un uzņēmējdarbības uzsākšanai" ietvaros 482 840 </w:t>
            </w:r>
            <w:r w:rsidRPr="00DE1A53">
              <w:rPr>
                <w:bCs/>
                <w:sz w:val="26"/>
                <w:szCs w:val="26"/>
              </w:rPr>
              <w:t>euro</w:t>
            </w:r>
            <w:r w:rsidRPr="00DE1A53">
              <w:rPr>
                <w:bCs/>
                <w:sz w:val="26"/>
                <w:szCs w:val="26"/>
              </w:rPr>
              <w:t xml:space="preserve"> apmērā. Uz šo finansējumu sabiedrība </w:t>
            </w:r>
            <w:r w:rsidRPr="00DE1A53">
              <w:rPr>
                <w:bCs/>
                <w:sz w:val="26"/>
                <w:szCs w:val="26"/>
              </w:rPr>
              <w:t>Altum</w:t>
            </w:r>
            <w:r w:rsidRPr="00DE1A53">
              <w:rPr>
                <w:bCs/>
                <w:sz w:val="26"/>
                <w:szCs w:val="26"/>
              </w:rPr>
              <w:t xml:space="preserve"> var uzņemties garantiju saistības, t.i. izsniegt garantijas 6 </w:t>
            </w:r>
            <w:r w:rsidRPr="00DE1A53">
              <w:rPr>
                <w:bCs/>
                <w:sz w:val="26"/>
                <w:szCs w:val="26"/>
              </w:rPr>
              <w:t>milj.euro</w:t>
            </w:r>
            <w:r w:rsidRPr="00DE1A53">
              <w:rPr>
                <w:bCs/>
                <w:sz w:val="26"/>
                <w:szCs w:val="26"/>
              </w:rPr>
              <w:t xml:space="preserve"> apmērā. Līdz </w:t>
            </w:r>
            <w:r w:rsidR="00725E71">
              <w:rPr>
                <w:bCs/>
                <w:sz w:val="26"/>
                <w:szCs w:val="26"/>
              </w:rPr>
              <w:t xml:space="preserve">2017.gada </w:t>
            </w:r>
            <w:r w:rsidRPr="00DE1A53">
              <w:rPr>
                <w:bCs/>
                <w:sz w:val="26"/>
                <w:szCs w:val="26"/>
              </w:rPr>
              <w:t xml:space="preserve">24 novembrim sabiedrība </w:t>
            </w:r>
            <w:r w:rsidRPr="00DE1A53">
              <w:rPr>
                <w:bCs/>
                <w:sz w:val="26"/>
                <w:szCs w:val="26"/>
              </w:rPr>
              <w:t>Altum</w:t>
            </w:r>
            <w:r w:rsidRPr="00DE1A53">
              <w:rPr>
                <w:bCs/>
                <w:sz w:val="26"/>
                <w:szCs w:val="26"/>
              </w:rPr>
              <w:t xml:space="preserve"> ir izsniegusi 7 garantijas par 3.7 </w:t>
            </w:r>
            <w:r w:rsidRPr="00DE1A53">
              <w:rPr>
                <w:bCs/>
                <w:sz w:val="26"/>
                <w:szCs w:val="26"/>
              </w:rPr>
              <w:t>milj.euro</w:t>
            </w:r>
            <w:r w:rsidRPr="00DE1A53">
              <w:rPr>
                <w:bCs/>
                <w:sz w:val="26"/>
                <w:szCs w:val="26"/>
              </w:rPr>
              <w:t xml:space="preserve"> un šobrīd ir pieņemts lēmums par vēl vienas garantijas piešķiršanu 720 000 </w:t>
            </w:r>
            <w:r w:rsidRPr="00DE1A53">
              <w:rPr>
                <w:bCs/>
                <w:sz w:val="26"/>
                <w:szCs w:val="26"/>
              </w:rPr>
              <w:t>euro</w:t>
            </w:r>
            <w:r w:rsidRPr="00DE1A53">
              <w:rPr>
                <w:bCs/>
                <w:sz w:val="26"/>
                <w:szCs w:val="26"/>
              </w:rPr>
              <w:t xml:space="preserve"> apmērā. Ņemot vērā līdzšinējo lielo komersantu pieprasījumu, </w:t>
            </w:r>
            <w:r w:rsidRPr="00DE1A53" w:rsidR="004D3626">
              <w:rPr>
                <w:b/>
                <w:bCs/>
                <w:sz w:val="26"/>
                <w:szCs w:val="26"/>
              </w:rPr>
              <w:t>EM</w:t>
            </w:r>
            <w:r w:rsidRPr="00DE1A53">
              <w:rPr>
                <w:b/>
                <w:bCs/>
                <w:sz w:val="26"/>
                <w:szCs w:val="26"/>
              </w:rPr>
              <w:t xml:space="preserve"> rosina savlaicīgi novirzīt papildus finansējumu lielajiem komersantiem līdz 1 500 000 </w:t>
            </w:r>
            <w:r w:rsidRPr="00DE1A53">
              <w:rPr>
                <w:b/>
                <w:bCs/>
                <w:sz w:val="26"/>
                <w:szCs w:val="26"/>
              </w:rPr>
              <w:t>euro</w:t>
            </w:r>
            <w:r w:rsidRPr="00DE1A53">
              <w:rPr>
                <w:b/>
                <w:bCs/>
                <w:sz w:val="26"/>
                <w:szCs w:val="26"/>
              </w:rPr>
              <w:t xml:space="preserve"> apmērā no starta un mikro aizdevumu programmas atmaksātā finansējuma.</w:t>
            </w:r>
          </w:p>
          <w:p w:rsidR="008E09BF" w:rsidRPr="00DE1A53" w:rsidP="008E09BF" w14:paraId="0D4441C2" w14:textId="4147A09B">
            <w:pPr>
              <w:pStyle w:val="Default"/>
              <w:jc w:val="both"/>
              <w:rPr>
                <w:sz w:val="26"/>
                <w:szCs w:val="26"/>
              </w:rPr>
            </w:pPr>
            <w:r w:rsidRPr="00DE1A53">
              <w:rPr>
                <w:bCs/>
                <w:sz w:val="26"/>
                <w:szCs w:val="26"/>
              </w:rPr>
              <w:t>Laika posmā no 2016.gada 1.janvāra līdz 2016.gada jūnijam start</w:t>
            </w:r>
            <w:r w:rsidRPr="00DE1A53" w:rsidR="002954FE">
              <w:rPr>
                <w:bCs/>
                <w:sz w:val="26"/>
                <w:szCs w:val="26"/>
              </w:rPr>
              <w:t>a</w:t>
            </w:r>
            <w:r w:rsidRPr="00DE1A53">
              <w:rPr>
                <w:bCs/>
                <w:sz w:val="26"/>
                <w:szCs w:val="26"/>
              </w:rPr>
              <w:t xml:space="preserve"> un mikro aizdevumi tika sniegti saskaņā ar Ministru kabineta 2009.gada 17.februāra noteikumu Nr.164 “Noteikumi par aizdevumiem saimnieciskās darbības uzsācējiem un komersantiem konkurētspējas uzlabošanai” </w:t>
            </w:r>
            <w:r w:rsidRPr="00DE1A53">
              <w:rPr>
                <w:sz w:val="26"/>
                <w:szCs w:val="26"/>
              </w:rPr>
              <w:t>5.</w:t>
            </w:r>
            <w:r w:rsidRPr="00DE1A53">
              <w:rPr>
                <w:sz w:val="26"/>
                <w:szCs w:val="26"/>
                <w:vertAlign w:val="superscript"/>
              </w:rPr>
              <w:t>2</w:t>
            </w:r>
            <w:r w:rsidRPr="00DE1A53">
              <w:rPr>
                <w:bCs/>
                <w:sz w:val="26"/>
                <w:szCs w:val="26"/>
              </w:rPr>
              <w:t xml:space="preserve"> punktu un tam papildus tika novirzīts finansējums </w:t>
            </w:r>
            <w:r w:rsidRPr="00DE1A53">
              <w:rPr>
                <w:sz w:val="26"/>
                <w:szCs w:val="26"/>
              </w:rPr>
              <w:t xml:space="preserve"> 4 291 446,29 </w:t>
            </w:r>
            <w:r w:rsidRPr="00DE1A53">
              <w:rPr>
                <w:i/>
                <w:iCs/>
                <w:sz w:val="26"/>
                <w:szCs w:val="26"/>
              </w:rPr>
              <w:t>euro</w:t>
            </w:r>
            <w:r w:rsidRPr="00DE1A53">
              <w:rPr>
                <w:i/>
                <w:iCs/>
                <w:sz w:val="26"/>
                <w:szCs w:val="26"/>
              </w:rPr>
              <w:t xml:space="preserve"> </w:t>
            </w:r>
            <w:r w:rsidRPr="00DE1A53">
              <w:rPr>
                <w:sz w:val="26"/>
                <w:szCs w:val="26"/>
              </w:rPr>
              <w:t>apmērā. Šī finansējuma avots bija:</w:t>
            </w:r>
          </w:p>
          <w:p w:rsidR="008E09BF" w:rsidRPr="00DE1A53" w:rsidP="008E09BF" w14:paraId="0E9B68BA" w14:textId="77777777">
            <w:pPr>
              <w:pStyle w:val="Default"/>
              <w:numPr>
                <w:ilvl w:val="0"/>
                <w:numId w:val="33"/>
              </w:numPr>
              <w:jc w:val="both"/>
              <w:rPr>
                <w:i/>
                <w:sz w:val="26"/>
                <w:szCs w:val="26"/>
              </w:rPr>
            </w:pPr>
            <w:r w:rsidRPr="00DE1A53">
              <w:rPr>
                <w:sz w:val="26"/>
                <w:szCs w:val="26"/>
              </w:rPr>
              <w:t>Ministru kabineta 2013.gada 28.maija sēdē (prot.Nr.32, 47§)</w:t>
            </w:r>
            <w:r>
              <w:rPr>
                <w:sz w:val="26"/>
                <w:szCs w:val="26"/>
                <w:vertAlign w:val="superscript"/>
              </w:rPr>
              <w:footnoteReference w:id="3"/>
            </w:r>
            <w:r w:rsidRPr="00DE1A53">
              <w:rPr>
                <w:sz w:val="26"/>
                <w:szCs w:val="26"/>
              </w:rPr>
              <w:t xml:space="preserve"> pieņemtais lēmums (5.punkts) uzskatīt par atgūtiem projekta ietvaros konstatētos neatbilstošos izdevumus 2 752 204,46 </w:t>
            </w:r>
            <w:r w:rsidRPr="00DE1A53">
              <w:rPr>
                <w:i/>
                <w:sz w:val="26"/>
                <w:szCs w:val="26"/>
              </w:rPr>
              <w:t>euro</w:t>
            </w:r>
            <w:r w:rsidRPr="00DE1A53">
              <w:rPr>
                <w:sz w:val="26"/>
                <w:szCs w:val="26"/>
              </w:rPr>
              <w:t xml:space="preserve"> apmērā un  tika uzdots EM nodrošināt, ka sabiedrība </w:t>
            </w:r>
            <w:r w:rsidRPr="00DE1A53">
              <w:rPr>
                <w:sz w:val="26"/>
                <w:szCs w:val="26"/>
              </w:rPr>
              <w:t>Altum</w:t>
            </w:r>
            <w:r w:rsidRPr="00DE1A53">
              <w:rPr>
                <w:sz w:val="26"/>
                <w:szCs w:val="26"/>
              </w:rPr>
              <w:t xml:space="preserve"> par </w:t>
            </w:r>
            <w:r w:rsidRPr="00DE1A53">
              <w:rPr>
                <w:sz w:val="26"/>
                <w:szCs w:val="26"/>
              </w:rPr>
              <w:t xml:space="preserve">šo apjomu izsniedz aizdevumus tās pašas valsts atbalsta programmas ietvaros (t.i. VAP ietvaros). Ar 2013.gada 20.augusta sēdes protokola (prot.Nr.45, 97§) 3.punktu, VAP ietvaros apgūstamais finansējums tika koriģēts uz 2 678 608,29 </w:t>
            </w:r>
            <w:r w:rsidRPr="00DE1A53">
              <w:rPr>
                <w:i/>
                <w:sz w:val="26"/>
                <w:szCs w:val="26"/>
              </w:rPr>
              <w:t>euro</w:t>
            </w:r>
            <w:r w:rsidRPr="00DE1A53">
              <w:rPr>
                <w:i/>
                <w:sz w:val="26"/>
                <w:szCs w:val="26"/>
              </w:rPr>
              <w:t>;</w:t>
            </w:r>
          </w:p>
          <w:p w:rsidR="008E09BF" w:rsidRPr="00DE1A53" w:rsidP="008E09BF" w14:paraId="7B0D525A" w14:textId="086390C2">
            <w:pPr>
              <w:pStyle w:val="Default"/>
              <w:numPr>
                <w:ilvl w:val="0"/>
                <w:numId w:val="33"/>
              </w:numPr>
              <w:jc w:val="both"/>
              <w:rPr>
                <w:i/>
                <w:sz w:val="26"/>
                <w:szCs w:val="26"/>
              </w:rPr>
            </w:pPr>
            <w:r w:rsidRPr="00DE1A53">
              <w:rPr>
                <w:sz w:val="26"/>
                <w:szCs w:val="26"/>
              </w:rPr>
              <w:t>Ministru kabineta 2013.gada 20.augusta sēdē (prot.Nr.45, 97§)</w:t>
            </w:r>
            <w:r>
              <w:rPr>
                <w:sz w:val="26"/>
                <w:szCs w:val="26"/>
                <w:vertAlign w:val="superscript"/>
              </w:rPr>
              <w:footnoteReference w:id="4"/>
            </w:r>
            <w:r w:rsidRPr="00DE1A53">
              <w:rPr>
                <w:sz w:val="26"/>
                <w:szCs w:val="26"/>
              </w:rPr>
              <w:t xml:space="preserve"> pieņemtais lēmums (4.punkts) uzskatīt par atgūtiem projekta ietvaros konstatētos neatbilstošos izdevumus 1 612 838 </w:t>
            </w:r>
            <w:r w:rsidRPr="00DE1A53">
              <w:rPr>
                <w:i/>
                <w:sz w:val="26"/>
                <w:szCs w:val="26"/>
              </w:rPr>
              <w:t>euro</w:t>
            </w:r>
            <w:r w:rsidRPr="00DE1A53">
              <w:rPr>
                <w:sz w:val="26"/>
                <w:szCs w:val="26"/>
              </w:rPr>
              <w:t xml:space="preserve"> apmērā un tika uzdots EM nodrošināt, ka sabiedrība </w:t>
            </w:r>
            <w:r w:rsidRPr="00DE1A53">
              <w:rPr>
                <w:sz w:val="26"/>
                <w:szCs w:val="26"/>
              </w:rPr>
              <w:t>Altum</w:t>
            </w:r>
            <w:r w:rsidRPr="00DE1A53">
              <w:rPr>
                <w:sz w:val="26"/>
                <w:szCs w:val="26"/>
              </w:rPr>
              <w:t xml:space="preserve"> sniedz atbalstu </w:t>
            </w:r>
            <w:r w:rsidRPr="00DE1A53">
              <w:rPr>
                <w:sz w:val="26"/>
                <w:szCs w:val="26"/>
              </w:rPr>
              <w:t>pašnodarbinātības</w:t>
            </w:r>
            <w:r w:rsidRPr="00DE1A53">
              <w:rPr>
                <w:sz w:val="26"/>
                <w:szCs w:val="26"/>
              </w:rPr>
              <w:t xml:space="preserve"> un uzņēmējdarbības uzsākšanai tās pašas valsts atbalsta programmas ietvaros (t.i. MK noteikumi Nr.293</w:t>
            </w:r>
            <w:r>
              <w:rPr>
                <w:sz w:val="26"/>
                <w:szCs w:val="26"/>
                <w:vertAlign w:val="superscript"/>
              </w:rPr>
              <w:footnoteReference w:id="5"/>
            </w:r>
            <w:r w:rsidRPr="00DE1A53">
              <w:rPr>
                <w:sz w:val="26"/>
                <w:szCs w:val="26"/>
              </w:rPr>
              <w:t xml:space="preserve">). </w:t>
            </w:r>
          </w:p>
          <w:p w:rsidR="008E09BF" w:rsidRPr="00DE1A53" w:rsidP="00AC20F2" w14:paraId="491D3C08" w14:textId="2B8F9659">
            <w:pPr>
              <w:pStyle w:val="Default"/>
              <w:jc w:val="both"/>
              <w:rPr>
                <w:bCs/>
                <w:sz w:val="26"/>
                <w:szCs w:val="26"/>
              </w:rPr>
            </w:pPr>
            <w:r w:rsidRPr="00DE1A53">
              <w:rPr>
                <w:bCs/>
                <w:sz w:val="26"/>
                <w:szCs w:val="26"/>
              </w:rPr>
              <w:t>Novirzot atmaksāto finansējumu garantiju sniegšanai, efektīvi tiks izmantoti publiskie resursi finanšu instrumentu īstenošanā.</w:t>
            </w:r>
          </w:p>
          <w:p w:rsidR="008023A3" w:rsidRPr="00DE1A53" w:rsidP="008023A3" w14:paraId="4F144DF0" w14:textId="5B9DF2F5">
            <w:pPr>
              <w:pStyle w:val="Default"/>
              <w:jc w:val="both"/>
              <w:rPr>
                <w:bCs/>
                <w:sz w:val="26"/>
                <w:szCs w:val="26"/>
              </w:rPr>
            </w:pPr>
            <w:r w:rsidRPr="00DE1A53">
              <w:rPr>
                <w:bCs/>
                <w:sz w:val="26"/>
                <w:szCs w:val="26"/>
              </w:rPr>
              <w:t>Papildus norādām, ka lielo komersantu garantiju sniegšanai</w:t>
            </w:r>
            <w:r w:rsidRPr="00DE1A53">
              <w:rPr>
                <w:bCs/>
                <w:sz w:val="26"/>
                <w:szCs w:val="26"/>
              </w:rPr>
              <w:t xml:space="preserve"> paredzētais finansējums </w:t>
            </w:r>
            <w:r w:rsidRPr="00DE1A53" w:rsidR="007A24C6">
              <w:rPr>
                <w:bCs/>
                <w:sz w:val="26"/>
                <w:szCs w:val="26"/>
              </w:rPr>
              <w:t xml:space="preserve">1 500 000 </w:t>
            </w:r>
            <w:r w:rsidRPr="00DE1A53" w:rsidR="007A24C6">
              <w:rPr>
                <w:bCs/>
                <w:i/>
                <w:sz w:val="26"/>
                <w:szCs w:val="26"/>
              </w:rPr>
              <w:t>euro</w:t>
            </w:r>
            <w:r w:rsidRPr="00DE1A53" w:rsidR="007A24C6">
              <w:rPr>
                <w:bCs/>
                <w:sz w:val="26"/>
                <w:szCs w:val="26"/>
              </w:rPr>
              <w:t xml:space="preserve"> apmērā </w:t>
            </w:r>
            <w:r w:rsidRPr="00DE1A53" w:rsidR="00166B17">
              <w:rPr>
                <w:bCs/>
                <w:sz w:val="26"/>
                <w:szCs w:val="26"/>
              </w:rPr>
              <w:t>ir nevis</w:t>
            </w:r>
            <w:r w:rsidRPr="00DE1A53" w:rsidR="007A24C6">
              <w:rPr>
                <w:bCs/>
                <w:sz w:val="26"/>
                <w:szCs w:val="26"/>
              </w:rPr>
              <w:t xml:space="preserve"> ES fondu finansējuma atmaksas,</w:t>
            </w:r>
            <w:r w:rsidRPr="00DE1A53" w:rsidR="00166B17">
              <w:rPr>
                <w:bCs/>
                <w:sz w:val="26"/>
                <w:szCs w:val="26"/>
              </w:rPr>
              <w:t xml:space="preserve"> uz kurām attiecas atmaksu izmantošanas ierobežojumi, kas noteikti regulā Nr.1083/2006, </w:t>
            </w:r>
            <w:r w:rsidRPr="00DE1A53" w:rsidR="007A24C6">
              <w:rPr>
                <w:bCs/>
                <w:sz w:val="26"/>
                <w:szCs w:val="26"/>
              </w:rPr>
              <w:t>bet gan korekciju finansējums, t.i. 2013.gadā tika veiktas divas korekcijas – Starta programmā un Konkurētspējas programmā. No deklarācijas tika izņemts šis fondu  finansējums (tālāk novirzīts APV programmai un apmācībām)</w:t>
            </w:r>
            <w:r w:rsidRPr="00DE1A53" w:rsidR="00166B17">
              <w:rPr>
                <w:bCs/>
                <w:sz w:val="26"/>
                <w:szCs w:val="26"/>
              </w:rPr>
              <w:t>, kuru ietvaros tas tika atmaksāts.</w:t>
            </w:r>
          </w:p>
          <w:p w:rsidR="007A24C6" w:rsidRPr="00DE1A53" w:rsidP="007A24C6" w14:paraId="3FFAC373" w14:textId="77777777">
            <w:pPr>
              <w:pStyle w:val="Default"/>
              <w:jc w:val="both"/>
              <w:rPr>
                <w:bCs/>
                <w:sz w:val="26"/>
                <w:szCs w:val="26"/>
              </w:rPr>
            </w:pPr>
            <w:r w:rsidRPr="00DE1A53">
              <w:rPr>
                <w:bCs/>
                <w:sz w:val="26"/>
                <w:szCs w:val="26"/>
              </w:rPr>
              <w:t>Papildus tiek precizēts arī MK noteikumu Nr.997 1.</w:t>
            </w:r>
            <w:r w:rsidRPr="00DE1A53">
              <w:rPr>
                <w:bCs/>
                <w:sz w:val="26"/>
                <w:szCs w:val="26"/>
                <w:vertAlign w:val="superscript"/>
              </w:rPr>
              <w:t>2</w:t>
            </w:r>
            <w:r w:rsidRPr="00DE1A53">
              <w:rPr>
                <w:bCs/>
                <w:sz w:val="26"/>
                <w:szCs w:val="26"/>
              </w:rPr>
              <w:t xml:space="preserve"> punkta sākuma daļa, sniedzot vispārēju atsauci iepriekšējā MK noteikumu Nr.997 redakcijā nosaukto konkrēto garantiju vietā.</w:t>
            </w:r>
          </w:p>
          <w:p w:rsidR="008E09BF" w:rsidRPr="00DE1A53" w:rsidP="008E09BF" w14:paraId="0194EA22" w14:textId="77777777">
            <w:pPr>
              <w:pStyle w:val="Default"/>
              <w:rPr>
                <w:bCs/>
                <w:sz w:val="26"/>
                <w:szCs w:val="26"/>
              </w:rPr>
            </w:pPr>
          </w:p>
          <w:p w:rsidR="008E09BF" w:rsidRPr="00DE1A53" w:rsidP="008E09BF" w14:paraId="48E6CB0E" w14:textId="77777777">
            <w:pPr>
              <w:pStyle w:val="Default"/>
              <w:spacing w:after="120"/>
              <w:rPr>
                <w:b/>
                <w:bCs/>
                <w:i/>
                <w:sz w:val="26"/>
                <w:szCs w:val="26"/>
              </w:rPr>
            </w:pPr>
            <w:r w:rsidRPr="00DE1A53">
              <w:rPr>
                <w:b/>
                <w:bCs/>
                <w:i/>
                <w:sz w:val="26"/>
                <w:szCs w:val="26"/>
              </w:rPr>
              <w:t>Atbalstāmo n</w:t>
            </w:r>
            <w:r w:rsidRPr="00DE1A53">
              <w:rPr>
                <w:b/>
                <w:bCs/>
                <w:i/>
                <w:sz w:val="26"/>
                <w:szCs w:val="26"/>
              </w:rPr>
              <w:t>ozaru paplašināšana</w:t>
            </w:r>
          </w:p>
          <w:p w:rsidR="008E09BF" w:rsidP="008E09BF" w14:paraId="5908B479" w14:textId="218283C6">
            <w:pPr>
              <w:pStyle w:val="Default"/>
              <w:jc w:val="both"/>
              <w:rPr>
                <w:bCs/>
                <w:sz w:val="26"/>
                <w:szCs w:val="26"/>
              </w:rPr>
            </w:pPr>
            <w:r w:rsidRPr="00DE1A53">
              <w:rPr>
                <w:bCs/>
                <w:sz w:val="26"/>
                <w:szCs w:val="26"/>
              </w:rPr>
              <w:t xml:space="preserve">Īstenojot kredītu garantiju programmu, </w:t>
            </w:r>
            <w:r w:rsidRPr="00DE1A53">
              <w:rPr>
                <w:b/>
                <w:bCs/>
                <w:sz w:val="26"/>
                <w:szCs w:val="26"/>
              </w:rPr>
              <w:t>EM rosina pārskatīt un svītrot aizliegto nozari NACE 77</w:t>
            </w:r>
            <w:r w:rsidRPr="00DE1A53">
              <w:rPr>
                <w:b/>
                <w:bCs/>
                <w:i/>
                <w:sz w:val="26"/>
                <w:szCs w:val="26"/>
              </w:rPr>
              <w:t>“transportlīdzekļu, individuālās lietošanas priekšmetu, sadzīves aparatūras un sadzīves iekārtu iznomāšanai”.</w:t>
            </w:r>
            <w:r w:rsidRPr="00DE1A53">
              <w:rPr>
                <w:bCs/>
                <w:i/>
                <w:sz w:val="26"/>
                <w:szCs w:val="26"/>
              </w:rPr>
              <w:t xml:space="preserve"> </w:t>
            </w:r>
            <w:r w:rsidRPr="00DE1A53">
              <w:rPr>
                <w:bCs/>
                <w:sz w:val="26"/>
                <w:szCs w:val="26"/>
              </w:rPr>
              <w:t>Šīs nozares finansēšana ir atļauta tiešo aizdevumu programmās, kā piemēra</w:t>
            </w:r>
            <w:r w:rsidRPr="00DE1A53" w:rsidR="00460D8E">
              <w:rPr>
                <w:bCs/>
                <w:sz w:val="26"/>
                <w:szCs w:val="26"/>
              </w:rPr>
              <w:t>m</w:t>
            </w:r>
            <w:r w:rsidRPr="00DE1A53">
              <w:rPr>
                <w:bCs/>
                <w:sz w:val="26"/>
                <w:szCs w:val="26"/>
              </w:rPr>
              <w:t xml:space="preserve">, MVU izaugsmes programmā, Starta un mikro programmā, kā arī Šveices </w:t>
            </w:r>
            <w:r w:rsidRPr="00DE1A53">
              <w:rPr>
                <w:bCs/>
                <w:sz w:val="26"/>
                <w:szCs w:val="26"/>
              </w:rPr>
              <w:t>mikrokredītu</w:t>
            </w:r>
            <w:r w:rsidRPr="00DE1A53">
              <w:rPr>
                <w:bCs/>
                <w:sz w:val="26"/>
                <w:szCs w:val="26"/>
              </w:rPr>
              <w:t xml:space="preserve"> programmā. 2017.gada 8.novembrī tika MK apstiprināts MK noteikumu projekts “Grozījumi Ministru kabineta 2016. gada 15. jūlija noteikumos Nr. 469 "</w:t>
            </w:r>
            <w:r>
              <w:fldChar w:fldCharType="begin"/>
            </w:r>
            <w:r>
              <w:instrText xml:space="preserve"> HYPERLINK "https://likumi.lv/ta/id/283610-noteikumi-par-paralelajiem-aizdevumiem-saimnieciskas-darbibas-veicejiem-konkuretspejas-uzlabosanai" \t "_blank" </w:instrText>
            </w:r>
            <w:r>
              <w:fldChar w:fldCharType="separate"/>
            </w:r>
            <w:r w:rsidRPr="00DE1A53">
              <w:rPr>
                <w:rStyle w:val="Hyperlink"/>
                <w:sz w:val="26"/>
                <w:szCs w:val="26"/>
              </w:rPr>
              <w:t>Noteikumi par paralēlajiem aizdevumiem saimnieciskās darbības veicējiem konkurētspējas uzlabošanai</w:t>
            </w:r>
            <w:r>
              <w:fldChar w:fldCharType="end"/>
            </w:r>
            <w:r w:rsidRPr="00DE1A53" w:rsidR="002F5954">
              <w:rPr>
                <w:bCs/>
                <w:sz w:val="26"/>
                <w:szCs w:val="26"/>
              </w:rPr>
              <w:t>” (turpmāk – MK noteikumi Nr.469)</w:t>
            </w:r>
            <w:r w:rsidRPr="00DE1A53">
              <w:rPr>
                <w:bCs/>
                <w:sz w:val="26"/>
                <w:szCs w:val="26"/>
              </w:rPr>
              <w:t xml:space="preserve">, kuru ietvaros arī tika svītrots aizliegums šīs nozares finansēšanai. </w:t>
            </w:r>
            <w:r w:rsidRPr="00DE1A53">
              <w:rPr>
                <w:b/>
                <w:bCs/>
                <w:sz w:val="26"/>
                <w:szCs w:val="26"/>
              </w:rPr>
              <w:t>Tādējādi tiks paplašināts komersantu loks, kas varēs saņemt kredītu garantij</w:t>
            </w:r>
            <w:r w:rsidRPr="00DE1A53" w:rsidR="002954FE">
              <w:rPr>
                <w:b/>
                <w:bCs/>
                <w:sz w:val="26"/>
                <w:szCs w:val="26"/>
              </w:rPr>
              <w:t>as</w:t>
            </w:r>
            <w:r w:rsidRPr="00DE1A53">
              <w:rPr>
                <w:bCs/>
                <w:sz w:val="26"/>
                <w:szCs w:val="26"/>
              </w:rPr>
              <w:t>. Līdzīgs nosacījums ir par aizliegum</w:t>
            </w:r>
            <w:r w:rsidRPr="00DE1A53" w:rsidR="002F5954">
              <w:rPr>
                <w:bCs/>
                <w:sz w:val="26"/>
                <w:szCs w:val="26"/>
              </w:rPr>
              <w:t xml:space="preserve">u </w:t>
            </w:r>
            <w:r w:rsidRPr="00DE1A53">
              <w:rPr>
                <w:bCs/>
                <w:sz w:val="26"/>
                <w:szCs w:val="26"/>
              </w:rPr>
              <w:t>sniegt garantiju operācijām ar nekustamo īpašumu,</w:t>
            </w:r>
            <w:r w:rsidRPr="00DE1A53" w:rsidR="002F5954">
              <w:rPr>
                <w:bCs/>
                <w:sz w:val="26"/>
                <w:szCs w:val="26"/>
              </w:rPr>
              <w:t xml:space="preserve"> kam turpmāk tiks noteikts</w:t>
            </w:r>
            <w:r w:rsidRPr="00DE1A53">
              <w:rPr>
                <w:bCs/>
                <w:sz w:val="26"/>
                <w:szCs w:val="26"/>
              </w:rPr>
              <w:t xml:space="preserve"> </w:t>
            </w:r>
            <w:r w:rsidRPr="00DE1A53" w:rsidR="002F5954">
              <w:rPr>
                <w:bCs/>
                <w:sz w:val="26"/>
                <w:szCs w:val="26"/>
              </w:rPr>
              <w:t xml:space="preserve">izņēmums attiecībā uz </w:t>
            </w:r>
            <w:r w:rsidRPr="00DE1A53">
              <w:rPr>
                <w:bCs/>
                <w:sz w:val="26"/>
                <w:szCs w:val="26"/>
              </w:rPr>
              <w:t>nekustamā industriālā īpašuma attīstīšan</w:t>
            </w:r>
            <w:r w:rsidRPr="00DE1A53" w:rsidR="002F5954">
              <w:rPr>
                <w:bCs/>
                <w:sz w:val="26"/>
                <w:szCs w:val="26"/>
              </w:rPr>
              <w:t>u</w:t>
            </w:r>
            <w:r w:rsidRPr="00DE1A53">
              <w:rPr>
                <w:bCs/>
                <w:sz w:val="26"/>
                <w:szCs w:val="26"/>
              </w:rPr>
              <w:t xml:space="preserve"> un </w:t>
            </w:r>
            <w:r w:rsidRPr="00DE1A53" w:rsidR="00DF6BA5">
              <w:rPr>
                <w:bCs/>
                <w:sz w:val="26"/>
                <w:szCs w:val="26"/>
              </w:rPr>
              <w:t xml:space="preserve">mērķi </w:t>
            </w:r>
            <w:r w:rsidRPr="00DE1A53">
              <w:rPr>
                <w:bCs/>
                <w:sz w:val="26"/>
                <w:szCs w:val="26"/>
              </w:rPr>
              <w:t xml:space="preserve">nekustamā </w:t>
            </w:r>
            <w:r w:rsidRPr="00DE1A53" w:rsidR="002F5954">
              <w:rPr>
                <w:bCs/>
                <w:sz w:val="26"/>
                <w:szCs w:val="26"/>
              </w:rPr>
              <w:t xml:space="preserve">īpašuma </w:t>
            </w:r>
            <w:r w:rsidRPr="00DE1A53">
              <w:rPr>
                <w:bCs/>
                <w:sz w:val="26"/>
                <w:szCs w:val="26"/>
              </w:rPr>
              <w:t>attīstīšan</w:t>
            </w:r>
            <w:r w:rsidRPr="00DE1A53" w:rsidR="002F5954">
              <w:rPr>
                <w:bCs/>
                <w:sz w:val="26"/>
                <w:szCs w:val="26"/>
              </w:rPr>
              <w:t>u</w:t>
            </w:r>
            <w:r w:rsidRPr="00DE1A53">
              <w:rPr>
                <w:bCs/>
                <w:sz w:val="26"/>
                <w:szCs w:val="26"/>
              </w:rPr>
              <w:t>, lai nodotu viesu izmitināšanās un ap</w:t>
            </w:r>
            <w:r w:rsidRPr="00DE1A53" w:rsidR="001C15B2">
              <w:rPr>
                <w:bCs/>
                <w:sz w:val="26"/>
                <w:szCs w:val="26"/>
              </w:rPr>
              <w:t>k</w:t>
            </w:r>
            <w:r w:rsidRPr="00DE1A53">
              <w:rPr>
                <w:bCs/>
                <w:sz w:val="26"/>
                <w:szCs w:val="26"/>
              </w:rPr>
              <w:t xml:space="preserve">alpošanas operatoram. </w:t>
            </w:r>
            <w:r w:rsidRPr="00DE1A53" w:rsidR="002F5954">
              <w:rPr>
                <w:bCs/>
                <w:sz w:val="26"/>
                <w:szCs w:val="26"/>
              </w:rPr>
              <w:t xml:space="preserve">Minētās darbības neaizliedz valsts atbalsta regulējums un šāds izņēmums ir </w:t>
            </w:r>
            <w:r w:rsidRPr="00DE1A53" w:rsidR="002F5954">
              <w:rPr>
                <w:bCs/>
                <w:sz w:val="26"/>
                <w:szCs w:val="26"/>
              </w:rPr>
              <w:t xml:space="preserve">arī MK noteikumos Nr.469. </w:t>
            </w:r>
            <w:r w:rsidRPr="00DE1A53">
              <w:rPr>
                <w:bCs/>
                <w:sz w:val="26"/>
                <w:szCs w:val="26"/>
              </w:rPr>
              <w:t xml:space="preserve">Gan paralēlo aizdevumu, gan kredītu garantiju izsniegšanā sadarbības partneris ir komercbankas, attiecīgi </w:t>
            </w:r>
            <w:r w:rsidRPr="00DE1A53" w:rsidR="002F5954">
              <w:rPr>
                <w:bCs/>
                <w:sz w:val="26"/>
                <w:szCs w:val="26"/>
              </w:rPr>
              <w:t xml:space="preserve">nepieciešams </w:t>
            </w:r>
            <w:r w:rsidRPr="00DE1A53">
              <w:rPr>
                <w:bCs/>
                <w:sz w:val="26"/>
                <w:szCs w:val="26"/>
              </w:rPr>
              <w:t>noteikt vienotu nozaru ierobežojumus šo programmu īstenošanā.</w:t>
            </w:r>
          </w:p>
          <w:p w:rsidR="00E83653" w:rsidP="008E09BF" w14:paraId="164D5C89" w14:textId="3D97DE34">
            <w:pPr>
              <w:pStyle w:val="Default"/>
              <w:jc w:val="both"/>
              <w:rPr>
                <w:bCs/>
                <w:sz w:val="26"/>
                <w:szCs w:val="26"/>
              </w:rPr>
            </w:pPr>
            <w:r>
              <w:rPr>
                <w:bCs/>
                <w:sz w:val="26"/>
                <w:szCs w:val="26"/>
              </w:rPr>
              <w:t xml:space="preserve">Papildus grozījumu projekts paredz svītrot aizliegumu sniegt garantijas darbībām, kas saistītas ar elektroenerģiju un siltumapgādi. </w:t>
            </w:r>
            <w:r>
              <w:rPr>
                <w:bCs/>
                <w:sz w:val="26"/>
                <w:szCs w:val="26"/>
              </w:rPr>
              <w:t xml:space="preserve">EM ierosina pēc iespējas noteikt mazāk neatļautās nozares garantiju programmā, ievērojot </w:t>
            </w:r>
            <w:r w:rsidR="003F5C65">
              <w:rPr>
                <w:bCs/>
                <w:sz w:val="26"/>
                <w:szCs w:val="26"/>
              </w:rPr>
              <w:t xml:space="preserve">ar </w:t>
            </w:r>
            <w:r w:rsidR="00437DB9">
              <w:rPr>
                <w:bCs/>
                <w:sz w:val="26"/>
                <w:szCs w:val="26"/>
              </w:rPr>
              <w:t xml:space="preserve">šīs </w:t>
            </w:r>
            <w:r w:rsidR="003F5C65">
              <w:rPr>
                <w:bCs/>
                <w:sz w:val="26"/>
                <w:szCs w:val="26"/>
              </w:rPr>
              <w:t>programmas ieviešanu saistītos</w:t>
            </w:r>
            <w:r w:rsidR="008619A0">
              <w:rPr>
                <w:bCs/>
                <w:sz w:val="26"/>
                <w:szCs w:val="26"/>
              </w:rPr>
              <w:t xml:space="preserve"> </w:t>
            </w:r>
            <w:r w:rsidR="001E06D5">
              <w:rPr>
                <w:bCs/>
                <w:sz w:val="26"/>
                <w:szCs w:val="26"/>
              </w:rPr>
              <w:t>Eiropas Komisijas</w:t>
            </w:r>
            <w:r w:rsidR="00EA262C">
              <w:rPr>
                <w:bCs/>
                <w:sz w:val="26"/>
                <w:szCs w:val="26"/>
              </w:rPr>
              <w:t xml:space="preserve"> Regulu nosacījumus. Projekta dzīvotspēju garantijas programmā nosaka gan bankas, sākotnēji izskatot aizdevumu pieteikumu, gan </w:t>
            </w:r>
            <w:r>
              <w:rPr>
                <w:bCs/>
                <w:sz w:val="26"/>
                <w:szCs w:val="26"/>
              </w:rPr>
              <w:t xml:space="preserve">sabiedrība </w:t>
            </w:r>
            <w:r>
              <w:rPr>
                <w:bCs/>
                <w:sz w:val="26"/>
                <w:szCs w:val="26"/>
              </w:rPr>
              <w:t>Altum</w:t>
            </w:r>
            <w:r>
              <w:rPr>
                <w:bCs/>
                <w:sz w:val="26"/>
                <w:szCs w:val="26"/>
              </w:rPr>
              <w:t xml:space="preserve">, </w:t>
            </w:r>
            <w:r w:rsidR="00EA262C">
              <w:rPr>
                <w:bCs/>
                <w:sz w:val="26"/>
                <w:szCs w:val="26"/>
              </w:rPr>
              <w:t xml:space="preserve">kura </w:t>
            </w:r>
            <w:r>
              <w:rPr>
                <w:bCs/>
                <w:sz w:val="26"/>
                <w:szCs w:val="26"/>
              </w:rPr>
              <w:t>darbojas saskaņā ar savu kred</w:t>
            </w:r>
            <w:r w:rsidR="00EA262C">
              <w:rPr>
                <w:bCs/>
                <w:sz w:val="26"/>
                <w:szCs w:val="26"/>
              </w:rPr>
              <w:t xml:space="preserve">ītpolitiku un </w:t>
            </w:r>
            <w:r>
              <w:rPr>
                <w:bCs/>
                <w:sz w:val="26"/>
                <w:szCs w:val="26"/>
              </w:rPr>
              <w:t xml:space="preserve"> </w:t>
            </w:r>
            <w:r w:rsidR="00EA262C">
              <w:rPr>
                <w:bCs/>
                <w:sz w:val="26"/>
                <w:szCs w:val="26"/>
              </w:rPr>
              <w:t xml:space="preserve">izvērtē finanšu rādītājus, nosakot kredītreitingu.  Atļaujot  šīs nozares un arī citu nozaru saimnieciskās darbības veicējiem saņemt bankas aizdevumu ar Sabiedrības </w:t>
            </w:r>
            <w:r w:rsidR="00EA262C">
              <w:rPr>
                <w:bCs/>
                <w:sz w:val="26"/>
                <w:szCs w:val="26"/>
              </w:rPr>
              <w:t>Altum</w:t>
            </w:r>
            <w:r w:rsidR="00EA262C">
              <w:rPr>
                <w:bCs/>
                <w:sz w:val="26"/>
                <w:szCs w:val="26"/>
              </w:rPr>
              <w:t xml:space="preserve"> garantiju tiek veicināta Latvijas uzņēmumu konkurētspēja.</w:t>
            </w:r>
          </w:p>
          <w:p w:rsidR="00FB13EB" w:rsidRPr="00DE1A53" w:rsidP="008E09BF" w14:paraId="3E0069D6" w14:textId="77777777">
            <w:pPr>
              <w:pStyle w:val="Default"/>
              <w:jc w:val="both"/>
              <w:rPr>
                <w:bCs/>
                <w:sz w:val="26"/>
                <w:szCs w:val="26"/>
              </w:rPr>
            </w:pPr>
          </w:p>
          <w:p w:rsidR="00FB13EB" w:rsidRPr="00DE1A53" w:rsidP="00FB13EB" w14:paraId="30E91574" w14:textId="77777777">
            <w:pPr>
              <w:pStyle w:val="Default"/>
              <w:spacing w:after="120"/>
              <w:rPr>
                <w:b/>
                <w:bCs/>
                <w:i/>
                <w:sz w:val="26"/>
                <w:szCs w:val="26"/>
              </w:rPr>
            </w:pPr>
            <w:r w:rsidRPr="00DE1A53">
              <w:rPr>
                <w:b/>
                <w:bCs/>
                <w:i/>
                <w:sz w:val="26"/>
                <w:szCs w:val="26"/>
              </w:rPr>
              <w:t>Krievijas krīzes programma</w:t>
            </w:r>
          </w:p>
          <w:p w:rsidR="00FB13EB" w:rsidRPr="00DE1A53" w:rsidP="00FB13EB" w14:paraId="78E8CD64" w14:textId="4E27F280">
            <w:pPr>
              <w:pStyle w:val="Default"/>
              <w:jc w:val="both"/>
              <w:rPr>
                <w:bCs/>
                <w:sz w:val="26"/>
                <w:szCs w:val="26"/>
              </w:rPr>
            </w:pPr>
            <w:r w:rsidRPr="00DE1A53">
              <w:rPr>
                <w:bCs/>
                <w:sz w:val="26"/>
                <w:szCs w:val="26"/>
              </w:rPr>
              <w:t xml:space="preserve">Lai izpildītu Ministru kabineta 2014.gada 12.augusta sēdes protokola Nr.43 59.§ 4.1.punktā doto uzdevumu saistībā ar informatīvajā ziņojumā “Par pasākumiem Krievijas ekonomisko sankciju negatīvo seku mazināšanai” noteikto attiecībā uz kredīta brīvdienu garantiju piešķiršanas nodrošināšanu, </w:t>
            </w:r>
            <w:r w:rsidRPr="00DE1A53" w:rsidR="0005308B">
              <w:rPr>
                <w:bCs/>
                <w:sz w:val="26"/>
                <w:szCs w:val="26"/>
              </w:rPr>
              <w:t>EM</w:t>
            </w:r>
            <w:r w:rsidRPr="00DE1A53">
              <w:rPr>
                <w:bCs/>
                <w:sz w:val="26"/>
                <w:szCs w:val="26"/>
              </w:rPr>
              <w:t xml:space="preserve"> izstrādāja un Ministru kabinets 2014.gada 9.septembrī apstiprināja grozījumus MK noteikumos Nr.997, paredzot iespējas saņemt </w:t>
            </w:r>
            <w:r w:rsidRPr="00DE1A53">
              <w:rPr>
                <w:bCs/>
                <w:sz w:val="26"/>
                <w:szCs w:val="26"/>
              </w:rPr>
              <w:t>kredītbrīvdienas</w:t>
            </w:r>
            <w:r w:rsidRPr="00DE1A53">
              <w:rPr>
                <w:bCs/>
                <w:sz w:val="26"/>
                <w:szCs w:val="26"/>
              </w:rPr>
              <w:t xml:space="preserve"> tiem saimnieciskās darbības veicējiem, kuru Krievijas Federācijas noteiktajiem ierobežojumiem pakļauto preču ražošanas un eksporta apjomi vai izejvielu piegādes apjomi, pārvadāšanas, ekspedīcijas vai loģistikas pakalpojumu sniegšanas apjomi ir vismaz 10 % apmērā no kopējā saimnieciskās darbības veicēja apgrozījuma un kuru Krievijas Federācijas noteikto ierobežojumu ietekmē tiek izbeigti piegādes vai pakalpojuma līgumi vai samazināta preces (piegādes) vai pakalpojuma iepirkuma cena, vai samazinājies attiecīgo piegāžu vai pakalpojumu apjoms, </w:t>
            </w:r>
            <w:r w:rsidRPr="00DE1A53" w:rsidR="002954FE">
              <w:rPr>
                <w:bCs/>
                <w:sz w:val="26"/>
                <w:szCs w:val="26"/>
              </w:rPr>
              <w:t xml:space="preserve">tā saucamās Krievijas krīzes </w:t>
            </w:r>
            <w:r w:rsidRPr="00DE1A53" w:rsidR="002954FE">
              <w:rPr>
                <w:bCs/>
                <w:sz w:val="26"/>
                <w:szCs w:val="26"/>
              </w:rPr>
              <w:t>kredītbrīvdienu</w:t>
            </w:r>
            <w:r w:rsidRPr="00DE1A53" w:rsidR="002954FE">
              <w:rPr>
                <w:bCs/>
                <w:sz w:val="26"/>
                <w:szCs w:val="26"/>
              </w:rPr>
              <w:t xml:space="preserve"> garantijas. Ņemot vērā, ka laika posmā līdz 2017.gada novembrim ir izsniegtas tikai 2 garantijas par 538 255 </w:t>
            </w:r>
            <w:r w:rsidRPr="00DE1A53" w:rsidR="002954FE">
              <w:rPr>
                <w:bCs/>
                <w:i/>
                <w:sz w:val="26"/>
                <w:szCs w:val="26"/>
              </w:rPr>
              <w:t>euro</w:t>
            </w:r>
            <w:r w:rsidRPr="00DE1A53" w:rsidR="002954FE">
              <w:rPr>
                <w:bCs/>
                <w:sz w:val="26"/>
                <w:szCs w:val="26"/>
              </w:rPr>
              <w:t xml:space="preserve"> (2016.gada 2.cet.), un to, ka programma ir zaudējusi aktualitāti (tai nav pieprasījuma), </w:t>
            </w:r>
            <w:r w:rsidRPr="00DE1A53">
              <w:rPr>
                <w:b/>
                <w:bCs/>
                <w:sz w:val="26"/>
                <w:szCs w:val="26"/>
              </w:rPr>
              <w:t xml:space="preserve">EM rosina </w:t>
            </w:r>
            <w:r w:rsidRPr="00DE1A53" w:rsidR="00CC2A61">
              <w:rPr>
                <w:b/>
                <w:bCs/>
                <w:sz w:val="26"/>
                <w:szCs w:val="26"/>
              </w:rPr>
              <w:t>svītrot</w:t>
            </w:r>
            <w:r w:rsidRPr="00DE1A53">
              <w:rPr>
                <w:b/>
                <w:bCs/>
                <w:sz w:val="26"/>
                <w:szCs w:val="26"/>
              </w:rPr>
              <w:t xml:space="preserve"> no MK noteikumiem Nr.997 punktus, kas attiecas uz Krievijas krīzes programmu.</w:t>
            </w:r>
            <w:r w:rsidRPr="00DE1A53">
              <w:rPr>
                <w:bCs/>
                <w:sz w:val="26"/>
                <w:szCs w:val="26"/>
              </w:rPr>
              <w:t xml:space="preserve"> Tādā veidā MK noteikumi Nr.997 būs vieglāk uztverami gan komersantiem, gan</w:t>
            </w:r>
            <w:r w:rsidRPr="00DE1A53" w:rsidR="004D3626">
              <w:rPr>
                <w:bCs/>
                <w:sz w:val="26"/>
                <w:szCs w:val="26"/>
              </w:rPr>
              <w:t xml:space="preserve"> sabiedrības</w:t>
            </w:r>
            <w:r w:rsidRPr="00DE1A53">
              <w:rPr>
                <w:bCs/>
                <w:sz w:val="26"/>
                <w:szCs w:val="26"/>
              </w:rPr>
              <w:t xml:space="preserve"> </w:t>
            </w:r>
            <w:r w:rsidRPr="00DE1A53">
              <w:rPr>
                <w:bCs/>
                <w:sz w:val="26"/>
                <w:szCs w:val="26"/>
              </w:rPr>
              <w:t>Altum</w:t>
            </w:r>
            <w:r w:rsidRPr="00DE1A53">
              <w:rPr>
                <w:bCs/>
                <w:sz w:val="26"/>
                <w:szCs w:val="26"/>
              </w:rPr>
              <w:t xml:space="preserve"> sadarbības partneriem- bankām.</w:t>
            </w:r>
          </w:p>
          <w:p w:rsidR="001C18E2" w:rsidRPr="00DE1A53" w:rsidP="00FB13EB" w14:paraId="6D8EE539" w14:textId="0449E2F1">
            <w:pPr>
              <w:pStyle w:val="Default"/>
              <w:jc w:val="both"/>
              <w:rPr>
                <w:bCs/>
                <w:sz w:val="26"/>
                <w:szCs w:val="26"/>
              </w:rPr>
            </w:pPr>
            <w:r w:rsidRPr="00DE1A53">
              <w:rPr>
                <w:bCs/>
                <w:sz w:val="26"/>
                <w:szCs w:val="26"/>
              </w:rPr>
              <w:t xml:space="preserve">Ņemot vērā augstākminēto, no MK noteikumiem Nr.997  ir svītroti 9.2., </w:t>
            </w:r>
            <w:r w:rsidRPr="00DE1A53" w:rsidR="006A4CB8">
              <w:rPr>
                <w:sz w:val="26"/>
                <w:szCs w:val="26"/>
              </w:rPr>
              <w:t>13.</w:t>
            </w:r>
            <w:r w:rsidRPr="00DE1A53" w:rsidR="006A4CB8">
              <w:rPr>
                <w:sz w:val="26"/>
                <w:szCs w:val="26"/>
                <w:vertAlign w:val="superscript"/>
              </w:rPr>
              <w:t>2</w:t>
            </w:r>
            <w:r w:rsidRPr="00DE1A53" w:rsidR="006A4CB8">
              <w:rPr>
                <w:sz w:val="26"/>
                <w:szCs w:val="26"/>
              </w:rPr>
              <w:t xml:space="preserve">  punkti; </w:t>
            </w:r>
            <w:r w:rsidRPr="00DE1A53" w:rsidR="006A4CB8">
              <w:rPr>
                <w:bCs/>
                <w:sz w:val="26"/>
                <w:szCs w:val="26"/>
              </w:rPr>
              <w:t xml:space="preserve">grozīts 10.4., </w:t>
            </w:r>
            <w:r w:rsidRPr="00DE1A53" w:rsidR="006A4CB8">
              <w:t>14.</w:t>
            </w:r>
            <w:r w:rsidRPr="00DE1A53" w:rsidR="006A4CB8">
              <w:rPr>
                <w:vertAlign w:val="superscript"/>
              </w:rPr>
              <w:t>1</w:t>
            </w:r>
            <w:r w:rsidRPr="00DE1A53" w:rsidR="006A4CB8">
              <w:rPr>
                <w:bCs/>
                <w:sz w:val="26"/>
                <w:szCs w:val="26"/>
              </w:rPr>
              <w:t xml:space="preserve">  un </w:t>
            </w:r>
            <w:r w:rsidRPr="00DE1A53" w:rsidR="006A4CB8">
              <w:t>28.</w:t>
            </w:r>
            <w:r w:rsidRPr="00DE1A53" w:rsidR="006A4CB8">
              <w:rPr>
                <w:vertAlign w:val="superscript"/>
              </w:rPr>
              <w:t>1</w:t>
            </w:r>
            <w:r w:rsidRPr="00DE1A53" w:rsidR="006A4CB8">
              <w:rPr>
                <w:bCs/>
                <w:sz w:val="26"/>
                <w:szCs w:val="26"/>
              </w:rPr>
              <w:t>punkti</w:t>
            </w:r>
            <w:r w:rsidRPr="00DE1A53" w:rsidR="000C3763">
              <w:rPr>
                <w:bCs/>
                <w:sz w:val="26"/>
                <w:szCs w:val="26"/>
              </w:rPr>
              <w:t>.</w:t>
            </w:r>
          </w:p>
          <w:p w:rsidR="001C15B2" w:rsidRPr="00DE1A53" w:rsidP="008E09BF" w14:paraId="161C75C2" w14:textId="77777777">
            <w:pPr>
              <w:pStyle w:val="Default"/>
              <w:jc w:val="both"/>
              <w:rPr>
                <w:bCs/>
                <w:sz w:val="26"/>
                <w:szCs w:val="26"/>
              </w:rPr>
            </w:pPr>
          </w:p>
          <w:p w:rsidR="001C15B2" w:rsidRPr="00DE1A53" w:rsidP="001C15B2" w14:paraId="5CDE53D7" w14:textId="77777777">
            <w:pPr>
              <w:pStyle w:val="Default"/>
              <w:spacing w:after="120"/>
              <w:rPr>
                <w:b/>
                <w:bCs/>
                <w:i/>
                <w:sz w:val="26"/>
                <w:szCs w:val="26"/>
              </w:rPr>
            </w:pPr>
            <w:r w:rsidRPr="00DE1A53">
              <w:rPr>
                <w:b/>
                <w:bCs/>
                <w:i/>
                <w:sz w:val="26"/>
                <w:szCs w:val="26"/>
              </w:rPr>
              <w:t>Subsīdijas ekvivalenta aprēķins</w:t>
            </w:r>
          </w:p>
          <w:p w:rsidR="001C15B2" w:rsidRPr="00DE1A53" w:rsidP="001C15B2" w14:paraId="58433A11" w14:textId="47DA272F">
            <w:pPr>
              <w:pStyle w:val="Default"/>
              <w:jc w:val="both"/>
              <w:rPr>
                <w:bCs/>
                <w:sz w:val="26"/>
                <w:szCs w:val="26"/>
              </w:rPr>
            </w:pPr>
            <w:r w:rsidRPr="00DE1A53">
              <w:rPr>
                <w:bCs/>
                <w:sz w:val="26"/>
                <w:szCs w:val="26"/>
              </w:rPr>
              <w:t>Komersantu kredītu garantijas tiek sniegtas saskaņā ar</w:t>
            </w:r>
            <w:r w:rsidRPr="00DE1A53" w:rsidR="0005308B">
              <w:rPr>
                <w:color w:val="auto"/>
              </w:rPr>
              <w:t xml:space="preserve"> </w:t>
            </w:r>
            <w:r w:rsidRPr="00DE1A53" w:rsidR="0005308B">
              <w:rPr>
                <w:bCs/>
                <w:sz w:val="26"/>
                <w:szCs w:val="26"/>
              </w:rPr>
              <w:t>2013. gada 18. decembra</w:t>
            </w:r>
            <w:r w:rsidRPr="00DE1A53">
              <w:rPr>
                <w:bCs/>
                <w:sz w:val="26"/>
                <w:szCs w:val="26"/>
              </w:rPr>
              <w:t xml:space="preserve"> Regulu Nr.1407/2013</w:t>
            </w:r>
            <w:r w:rsidRPr="00DE1A53" w:rsidR="0005308B">
              <w:rPr>
                <w:bCs/>
                <w:sz w:val="26"/>
                <w:szCs w:val="26"/>
              </w:rPr>
              <w:t xml:space="preserve"> par Līguma par Eiropas </w:t>
            </w:r>
            <w:r w:rsidRPr="00DE1A53" w:rsidR="0005308B">
              <w:rPr>
                <w:bCs/>
                <w:sz w:val="26"/>
                <w:szCs w:val="26"/>
              </w:rPr>
              <w:t xml:space="preserve">Savienības darbību 107. un 108. panta piemērošanu </w:t>
            </w:r>
            <w:r w:rsidRPr="00DE1A53" w:rsidR="0005308B">
              <w:rPr>
                <w:bCs/>
                <w:i/>
                <w:sz w:val="26"/>
                <w:szCs w:val="26"/>
              </w:rPr>
              <w:t>de</w:t>
            </w:r>
            <w:r w:rsidRPr="00DE1A53" w:rsidR="0005308B">
              <w:rPr>
                <w:bCs/>
                <w:i/>
                <w:sz w:val="26"/>
                <w:szCs w:val="26"/>
              </w:rPr>
              <w:t xml:space="preserve"> </w:t>
            </w:r>
            <w:r w:rsidRPr="00DE1A53" w:rsidR="0005308B">
              <w:rPr>
                <w:bCs/>
                <w:i/>
                <w:sz w:val="26"/>
                <w:szCs w:val="26"/>
              </w:rPr>
              <w:t>minimis</w:t>
            </w:r>
            <w:r w:rsidRPr="00DE1A53" w:rsidR="0005308B">
              <w:rPr>
                <w:bCs/>
                <w:sz w:val="26"/>
                <w:szCs w:val="26"/>
              </w:rPr>
              <w:t xml:space="preserve"> atbalstam (turpmāk – Regula Nr.1407/2013)</w:t>
            </w:r>
            <w:r w:rsidRPr="00DE1A53">
              <w:rPr>
                <w:bCs/>
                <w:sz w:val="26"/>
                <w:szCs w:val="26"/>
              </w:rPr>
              <w:t xml:space="preserve"> un </w:t>
            </w:r>
            <w:r w:rsidRPr="00DE1A53" w:rsidR="0005308B">
              <w:rPr>
                <w:bCs/>
                <w:sz w:val="26"/>
                <w:szCs w:val="26"/>
              </w:rPr>
              <w:t>Komisijas paziņojumu</w:t>
            </w:r>
            <w:r w:rsidRPr="00DE1A53">
              <w:rPr>
                <w:bCs/>
                <w:sz w:val="26"/>
                <w:szCs w:val="26"/>
              </w:rPr>
              <w:t xml:space="preserve"> par EK līguma 87. un 88.panta piemērošanu valsts atbalstam garantiju veidā (2008/C 155/02) (turpmāk – Komisijas paziņojums). Subsīdijas ekvivalents tiek aprēķināts pamatojoties uz Regulas Mr.1407/2013 </w:t>
            </w:r>
            <w:r w:rsidRPr="00DE1A53" w:rsidR="00CD371F">
              <w:rPr>
                <w:bCs/>
                <w:sz w:val="26"/>
                <w:szCs w:val="26"/>
              </w:rPr>
              <w:t>4.panta 6.punkta</w:t>
            </w:r>
            <w:r w:rsidRPr="00DE1A53">
              <w:rPr>
                <w:bCs/>
                <w:sz w:val="26"/>
                <w:szCs w:val="26"/>
              </w:rPr>
              <w:t xml:space="preserve"> c) punktu, izmantojot drošās zonas prēmijas likmes, kas noteiktas Komisijas paziņojumā.</w:t>
            </w:r>
          </w:p>
          <w:p w:rsidR="001C15B2" w:rsidRPr="00DE1A53" w:rsidP="001C15B2" w14:paraId="26178BA6" w14:textId="6F612839">
            <w:pPr>
              <w:pStyle w:val="Default"/>
              <w:jc w:val="both"/>
              <w:rPr>
                <w:bCs/>
                <w:sz w:val="26"/>
                <w:szCs w:val="26"/>
              </w:rPr>
            </w:pPr>
            <w:r w:rsidRPr="00DE1A53">
              <w:rPr>
                <w:bCs/>
                <w:sz w:val="26"/>
                <w:szCs w:val="26"/>
              </w:rPr>
              <w:t xml:space="preserve">Komisijas paziņojums nosaka, ka garantijas var sniegt līdz kredītu kvalitātei “Maksātspēju varētu mazināt nelabvēlīgi apstākļi” (t.i. B-/B3). Sabiedrība </w:t>
            </w:r>
            <w:r w:rsidRPr="00DE1A53">
              <w:rPr>
                <w:bCs/>
                <w:sz w:val="26"/>
                <w:szCs w:val="26"/>
              </w:rPr>
              <w:t>Altum</w:t>
            </w:r>
            <w:r w:rsidRPr="00DE1A53">
              <w:rPr>
                <w:bCs/>
                <w:sz w:val="26"/>
                <w:szCs w:val="26"/>
              </w:rPr>
              <w:t xml:space="preserve"> arī turpmāk plāno izsniegt garantijas līdz šai kredītu kvalitātes klasei un to nosaka arī MK noteikumu Nr.997 12.punkts. Izņēmuma kārtā, pagarinot iepriekš izsniegtu garantiju, komersantam var tikt noteikts C reitings un saskaņā ar Komisijas paziņojumu, šādai kredītu kvalitātes klasei nav iespējams nodrošināt gada drošās zonas prēmiju. Šādā gadījumā, nepagarinot garantiju, banka var uzreiz iesniegt paziņojumu par Garantijas gadījumu un pieprasīt kompensāciju. Nereti šādi komersanti tomēr gada laikā spēj uzlabot savu finanšu stāvokli un uzlabot savu reitingu. Šādos gadījumos sabiedrība </w:t>
            </w:r>
            <w:r w:rsidRPr="00DE1A53">
              <w:rPr>
                <w:bCs/>
                <w:sz w:val="26"/>
                <w:szCs w:val="26"/>
              </w:rPr>
              <w:t>Altum</w:t>
            </w:r>
            <w:r w:rsidRPr="00DE1A53">
              <w:rPr>
                <w:bCs/>
                <w:sz w:val="26"/>
                <w:szCs w:val="26"/>
              </w:rPr>
              <w:t xml:space="preserve"> piedāvā piemērot subsīdijas ekvivalenta aprēķinu saskaņā ar Regulas Nr.1407/2013 </w:t>
            </w:r>
            <w:r w:rsidRPr="00DE1A53" w:rsidR="00CD371F">
              <w:rPr>
                <w:bCs/>
                <w:sz w:val="26"/>
                <w:szCs w:val="26"/>
              </w:rPr>
              <w:t xml:space="preserve">4.panta </w:t>
            </w:r>
            <w:r w:rsidRPr="00DE1A53">
              <w:rPr>
                <w:bCs/>
                <w:sz w:val="26"/>
                <w:szCs w:val="26"/>
              </w:rPr>
              <w:t>6.p</w:t>
            </w:r>
            <w:r w:rsidRPr="00DE1A53" w:rsidR="00CD371F">
              <w:rPr>
                <w:bCs/>
                <w:sz w:val="26"/>
                <w:szCs w:val="26"/>
              </w:rPr>
              <w:t>unkta</w:t>
            </w:r>
            <w:r w:rsidRPr="00DE1A53">
              <w:rPr>
                <w:bCs/>
                <w:sz w:val="26"/>
                <w:szCs w:val="26"/>
              </w:rPr>
              <w:t xml:space="preserve"> b) punktu,</w:t>
            </w:r>
            <w:r w:rsidRPr="00DE1A53" w:rsidR="003B3D94">
              <w:rPr>
                <w:bCs/>
                <w:sz w:val="26"/>
                <w:szCs w:val="26"/>
              </w:rPr>
              <w:t xml:space="preserve"> </w:t>
            </w:r>
            <w:r w:rsidRPr="00DE1A53">
              <w:rPr>
                <w:bCs/>
                <w:sz w:val="26"/>
                <w:szCs w:val="26"/>
              </w:rPr>
              <w:t>t.i.:</w:t>
            </w:r>
          </w:p>
          <w:p w:rsidR="001C15B2" w:rsidRPr="00DE1A53" w:rsidP="001C15B2" w14:paraId="7055213D" w14:textId="77777777">
            <w:pPr>
              <w:pStyle w:val="Default"/>
              <w:jc w:val="both"/>
              <w:rPr>
                <w:bCs/>
                <w:sz w:val="26"/>
                <w:szCs w:val="26"/>
              </w:rPr>
            </w:pPr>
            <w:r w:rsidRPr="00DE1A53">
              <w:rPr>
                <w:rFonts w:ascii="Cambria Math" w:hAnsi="Cambria Math" w:cs="Cambria Math"/>
                <w:bCs/>
                <w:sz w:val="26"/>
                <w:szCs w:val="26"/>
              </w:rPr>
              <w:t>𝐴𝑡𝑏𝑎𝑙𝑠𝑡𝑎</w:t>
            </w:r>
            <w:r w:rsidRPr="00DE1A53">
              <w:rPr>
                <w:bCs/>
                <w:sz w:val="26"/>
                <w:szCs w:val="26"/>
              </w:rPr>
              <w:t xml:space="preserve"> s</w:t>
            </w:r>
            <w:r w:rsidRPr="00DE1A53">
              <w:rPr>
                <w:rFonts w:ascii="Cambria Math" w:hAnsi="Cambria Math" w:cs="Cambria Math"/>
                <w:bCs/>
                <w:sz w:val="26"/>
                <w:szCs w:val="26"/>
              </w:rPr>
              <w:t>𝑢𝑚𝑚𝑎</w:t>
            </w:r>
            <w:r w:rsidRPr="00DE1A53">
              <w:rPr>
                <w:bCs/>
                <w:sz w:val="26"/>
                <w:szCs w:val="26"/>
              </w:rPr>
              <w:t>=200 000×(</w:t>
            </w:r>
            <w:r w:rsidRPr="00DE1A53">
              <w:rPr>
                <w:rFonts w:ascii="Cambria Math" w:hAnsi="Cambria Math" w:cs="Cambria Math"/>
                <w:bCs/>
                <w:sz w:val="26"/>
                <w:szCs w:val="26"/>
              </w:rPr>
              <w:t>𝑄</w:t>
            </w:r>
            <w:r w:rsidRPr="00DE1A53">
              <w:rPr>
                <w:bCs/>
                <w:sz w:val="26"/>
                <w:szCs w:val="26"/>
              </w:rPr>
              <w:t xml:space="preserve">/1 500 000 </w:t>
            </w:r>
            <w:r w:rsidRPr="00DE1A53">
              <w:rPr>
                <w:rFonts w:ascii="Cambria Math" w:hAnsi="Cambria Math" w:cs="Cambria Math"/>
                <w:bCs/>
                <w:sz w:val="26"/>
                <w:szCs w:val="26"/>
              </w:rPr>
              <w:t>𝑒𝑢𝑟𝑜</w:t>
            </w:r>
            <w:r w:rsidRPr="00DE1A53">
              <w:rPr>
                <w:bCs/>
                <w:sz w:val="26"/>
                <w:szCs w:val="26"/>
              </w:rPr>
              <w:t>)×(</w:t>
            </w:r>
            <w:r w:rsidRPr="00DE1A53">
              <w:rPr>
                <w:rFonts w:ascii="Cambria Math" w:hAnsi="Cambria Math" w:cs="Cambria Math"/>
                <w:bCs/>
                <w:sz w:val="26"/>
                <w:szCs w:val="26"/>
              </w:rPr>
              <w:t>𝑃</w:t>
            </w:r>
            <w:r w:rsidRPr="00DE1A53">
              <w:rPr>
                <w:bCs/>
                <w:sz w:val="26"/>
                <w:szCs w:val="26"/>
              </w:rPr>
              <w:t xml:space="preserve">/60 mēneši), ja finanšu pakalpojuma termiņš ir 5 gadi </w:t>
            </w:r>
          </w:p>
          <w:p w:rsidR="001C15B2" w:rsidRPr="00DE1A53" w:rsidP="001C15B2" w14:paraId="0CE91B5F" w14:textId="77777777">
            <w:pPr>
              <w:pStyle w:val="Default"/>
              <w:jc w:val="both"/>
              <w:rPr>
                <w:bCs/>
                <w:sz w:val="26"/>
                <w:szCs w:val="26"/>
              </w:rPr>
            </w:pPr>
            <w:r w:rsidRPr="00DE1A53">
              <w:rPr>
                <w:bCs/>
                <w:sz w:val="26"/>
                <w:szCs w:val="26"/>
              </w:rPr>
              <w:t xml:space="preserve">vai </w:t>
            </w:r>
          </w:p>
          <w:p w:rsidR="001C15B2" w:rsidRPr="00DE1A53" w:rsidP="001C15B2" w14:paraId="65CBC8E0" w14:textId="77777777">
            <w:pPr>
              <w:pStyle w:val="Default"/>
              <w:jc w:val="both"/>
              <w:rPr>
                <w:bCs/>
                <w:sz w:val="26"/>
                <w:szCs w:val="26"/>
              </w:rPr>
            </w:pPr>
            <w:r w:rsidRPr="00DE1A53">
              <w:rPr>
                <w:bCs/>
                <w:sz w:val="26"/>
                <w:szCs w:val="26"/>
              </w:rPr>
              <w:t xml:space="preserve"> </w:t>
            </w:r>
            <w:r w:rsidRPr="00DE1A53">
              <w:rPr>
                <w:rFonts w:ascii="Cambria Math" w:hAnsi="Cambria Math" w:cs="Cambria Math"/>
                <w:bCs/>
                <w:sz w:val="26"/>
                <w:szCs w:val="26"/>
              </w:rPr>
              <w:t>𝐴𝑡𝑏𝑎𝑙𝑠𝑡𝑎</w:t>
            </w:r>
            <w:r w:rsidRPr="00DE1A53">
              <w:rPr>
                <w:bCs/>
                <w:sz w:val="26"/>
                <w:szCs w:val="26"/>
              </w:rPr>
              <w:t xml:space="preserve"> </w:t>
            </w:r>
            <w:r w:rsidRPr="00DE1A53">
              <w:rPr>
                <w:rFonts w:ascii="Cambria Math" w:hAnsi="Cambria Math" w:cs="Cambria Math"/>
                <w:bCs/>
                <w:sz w:val="26"/>
                <w:szCs w:val="26"/>
              </w:rPr>
              <w:t>𝑠𝑢𝑚𝑚𝑎</w:t>
            </w:r>
            <w:r w:rsidRPr="00DE1A53">
              <w:rPr>
                <w:bCs/>
                <w:sz w:val="26"/>
                <w:szCs w:val="26"/>
              </w:rPr>
              <w:t>=200 000×(</w:t>
            </w:r>
            <w:r w:rsidRPr="00DE1A53">
              <w:rPr>
                <w:rFonts w:ascii="Cambria Math" w:hAnsi="Cambria Math" w:cs="Cambria Math"/>
                <w:bCs/>
                <w:sz w:val="26"/>
                <w:szCs w:val="26"/>
              </w:rPr>
              <w:t>𝑄</w:t>
            </w:r>
            <w:r w:rsidRPr="00DE1A53">
              <w:rPr>
                <w:bCs/>
                <w:sz w:val="26"/>
                <w:szCs w:val="26"/>
              </w:rPr>
              <w:t xml:space="preserve">/750 000 </w:t>
            </w:r>
            <w:r w:rsidRPr="00DE1A53">
              <w:rPr>
                <w:rFonts w:ascii="Cambria Math" w:hAnsi="Cambria Math" w:cs="Cambria Math"/>
                <w:bCs/>
                <w:sz w:val="26"/>
                <w:szCs w:val="26"/>
              </w:rPr>
              <w:t>𝑒𝑢𝑟𝑜</w:t>
            </w:r>
            <w:r w:rsidRPr="00DE1A53">
              <w:rPr>
                <w:bCs/>
                <w:sz w:val="26"/>
                <w:szCs w:val="26"/>
              </w:rPr>
              <w:t>)×(</w:t>
            </w:r>
            <w:r w:rsidRPr="00DE1A53">
              <w:rPr>
                <w:rFonts w:ascii="Cambria Math" w:hAnsi="Cambria Math" w:cs="Cambria Math"/>
                <w:bCs/>
                <w:sz w:val="26"/>
                <w:szCs w:val="26"/>
              </w:rPr>
              <w:t>𝑃</w:t>
            </w:r>
            <w:r w:rsidRPr="00DE1A53">
              <w:rPr>
                <w:bCs/>
                <w:sz w:val="26"/>
                <w:szCs w:val="26"/>
              </w:rPr>
              <w:t xml:space="preserve">/120 mēneši),  ja finanšu pakalpojuma termiņš ir  lielāks par 5 gadiem, bet nepārsniedz 10 gadus. </w:t>
            </w:r>
          </w:p>
          <w:p w:rsidR="001C15B2" w:rsidRPr="00DE1A53" w:rsidP="001C15B2" w14:paraId="55E63083" w14:textId="77777777">
            <w:pPr>
              <w:pStyle w:val="Default"/>
              <w:rPr>
                <w:bCs/>
                <w:sz w:val="26"/>
                <w:szCs w:val="26"/>
              </w:rPr>
            </w:pPr>
            <w:r w:rsidRPr="00DE1A53">
              <w:rPr>
                <w:bCs/>
                <w:sz w:val="26"/>
                <w:szCs w:val="26"/>
              </w:rPr>
              <w:t xml:space="preserve">,kur:  Q – garantētā summa;  P – garantijas ilgums mēnešos. Veicot matemātisko saīsināšanu, atbalsta summas formula </w:t>
            </w:r>
            <w:r w:rsidRPr="00DE1A53">
              <w:rPr>
                <w:b/>
                <w:bCs/>
                <w:sz w:val="26"/>
                <w:szCs w:val="26"/>
              </w:rPr>
              <w:t>=</w:t>
            </w:r>
            <w:r w:rsidRPr="00DE1A53">
              <w:rPr>
                <w:b/>
                <w:bCs/>
                <w:sz w:val="26"/>
                <w:szCs w:val="26"/>
              </w:rPr>
              <w:t>QxP</w:t>
            </w:r>
            <w:r w:rsidRPr="00DE1A53">
              <w:rPr>
                <w:b/>
                <w:bCs/>
                <w:sz w:val="26"/>
                <w:szCs w:val="26"/>
              </w:rPr>
              <w:t>/450.</w:t>
            </w:r>
          </w:p>
          <w:p w:rsidR="001C15B2" w:rsidRPr="00DE1A53" w:rsidP="00AC20F2" w14:paraId="7ADFE415" w14:textId="73AB845B">
            <w:pPr>
              <w:pStyle w:val="Default"/>
              <w:jc w:val="both"/>
              <w:rPr>
                <w:bCs/>
                <w:sz w:val="26"/>
                <w:szCs w:val="26"/>
              </w:rPr>
            </w:pPr>
            <w:r w:rsidRPr="00DE1A53">
              <w:rPr>
                <w:bCs/>
                <w:sz w:val="26"/>
                <w:szCs w:val="26"/>
              </w:rPr>
              <w:t xml:space="preserve">Piemērojot šo formulu, aprēķinātais valsts atbalsts ir lielāks. Šāda formula valsts atbalsta aprēķinam tiek izmantota arī citās dalībvalstīs, kā Lietuvā, un Latvijā plānots to izmantot </w:t>
            </w:r>
            <w:r w:rsidRPr="00DE1A53">
              <w:rPr>
                <w:bCs/>
                <w:sz w:val="26"/>
                <w:szCs w:val="26"/>
              </w:rPr>
              <w:t>portfeļgarantijās</w:t>
            </w:r>
            <w:r w:rsidRPr="00DE1A53">
              <w:rPr>
                <w:bCs/>
                <w:sz w:val="26"/>
                <w:szCs w:val="26"/>
              </w:rPr>
              <w:t>.</w:t>
            </w:r>
          </w:p>
          <w:p w:rsidR="00617645" w:rsidRPr="00DE1A53" w:rsidP="00AC20F2" w14:paraId="72065C4E" w14:textId="6B412E4B">
            <w:pPr>
              <w:pStyle w:val="Default"/>
              <w:jc w:val="both"/>
              <w:rPr>
                <w:bCs/>
                <w:sz w:val="26"/>
                <w:szCs w:val="26"/>
              </w:rPr>
            </w:pPr>
            <w:r w:rsidRPr="00DE1A53">
              <w:rPr>
                <w:bCs/>
                <w:sz w:val="26"/>
                <w:szCs w:val="26"/>
              </w:rPr>
              <w:t>Ņemot vērā augstākminēto, MK noteikumu projekts papildināts ar nosacījumiem, ievērojot Regulas Nr.1407/2013 4.panta 6.punkta b) punktu.</w:t>
            </w:r>
          </w:p>
          <w:p w:rsidR="00A216A1" w:rsidRPr="00DE1A53" w:rsidP="00A216A1" w14:paraId="60F8E712" w14:textId="0092E443">
            <w:pPr>
              <w:pStyle w:val="Default"/>
              <w:jc w:val="both"/>
              <w:rPr>
                <w:bCs/>
                <w:sz w:val="26"/>
                <w:szCs w:val="26"/>
              </w:rPr>
            </w:pPr>
            <w:r w:rsidRPr="00DE1A53">
              <w:rPr>
                <w:bCs/>
                <w:sz w:val="26"/>
                <w:szCs w:val="26"/>
              </w:rPr>
              <w:t>Attiecībā uz noteikumu projekta 14.punktu, norādām, ka, ja  garantijas ilgums pārsniedz gadu, starpība starp likmēm tiek diskontēta, izmantojot Eiropas Komisijas Latvijai apstiprināto atsauces likmi, kuru nosaka atbilstoši Komisijas paziņojumam par atsauces likmes un diskonta likmes noteikšanas metodes pārskatīšanu (Eiropas Savienības Oficiālais Vēstnesis, 2008.gada 19.janvāris, Nr. C 014) un kuras bāzes likmei tiek pieskaitīti 100 bāzes punkti.</w:t>
            </w:r>
          </w:p>
          <w:p w:rsidR="00DF6BA5" w:rsidRPr="00DE1A53" w:rsidP="001C15B2" w14:paraId="7BF671A6" w14:textId="77777777">
            <w:pPr>
              <w:pStyle w:val="Default"/>
              <w:rPr>
                <w:bCs/>
                <w:sz w:val="26"/>
                <w:szCs w:val="26"/>
              </w:rPr>
            </w:pPr>
          </w:p>
          <w:p w:rsidR="00DF6BA5" w:rsidRPr="00DE1A53" w:rsidP="001C15B2" w14:paraId="614F7B55" w14:textId="3EB099E9">
            <w:pPr>
              <w:pStyle w:val="Default"/>
              <w:rPr>
                <w:b/>
                <w:bCs/>
                <w:i/>
                <w:sz w:val="26"/>
                <w:szCs w:val="26"/>
              </w:rPr>
            </w:pPr>
            <w:r w:rsidRPr="00DE1A53">
              <w:rPr>
                <w:b/>
                <w:bCs/>
                <w:i/>
                <w:sz w:val="26"/>
                <w:szCs w:val="26"/>
              </w:rPr>
              <w:t>Garantijas energoefektivitātes pasākumu īstenošanai</w:t>
            </w:r>
          </w:p>
          <w:p w:rsidR="00DF6BA5" w:rsidRPr="00DE1A53" w:rsidP="00DF6BA5" w14:paraId="208D47A4" w14:textId="77777777">
            <w:pPr>
              <w:pStyle w:val="Default"/>
              <w:jc w:val="both"/>
              <w:rPr>
                <w:bCs/>
                <w:sz w:val="26"/>
                <w:szCs w:val="26"/>
              </w:rPr>
            </w:pPr>
            <w:r w:rsidRPr="00DE1A53">
              <w:rPr>
                <w:bCs/>
                <w:sz w:val="26"/>
                <w:szCs w:val="26"/>
              </w:rPr>
              <w:t>EM piedāvā svītrot MK noteikumi Nr.997 10.</w:t>
            </w:r>
            <w:r w:rsidRPr="00DE1A53">
              <w:rPr>
                <w:bCs/>
                <w:sz w:val="26"/>
                <w:szCs w:val="26"/>
                <w:vertAlign w:val="superscript"/>
              </w:rPr>
              <w:t>2</w:t>
            </w:r>
            <w:r w:rsidRPr="00DE1A53">
              <w:rPr>
                <w:bCs/>
                <w:sz w:val="26"/>
                <w:szCs w:val="26"/>
              </w:rPr>
              <w:t xml:space="preserve"> 7.apakšpunktā paredzēto ierobežojumu iekšējās </w:t>
            </w:r>
            <w:r w:rsidRPr="00DE1A53">
              <w:rPr>
                <w:bCs/>
                <w:sz w:val="26"/>
                <w:szCs w:val="26"/>
              </w:rPr>
              <w:t>atdeves</w:t>
            </w:r>
            <w:r w:rsidRPr="00DE1A53">
              <w:rPr>
                <w:bCs/>
                <w:sz w:val="26"/>
                <w:szCs w:val="26"/>
              </w:rPr>
              <w:t xml:space="preserve"> rādītājam, kuru piemēro garantijām energoefektivitātes pasākumu īstenošanai. </w:t>
            </w:r>
          </w:p>
          <w:p w:rsidR="00DF6BA5" w:rsidRPr="00DE1A53" w:rsidP="00DF6BA5" w14:paraId="670221C0" w14:textId="3335DB18">
            <w:pPr>
              <w:pStyle w:val="Default"/>
              <w:jc w:val="both"/>
              <w:rPr>
                <w:bCs/>
                <w:sz w:val="26"/>
                <w:szCs w:val="26"/>
              </w:rPr>
            </w:pPr>
            <w:r w:rsidRPr="00DE1A53">
              <w:rPr>
                <w:bCs/>
                <w:sz w:val="26"/>
                <w:szCs w:val="26"/>
              </w:rPr>
              <w:t xml:space="preserve">Garantijas energoefektivitātes paaugstināšanas pasākumu īstenošanai piešķir tikai gadījumos, ja attiecīgā projekta realizācija tiek nodrošināta 4.2.1.1.pasākuma ietvaros. 4.2.1.1.pasākumu regulē 2016.gada 15.marta Ministru kabineta noteikumi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nr.160). MK noteikumu Nr.160 55.punkts paredz, ka </w:t>
            </w:r>
            <w:r w:rsidRPr="00DE1A53">
              <w:rPr>
                <w:bCs/>
                <w:sz w:val="26"/>
                <w:szCs w:val="26"/>
              </w:rPr>
              <w:t>grantu</w:t>
            </w:r>
            <w:r w:rsidRPr="00DE1A53">
              <w:rPr>
                <w:bCs/>
                <w:sz w:val="26"/>
                <w:szCs w:val="26"/>
              </w:rPr>
              <w:t xml:space="preserve"> piešķir, ja energoefektivitātes paaugstināšanas pasākumu īstenošana ir ekonomiski pamatota – energoefektivitātes paaugstināšanas pasākumu iekšējās </w:t>
            </w:r>
            <w:r w:rsidRPr="00DE1A53">
              <w:rPr>
                <w:bCs/>
                <w:sz w:val="26"/>
                <w:szCs w:val="26"/>
              </w:rPr>
              <w:t>atdeves</w:t>
            </w:r>
            <w:r w:rsidRPr="00DE1A53">
              <w:rPr>
                <w:bCs/>
                <w:sz w:val="26"/>
                <w:szCs w:val="26"/>
              </w:rPr>
              <w:t xml:space="preserve"> rādītājs 20 gadu periodā ir lielāks par 0.</w:t>
            </w:r>
          </w:p>
          <w:p w:rsidR="00DF6BA5" w:rsidRPr="00DE1A53" w:rsidP="00DF6BA5" w14:paraId="57D5A9AA" w14:textId="618B81BF">
            <w:pPr>
              <w:pStyle w:val="Default"/>
              <w:jc w:val="both"/>
              <w:rPr>
                <w:bCs/>
                <w:sz w:val="26"/>
                <w:szCs w:val="26"/>
              </w:rPr>
            </w:pPr>
            <w:r w:rsidRPr="00DE1A53">
              <w:rPr>
                <w:bCs/>
                <w:sz w:val="26"/>
                <w:szCs w:val="26"/>
              </w:rPr>
              <w:t xml:space="preserve">Līdz ar to MK noteikumos Nr.997 nebūtu nepieciešams specifiski noteikt energoefektivitātes paaugstināšanas pasākumu iekšējās </w:t>
            </w:r>
            <w:r w:rsidRPr="00DE1A53">
              <w:rPr>
                <w:bCs/>
                <w:sz w:val="26"/>
                <w:szCs w:val="26"/>
              </w:rPr>
              <w:t>atdeves</w:t>
            </w:r>
            <w:r w:rsidRPr="00DE1A53">
              <w:rPr>
                <w:bCs/>
                <w:sz w:val="26"/>
                <w:szCs w:val="26"/>
              </w:rPr>
              <w:t xml:space="preserve"> rādītāju, jo tas tiek regulēts pasākuma 4.2.1.1. </w:t>
            </w:r>
            <w:r w:rsidRPr="00DE1A53">
              <w:rPr>
                <w:bCs/>
                <w:sz w:val="26"/>
                <w:szCs w:val="26"/>
              </w:rPr>
              <w:t>grantu</w:t>
            </w:r>
            <w:r w:rsidRPr="00DE1A53">
              <w:rPr>
                <w:bCs/>
                <w:sz w:val="26"/>
                <w:szCs w:val="26"/>
              </w:rPr>
              <w:t xml:space="preserve"> instrumenta ietvaros. Tāpat nav lietderīgi dublēt prasību par 20 gadu iekšējās </w:t>
            </w:r>
            <w:r w:rsidRPr="00DE1A53">
              <w:rPr>
                <w:bCs/>
                <w:sz w:val="26"/>
                <w:szCs w:val="26"/>
              </w:rPr>
              <w:t>atdeves</w:t>
            </w:r>
            <w:r w:rsidRPr="00DE1A53">
              <w:rPr>
                <w:bCs/>
                <w:sz w:val="26"/>
                <w:szCs w:val="26"/>
              </w:rPr>
              <w:t xml:space="preserve"> divos MK noteikumos, jo tas var radīt pretrunīgu situāciju attiecīgo punktu grozījumu gadījumā (pašreiz EM ir ierosinājusi palielināt MK noteikumos Nr.160 kapitāla </w:t>
            </w:r>
            <w:r w:rsidRPr="00DE1A53">
              <w:rPr>
                <w:bCs/>
                <w:sz w:val="26"/>
                <w:szCs w:val="26"/>
              </w:rPr>
              <w:t>atdeves</w:t>
            </w:r>
            <w:r w:rsidRPr="00DE1A53">
              <w:rPr>
                <w:bCs/>
                <w:sz w:val="26"/>
                <w:szCs w:val="26"/>
              </w:rPr>
              <w:t xml:space="preserve"> rādītāju no 20 gadiem uz 30 gadiem). Lēmumu par garantiju piešķiršanu pieņem sabiedrības </w:t>
            </w:r>
            <w:r w:rsidRPr="00DE1A53">
              <w:rPr>
                <w:bCs/>
                <w:sz w:val="26"/>
                <w:szCs w:val="26"/>
              </w:rPr>
              <w:t>Altum</w:t>
            </w:r>
            <w:r w:rsidRPr="00DE1A53">
              <w:rPr>
                <w:bCs/>
                <w:sz w:val="26"/>
                <w:szCs w:val="26"/>
              </w:rPr>
              <w:t xml:space="preserve"> kredītkomiteja, kuras atbilstoši precizētajai MK noteikumu nr.997 redakcijai izvērtēs projekta ekonomisko pamatotību saskaņā ar iekšējo metodiku.</w:t>
            </w:r>
          </w:p>
          <w:p w:rsidR="00DF6BA5" w:rsidRPr="00DE1A53" w:rsidP="001C15B2" w14:paraId="737F6008" w14:textId="4831B783">
            <w:pPr>
              <w:pStyle w:val="Default"/>
              <w:rPr>
                <w:bCs/>
                <w:sz w:val="26"/>
                <w:szCs w:val="26"/>
              </w:rPr>
            </w:pPr>
          </w:p>
          <w:p w:rsidR="001C15B2" w:rsidRPr="00DE1A53" w:rsidP="001C15B2" w14:paraId="369212F5" w14:textId="77777777">
            <w:pPr>
              <w:pStyle w:val="Default"/>
              <w:spacing w:after="120"/>
              <w:rPr>
                <w:b/>
                <w:bCs/>
                <w:i/>
                <w:sz w:val="26"/>
                <w:szCs w:val="26"/>
              </w:rPr>
            </w:pPr>
            <w:r w:rsidRPr="00DE1A53">
              <w:rPr>
                <w:b/>
                <w:bCs/>
                <w:i/>
                <w:sz w:val="26"/>
                <w:szCs w:val="26"/>
              </w:rPr>
              <w:t>Tehniski precizējumi</w:t>
            </w:r>
          </w:p>
          <w:p w:rsidR="002F5954" w:rsidRPr="00DE1A53" w:rsidP="002F5954" w14:paraId="03421996" w14:textId="46D84125">
            <w:pPr>
              <w:pStyle w:val="Default"/>
              <w:jc w:val="both"/>
              <w:rPr>
                <w:bCs/>
                <w:sz w:val="26"/>
                <w:szCs w:val="26"/>
              </w:rPr>
            </w:pPr>
            <w:r w:rsidRPr="00DE1A53">
              <w:rPr>
                <w:bCs/>
                <w:sz w:val="26"/>
                <w:szCs w:val="26"/>
              </w:rPr>
              <w:t>Tā kā ES fondu īstenošanā un uzraudzībā iesaistītajām institūcijām radās dažādi jautājumi par MK noteikumu Nr.997 9.</w:t>
            </w:r>
            <w:r w:rsidRPr="00DE1A53" w:rsidR="00F93CD9">
              <w:rPr>
                <w:bCs/>
                <w:sz w:val="26"/>
                <w:szCs w:val="26"/>
              </w:rPr>
              <w:t xml:space="preserve"> punkta kopumā </w:t>
            </w:r>
            <w:r w:rsidRPr="00DE1A53">
              <w:rPr>
                <w:bCs/>
                <w:sz w:val="26"/>
                <w:szCs w:val="26"/>
              </w:rPr>
              <w:t xml:space="preserve"> </w:t>
            </w:r>
            <w:r w:rsidRPr="00DE1A53" w:rsidR="00F93CD9">
              <w:rPr>
                <w:bCs/>
                <w:sz w:val="26"/>
                <w:szCs w:val="26"/>
              </w:rPr>
              <w:t xml:space="preserve">vai </w:t>
            </w:r>
            <w:r w:rsidRPr="00DE1A53">
              <w:rPr>
                <w:bCs/>
                <w:sz w:val="26"/>
                <w:szCs w:val="26"/>
              </w:rPr>
              <w:t xml:space="preserve"> 9.1.</w:t>
            </w:r>
            <w:r w:rsidRPr="00DE1A53" w:rsidR="00F93CD9">
              <w:rPr>
                <w:bCs/>
                <w:sz w:val="26"/>
                <w:szCs w:val="26"/>
              </w:rPr>
              <w:t>apakš</w:t>
            </w:r>
            <w:r w:rsidRPr="00DE1A53">
              <w:rPr>
                <w:bCs/>
                <w:sz w:val="26"/>
                <w:szCs w:val="26"/>
              </w:rPr>
              <w:t>punkta interpretāciju</w:t>
            </w:r>
            <w:r w:rsidRPr="00DE1A53" w:rsidR="006F73DF">
              <w:rPr>
                <w:bCs/>
                <w:sz w:val="26"/>
                <w:szCs w:val="26"/>
              </w:rPr>
              <w:t xml:space="preserve"> un to praktisku pielietošanu attiecībā uz tajā noteiktajiem izņēmumiem</w:t>
            </w:r>
            <w:r w:rsidRPr="00DE1A53">
              <w:rPr>
                <w:bCs/>
                <w:sz w:val="26"/>
                <w:szCs w:val="26"/>
              </w:rPr>
              <w:t xml:space="preserve">, t.i. </w:t>
            </w:r>
            <w:r w:rsidRPr="00DE1A53" w:rsidR="006F73DF">
              <w:rPr>
                <w:bCs/>
                <w:sz w:val="26"/>
                <w:szCs w:val="26"/>
              </w:rPr>
              <w:t xml:space="preserve">nebija </w:t>
            </w:r>
            <w:r w:rsidRPr="00DE1A53" w:rsidR="00901C7C">
              <w:rPr>
                <w:bCs/>
                <w:sz w:val="26"/>
                <w:szCs w:val="26"/>
              </w:rPr>
              <w:t xml:space="preserve">viennozīmīgi </w:t>
            </w:r>
            <w:r w:rsidRPr="00DE1A53" w:rsidR="006F73DF">
              <w:rPr>
                <w:bCs/>
                <w:sz w:val="26"/>
                <w:szCs w:val="26"/>
              </w:rPr>
              <w:t xml:space="preserve">saprotams, </w:t>
            </w:r>
            <w:r w:rsidRPr="00DE1A53">
              <w:rPr>
                <w:bCs/>
                <w:sz w:val="26"/>
                <w:szCs w:val="26"/>
              </w:rPr>
              <w:t xml:space="preserve"> </w:t>
            </w:r>
            <w:r w:rsidRPr="00DE1A53" w:rsidR="006F73DF">
              <w:rPr>
                <w:bCs/>
                <w:sz w:val="26"/>
                <w:szCs w:val="26"/>
              </w:rPr>
              <w:t>ko uzskata par “jaunām saistībām” kurām tiek  izsniegtā garantija, vai kredītlīnijas pagarināšana ir jaunu saistību uzņemšanās un citi jautājumi, EM ierosina MK noteikumu Nr.997 9.punktu atbilstoši  precizēt – to vienkāršojot un neradot nepareizas interpretācijas iespējas, nosakot, ka atbalstu var piešķirt arī jaunām saistībām, kas rodas pēc esošā finanšu pakalpojumu līguma grozījumiem.</w:t>
            </w:r>
          </w:p>
          <w:p w:rsidR="004D3626" w:rsidRPr="00DE1A53" w:rsidP="002F5954" w14:paraId="37645A5E" w14:textId="77777777">
            <w:pPr>
              <w:pStyle w:val="Default"/>
              <w:jc w:val="both"/>
              <w:rPr>
                <w:bCs/>
                <w:sz w:val="26"/>
                <w:szCs w:val="26"/>
              </w:rPr>
            </w:pPr>
          </w:p>
          <w:p w:rsidR="001C15B2" w:rsidRPr="00DE1A53" w:rsidP="001C15B2" w14:paraId="740D3335" w14:textId="6455F052">
            <w:pPr>
              <w:pStyle w:val="Default"/>
              <w:jc w:val="both"/>
              <w:rPr>
                <w:bCs/>
                <w:sz w:val="26"/>
                <w:szCs w:val="26"/>
              </w:rPr>
            </w:pPr>
            <w:r w:rsidRPr="00DE1A53">
              <w:rPr>
                <w:bCs/>
                <w:sz w:val="26"/>
                <w:szCs w:val="26"/>
              </w:rPr>
              <w:t xml:space="preserve">Papildus tiek precizēts 7.5.punkta nosacījums par Valsts ieņēmumu dienesta administrēto nodokļu (nodevu) parādiem. Noteikumu projekts </w:t>
            </w:r>
            <w:r w:rsidRPr="00DE1A53" w:rsidR="004D3626">
              <w:rPr>
                <w:bCs/>
                <w:sz w:val="26"/>
                <w:szCs w:val="26"/>
              </w:rPr>
              <w:t xml:space="preserve">tehniski </w:t>
            </w:r>
            <w:r w:rsidRPr="00DE1A53">
              <w:rPr>
                <w:bCs/>
                <w:sz w:val="26"/>
                <w:szCs w:val="26"/>
              </w:rPr>
              <w:t>precizēts</w:t>
            </w:r>
            <w:r w:rsidRPr="00DE1A53" w:rsidR="004D3626">
              <w:rPr>
                <w:bCs/>
                <w:sz w:val="26"/>
                <w:szCs w:val="26"/>
              </w:rPr>
              <w:t>, lai iekļautu nepārprotamus nosacījumus atbalsta saņēmējiem,</w:t>
            </w:r>
            <w:r w:rsidRPr="00DE1A53">
              <w:rPr>
                <w:bCs/>
                <w:sz w:val="26"/>
                <w:szCs w:val="26"/>
              </w:rPr>
              <w:t xml:space="preserve"> saskaņā ar </w:t>
            </w:r>
            <w:r w:rsidRPr="00DE1A53" w:rsidR="004D3626">
              <w:rPr>
                <w:bCs/>
                <w:sz w:val="26"/>
                <w:szCs w:val="26"/>
              </w:rPr>
              <w:t>iemesliem</w:t>
            </w:r>
            <w:r w:rsidRPr="00DE1A53">
              <w:rPr>
                <w:bCs/>
                <w:sz w:val="26"/>
                <w:szCs w:val="26"/>
              </w:rPr>
              <w:t xml:space="preserve">, kas atrunāti MK noteikumu Nr.997 31.05.2016. grozījumu anotācijā </w:t>
            </w:r>
            <w:r w:rsidRPr="00DE1A53">
              <w:rPr>
                <w:bCs/>
                <w:i/>
                <w:sz w:val="26"/>
                <w:szCs w:val="26"/>
              </w:rPr>
              <w:t xml:space="preserve">“Lai mazinātu publiskā finansējuma zaudējumu riskus garantijas iestāšanas gadījumā, noteikumu projekts paredz, ka minētais nosacījums nav </w:t>
            </w:r>
            <w:r w:rsidRPr="00DE1A53">
              <w:rPr>
                <w:bCs/>
                <w:i/>
                <w:sz w:val="26"/>
                <w:szCs w:val="26"/>
              </w:rPr>
              <w:t>piemērojams, ja tiek pagarināts aizdevumu garantijas termiņš, vienlaikus izpildoties nosacījumam, ka saimnieciskās darbības veicējs uz garantijas termiņa pagarinājuma brīdi ir saņēmis Valsts ieņēmumu dienesta izdotu saistību rakstu</w:t>
            </w:r>
            <w:r w:rsidRPr="00DE1A53">
              <w:rPr>
                <w:bCs/>
                <w:sz w:val="26"/>
                <w:szCs w:val="26"/>
              </w:rPr>
              <w:t xml:space="preserve">.”( </w:t>
            </w:r>
            <w:r>
              <w:fldChar w:fldCharType="begin"/>
            </w:r>
            <w:r>
              <w:instrText xml:space="preserve"> HYPERLINK "http://tap.mk.gov.lv/doc/2016_06/EMAnot_2405016_GRO997.1062.docx" </w:instrText>
            </w:r>
            <w:r>
              <w:fldChar w:fldCharType="separate"/>
            </w:r>
            <w:r w:rsidRPr="00DE1A53">
              <w:rPr>
                <w:rStyle w:val="Hyperlink"/>
                <w:sz w:val="26"/>
                <w:szCs w:val="26"/>
              </w:rPr>
              <w:t>http://tap.mk.gov.lv/doc/2016_06/EMAnot_2405016_GRO997.1062.docx</w:t>
            </w:r>
            <w:r>
              <w:fldChar w:fldCharType="end"/>
            </w:r>
            <w:r w:rsidRPr="00DE1A53">
              <w:rPr>
                <w:bCs/>
                <w:sz w:val="26"/>
                <w:szCs w:val="26"/>
              </w:rPr>
              <w:t>)</w:t>
            </w:r>
            <w:r w:rsidRPr="00DE1A53" w:rsidR="00D77028">
              <w:rPr>
                <w:bCs/>
                <w:sz w:val="26"/>
                <w:szCs w:val="26"/>
              </w:rPr>
              <w:t xml:space="preserve"> Noteikumos arī tiek noteikts, ka</w:t>
            </w:r>
            <w:r w:rsidRPr="00DE1A53" w:rsidR="005A1973">
              <w:rPr>
                <w:bCs/>
                <w:sz w:val="26"/>
                <w:szCs w:val="26"/>
              </w:rPr>
              <w:t xml:space="preserve"> Valsts ieņēmumu dienesta administrēto nodokļu (nodevu) parādnieku datubāzē pārbauda vai</w:t>
            </w:r>
            <w:r w:rsidRPr="00DE1A53" w:rsidR="00D77028">
              <w:rPr>
                <w:bCs/>
                <w:sz w:val="26"/>
                <w:szCs w:val="26"/>
              </w:rPr>
              <w:t xml:space="preserve"> </w:t>
            </w:r>
            <w:r w:rsidRPr="00DE1A53" w:rsidR="005A1973">
              <w:rPr>
                <w:bCs/>
                <w:sz w:val="26"/>
                <w:szCs w:val="26"/>
              </w:rPr>
              <w:t xml:space="preserve">nodokļu vai nodevu parādi nav virs 150 </w:t>
            </w:r>
            <w:r w:rsidRPr="00DE1A53" w:rsidR="005A1973">
              <w:rPr>
                <w:bCs/>
                <w:i/>
                <w:sz w:val="26"/>
                <w:szCs w:val="26"/>
              </w:rPr>
              <w:t>euro</w:t>
            </w:r>
            <w:r w:rsidRPr="00DE1A53" w:rsidR="005A1973">
              <w:rPr>
                <w:bCs/>
                <w:sz w:val="26"/>
                <w:szCs w:val="26"/>
              </w:rPr>
              <w:t>, jo minētajā datubāzē parādnieki tiek publicēti tikai tad, ja tiek pārsniegta šī summu.</w:t>
            </w:r>
          </w:p>
          <w:p w:rsidR="000355AF" w:rsidRPr="00DE1A53" w:rsidP="001C15B2" w14:paraId="4FF16443" w14:textId="7AA03C72">
            <w:pPr>
              <w:pStyle w:val="Default"/>
              <w:jc w:val="both"/>
              <w:rPr>
                <w:bCs/>
                <w:sz w:val="26"/>
                <w:szCs w:val="26"/>
              </w:rPr>
            </w:pPr>
          </w:p>
          <w:p w:rsidR="000355AF" w:rsidRPr="00DE1A53" w:rsidP="007E672C" w14:paraId="0D17EC5B" w14:textId="640D25D3">
            <w:pPr>
              <w:pStyle w:val="Default"/>
              <w:jc w:val="both"/>
              <w:rPr>
                <w:bCs/>
                <w:sz w:val="26"/>
                <w:szCs w:val="26"/>
                <w:lang w:val="en-US"/>
              </w:rPr>
            </w:pPr>
            <w:r w:rsidRPr="00DE1A53">
              <w:rPr>
                <w:bCs/>
                <w:sz w:val="26"/>
                <w:szCs w:val="26"/>
                <w:lang w:val="en-US"/>
              </w:rPr>
              <w:t>Tā</w:t>
            </w:r>
            <w:r w:rsidRPr="00DE1A53">
              <w:rPr>
                <w:bCs/>
                <w:sz w:val="26"/>
                <w:szCs w:val="26"/>
                <w:lang w:val="en-US"/>
              </w:rPr>
              <w:t xml:space="preserve"> </w:t>
            </w:r>
            <w:r w:rsidRPr="00DE1A53">
              <w:rPr>
                <w:bCs/>
                <w:sz w:val="26"/>
                <w:szCs w:val="26"/>
                <w:lang w:val="en-US"/>
              </w:rPr>
              <w:t>kā</w:t>
            </w:r>
            <w:r w:rsidRPr="00DE1A53">
              <w:rPr>
                <w:bCs/>
                <w:sz w:val="26"/>
                <w:szCs w:val="26"/>
                <w:lang w:val="en-US"/>
              </w:rPr>
              <w:t xml:space="preserve"> </w:t>
            </w:r>
            <w:r w:rsidRPr="00DE1A53">
              <w:rPr>
                <w:bCs/>
                <w:sz w:val="26"/>
                <w:szCs w:val="26"/>
                <w:lang w:val="en-US"/>
              </w:rPr>
              <w:t>spēkā</w:t>
            </w:r>
            <w:r w:rsidRPr="00DE1A53">
              <w:rPr>
                <w:bCs/>
                <w:sz w:val="26"/>
                <w:szCs w:val="26"/>
                <w:lang w:val="en-US"/>
              </w:rPr>
              <w:t xml:space="preserve"> </w:t>
            </w:r>
            <w:r w:rsidRPr="00DE1A53">
              <w:rPr>
                <w:bCs/>
                <w:sz w:val="26"/>
                <w:szCs w:val="26"/>
                <w:lang w:val="en-US"/>
              </w:rPr>
              <w:t>esošā</w:t>
            </w:r>
            <w:r w:rsidRPr="00DE1A53">
              <w:rPr>
                <w:bCs/>
                <w:sz w:val="26"/>
                <w:szCs w:val="26"/>
                <w:lang w:val="en-US"/>
              </w:rPr>
              <w:t xml:space="preserve"> MK </w:t>
            </w:r>
            <w:r w:rsidRPr="00DE1A53">
              <w:rPr>
                <w:bCs/>
                <w:sz w:val="26"/>
                <w:szCs w:val="26"/>
                <w:lang w:val="en-US"/>
              </w:rPr>
              <w:t>noteikumu</w:t>
            </w:r>
            <w:r w:rsidRPr="00DE1A53">
              <w:rPr>
                <w:bCs/>
                <w:sz w:val="26"/>
                <w:szCs w:val="26"/>
                <w:lang w:val="en-US"/>
              </w:rPr>
              <w:t xml:space="preserve"> nr.997 1.</w:t>
            </w:r>
            <w:r w:rsidRPr="00DE1A53">
              <w:rPr>
                <w:bCs/>
                <w:sz w:val="26"/>
                <w:szCs w:val="26"/>
                <w:vertAlign w:val="superscript"/>
                <w:lang w:val="en-US"/>
              </w:rPr>
              <w:t>2</w:t>
            </w:r>
            <w:r w:rsidRPr="00DE1A53">
              <w:rPr>
                <w:bCs/>
                <w:sz w:val="26"/>
                <w:szCs w:val="26"/>
                <w:lang w:val="en-US"/>
              </w:rPr>
              <w:t xml:space="preserve"> </w:t>
            </w:r>
            <w:r w:rsidRPr="00DE1A53">
              <w:rPr>
                <w:bCs/>
                <w:sz w:val="26"/>
                <w:szCs w:val="26"/>
                <w:lang w:val="en-US"/>
              </w:rPr>
              <w:t>punktā</w:t>
            </w:r>
            <w:r w:rsidRPr="00DE1A53">
              <w:rPr>
                <w:bCs/>
                <w:sz w:val="26"/>
                <w:szCs w:val="26"/>
                <w:lang w:val="en-US"/>
              </w:rPr>
              <w:t xml:space="preserve"> </w:t>
            </w:r>
            <w:r w:rsidRPr="00DE1A53">
              <w:rPr>
                <w:bCs/>
                <w:sz w:val="26"/>
                <w:szCs w:val="26"/>
                <w:lang w:val="en-US"/>
              </w:rPr>
              <w:t>ietvertā</w:t>
            </w:r>
            <w:r w:rsidRPr="00DE1A53">
              <w:rPr>
                <w:bCs/>
                <w:sz w:val="26"/>
                <w:szCs w:val="26"/>
                <w:lang w:val="en-US"/>
              </w:rPr>
              <w:t xml:space="preserve"> </w:t>
            </w:r>
            <w:r w:rsidRPr="00DE1A53">
              <w:rPr>
                <w:bCs/>
                <w:sz w:val="26"/>
                <w:szCs w:val="26"/>
                <w:lang w:val="en-US"/>
              </w:rPr>
              <w:t>norma</w:t>
            </w:r>
            <w:r w:rsidRPr="00DE1A53">
              <w:rPr>
                <w:bCs/>
                <w:sz w:val="26"/>
                <w:szCs w:val="26"/>
                <w:lang w:val="en-US"/>
              </w:rPr>
              <w:t xml:space="preserve"> </w:t>
            </w:r>
            <w:r w:rsidRPr="00DE1A53">
              <w:rPr>
                <w:bCs/>
                <w:sz w:val="26"/>
                <w:szCs w:val="26"/>
                <w:lang w:val="en-US"/>
              </w:rPr>
              <w:t>paredz</w:t>
            </w:r>
            <w:r w:rsidRPr="00DE1A53">
              <w:rPr>
                <w:bCs/>
                <w:sz w:val="26"/>
                <w:szCs w:val="26"/>
                <w:lang w:val="en-US"/>
              </w:rPr>
              <w:t xml:space="preserve">, ka </w:t>
            </w:r>
            <w:r w:rsidRPr="00DE1A53">
              <w:rPr>
                <w:bCs/>
                <w:sz w:val="26"/>
                <w:szCs w:val="26"/>
                <w:lang w:val="en-US"/>
              </w:rPr>
              <w:t>atbalstu</w:t>
            </w:r>
            <w:r w:rsidRPr="00DE1A53">
              <w:rPr>
                <w:bCs/>
                <w:sz w:val="26"/>
                <w:szCs w:val="26"/>
                <w:lang w:val="en-US"/>
              </w:rPr>
              <w:t xml:space="preserve"> </w:t>
            </w:r>
            <w:r w:rsidRPr="00DE1A53">
              <w:rPr>
                <w:bCs/>
                <w:sz w:val="26"/>
                <w:szCs w:val="26"/>
                <w:lang w:val="en-US"/>
              </w:rPr>
              <w:t>drīkst</w:t>
            </w:r>
            <w:r w:rsidRPr="00DE1A53">
              <w:rPr>
                <w:bCs/>
                <w:sz w:val="26"/>
                <w:szCs w:val="26"/>
                <w:lang w:val="en-US"/>
              </w:rPr>
              <w:t xml:space="preserve"> </w:t>
            </w:r>
            <w:r w:rsidRPr="00DE1A53">
              <w:rPr>
                <w:bCs/>
                <w:sz w:val="26"/>
                <w:szCs w:val="26"/>
                <w:lang w:val="en-US"/>
              </w:rPr>
              <w:t>apvienot</w:t>
            </w:r>
            <w:r w:rsidRPr="00DE1A53">
              <w:rPr>
                <w:bCs/>
                <w:sz w:val="26"/>
                <w:szCs w:val="26"/>
                <w:lang w:val="en-US"/>
              </w:rPr>
              <w:t xml:space="preserve"> </w:t>
            </w:r>
            <w:r w:rsidRPr="00DE1A53">
              <w:rPr>
                <w:bCs/>
                <w:sz w:val="26"/>
                <w:szCs w:val="26"/>
                <w:lang w:val="en-US"/>
              </w:rPr>
              <w:t>ar</w:t>
            </w:r>
            <w:r w:rsidRPr="00DE1A53">
              <w:rPr>
                <w:bCs/>
                <w:sz w:val="26"/>
                <w:szCs w:val="26"/>
                <w:lang w:val="en-US"/>
              </w:rPr>
              <w:t xml:space="preserve"> </w:t>
            </w:r>
            <w:r w:rsidRPr="00DE1A53">
              <w:rPr>
                <w:bCs/>
                <w:sz w:val="26"/>
                <w:szCs w:val="26"/>
                <w:lang w:val="en-US"/>
              </w:rPr>
              <w:t>citas</w:t>
            </w:r>
            <w:r w:rsidRPr="00DE1A53">
              <w:rPr>
                <w:bCs/>
                <w:sz w:val="26"/>
                <w:szCs w:val="26"/>
                <w:lang w:val="en-US"/>
              </w:rPr>
              <w:t xml:space="preserve"> </w:t>
            </w:r>
            <w:r w:rsidRPr="00DE1A53">
              <w:rPr>
                <w:bCs/>
                <w:sz w:val="26"/>
                <w:szCs w:val="26"/>
                <w:lang w:val="en-US"/>
              </w:rPr>
              <w:t>atbalsta</w:t>
            </w:r>
            <w:r w:rsidRPr="00DE1A53">
              <w:rPr>
                <w:bCs/>
                <w:sz w:val="26"/>
                <w:szCs w:val="26"/>
                <w:lang w:val="en-US"/>
              </w:rPr>
              <w:t xml:space="preserve"> </w:t>
            </w:r>
            <w:r w:rsidRPr="00DE1A53">
              <w:rPr>
                <w:bCs/>
                <w:sz w:val="26"/>
                <w:szCs w:val="26"/>
                <w:lang w:val="en-US"/>
              </w:rPr>
              <w:t>programmas</w:t>
            </w:r>
            <w:r w:rsidRPr="00DE1A53">
              <w:rPr>
                <w:bCs/>
                <w:sz w:val="26"/>
                <w:szCs w:val="26"/>
                <w:lang w:val="en-US"/>
              </w:rPr>
              <w:t xml:space="preserve"> </w:t>
            </w:r>
            <w:r w:rsidRPr="00DE1A53">
              <w:rPr>
                <w:bCs/>
                <w:sz w:val="26"/>
                <w:szCs w:val="26"/>
                <w:lang w:val="en-US"/>
              </w:rPr>
              <w:t>vai</w:t>
            </w:r>
            <w:r w:rsidRPr="00DE1A53">
              <w:rPr>
                <w:bCs/>
                <w:sz w:val="26"/>
                <w:szCs w:val="26"/>
                <w:lang w:val="en-US"/>
              </w:rPr>
              <w:t xml:space="preserve"> </w:t>
            </w:r>
            <w:r w:rsidRPr="00DE1A53">
              <w:rPr>
                <w:bCs/>
                <w:sz w:val="26"/>
                <w:szCs w:val="26"/>
                <w:lang w:val="en-US"/>
              </w:rPr>
              <w:t>individuālā</w:t>
            </w:r>
            <w:r w:rsidRPr="00DE1A53">
              <w:rPr>
                <w:bCs/>
                <w:sz w:val="26"/>
                <w:szCs w:val="26"/>
                <w:lang w:val="en-US"/>
              </w:rPr>
              <w:t xml:space="preserve"> </w:t>
            </w:r>
            <w:r w:rsidRPr="00DE1A53">
              <w:rPr>
                <w:bCs/>
                <w:sz w:val="26"/>
                <w:szCs w:val="26"/>
                <w:lang w:val="en-US"/>
              </w:rPr>
              <w:t>atbalsta</w:t>
            </w:r>
            <w:r w:rsidRPr="00DE1A53">
              <w:rPr>
                <w:bCs/>
                <w:sz w:val="26"/>
                <w:szCs w:val="26"/>
                <w:lang w:val="en-US"/>
              </w:rPr>
              <w:t xml:space="preserve"> </w:t>
            </w:r>
            <w:r w:rsidRPr="00DE1A53">
              <w:rPr>
                <w:bCs/>
                <w:sz w:val="26"/>
                <w:szCs w:val="26"/>
                <w:lang w:val="en-US"/>
              </w:rPr>
              <w:t>projekta</w:t>
            </w:r>
            <w:r w:rsidRPr="00DE1A53">
              <w:rPr>
                <w:bCs/>
                <w:sz w:val="26"/>
                <w:szCs w:val="26"/>
                <w:lang w:val="en-US"/>
              </w:rPr>
              <w:t xml:space="preserve"> </w:t>
            </w:r>
            <w:r w:rsidRPr="00DE1A53">
              <w:rPr>
                <w:bCs/>
                <w:sz w:val="26"/>
                <w:szCs w:val="26"/>
                <w:lang w:val="en-US"/>
              </w:rPr>
              <w:t>ietvaros</w:t>
            </w:r>
            <w:r w:rsidRPr="00DE1A53">
              <w:rPr>
                <w:bCs/>
                <w:sz w:val="26"/>
                <w:szCs w:val="26"/>
                <w:lang w:val="en-US"/>
              </w:rPr>
              <w:t xml:space="preserve"> </w:t>
            </w:r>
            <w:r w:rsidRPr="00DE1A53">
              <w:rPr>
                <w:bCs/>
                <w:sz w:val="26"/>
                <w:szCs w:val="26"/>
                <w:lang w:val="en-US"/>
              </w:rPr>
              <w:t>saņemto</w:t>
            </w:r>
            <w:r w:rsidRPr="00DE1A53">
              <w:rPr>
                <w:bCs/>
                <w:sz w:val="26"/>
                <w:szCs w:val="26"/>
                <w:lang w:val="en-US"/>
              </w:rPr>
              <w:t xml:space="preserve"> </w:t>
            </w:r>
            <w:r w:rsidRPr="00DE1A53">
              <w:rPr>
                <w:bCs/>
                <w:sz w:val="26"/>
                <w:szCs w:val="26"/>
                <w:lang w:val="en-US"/>
              </w:rPr>
              <w:t>atbalstu</w:t>
            </w:r>
            <w:r w:rsidRPr="00DE1A53">
              <w:rPr>
                <w:bCs/>
                <w:sz w:val="26"/>
                <w:szCs w:val="26"/>
                <w:lang w:val="en-US"/>
              </w:rPr>
              <w:t xml:space="preserve"> par </w:t>
            </w:r>
            <w:r w:rsidRPr="00DE1A53">
              <w:rPr>
                <w:bCs/>
                <w:sz w:val="26"/>
                <w:szCs w:val="26"/>
                <w:lang w:val="en-US"/>
              </w:rPr>
              <w:t>vienām</w:t>
            </w:r>
            <w:r w:rsidRPr="00DE1A53">
              <w:rPr>
                <w:bCs/>
                <w:sz w:val="26"/>
                <w:szCs w:val="26"/>
                <w:lang w:val="en-US"/>
              </w:rPr>
              <w:t xml:space="preserve"> un </w:t>
            </w:r>
            <w:r w:rsidRPr="00DE1A53">
              <w:rPr>
                <w:bCs/>
                <w:sz w:val="26"/>
                <w:szCs w:val="26"/>
                <w:lang w:val="en-US"/>
              </w:rPr>
              <w:t>tām</w:t>
            </w:r>
            <w:r w:rsidRPr="00DE1A53">
              <w:rPr>
                <w:bCs/>
                <w:sz w:val="26"/>
                <w:szCs w:val="26"/>
                <w:lang w:val="en-US"/>
              </w:rPr>
              <w:t xml:space="preserve"> </w:t>
            </w:r>
            <w:r w:rsidRPr="00DE1A53">
              <w:rPr>
                <w:bCs/>
                <w:sz w:val="26"/>
                <w:szCs w:val="26"/>
                <w:lang w:val="en-US"/>
              </w:rPr>
              <w:t>pašām</w:t>
            </w:r>
            <w:r w:rsidRPr="00DE1A53">
              <w:rPr>
                <w:bCs/>
                <w:sz w:val="26"/>
                <w:szCs w:val="26"/>
                <w:lang w:val="en-US"/>
              </w:rPr>
              <w:t xml:space="preserve"> </w:t>
            </w:r>
            <w:r w:rsidRPr="00DE1A53">
              <w:rPr>
                <w:bCs/>
                <w:sz w:val="26"/>
                <w:szCs w:val="26"/>
                <w:lang w:val="en-US"/>
              </w:rPr>
              <w:t>attiecināmajām</w:t>
            </w:r>
            <w:r w:rsidRPr="00DE1A53">
              <w:rPr>
                <w:bCs/>
                <w:sz w:val="26"/>
                <w:szCs w:val="26"/>
                <w:lang w:val="en-US"/>
              </w:rPr>
              <w:t xml:space="preserve"> </w:t>
            </w:r>
            <w:r w:rsidRPr="00DE1A53">
              <w:rPr>
                <w:bCs/>
                <w:sz w:val="26"/>
                <w:szCs w:val="26"/>
                <w:lang w:val="en-US"/>
              </w:rPr>
              <w:t>izmaksām</w:t>
            </w:r>
            <w:r w:rsidRPr="00DE1A53">
              <w:rPr>
                <w:bCs/>
                <w:sz w:val="26"/>
                <w:szCs w:val="26"/>
                <w:lang w:val="en-US"/>
              </w:rPr>
              <w:t xml:space="preserve"> </w:t>
            </w:r>
            <w:r w:rsidRPr="00DE1A53">
              <w:rPr>
                <w:bCs/>
                <w:sz w:val="26"/>
                <w:szCs w:val="26"/>
                <w:lang w:val="en-US"/>
              </w:rPr>
              <w:t>tikai</w:t>
            </w:r>
            <w:r w:rsidRPr="00DE1A53">
              <w:rPr>
                <w:bCs/>
                <w:sz w:val="26"/>
                <w:szCs w:val="26"/>
                <w:lang w:val="en-US"/>
              </w:rPr>
              <w:t xml:space="preserve"> </w:t>
            </w:r>
            <w:r w:rsidRPr="00DE1A53">
              <w:rPr>
                <w:bCs/>
                <w:sz w:val="26"/>
                <w:szCs w:val="26"/>
                <w:lang w:val="en-US"/>
              </w:rPr>
              <w:t>ar</w:t>
            </w:r>
            <w:r w:rsidRPr="00DE1A53">
              <w:rPr>
                <w:bCs/>
                <w:sz w:val="26"/>
                <w:szCs w:val="26"/>
                <w:lang w:val="en-US"/>
              </w:rPr>
              <w:t xml:space="preserve"> </w:t>
            </w:r>
            <w:r w:rsidRPr="00DE1A53">
              <w:rPr>
                <w:bCs/>
                <w:sz w:val="26"/>
                <w:szCs w:val="26"/>
                <w:lang w:val="en-US"/>
              </w:rPr>
              <w:t>programmas</w:t>
            </w:r>
            <w:r w:rsidRPr="00DE1A53">
              <w:rPr>
                <w:bCs/>
                <w:sz w:val="26"/>
                <w:szCs w:val="26"/>
                <w:lang w:val="en-US"/>
              </w:rPr>
              <w:t xml:space="preserve"> </w:t>
            </w:r>
            <w:r w:rsidRPr="00DE1A53">
              <w:rPr>
                <w:bCs/>
                <w:sz w:val="26"/>
                <w:szCs w:val="26"/>
                <w:lang w:val="en-US"/>
              </w:rPr>
              <w:t>papildus</w:t>
            </w:r>
            <w:r w:rsidRPr="00DE1A53">
              <w:rPr>
                <w:bCs/>
                <w:sz w:val="26"/>
                <w:szCs w:val="26"/>
                <w:lang w:val="en-US"/>
              </w:rPr>
              <w:t xml:space="preserve"> </w:t>
            </w:r>
            <w:r w:rsidRPr="00DE1A53">
              <w:rPr>
                <w:bCs/>
                <w:sz w:val="26"/>
                <w:szCs w:val="26"/>
                <w:lang w:val="en-US"/>
              </w:rPr>
              <w:t>pieejamo</w:t>
            </w:r>
            <w:r w:rsidRPr="00DE1A53">
              <w:rPr>
                <w:bCs/>
                <w:sz w:val="26"/>
                <w:szCs w:val="26"/>
                <w:lang w:val="en-US"/>
              </w:rPr>
              <w:t xml:space="preserve"> </w:t>
            </w:r>
            <w:r w:rsidRPr="00DE1A53">
              <w:rPr>
                <w:bCs/>
                <w:sz w:val="26"/>
                <w:szCs w:val="26"/>
                <w:lang w:val="en-US"/>
              </w:rPr>
              <w:t>finansējumu</w:t>
            </w:r>
            <w:r w:rsidRPr="00DE1A53">
              <w:rPr>
                <w:bCs/>
                <w:sz w:val="26"/>
                <w:szCs w:val="26"/>
                <w:lang w:val="en-US"/>
              </w:rPr>
              <w:t xml:space="preserve">, </w:t>
            </w:r>
            <w:r w:rsidRPr="00DE1A53">
              <w:rPr>
                <w:bCs/>
                <w:sz w:val="26"/>
                <w:szCs w:val="26"/>
                <w:lang w:val="en-US"/>
              </w:rPr>
              <w:t>nevis</w:t>
            </w:r>
            <w:r w:rsidRPr="00DE1A53">
              <w:rPr>
                <w:bCs/>
                <w:sz w:val="26"/>
                <w:szCs w:val="26"/>
                <w:lang w:val="en-US"/>
              </w:rPr>
              <w:t xml:space="preserve"> </w:t>
            </w:r>
            <w:r w:rsidRPr="00DE1A53">
              <w:rPr>
                <w:bCs/>
                <w:sz w:val="26"/>
                <w:szCs w:val="26"/>
                <w:lang w:val="en-US"/>
              </w:rPr>
              <w:t>ar</w:t>
            </w:r>
            <w:r w:rsidRPr="00DE1A53">
              <w:rPr>
                <w:bCs/>
                <w:sz w:val="26"/>
                <w:szCs w:val="26"/>
                <w:lang w:val="en-US"/>
              </w:rPr>
              <w:t xml:space="preserve"> ERAF, </w:t>
            </w:r>
            <w:r w:rsidRPr="00DE1A53">
              <w:rPr>
                <w:bCs/>
                <w:sz w:val="26"/>
                <w:szCs w:val="26"/>
                <w:lang w:val="en-US"/>
              </w:rPr>
              <w:t>savukārt</w:t>
            </w:r>
            <w:r w:rsidRPr="00DE1A53">
              <w:rPr>
                <w:bCs/>
                <w:sz w:val="26"/>
                <w:szCs w:val="26"/>
                <w:lang w:val="en-US"/>
              </w:rPr>
              <w:t xml:space="preserve"> </w:t>
            </w:r>
            <w:r w:rsidRPr="00DE1A53">
              <w:rPr>
                <w:bCs/>
                <w:sz w:val="26"/>
                <w:szCs w:val="26"/>
                <w:lang w:val="en-US"/>
              </w:rPr>
              <w:t>ar</w:t>
            </w:r>
            <w:r w:rsidRPr="00DE1A53">
              <w:rPr>
                <w:bCs/>
                <w:sz w:val="26"/>
                <w:szCs w:val="26"/>
                <w:lang w:val="en-US"/>
              </w:rPr>
              <w:t xml:space="preserve"> </w:t>
            </w:r>
            <w:r w:rsidRPr="00DE1A53">
              <w:rPr>
                <w:bCs/>
                <w:sz w:val="26"/>
                <w:szCs w:val="26"/>
                <w:lang w:val="en-US"/>
              </w:rPr>
              <w:t>noteikumu</w:t>
            </w:r>
            <w:r w:rsidRPr="00DE1A53">
              <w:rPr>
                <w:bCs/>
                <w:sz w:val="26"/>
                <w:szCs w:val="26"/>
                <w:lang w:val="en-US"/>
              </w:rPr>
              <w:t xml:space="preserve"> </w:t>
            </w:r>
            <w:r w:rsidRPr="00DE1A53">
              <w:rPr>
                <w:bCs/>
                <w:sz w:val="26"/>
                <w:szCs w:val="26"/>
                <w:lang w:val="en-US"/>
              </w:rPr>
              <w:t>projekta</w:t>
            </w:r>
            <w:r w:rsidRPr="00DE1A53">
              <w:rPr>
                <w:bCs/>
                <w:sz w:val="26"/>
                <w:szCs w:val="26"/>
                <w:lang w:val="en-US"/>
              </w:rPr>
              <w:t xml:space="preserve"> 1.punktu, </w:t>
            </w:r>
            <w:r w:rsidRPr="00DE1A53">
              <w:rPr>
                <w:bCs/>
                <w:sz w:val="26"/>
                <w:szCs w:val="26"/>
                <w:lang w:val="en-US"/>
              </w:rPr>
              <w:t>ar</w:t>
            </w:r>
            <w:r w:rsidRPr="00DE1A53">
              <w:rPr>
                <w:bCs/>
                <w:sz w:val="26"/>
                <w:szCs w:val="26"/>
                <w:lang w:val="en-US"/>
              </w:rPr>
              <w:t xml:space="preserve"> kuru </w:t>
            </w:r>
            <w:r w:rsidRPr="00DE1A53">
              <w:rPr>
                <w:bCs/>
                <w:sz w:val="26"/>
                <w:szCs w:val="26"/>
                <w:lang w:val="en-US"/>
              </w:rPr>
              <w:t>tiek</w:t>
            </w:r>
            <w:r w:rsidRPr="00DE1A53">
              <w:rPr>
                <w:bCs/>
                <w:sz w:val="26"/>
                <w:szCs w:val="26"/>
                <w:lang w:val="en-US"/>
              </w:rPr>
              <w:t xml:space="preserve"> </w:t>
            </w:r>
            <w:r w:rsidRPr="00DE1A53">
              <w:rPr>
                <w:bCs/>
                <w:sz w:val="26"/>
                <w:szCs w:val="26"/>
                <w:lang w:val="en-US"/>
              </w:rPr>
              <w:t>precizēts</w:t>
            </w:r>
            <w:r w:rsidRPr="00DE1A53">
              <w:rPr>
                <w:bCs/>
                <w:sz w:val="26"/>
                <w:szCs w:val="26"/>
                <w:lang w:val="en-US"/>
              </w:rPr>
              <w:t xml:space="preserve"> MK </w:t>
            </w:r>
            <w:r w:rsidRPr="00DE1A53">
              <w:rPr>
                <w:bCs/>
                <w:sz w:val="26"/>
                <w:szCs w:val="26"/>
                <w:lang w:val="en-US"/>
              </w:rPr>
              <w:t>noteikumu</w:t>
            </w:r>
            <w:r w:rsidRPr="00DE1A53">
              <w:rPr>
                <w:bCs/>
                <w:sz w:val="26"/>
                <w:szCs w:val="26"/>
                <w:lang w:val="en-US"/>
              </w:rPr>
              <w:t xml:space="preserve"> Nr.997 1.</w:t>
            </w:r>
            <w:r w:rsidRPr="00DE1A53">
              <w:rPr>
                <w:bCs/>
                <w:sz w:val="26"/>
                <w:szCs w:val="26"/>
                <w:vertAlign w:val="superscript"/>
                <w:lang w:val="en-US"/>
              </w:rPr>
              <w:t>2</w:t>
            </w:r>
            <w:r w:rsidRPr="00DE1A53">
              <w:rPr>
                <w:bCs/>
                <w:sz w:val="26"/>
                <w:szCs w:val="26"/>
                <w:lang w:val="en-US"/>
              </w:rPr>
              <w:t xml:space="preserve"> </w:t>
            </w:r>
            <w:r w:rsidRPr="00DE1A53">
              <w:rPr>
                <w:bCs/>
                <w:sz w:val="26"/>
                <w:szCs w:val="26"/>
                <w:lang w:val="en-US"/>
              </w:rPr>
              <w:t>punkts</w:t>
            </w:r>
            <w:r w:rsidRPr="00DE1A53">
              <w:rPr>
                <w:bCs/>
                <w:sz w:val="26"/>
                <w:szCs w:val="26"/>
                <w:lang w:val="en-US"/>
              </w:rPr>
              <w:t xml:space="preserve">, </w:t>
            </w:r>
            <w:r w:rsidRPr="00DE1A53">
              <w:rPr>
                <w:bCs/>
                <w:sz w:val="26"/>
                <w:szCs w:val="26"/>
                <w:lang w:val="en-US"/>
              </w:rPr>
              <w:t>minētā</w:t>
            </w:r>
            <w:r w:rsidRPr="00DE1A53">
              <w:rPr>
                <w:bCs/>
                <w:sz w:val="26"/>
                <w:szCs w:val="26"/>
                <w:lang w:val="en-US"/>
              </w:rPr>
              <w:t xml:space="preserve"> </w:t>
            </w:r>
            <w:r w:rsidRPr="00DE1A53">
              <w:rPr>
                <w:bCs/>
                <w:sz w:val="26"/>
                <w:szCs w:val="26"/>
                <w:lang w:val="en-US"/>
              </w:rPr>
              <w:t>norma</w:t>
            </w:r>
            <w:r w:rsidRPr="00DE1A53">
              <w:rPr>
                <w:bCs/>
                <w:sz w:val="26"/>
                <w:szCs w:val="26"/>
                <w:lang w:val="en-US"/>
              </w:rPr>
              <w:t xml:space="preserve"> </w:t>
            </w:r>
            <w:r w:rsidRPr="00DE1A53">
              <w:rPr>
                <w:bCs/>
                <w:sz w:val="26"/>
                <w:szCs w:val="26"/>
                <w:lang w:val="en-US"/>
              </w:rPr>
              <w:t>tiek</w:t>
            </w:r>
            <w:r w:rsidRPr="00DE1A53">
              <w:rPr>
                <w:bCs/>
                <w:sz w:val="26"/>
                <w:szCs w:val="26"/>
                <w:lang w:val="en-US"/>
              </w:rPr>
              <w:t xml:space="preserve"> </w:t>
            </w:r>
            <w:r w:rsidRPr="00DE1A53">
              <w:rPr>
                <w:bCs/>
                <w:sz w:val="26"/>
                <w:szCs w:val="26"/>
                <w:lang w:val="en-US"/>
              </w:rPr>
              <w:t>svītrota</w:t>
            </w:r>
            <w:r w:rsidRPr="00DE1A53">
              <w:rPr>
                <w:bCs/>
                <w:sz w:val="26"/>
                <w:szCs w:val="26"/>
                <w:lang w:val="en-US"/>
              </w:rPr>
              <w:t xml:space="preserve"> – </w:t>
            </w:r>
            <w:r w:rsidRPr="00DE1A53">
              <w:rPr>
                <w:bCs/>
                <w:sz w:val="26"/>
                <w:szCs w:val="26"/>
                <w:lang w:val="en-US"/>
              </w:rPr>
              <w:t>Noteikumu</w:t>
            </w:r>
            <w:r w:rsidRPr="00DE1A53">
              <w:rPr>
                <w:bCs/>
                <w:sz w:val="26"/>
                <w:szCs w:val="26"/>
                <w:lang w:val="en-US"/>
              </w:rPr>
              <w:t xml:space="preserve"> </w:t>
            </w:r>
            <w:r w:rsidRPr="00DE1A53">
              <w:rPr>
                <w:bCs/>
                <w:sz w:val="26"/>
                <w:szCs w:val="26"/>
                <w:lang w:val="en-US"/>
              </w:rPr>
              <w:t>projektā</w:t>
            </w:r>
            <w:r w:rsidRPr="00DE1A53">
              <w:rPr>
                <w:bCs/>
                <w:sz w:val="26"/>
                <w:szCs w:val="26"/>
                <w:lang w:val="en-US"/>
              </w:rPr>
              <w:t xml:space="preserve"> </w:t>
            </w:r>
            <w:r w:rsidRPr="00DE1A53">
              <w:rPr>
                <w:bCs/>
                <w:sz w:val="26"/>
                <w:szCs w:val="26"/>
                <w:lang w:val="en-US"/>
              </w:rPr>
              <w:t>iekļauts</w:t>
            </w:r>
            <w:r w:rsidRPr="00DE1A53">
              <w:rPr>
                <w:bCs/>
                <w:sz w:val="26"/>
                <w:szCs w:val="26"/>
                <w:lang w:val="en-US"/>
              </w:rPr>
              <w:t xml:space="preserve"> 11.punkts, </w:t>
            </w:r>
            <w:r w:rsidRPr="00DE1A53">
              <w:rPr>
                <w:bCs/>
                <w:sz w:val="26"/>
                <w:szCs w:val="26"/>
                <w:lang w:val="en-US"/>
              </w:rPr>
              <w:t>precizējot</w:t>
            </w:r>
            <w:r w:rsidRPr="00DE1A53">
              <w:rPr>
                <w:bCs/>
                <w:sz w:val="26"/>
                <w:szCs w:val="26"/>
                <w:lang w:val="en-US"/>
              </w:rPr>
              <w:t xml:space="preserve"> MK </w:t>
            </w:r>
            <w:r w:rsidRPr="00DE1A53">
              <w:rPr>
                <w:bCs/>
                <w:sz w:val="26"/>
                <w:szCs w:val="26"/>
                <w:lang w:val="en-US"/>
              </w:rPr>
              <w:t>noteikumu</w:t>
            </w:r>
            <w:r w:rsidRPr="00DE1A53">
              <w:rPr>
                <w:bCs/>
                <w:sz w:val="26"/>
                <w:szCs w:val="26"/>
                <w:lang w:val="en-US"/>
              </w:rPr>
              <w:t xml:space="preserve"> Nr.997 21.punktu, </w:t>
            </w:r>
            <w:r w:rsidRPr="00DE1A53">
              <w:rPr>
                <w:bCs/>
                <w:sz w:val="26"/>
                <w:szCs w:val="26"/>
                <w:lang w:val="en-US"/>
              </w:rPr>
              <w:t>ietverot</w:t>
            </w:r>
            <w:r w:rsidRPr="00DE1A53">
              <w:rPr>
                <w:bCs/>
                <w:sz w:val="26"/>
                <w:szCs w:val="26"/>
                <w:lang w:val="en-US"/>
              </w:rPr>
              <w:t xml:space="preserve"> </w:t>
            </w:r>
            <w:r w:rsidRPr="00DE1A53">
              <w:rPr>
                <w:bCs/>
                <w:sz w:val="26"/>
                <w:szCs w:val="26"/>
                <w:lang w:val="en-US"/>
              </w:rPr>
              <w:t>tajā</w:t>
            </w:r>
            <w:r w:rsidRPr="00DE1A53">
              <w:rPr>
                <w:bCs/>
                <w:sz w:val="26"/>
                <w:szCs w:val="26"/>
                <w:lang w:val="en-US"/>
              </w:rPr>
              <w:t xml:space="preserve"> </w:t>
            </w:r>
            <w:r w:rsidRPr="00DE1A53">
              <w:rPr>
                <w:bCs/>
                <w:sz w:val="26"/>
                <w:szCs w:val="26"/>
                <w:lang w:val="en-US"/>
              </w:rPr>
              <w:t>atsauci</w:t>
            </w:r>
            <w:r w:rsidRPr="00DE1A53">
              <w:rPr>
                <w:bCs/>
                <w:sz w:val="26"/>
                <w:szCs w:val="26"/>
                <w:lang w:val="en-US"/>
              </w:rPr>
              <w:t xml:space="preserve"> uz MK </w:t>
            </w:r>
            <w:r w:rsidRPr="00DE1A53">
              <w:rPr>
                <w:bCs/>
                <w:sz w:val="26"/>
                <w:szCs w:val="26"/>
                <w:lang w:val="en-US"/>
              </w:rPr>
              <w:t>noteikumu</w:t>
            </w:r>
            <w:r w:rsidRPr="00DE1A53">
              <w:rPr>
                <w:bCs/>
                <w:sz w:val="26"/>
                <w:szCs w:val="26"/>
                <w:lang w:val="en-US"/>
              </w:rPr>
              <w:t xml:space="preserve"> Nr.997 1.</w:t>
            </w:r>
            <w:r w:rsidRPr="00DE1A53">
              <w:rPr>
                <w:bCs/>
                <w:sz w:val="26"/>
                <w:szCs w:val="26"/>
                <w:vertAlign w:val="superscript"/>
                <w:lang w:val="en-US"/>
              </w:rPr>
              <w:t>2</w:t>
            </w:r>
            <w:r w:rsidRPr="00DE1A53">
              <w:rPr>
                <w:bCs/>
                <w:sz w:val="26"/>
                <w:szCs w:val="26"/>
                <w:lang w:val="en-US"/>
              </w:rPr>
              <w:t xml:space="preserve"> </w:t>
            </w:r>
            <w:r w:rsidRPr="00DE1A53">
              <w:rPr>
                <w:bCs/>
                <w:sz w:val="26"/>
                <w:szCs w:val="26"/>
                <w:lang w:val="en-US"/>
              </w:rPr>
              <w:t>punktu</w:t>
            </w:r>
            <w:r w:rsidRPr="00DE1A53">
              <w:rPr>
                <w:bCs/>
                <w:sz w:val="26"/>
                <w:szCs w:val="26"/>
                <w:lang w:val="en-US"/>
              </w:rPr>
              <w:t xml:space="preserve">, </w:t>
            </w:r>
            <w:r w:rsidRPr="00DE1A53">
              <w:rPr>
                <w:bCs/>
                <w:sz w:val="26"/>
                <w:szCs w:val="26"/>
                <w:lang w:val="en-US"/>
              </w:rPr>
              <w:t>līdz</w:t>
            </w:r>
            <w:r w:rsidRPr="00DE1A53">
              <w:rPr>
                <w:bCs/>
                <w:sz w:val="26"/>
                <w:szCs w:val="26"/>
                <w:lang w:val="en-US"/>
              </w:rPr>
              <w:t xml:space="preserve"> </w:t>
            </w:r>
            <w:r w:rsidRPr="00DE1A53">
              <w:rPr>
                <w:bCs/>
                <w:sz w:val="26"/>
                <w:szCs w:val="26"/>
                <w:lang w:val="en-US"/>
              </w:rPr>
              <w:t>ar</w:t>
            </w:r>
            <w:r w:rsidRPr="00DE1A53">
              <w:rPr>
                <w:bCs/>
                <w:sz w:val="26"/>
                <w:szCs w:val="26"/>
                <w:lang w:val="en-US"/>
              </w:rPr>
              <w:t xml:space="preserve"> to </w:t>
            </w:r>
            <w:r w:rsidRPr="00DE1A53">
              <w:rPr>
                <w:bCs/>
                <w:sz w:val="26"/>
                <w:szCs w:val="26"/>
                <w:lang w:val="en-US"/>
              </w:rPr>
              <w:t>nosakot</w:t>
            </w:r>
            <w:r w:rsidRPr="00DE1A53">
              <w:rPr>
                <w:bCs/>
                <w:sz w:val="26"/>
                <w:szCs w:val="26"/>
                <w:lang w:val="en-US"/>
              </w:rPr>
              <w:t xml:space="preserve">, ka </w:t>
            </w:r>
            <w:r w:rsidRPr="00DE1A53">
              <w:rPr>
                <w:bCs/>
                <w:sz w:val="26"/>
                <w:szCs w:val="26"/>
                <w:lang w:val="en-US"/>
              </w:rPr>
              <w:t>atbalstu</w:t>
            </w:r>
            <w:r w:rsidRPr="00DE1A53">
              <w:rPr>
                <w:bCs/>
                <w:sz w:val="26"/>
                <w:szCs w:val="26"/>
                <w:lang w:val="en-US"/>
              </w:rPr>
              <w:t xml:space="preserve"> par </w:t>
            </w:r>
            <w:r w:rsidRPr="00DE1A53">
              <w:rPr>
                <w:bCs/>
                <w:sz w:val="26"/>
                <w:szCs w:val="26"/>
                <w:lang w:val="en-US"/>
              </w:rPr>
              <w:t>vienām</w:t>
            </w:r>
            <w:r w:rsidRPr="00DE1A53">
              <w:rPr>
                <w:bCs/>
                <w:sz w:val="26"/>
                <w:szCs w:val="26"/>
                <w:lang w:val="en-US"/>
              </w:rPr>
              <w:t xml:space="preserve"> un </w:t>
            </w:r>
            <w:r w:rsidRPr="00DE1A53">
              <w:rPr>
                <w:bCs/>
                <w:sz w:val="26"/>
                <w:szCs w:val="26"/>
                <w:lang w:val="en-US"/>
              </w:rPr>
              <w:t>tām</w:t>
            </w:r>
            <w:r w:rsidRPr="00DE1A53">
              <w:rPr>
                <w:bCs/>
                <w:sz w:val="26"/>
                <w:szCs w:val="26"/>
                <w:lang w:val="en-US"/>
              </w:rPr>
              <w:t xml:space="preserve"> </w:t>
            </w:r>
            <w:r w:rsidRPr="00DE1A53">
              <w:rPr>
                <w:bCs/>
                <w:sz w:val="26"/>
                <w:szCs w:val="26"/>
                <w:lang w:val="en-US"/>
              </w:rPr>
              <w:t>pašām</w:t>
            </w:r>
            <w:r w:rsidRPr="00DE1A53">
              <w:rPr>
                <w:bCs/>
                <w:sz w:val="26"/>
                <w:szCs w:val="26"/>
                <w:lang w:val="en-US"/>
              </w:rPr>
              <w:t xml:space="preserve"> </w:t>
            </w:r>
            <w:r w:rsidRPr="00DE1A53">
              <w:rPr>
                <w:bCs/>
                <w:sz w:val="26"/>
                <w:szCs w:val="26"/>
                <w:lang w:val="en-US"/>
              </w:rPr>
              <w:t>attiecināmajām</w:t>
            </w:r>
            <w:r w:rsidRPr="00DE1A53">
              <w:rPr>
                <w:bCs/>
                <w:sz w:val="26"/>
                <w:szCs w:val="26"/>
                <w:lang w:val="en-US"/>
              </w:rPr>
              <w:t xml:space="preserve"> </w:t>
            </w:r>
            <w:r w:rsidRPr="00DE1A53">
              <w:rPr>
                <w:bCs/>
                <w:sz w:val="26"/>
                <w:szCs w:val="26"/>
                <w:lang w:val="en-US"/>
              </w:rPr>
              <w:t>izmaksām</w:t>
            </w:r>
            <w:r w:rsidRPr="00DE1A53">
              <w:rPr>
                <w:bCs/>
                <w:sz w:val="26"/>
                <w:szCs w:val="26"/>
                <w:lang w:val="en-US"/>
              </w:rPr>
              <w:t xml:space="preserve"> </w:t>
            </w:r>
            <w:r w:rsidRPr="00DE1A53">
              <w:rPr>
                <w:bCs/>
                <w:sz w:val="26"/>
                <w:szCs w:val="26"/>
                <w:lang w:val="en-US"/>
              </w:rPr>
              <w:t>var</w:t>
            </w:r>
            <w:r w:rsidRPr="00DE1A53">
              <w:rPr>
                <w:bCs/>
                <w:sz w:val="26"/>
                <w:szCs w:val="26"/>
                <w:lang w:val="en-US"/>
              </w:rPr>
              <w:t xml:space="preserve"> </w:t>
            </w:r>
            <w:r w:rsidRPr="00DE1A53">
              <w:rPr>
                <w:bCs/>
                <w:sz w:val="26"/>
                <w:szCs w:val="26"/>
                <w:lang w:val="en-US"/>
              </w:rPr>
              <w:t>kombinēt</w:t>
            </w:r>
            <w:r w:rsidRPr="00DE1A53">
              <w:rPr>
                <w:bCs/>
                <w:sz w:val="26"/>
                <w:szCs w:val="26"/>
                <w:lang w:val="en-US"/>
              </w:rPr>
              <w:t xml:space="preserve"> </w:t>
            </w:r>
            <w:r w:rsidRPr="00DE1A53">
              <w:rPr>
                <w:bCs/>
                <w:sz w:val="26"/>
                <w:szCs w:val="26"/>
                <w:lang w:val="en-US"/>
              </w:rPr>
              <w:t>tikai</w:t>
            </w:r>
            <w:r w:rsidRPr="00DE1A53">
              <w:rPr>
                <w:bCs/>
                <w:sz w:val="26"/>
                <w:szCs w:val="26"/>
                <w:lang w:val="en-US"/>
              </w:rPr>
              <w:t xml:space="preserve"> </w:t>
            </w:r>
            <w:r w:rsidRPr="00DE1A53">
              <w:rPr>
                <w:bCs/>
                <w:sz w:val="26"/>
                <w:szCs w:val="26"/>
                <w:lang w:val="en-US"/>
              </w:rPr>
              <w:t>ar</w:t>
            </w:r>
            <w:r w:rsidRPr="00DE1A53">
              <w:rPr>
                <w:bCs/>
                <w:sz w:val="26"/>
                <w:szCs w:val="26"/>
                <w:lang w:val="en-US"/>
              </w:rPr>
              <w:t xml:space="preserve"> </w:t>
            </w:r>
            <w:r w:rsidRPr="00DE1A53">
              <w:rPr>
                <w:bCs/>
                <w:sz w:val="26"/>
                <w:szCs w:val="26"/>
                <w:lang w:val="en-US"/>
              </w:rPr>
              <w:t>papildus</w:t>
            </w:r>
            <w:r w:rsidRPr="00DE1A53">
              <w:rPr>
                <w:bCs/>
                <w:sz w:val="26"/>
                <w:szCs w:val="26"/>
                <w:lang w:val="en-US"/>
              </w:rPr>
              <w:t xml:space="preserve"> </w:t>
            </w:r>
            <w:r w:rsidRPr="00DE1A53">
              <w:rPr>
                <w:bCs/>
                <w:sz w:val="26"/>
                <w:szCs w:val="26"/>
                <w:lang w:val="en-US"/>
              </w:rPr>
              <w:t>pieejamo</w:t>
            </w:r>
            <w:r w:rsidRPr="00DE1A53">
              <w:rPr>
                <w:bCs/>
                <w:sz w:val="26"/>
                <w:szCs w:val="26"/>
                <w:lang w:val="en-US"/>
              </w:rPr>
              <w:t xml:space="preserve"> </w:t>
            </w:r>
            <w:r w:rsidRPr="00DE1A53">
              <w:rPr>
                <w:bCs/>
                <w:sz w:val="26"/>
                <w:szCs w:val="26"/>
                <w:lang w:val="en-US"/>
              </w:rPr>
              <w:t>finansējumu</w:t>
            </w:r>
            <w:r w:rsidRPr="00DE1A53">
              <w:rPr>
                <w:bCs/>
                <w:sz w:val="26"/>
                <w:szCs w:val="26"/>
                <w:lang w:val="en-US"/>
              </w:rPr>
              <w:t>.</w:t>
            </w:r>
          </w:p>
          <w:p w:rsidR="001C15B2" w:rsidRPr="00DE1A53" w:rsidP="001C15B2" w14:paraId="787B2720" w14:textId="6770F866">
            <w:pPr>
              <w:pStyle w:val="Default"/>
              <w:rPr>
                <w:bCs/>
                <w:i/>
                <w:sz w:val="26"/>
                <w:szCs w:val="26"/>
              </w:rPr>
            </w:pPr>
          </w:p>
          <w:p w:rsidR="001C15B2" w:rsidRPr="00DE1A53" w:rsidP="001C15B2" w14:paraId="2798F435" w14:textId="77777777">
            <w:pPr>
              <w:pStyle w:val="Default"/>
              <w:spacing w:after="120"/>
              <w:rPr>
                <w:b/>
                <w:bCs/>
                <w:i/>
                <w:sz w:val="26"/>
                <w:szCs w:val="26"/>
              </w:rPr>
            </w:pPr>
            <w:r w:rsidRPr="00DE1A53">
              <w:rPr>
                <w:b/>
                <w:bCs/>
                <w:i/>
                <w:sz w:val="26"/>
                <w:szCs w:val="26"/>
              </w:rPr>
              <w:t>Programmas rādītāju novērtējums</w:t>
            </w:r>
          </w:p>
          <w:p w:rsidR="001C15B2" w:rsidP="001C15B2" w14:paraId="31DD5937" w14:textId="7EE1EA6B">
            <w:pPr>
              <w:pStyle w:val="Default"/>
              <w:jc w:val="both"/>
              <w:rPr>
                <w:bCs/>
                <w:sz w:val="26"/>
                <w:szCs w:val="26"/>
              </w:rPr>
            </w:pPr>
            <w:r w:rsidRPr="00DE1A53">
              <w:rPr>
                <w:bCs/>
                <w:sz w:val="26"/>
                <w:szCs w:val="26"/>
              </w:rPr>
              <w:t>Noteikumu grozījumu rezultātā tiks novirzīts papildus gan ERAF finansējums, gan finansējums lielajiem komersan</w:t>
            </w:r>
            <w:r w:rsidR="003411DC">
              <w:rPr>
                <w:bCs/>
                <w:sz w:val="26"/>
                <w:szCs w:val="26"/>
              </w:rPr>
              <w:t xml:space="preserve">tiem. Sabiedrība </w:t>
            </w:r>
            <w:r w:rsidR="003411DC">
              <w:rPr>
                <w:bCs/>
                <w:sz w:val="26"/>
                <w:szCs w:val="26"/>
              </w:rPr>
              <w:t>Altum</w:t>
            </w:r>
            <w:r w:rsidR="003411DC">
              <w:rPr>
                <w:bCs/>
                <w:sz w:val="26"/>
                <w:szCs w:val="26"/>
              </w:rPr>
              <w:t xml:space="preserve"> sagatavo</w:t>
            </w:r>
            <w:r w:rsidRPr="00DE1A53">
              <w:rPr>
                <w:bCs/>
                <w:sz w:val="26"/>
                <w:szCs w:val="26"/>
              </w:rPr>
              <w:t xml:space="preserve"> </w:t>
            </w:r>
            <w:r w:rsidR="003411DC">
              <w:rPr>
                <w:bCs/>
                <w:sz w:val="26"/>
                <w:szCs w:val="26"/>
              </w:rPr>
              <w:t xml:space="preserve">Anotācijas pielikumu – </w:t>
            </w:r>
            <w:r w:rsidRPr="00DE1A53">
              <w:rPr>
                <w:bCs/>
                <w:sz w:val="26"/>
                <w:szCs w:val="26"/>
              </w:rPr>
              <w:t>programmas ietekmes, risku un sagaidāmo zaudējumu, finansiālo rezultātu izvērtējamu</w:t>
            </w:r>
            <w:r w:rsidR="003411DC">
              <w:rPr>
                <w:bCs/>
                <w:sz w:val="26"/>
                <w:szCs w:val="26"/>
              </w:rPr>
              <w:t xml:space="preserve"> (Ierobežotas pieejamības informācija)</w:t>
            </w:r>
            <w:r w:rsidRPr="00DE1A53">
              <w:rPr>
                <w:bCs/>
                <w:sz w:val="26"/>
                <w:szCs w:val="26"/>
              </w:rPr>
              <w:t xml:space="preserve"> saskaņā ar Attīstības finanšu institūcijas likuma 12.panta trešo daļu</w:t>
            </w:r>
            <w:r w:rsidR="003411DC">
              <w:rPr>
                <w:bCs/>
                <w:sz w:val="26"/>
                <w:szCs w:val="26"/>
              </w:rPr>
              <w:t>, kura tiek</w:t>
            </w:r>
            <w:r w:rsidRPr="00DE1A53">
              <w:rPr>
                <w:bCs/>
                <w:sz w:val="26"/>
                <w:szCs w:val="26"/>
              </w:rPr>
              <w:t xml:space="preserve"> </w:t>
            </w:r>
            <w:r w:rsidR="003411DC">
              <w:rPr>
                <w:bCs/>
                <w:sz w:val="26"/>
                <w:szCs w:val="26"/>
              </w:rPr>
              <w:t>saskaņota</w:t>
            </w:r>
            <w:r w:rsidRPr="00DE1A53">
              <w:rPr>
                <w:bCs/>
                <w:sz w:val="26"/>
                <w:szCs w:val="26"/>
              </w:rPr>
              <w:t xml:space="preserve"> </w:t>
            </w:r>
            <w:r w:rsidR="003411DC">
              <w:rPr>
                <w:bCs/>
                <w:sz w:val="26"/>
                <w:szCs w:val="26"/>
              </w:rPr>
              <w:t>ar</w:t>
            </w:r>
            <w:r w:rsidRPr="00DE1A53">
              <w:rPr>
                <w:bCs/>
                <w:sz w:val="26"/>
                <w:szCs w:val="26"/>
              </w:rPr>
              <w:t xml:space="preserve"> </w:t>
            </w:r>
            <w:r w:rsidRPr="00DE1A53" w:rsidR="004D3626">
              <w:rPr>
                <w:bCs/>
                <w:sz w:val="26"/>
                <w:szCs w:val="26"/>
              </w:rPr>
              <w:t xml:space="preserve">EM </w:t>
            </w:r>
            <w:r w:rsidR="003411DC">
              <w:rPr>
                <w:bCs/>
                <w:sz w:val="26"/>
                <w:szCs w:val="26"/>
              </w:rPr>
              <w:t>un Finanšu ministriju.</w:t>
            </w:r>
          </w:p>
          <w:p w:rsidR="003411DC" w:rsidRPr="00DE1A53" w:rsidP="001C15B2" w14:paraId="6ED95FFA" w14:textId="3BEAF9FE">
            <w:pPr>
              <w:pStyle w:val="Default"/>
              <w:jc w:val="both"/>
              <w:rPr>
                <w:bCs/>
                <w:sz w:val="26"/>
                <w:szCs w:val="26"/>
              </w:rPr>
            </w:pPr>
            <w:r w:rsidRPr="003411DC">
              <w:rPr>
                <w:bCs/>
                <w:sz w:val="26"/>
                <w:szCs w:val="26"/>
              </w:rPr>
              <w:t xml:space="preserve">Anotācijas pielikumā </w:t>
            </w:r>
            <w:r>
              <w:rPr>
                <w:bCs/>
                <w:sz w:val="26"/>
                <w:szCs w:val="26"/>
              </w:rPr>
              <w:t xml:space="preserve">iekļauts </w:t>
            </w:r>
            <w:r w:rsidRPr="003411DC">
              <w:rPr>
                <w:bCs/>
                <w:sz w:val="26"/>
                <w:szCs w:val="26"/>
              </w:rPr>
              <w:t>Ekonomikas ministrijas apliecinājums, ka uz Eiropas Savienības struktūrfondu un Kohēzijas fonda 2007.-2013.gada plānošanas perioda atmaksātā finansējuma, kurš paredzēts MK noteikumu projektā, nav uzņemtas citas saistības</w:t>
            </w:r>
            <w:r>
              <w:rPr>
                <w:bCs/>
                <w:sz w:val="26"/>
                <w:szCs w:val="26"/>
              </w:rPr>
              <w:t>.</w:t>
            </w:r>
          </w:p>
          <w:p w:rsidR="008E09BF" w:rsidRPr="00DE1A53" w:rsidP="00B13AD3" w14:paraId="13B46328" w14:textId="77777777">
            <w:pPr>
              <w:pStyle w:val="Default"/>
              <w:jc w:val="both"/>
              <w:rPr>
                <w:sz w:val="26"/>
                <w:szCs w:val="26"/>
              </w:rPr>
            </w:pPr>
          </w:p>
        </w:tc>
      </w:tr>
      <w:tr w14:paraId="6883347C"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DE1A53" w:rsidP="001154C6" w14:paraId="3C07ABDD" w14:textId="77777777">
            <w:pPr>
              <w:jc w:val="center"/>
              <w:rPr>
                <w:sz w:val="26"/>
                <w:szCs w:val="26"/>
                <w:lang w:eastAsia="en-US"/>
              </w:rPr>
            </w:pPr>
            <w:bookmarkEnd w:id="0"/>
            <w:r w:rsidRPr="00DE1A53">
              <w:rPr>
                <w:sz w:val="26"/>
                <w:szCs w:val="26"/>
              </w:rPr>
              <w:t>3.</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DE1A53" w:rsidP="001154C6" w14:paraId="0D59018C" w14:textId="77777777">
            <w:pPr>
              <w:rPr>
                <w:sz w:val="26"/>
                <w:szCs w:val="26"/>
                <w:lang w:eastAsia="en-US"/>
              </w:rPr>
            </w:pPr>
            <w:r w:rsidRPr="00DE1A53">
              <w:rPr>
                <w:sz w:val="26"/>
                <w:szCs w:val="26"/>
              </w:rPr>
              <w:t>Projekta izstrādē iesaistītās institūcijas</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rsidR="00893FBD" w:rsidRPr="00DE1A53" w:rsidP="00A861B4" w14:paraId="2A9D1D8B" w14:textId="03A577AA">
            <w:pPr>
              <w:jc w:val="both"/>
              <w:rPr>
                <w:sz w:val="26"/>
                <w:szCs w:val="26"/>
              </w:rPr>
            </w:pPr>
            <w:r w:rsidRPr="00DE1A53">
              <w:rPr>
                <w:rFonts w:eastAsia="Times New Roman"/>
                <w:sz w:val="26"/>
                <w:szCs w:val="26"/>
              </w:rPr>
              <w:t>E</w:t>
            </w:r>
            <w:r w:rsidRPr="00DE1A53" w:rsidR="00DD581E">
              <w:rPr>
                <w:rFonts w:eastAsia="Times New Roman"/>
                <w:sz w:val="26"/>
                <w:szCs w:val="26"/>
              </w:rPr>
              <w:t>konomikas ministrija</w:t>
            </w:r>
            <w:r w:rsidRPr="00DE1A53" w:rsidR="00CF6A56">
              <w:rPr>
                <w:rFonts w:eastAsia="Times New Roman"/>
                <w:sz w:val="26"/>
                <w:szCs w:val="26"/>
              </w:rPr>
              <w:t xml:space="preserve">, </w:t>
            </w:r>
            <w:r w:rsidRPr="00DE1A53" w:rsidR="004D3626">
              <w:rPr>
                <w:rFonts w:eastAsia="Times New Roman"/>
                <w:sz w:val="26"/>
                <w:szCs w:val="26"/>
              </w:rPr>
              <w:t>akciju sabiedrība</w:t>
            </w:r>
            <w:r w:rsidRPr="00DE1A53" w:rsidR="00DD581E">
              <w:rPr>
                <w:rFonts w:eastAsia="Times New Roman"/>
                <w:sz w:val="26"/>
                <w:szCs w:val="26"/>
              </w:rPr>
              <w:t xml:space="preserve"> “Attīstības finanšu institūcija</w:t>
            </w:r>
            <w:r w:rsidRPr="00DE1A53" w:rsidR="00CF6A56">
              <w:rPr>
                <w:rFonts w:eastAsia="Times New Roman"/>
                <w:sz w:val="26"/>
                <w:szCs w:val="26"/>
              </w:rPr>
              <w:t xml:space="preserve"> </w:t>
            </w:r>
            <w:r w:rsidRPr="00DE1A53" w:rsidR="00CF6A56">
              <w:rPr>
                <w:rFonts w:eastAsia="Times New Roman"/>
                <w:sz w:val="26"/>
                <w:szCs w:val="26"/>
              </w:rPr>
              <w:t>Altum</w:t>
            </w:r>
            <w:r w:rsidRPr="00DE1A53" w:rsidR="00DD581E">
              <w:rPr>
                <w:rFonts w:eastAsia="Times New Roman"/>
                <w:sz w:val="26"/>
                <w:szCs w:val="26"/>
              </w:rPr>
              <w:t>”</w:t>
            </w:r>
          </w:p>
        </w:tc>
      </w:tr>
      <w:tr w14:paraId="68981DE3"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DE1A53" w:rsidP="001154C6" w14:paraId="0C8174D5" w14:textId="77777777">
            <w:pPr>
              <w:jc w:val="center"/>
              <w:rPr>
                <w:sz w:val="26"/>
                <w:szCs w:val="26"/>
                <w:lang w:eastAsia="en-US"/>
              </w:rPr>
            </w:pPr>
            <w:r w:rsidRPr="00DE1A53">
              <w:rPr>
                <w:sz w:val="26"/>
                <w:szCs w:val="26"/>
              </w:rPr>
              <w:t>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DE1A53" w:rsidP="001154C6" w14:paraId="5D6BC58D" w14:textId="77777777">
            <w:pPr>
              <w:rPr>
                <w:sz w:val="26"/>
                <w:szCs w:val="26"/>
                <w:lang w:eastAsia="en-US"/>
              </w:rPr>
            </w:pPr>
            <w:r w:rsidRPr="00DE1A53">
              <w:rPr>
                <w:sz w:val="26"/>
                <w:szCs w:val="26"/>
              </w:rPr>
              <w:t>Cita informācija</w:t>
            </w:r>
          </w:p>
        </w:tc>
        <w:tc>
          <w:tcPr>
            <w:tcW w:w="7290"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DE1A53" w:rsidP="00A861B4" w14:paraId="0A869894" w14:textId="77777777">
            <w:pPr>
              <w:rPr>
                <w:sz w:val="26"/>
                <w:szCs w:val="26"/>
              </w:rPr>
            </w:pPr>
            <w:r w:rsidRPr="00DE1A53">
              <w:rPr>
                <w:sz w:val="26"/>
                <w:szCs w:val="26"/>
              </w:rPr>
              <w:t>Nav.</w:t>
            </w:r>
          </w:p>
        </w:tc>
      </w:tr>
    </w:tbl>
    <w:p w:rsidR="000D3D70" w:rsidRPr="00DE1A53" w:rsidP="001154C6" w14:paraId="2EBF692E" w14:textId="77777777">
      <w:pPr>
        <w:jc w:val="both"/>
        <w:rPr>
          <w:sz w:val="26"/>
          <w:szCs w:val="26"/>
        </w:rPr>
      </w:pP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687"/>
        <w:gridCol w:w="6082"/>
      </w:tblGrid>
      <w:tr w14:paraId="37739662" w14:textId="77777777" w:rsidTr="00FD0A1D">
        <w:tblPrEx>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31" w:type="dxa"/>
            <w:gridSpan w:val="3"/>
            <w:tcBorders>
              <w:top w:val="single" w:sz="4" w:space="0" w:color="auto"/>
              <w:left w:val="single" w:sz="4" w:space="0" w:color="auto"/>
              <w:bottom w:val="single" w:sz="4" w:space="0" w:color="auto"/>
              <w:right w:val="single" w:sz="4" w:space="0" w:color="auto"/>
            </w:tcBorders>
            <w:shd w:val="clear" w:color="auto" w:fill="auto"/>
            <w:hideMark/>
          </w:tcPr>
          <w:p w:rsidR="009571C3" w:rsidRPr="00DE1A53" w:rsidP="009571C3" w14:paraId="0032C9C7" w14:textId="77777777">
            <w:pPr>
              <w:tabs>
                <w:tab w:val="left" w:pos="2268"/>
                <w:tab w:val="left" w:pos="2410"/>
              </w:tabs>
              <w:ind w:left="1080"/>
              <w:contextualSpacing/>
              <w:jc w:val="center"/>
              <w:rPr>
                <w:rFonts w:eastAsia="Times New Roman"/>
                <w:b/>
                <w:sz w:val="26"/>
                <w:szCs w:val="26"/>
                <w:lang w:eastAsia="en-US"/>
              </w:rPr>
            </w:pPr>
            <w:r w:rsidRPr="00DE1A53">
              <w:rPr>
                <w:rFonts w:eastAsia="Times New Roman"/>
                <w:b/>
                <w:bCs/>
                <w:sz w:val="26"/>
                <w:szCs w:val="26"/>
              </w:rPr>
              <w:t>II. Tiesību akta projekta ietekme uz sabiedrību, tautsaimniecības attīstību un administratīvo slogu</w:t>
            </w:r>
          </w:p>
        </w:tc>
      </w:tr>
      <w:tr w14:paraId="4DCFADBB"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358C2" w:rsidRPr="00DE1A53" w:rsidP="004358C2" w14:paraId="685D0531" w14:textId="77777777">
            <w:pPr>
              <w:jc w:val="center"/>
              <w:rPr>
                <w:sz w:val="26"/>
                <w:szCs w:val="26"/>
                <w:lang w:eastAsia="en-US"/>
              </w:rPr>
            </w:pPr>
            <w:r w:rsidRPr="00DE1A53">
              <w:rPr>
                <w:sz w:val="26"/>
                <w:szCs w:val="26"/>
              </w:rPr>
              <w:t>1.</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rsidR="004358C2" w:rsidRPr="00DE1A53" w:rsidP="004358C2" w14:paraId="539D1DFD" w14:textId="77777777">
            <w:pPr>
              <w:rPr>
                <w:sz w:val="26"/>
                <w:szCs w:val="26"/>
                <w:lang w:eastAsia="en-US"/>
              </w:rPr>
            </w:pPr>
            <w:r w:rsidRPr="00DE1A53">
              <w:rPr>
                <w:sz w:val="26"/>
                <w:szCs w:val="26"/>
              </w:rPr>
              <w:t xml:space="preserve">Sabiedrības </w:t>
            </w:r>
            <w:r w:rsidRPr="00DE1A53">
              <w:rPr>
                <w:sz w:val="26"/>
                <w:szCs w:val="26"/>
              </w:rPr>
              <w:t>mērķgrupas</w:t>
            </w:r>
            <w:r w:rsidRPr="00DE1A53">
              <w:rPr>
                <w:sz w:val="26"/>
                <w:szCs w:val="26"/>
              </w:rPr>
              <w:t xml:space="preserve">, kuras tiesiskais regulējums </w:t>
            </w:r>
            <w:r w:rsidRPr="00DE1A53">
              <w:rPr>
                <w:sz w:val="26"/>
                <w:szCs w:val="26"/>
              </w:rPr>
              <w:t>ietekmē vai varētu ietekmēt</w:t>
            </w:r>
          </w:p>
        </w:tc>
        <w:tc>
          <w:tcPr>
            <w:tcW w:w="6082" w:type="dxa"/>
            <w:tcBorders>
              <w:top w:val="single" w:sz="4" w:space="0" w:color="000000"/>
              <w:left w:val="single" w:sz="4" w:space="0" w:color="000000"/>
              <w:bottom w:val="single" w:sz="4" w:space="0" w:color="000000"/>
              <w:right w:val="single" w:sz="4" w:space="0" w:color="000000"/>
            </w:tcBorders>
            <w:shd w:val="clear" w:color="000000" w:fill="auto"/>
            <w:hideMark/>
          </w:tcPr>
          <w:p w:rsidR="004358C2" w:rsidRPr="00DE1A53" w:rsidP="004358C2" w14:paraId="4D94500C" w14:textId="77777777">
            <w:pPr>
              <w:pStyle w:val="ListParagraph"/>
              <w:tabs>
                <w:tab w:val="left" w:pos="317"/>
              </w:tabs>
              <w:spacing w:before="60" w:after="60"/>
              <w:ind w:left="34"/>
              <w:jc w:val="both"/>
              <w:rPr>
                <w:sz w:val="26"/>
                <w:szCs w:val="26"/>
              </w:rPr>
            </w:pPr>
            <w:r w:rsidRPr="00DE1A53">
              <w:rPr>
                <w:sz w:val="26"/>
                <w:szCs w:val="26"/>
              </w:rPr>
              <w:t>Noteikumu projekta mērķa grupa ir sīkie, mazie, vidējie un lielie komersanti.</w:t>
            </w:r>
          </w:p>
        </w:tc>
      </w:tr>
      <w:tr w14:paraId="741782A3"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4358C2" w:rsidRPr="00DE1A53" w:rsidP="004358C2" w14:paraId="3348C2D0" w14:textId="77777777">
            <w:pPr>
              <w:jc w:val="center"/>
              <w:rPr>
                <w:sz w:val="26"/>
                <w:szCs w:val="26"/>
              </w:rPr>
            </w:pPr>
            <w:r w:rsidRPr="00DE1A53">
              <w:rPr>
                <w:sz w:val="26"/>
                <w:szCs w:val="26"/>
              </w:rPr>
              <w:t>2.</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4358C2" w:rsidRPr="00DE1A53" w:rsidP="004358C2" w14:paraId="09668447" w14:textId="77777777">
            <w:pPr>
              <w:rPr>
                <w:color w:val="414142"/>
                <w:sz w:val="26"/>
                <w:szCs w:val="26"/>
              </w:rPr>
            </w:pPr>
            <w:r w:rsidRPr="00DE1A53">
              <w:rPr>
                <w:sz w:val="26"/>
                <w:szCs w:val="26"/>
              </w:rPr>
              <w:t>Tiesiskā regulējuma ietekme uz tautsaimniecību un administratīvo slogu</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358C2" w:rsidRPr="00DE1A53" w:rsidP="004358C2" w14:paraId="3CED3BAF" w14:textId="3823E0D6">
            <w:pPr>
              <w:pStyle w:val="ListParagraph"/>
              <w:tabs>
                <w:tab w:val="left" w:pos="317"/>
              </w:tabs>
              <w:spacing w:before="60" w:after="60"/>
              <w:ind w:left="34"/>
              <w:jc w:val="both"/>
              <w:rPr>
                <w:sz w:val="26"/>
                <w:szCs w:val="26"/>
              </w:rPr>
            </w:pPr>
            <w:r w:rsidRPr="00DE1A53">
              <w:rPr>
                <w:sz w:val="26"/>
                <w:szCs w:val="26"/>
              </w:rPr>
              <w:t xml:space="preserve">Noteikumu projekts neparedz ietekmi uz administratīvo slogu. Noteikumu projekta īstenošanu nodrošinās </w:t>
            </w:r>
            <w:r w:rsidRPr="00DE1A53" w:rsidR="004D3626">
              <w:rPr>
                <w:sz w:val="26"/>
                <w:szCs w:val="26"/>
              </w:rPr>
              <w:t xml:space="preserve">akciju sabiedrība “Attīstības finanšu institūcija </w:t>
            </w:r>
            <w:r w:rsidRPr="00DE1A53" w:rsidR="004D3626">
              <w:rPr>
                <w:sz w:val="26"/>
                <w:szCs w:val="26"/>
              </w:rPr>
              <w:t>Altum</w:t>
            </w:r>
            <w:r w:rsidRPr="00DE1A53" w:rsidR="004D3626">
              <w:rPr>
                <w:sz w:val="26"/>
                <w:szCs w:val="26"/>
              </w:rPr>
              <w:t>”</w:t>
            </w:r>
            <w:r w:rsidRPr="00DE1A53">
              <w:rPr>
                <w:sz w:val="26"/>
                <w:szCs w:val="26"/>
              </w:rPr>
              <w:t xml:space="preserve">. Noteikumu projekts paredz pozitīvu ietekmi uz tautsaimniecību, jo veicinās kreditēšanu. </w:t>
            </w:r>
          </w:p>
        </w:tc>
      </w:tr>
      <w:tr w14:paraId="51675D3C"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4358C2" w:rsidRPr="00DE1A53" w:rsidP="004358C2" w14:paraId="44FB8DCB" w14:textId="77777777">
            <w:pPr>
              <w:jc w:val="center"/>
              <w:rPr>
                <w:sz w:val="26"/>
                <w:szCs w:val="26"/>
              </w:rPr>
            </w:pPr>
            <w:r w:rsidRPr="00DE1A53">
              <w:rPr>
                <w:sz w:val="26"/>
                <w:szCs w:val="26"/>
              </w:rPr>
              <w:t>3.</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4358C2" w:rsidRPr="00DE1A53" w:rsidP="004358C2" w14:paraId="017B71DA" w14:textId="77777777">
            <w:pPr>
              <w:rPr>
                <w:color w:val="414142"/>
                <w:sz w:val="26"/>
                <w:szCs w:val="26"/>
              </w:rPr>
            </w:pPr>
            <w:r w:rsidRPr="00DE1A53">
              <w:rPr>
                <w:sz w:val="26"/>
                <w:szCs w:val="26"/>
              </w:rPr>
              <w:t>Administratīvo izmaksu monetārs novērtējums</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358C2" w:rsidRPr="00DE1A53" w:rsidP="004358C2" w14:paraId="77CB6825" w14:textId="2737D18C">
            <w:pPr>
              <w:pStyle w:val="ListParagraph"/>
              <w:tabs>
                <w:tab w:val="left" w:pos="317"/>
              </w:tabs>
              <w:spacing w:before="60" w:after="60"/>
              <w:ind w:left="0"/>
              <w:jc w:val="both"/>
              <w:rPr>
                <w:sz w:val="26"/>
                <w:szCs w:val="26"/>
              </w:rPr>
            </w:pPr>
            <w:r w:rsidRPr="00DE1A53">
              <w:rPr>
                <w:sz w:val="26"/>
                <w:szCs w:val="26"/>
              </w:rPr>
              <w:t xml:space="preserve">Akciju sabiedrības “Attīstības finanšu institūcija </w:t>
            </w:r>
            <w:r w:rsidRPr="00DE1A53">
              <w:rPr>
                <w:sz w:val="26"/>
                <w:szCs w:val="26"/>
              </w:rPr>
              <w:t>Altum</w:t>
            </w:r>
            <w:r w:rsidRPr="00DE1A53">
              <w:rPr>
                <w:sz w:val="26"/>
                <w:szCs w:val="26"/>
              </w:rPr>
              <w:t>”</w:t>
            </w:r>
            <w:r w:rsidRPr="00DE1A53" w:rsidR="00AC20F2">
              <w:rPr>
                <w:sz w:val="26"/>
                <w:szCs w:val="26"/>
              </w:rPr>
              <w:t xml:space="preserve"> </w:t>
            </w:r>
            <w:r w:rsidRPr="00DE1A53">
              <w:rPr>
                <w:sz w:val="26"/>
                <w:szCs w:val="26"/>
              </w:rPr>
              <w:t xml:space="preserve">vadības izmaksas tiks finansētas atbilstoši sabiedrības </w:t>
            </w:r>
            <w:r w:rsidRPr="00DE1A53">
              <w:rPr>
                <w:sz w:val="26"/>
                <w:szCs w:val="26"/>
              </w:rPr>
              <w:t>Altum</w:t>
            </w:r>
            <w:r w:rsidRPr="00DE1A53">
              <w:rPr>
                <w:sz w:val="26"/>
                <w:szCs w:val="26"/>
              </w:rPr>
              <w:t xml:space="preserve"> programmu pārvaldības izmaksu attiecināšanas metodikai.</w:t>
            </w:r>
          </w:p>
        </w:tc>
      </w:tr>
      <w:tr w14:paraId="37173A11"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9571C3" w:rsidRPr="00DE1A53" w:rsidP="009571C3" w14:paraId="0570ADAD" w14:textId="77777777">
            <w:pPr>
              <w:jc w:val="center"/>
              <w:rPr>
                <w:sz w:val="26"/>
                <w:szCs w:val="26"/>
              </w:rPr>
            </w:pPr>
            <w:r w:rsidRPr="00DE1A53">
              <w:rPr>
                <w:sz w:val="26"/>
                <w:szCs w:val="26"/>
              </w:rPr>
              <w:t>4.</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571C3" w:rsidRPr="00DE1A53" w:rsidP="009571C3" w14:paraId="4EC38862" w14:textId="77777777">
            <w:pPr>
              <w:rPr>
                <w:color w:val="414142"/>
                <w:sz w:val="26"/>
                <w:szCs w:val="26"/>
              </w:rPr>
            </w:pPr>
            <w:r w:rsidRPr="00DE1A53">
              <w:rPr>
                <w:sz w:val="26"/>
                <w:szCs w:val="26"/>
              </w:rPr>
              <w:t>Cita informācija</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tcPr>
          <w:p w:rsidR="009571C3" w:rsidRPr="00DE1A53" w:rsidP="009571C3" w14:paraId="3E53FCD5" w14:textId="77777777">
            <w:pPr>
              <w:tabs>
                <w:tab w:val="left" w:pos="317"/>
              </w:tabs>
              <w:spacing w:before="60" w:after="60"/>
              <w:ind w:left="34"/>
              <w:contextualSpacing/>
              <w:jc w:val="both"/>
              <w:rPr>
                <w:rFonts w:eastAsia="Times New Roman"/>
                <w:bCs/>
                <w:sz w:val="26"/>
                <w:szCs w:val="26"/>
                <w:lang w:eastAsia="en-US"/>
              </w:rPr>
            </w:pPr>
            <w:r w:rsidRPr="00DE1A53">
              <w:rPr>
                <w:rFonts w:eastAsia="Times New Roman"/>
                <w:bCs/>
                <w:sz w:val="26"/>
                <w:szCs w:val="26"/>
                <w:lang w:eastAsia="en-US"/>
              </w:rPr>
              <w:t xml:space="preserve">Noteikumu projekts paredz palielināt plānotā ERAF finansējuma apmēru 3.1.1.1.pasākuma “Aizdevumu garantijas” īstenošanai par 22 800 000 </w:t>
            </w:r>
            <w:r w:rsidRPr="00DE1A53">
              <w:rPr>
                <w:rFonts w:eastAsia="Times New Roman"/>
                <w:bCs/>
                <w:i/>
                <w:sz w:val="26"/>
                <w:szCs w:val="26"/>
                <w:lang w:eastAsia="en-US"/>
              </w:rPr>
              <w:t>euro</w:t>
            </w:r>
            <w:r w:rsidRPr="00DE1A53">
              <w:rPr>
                <w:rFonts w:eastAsia="Times New Roman"/>
                <w:bCs/>
                <w:sz w:val="26"/>
                <w:szCs w:val="26"/>
                <w:lang w:eastAsia="en-US"/>
              </w:rPr>
              <w:t>.</w:t>
            </w:r>
          </w:p>
        </w:tc>
      </w:tr>
    </w:tbl>
    <w:p w:rsidR="00DF14FA" w:rsidRPr="00DE1A53" w:rsidP="001154C6" w14:paraId="111B6AFB" w14:textId="77777777">
      <w:pPr>
        <w:jc w:val="both"/>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72"/>
      </w:tblGrid>
      <w:tr w14:paraId="3720C30A" w14:textId="77777777" w:rsidTr="00FA631E">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72" w:type="dxa"/>
            <w:vAlign w:val="center"/>
          </w:tcPr>
          <w:p w:rsidR="009571C3" w:rsidRPr="00DE1A53" w:rsidP="009571C3" w14:paraId="63E3D9A0" w14:textId="77777777">
            <w:pPr>
              <w:ind w:left="57" w:right="57"/>
              <w:jc w:val="center"/>
              <w:rPr>
                <w:rFonts w:eastAsia="Times New Roman"/>
                <w:sz w:val="26"/>
                <w:szCs w:val="26"/>
              </w:rPr>
            </w:pPr>
            <w:r w:rsidRPr="00DE1A53">
              <w:rPr>
                <w:rFonts w:eastAsia="Times New Roman"/>
                <w:b/>
                <w:sz w:val="26"/>
                <w:szCs w:val="26"/>
              </w:rPr>
              <w:t>III. Tiesību akta projekta ietekme uz valsts budžetu un pašvaldību budžetiem</w:t>
            </w:r>
          </w:p>
        </w:tc>
      </w:tr>
      <w:tr w14:paraId="063883C3" w14:textId="77777777" w:rsidTr="00FA631E">
        <w:tblPrEx>
          <w:tblW w:w="9072" w:type="dxa"/>
          <w:tblInd w:w="-5" w:type="dxa"/>
          <w:tblCellMar>
            <w:left w:w="0" w:type="dxa"/>
            <w:right w:w="0" w:type="dxa"/>
          </w:tblCellMar>
          <w:tblLook w:val="0000"/>
        </w:tblPrEx>
        <w:trPr>
          <w:trHeight w:val="553"/>
        </w:trPr>
        <w:tc>
          <w:tcPr>
            <w:tcW w:w="9072" w:type="dxa"/>
          </w:tcPr>
          <w:p w:rsidR="009571C3" w:rsidRPr="00DE1A53" w:rsidP="009571C3" w14:paraId="7EE73065" w14:textId="77777777">
            <w:pPr>
              <w:shd w:val="clear" w:color="auto" w:fill="FFFFFF"/>
              <w:ind w:left="57" w:right="113"/>
              <w:jc w:val="center"/>
              <w:rPr>
                <w:sz w:val="26"/>
                <w:szCs w:val="26"/>
              </w:rPr>
            </w:pPr>
            <w:r w:rsidRPr="00DE1A53">
              <w:rPr>
                <w:sz w:val="26"/>
                <w:szCs w:val="26"/>
              </w:rPr>
              <w:t>Noteikumu projekts šo jomu neskar.</w:t>
            </w:r>
          </w:p>
        </w:tc>
      </w:tr>
    </w:tbl>
    <w:p w:rsidR="009571C3" w:rsidRPr="00DE1A53" w:rsidP="001154C6" w14:paraId="41238710" w14:textId="77777777">
      <w:pPr>
        <w:jc w:val="both"/>
        <w:rPr>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2688"/>
        <w:gridCol w:w="6086"/>
      </w:tblGrid>
      <w:tr w14:paraId="4AD92301" w14:textId="77777777" w:rsidTr="00213149">
        <w:tblPrEx>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5" w:type="dxa"/>
            <w:gridSpan w:val="3"/>
            <w:shd w:val="clear" w:color="auto" w:fill="auto"/>
            <w:hideMark/>
          </w:tcPr>
          <w:p w:rsidR="009571C3" w:rsidRPr="00DE1A53" w:rsidP="009571C3" w14:paraId="0B0145A3" w14:textId="77777777">
            <w:pPr>
              <w:tabs>
                <w:tab w:val="left" w:pos="2268"/>
                <w:tab w:val="left" w:pos="2410"/>
              </w:tabs>
              <w:ind w:left="1080"/>
              <w:contextualSpacing/>
              <w:jc w:val="center"/>
              <w:rPr>
                <w:rFonts w:eastAsia="Times New Roman"/>
                <w:b/>
                <w:sz w:val="26"/>
                <w:szCs w:val="26"/>
                <w:lang w:eastAsia="en-US"/>
              </w:rPr>
            </w:pPr>
            <w:r w:rsidRPr="00DE1A53">
              <w:rPr>
                <w:rFonts w:eastAsia="Times New Roman"/>
                <w:b/>
                <w:bCs/>
                <w:sz w:val="26"/>
                <w:szCs w:val="26"/>
              </w:rPr>
              <w:t>IV. Tiesību akta projekta ietekme uz spēkā esošo tiesību normu sistēmu</w:t>
            </w:r>
          </w:p>
        </w:tc>
      </w:tr>
      <w:tr w14:paraId="321F32E1" w14:textId="77777777" w:rsidTr="00213149">
        <w:tblPrEx>
          <w:tblW w:w="9185" w:type="dxa"/>
          <w:tblInd w:w="-5" w:type="dxa"/>
          <w:tblLook w:val="04A0"/>
        </w:tblPrEx>
        <w:tc>
          <w:tcPr>
            <w:tcW w:w="411" w:type="dxa"/>
            <w:shd w:val="clear" w:color="auto" w:fill="auto"/>
            <w:hideMark/>
          </w:tcPr>
          <w:p w:rsidR="009571C3" w:rsidRPr="00DE1A53" w:rsidP="009571C3" w14:paraId="0720BE53" w14:textId="77777777">
            <w:pPr>
              <w:jc w:val="center"/>
              <w:rPr>
                <w:sz w:val="26"/>
                <w:szCs w:val="26"/>
                <w:lang w:eastAsia="en-US"/>
              </w:rPr>
            </w:pPr>
            <w:r w:rsidRPr="00DE1A53">
              <w:rPr>
                <w:sz w:val="26"/>
                <w:szCs w:val="26"/>
              </w:rPr>
              <w:t>1.</w:t>
            </w:r>
          </w:p>
        </w:tc>
        <w:tc>
          <w:tcPr>
            <w:tcW w:w="2688" w:type="dxa"/>
            <w:shd w:val="clear" w:color="auto" w:fill="auto"/>
            <w:hideMark/>
          </w:tcPr>
          <w:p w:rsidR="009571C3" w:rsidRPr="00DE1A53" w:rsidP="009571C3" w14:paraId="0E322B48" w14:textId="77777777">
            <w:pPr>
              <w:rPr>
                <w:sz w:val="26"/>
                <w:szCs w:val="26"/>
                <w:lang w:eastAsia="en-US"/>
              </w:rPr>
            </w:pPr>
            <w:r w:rsidRPr="00DE1A53">
              <w:rPr>
                <w:sz w:val="26"/>
                <w:szCs w:val="26"/>
                <w:lang w:eastAsia="en-US"/>
              </w:rPr>
              <w:t>Nepieciešamie saistītie tiesību aktu projekti</w:t>
            </w:r>
          </w:p>
        </w:tc>
        <w:tc>
          <w:tcPr>
            <w:tcW w:w="6086" w:type="dxa"/>
            <w:shd w:val="clear" w:color="auto" w:fill="auto"/>
            <w:hideMark/>
          </w:tcPr>
          <w:p w:rsidR="009571C3" w:rsidRPr="00DE1A53" w:rsidP="009571C3" w14:paraId="35B31451" w14:textId="77777777">
            <w:pPr>
              <w:tabs>
                <w:tab w:val="left" w:pos="317"/>
              </w:tabs>
              <w:spacing w:before="60" w:after="60"/>
              <w:ind w:left="34"/>
              <w:contextualSpacing/>
              <w:jc w:val="both"/>
              <w:rPr>
                <w:rFonts w:eastAsia="Times New Roman"/>
                <w:bCs/>
                <w:sz w:val="26"/>
                <w:szCs w:val="26"/>
                <w:lang w:eastAsia="en-US"/>
              </w:rPr>
            </w:pPr>
            <w:r w:rsidRPr="00DE1A53">
              <w:rPr>
                <w:rFonts w:eastAsia="Times New Roman"/>
                <w:bCs/>
                <w:sz w:val="26"/>
                <w:szCs w:val="26"/>
                <w:lang w:eastAsia="en-US"/>
              </w:rPr>
              <w:t xml:space="preserve">Vienlaikus ar šo projektu tiek virzīti grozījumi MK noteikumos Nr.118. </w:t>
            </w:r>
          </w:p>
        </w:tc>
      </w:tr>
      <w:tr w14:paraId="50FC4C3C" w14:textId="77777777" w:rsidTr="00213149">
        <w:tblPrEx>
          <w:tblW w:w="9185" w:type="dxa"/>
          <w:tblInd w:w="-5" w:type="dxa"/>
          <w:tblLook w:val="04A0"/>
        </w:tblPrEx>
        <w:tc>
          <w:tcPr>
            <w:tcW w:w="411" w:type="dxa"/>
            <w:shd w:val="clear" w:color="auto" w:fill="auto"/>
          </w:tcPr>
          <w:p w:rsidR="009571C3" w:rsidRPr="00DE1A53" w:rsidP="009571C3" w14:paraId="71EFB834" w14:textId="77777777">
            <w:pPr>
              <w:jc w:val="center"/>
              <w:rPr>
                <w:sz w:val="26"/>
                <w:szCs w:val="26"/>
              </w:rPr>
            </w:pPr>
            <w:r w:rsidRPr="00DE1A53">
              <w:rPr>
                <w:sz w:val="26"/>
                <w:szCs w:val="26"/>
              </w:rPr>
              <w:t>2.</w:t>
            </w:r>
          </w:p>
        </w:tc>
        <w:tc>
          <w:tcPr>
            <w:tcW w:w="2688" w:type="dxa"/>
            <w:shd w:val="clear" w:color="auto" w:fill="auto"/>
          </w:tcPr>
          <w:p w:rsidR="009571C3" w:rsidRPr="00DE1A53" w:rsidP="009571C3" w14:paraId="147A9443" w14:textId="77777777">
            <w:pPr>
              <w:rPr>
                <w:color w:val="414142"/>
                <w:sz w:val="26"/>
                <w:szCs w:val="26"/>
              </w:rPr>
            </w:pPr>
            <w:r w:rsidRPr="00DE1A53">
              <w:rPr>
                <w:sz w:val="26"/>
                <w:szCs w:val="26"/>
              </w:rPr>
              <w:t>Cita informācija</w:t>
            </w:r>
          </w:p>
        </w:tc>
        <w:tc>
          <w:tcPr>
            <w:tcW w:w="6086" w:type="dxa"/>
            <w:shd w:val="clear" w:color="auto" w:fill="auto"/>
            <w:vAlign w:val="center"/>
          </w:tcPr>
          <w:p w:rsidR="009571C3" w:rsidRPr="00DE1A53" w:rsidP="009571C3" w14:paraId="3D967B13" w14:textId="25B504E9">
            <w:pPr>
              <w:tabs>
                <w:tab w:val="left" w:pos="317"/>
              </w:tabs>
              <w:spacing w:before="60" w:after="60"/>
              <w:ind w:left="34"/>
              <w:contextualSpacing/>
              <w:jc w:val="both"/>
              <w:rPr>
                <w:rFonts w:eastAsia="Times New Roman"/>
                <w:bCs/>
                <w:sz w:val="26"/>
                <w:szCs w:val="26"/>
                <w:lang w:eastAsia="en-US"/>
              </w:rPr>
            </w:pPr>
            <w:r w:rsidRPr="00DE1A53">
              <w:rPr>
                <w:rFonts w:eastAsia="Times New Roman"/>
                <w:bCs/>
                <w:sz w:val="26"/>
                <w:szCs w:val="26"/>
                <w:lang w:eastAsia="en-US"/>
              </w:rPr>
              <w:t xml:space="preserve">Nepieciešams veikt grozījumus finansēšanas nolīgumā par fondu fonda īstenošanu, kas noslēgts starp akciju sabiedrību “Attīstības finanšu institūcija </w:t>
            </w:r>
            <w:r w:rsidRPr="00DE1A53">
              <w:rPr>
                <w:rFonts w:eastAsia="Times New Roman"/>
                <w:bCs/>
                <w:sz w:val="26"/>
                <w:szCs w:val="26"/>
                <w:lang w:eastAsia="en-US"/>
              </w:rPr>
              <w:t>Altum</w:t>
            </w:r>
            <w:r w:rsidRPr="00DE1A53">
              <w:rPr>
                <w:rFonts w:eastAsia="Times New Roman"/>
                <w:bCs/>
                <w:sz w:val="26"/>
                <w:szCs w:val="26"/>
                <w:lang w:eastAsia="en-US"/>
              </w:rPr>
              <w:t xml:space="preserve">” un Centrālo finanšu un līgumu aģentūru un fondu fonda biznesa plānā.  </w:t>
            </w:r>
          </w:p>
        </w:tc>
      </w:tr>
    </w:tbl>
    <w:p w:rsidR="00282E1F" w:rsidRPr="00DE1A53" w:rsidP="001154C6" w14:paraId="7A058CCF" w14:textId="77777777">
      <w:pPr>
        <w:jc w:val="both"/>
        <w:rPr>
          <w:sz w:val="26"/>
          <w:szCs w:val="26"/>
        </w:rPr>
      </w:pPr>
    </w:p>
    <w:p w:rsidR="00CD371F" w:rsidRPr="00DE1A53" w:rsidP="00CD371F" w14:paraId="41F7DA6F" w14:textId="77777777">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6"/>
        <w:gridCol w:w="2613"/>
        <w:gridCol w:w="6175"/>
      </w:tblGrid>
      <w:tr w14:paraId="4227D9A8" w14:textId="77777777" w:rsidTr="00CD371F">
        <w:tblPrEx>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Ex>
        <w:trPr>
          <w:trHeight w:val="421"/>
        </w:trPr>
        <w:tc>
          <w:tcPr>
            <w:tcW w:w="9214" w:type="dxa"/>
            <w:gridSpan w:val="3"/>
            <w:vAlign w:val="center"/>
          </w:tcPr>
          <w:p w:rsidR="00CD371F" w:rsidRPr="00DE1A53" w:rsidP="00CD371F" w14:paraId="5C83AA44" w14:textId="77777777">
            <w:pPr>
              <w:jc w:val="both"/>
              <w:rPr>
                <w:sz w:val="26"/>
                <w:szCs w:val="26"/>
              </w:rPr>
            </w:pPr>
            <w:r w:rsidRPr="00DE1A53">
              <w:rPr>
                <w:b/>
                <w:sz w:val="26"/>
                <w:szCs w:val="26"/>
              </w:rPr>
              <w:t>V. Tiesību akta projekta atbilstība Latvijas Republikas starptautiskajām saistībām</w:t>
            </w:r>
          </w:p>
        </w:tc>
      </w:tr>
      <w:tr w14:paraId="234D4CDA" w14:textId="77777777" w:rsidTr="00CD371F">
        <w:tblPrEx>
          <w:tblW w:w="9214" w:type="dxa"/>
          <w:tblInd w:w="-5" w:type="dxa"/>
          <w:tblLayout w:type="fixed"/>
          <w:tblCellMar>
            <w:left w:w="0" w:type="dxa"/>
            <w:right w:w="0" w:type="dxa"/>
          </w:tblCellMar>
          <w:tblLook w:val="0000"/>
        </w:tblPrEx>
        <w:trPr>
          <w:trHeight w:val="553"/>
        </w:trPr>
        <w:tc>
          <w:tcPr>
            <w:tcW w:w="426" w:type="dxa"/>
          </w:tcPr>
          <w:p w:rsidR="00CD371F" w:rsidRPr="00DE1A53" w:rsidP="00CD371F" w14:paraId="0DD5CB8A" w14:textId="77777777">
            <w:pPr>
              <w:jc w:val="both"/>
              <w:rPr>
                <w:sz w:val="26"/>
                <w:szCs w:val="26"/>
              </w:rPr>
            </w:pPr>
            <w:r w:rsidRPr="00DE1A53">
              <w:rPr>
                <w:sz w:val="26"/>
                <w:szCs w:val="26"/>
              </w:rPr>
              <w:t>1.</w:t>
            </w:r>
          </w:p>
        </w:tc>
        <w:tc>
          <w:tcPr>
            <w:tcW w:w="2613" w:type="dxa"/>
          </w:tcPr>
          <w:p w:rsidR="00CD371F" w:rsidRPr="00DE1A53" w:rsidP="00CD371F" w14:paraId="5DEE27E0" w14:textId="77777777">
            <w:pPr>
              <w:jc w:val="both"/>
              <w:rPr>
                <w:sz w:val="26"/>
                <w:szCs w:val="26"/>
              </w:rPr>
            </w:pPr>
            <w:r w:rsidRPr="00DE1A53">
              <w:rPr>
                <w:sz w:val="26"/>
                <w:szCs w:val="26"/>
              </w:rPr>
              <w:t>Saistības pret Eiropas Savienību</w:t>
            </w:r>
          </w:p>
        </w:tc>
        <w:tc>
          <w:tcPr>
            <w:tcW w:w="6175" w:type="dxa"/>
          </w:tcPr>
          <w:p w:rsidR="00CD371F" w:rsidRPr="00DE1A53" w:rsidP="00CD371F" w14:paraId="147CA5CD" w14:textId="77777777">
            <w:pPr>
              <w:jc w:val="both"/>
              <w:rPr>
                <w:sz w:val="26"/>
                <w:szCs w:val="26"/>
              </w:rPr>
            </w:pPr>
            <w:r w:rsidRPr="00DE1A53">
              <w:rPr>
                <w:sz w:val="26"/>
                <w:szCs w:val="26"/>
              </w:rPr>
              <w:t xml:space="preserve">Ar noteikumu projektu tiks ieviestas prasības no šādiem Eiropas Savienības tiesību aktiem: </w:t>
            </w:r>
          </w:p>
          <w:p w:rsidR="00CD371F" w:rsidRPr="00DE1A53" w:rsidP="00CD371F" w14:paraId="0CF172C2" w14:textId="77777777">
            <w:pPr>
              <w:numPr>
                <w:ilvl w:val="0"/>
                <w:numId w:val="34"/>
              </w:numPr>
              <w:jc w:val="both"/>
              <w:rPr>
                <w:sz w:val="26"/>
                <w:szCs w:val="26"/>
              </w:rPr>
            </w:pPr>
            <w:r w:rsidRPr="00DE1A53">
              <w:rPr>
                <w:sz w:val="26"/>
                <w:szCs w:val="26"/>
              </w:rPr>
              <w:t>Regula Nr.1407/2013</w:t>
            </w:r>
          </w:p>
          <w:p w:rsidR="00CD371F" w:rsidRPr="00DE1A53" w:rsidP="00CD371F" w14:paraId="25CC2251" w14:textId="77777777">
            <w:pPr>
              <w:jc w:val="both"/>
              <w:rPr>
                <w:sz w:val="26"/>
                <w:szCs w:val="26"/>
              </w:rPr>
            </w:pPr>
          </w:p>
        </w:tc>
      </w:tr>
      <w:tr w14:paraId="61BFF8EC" w14:textId="77777777" w:rsidTr="00CD371F">
        <w:tblPrEx>
          <w:tblW w:w="9214" w:type="dxa"/>
          <w:tblInd w:w="-5" w:type="dxa"/>
          <w:tblLayout w:type="fixed"/>
          <w:tblCellMar>
            <w:left w:w="0" w:type="dxa"/>
            <w:right w:w="0" w:type="dxa"/>
          </w:tblCellMar>
          <w:tblLook w:val="0000"/>
        </w:tblPrEx>
        <w:trPr>
          <w:trHeight w:val="339"/>
        </w:trPr>
        <w:tc>
          <w:tcPr>
            <w:tcW w:w="426" w:type="dxa"/>
          </w:tcPr>
          <w:p w:rsidR="00CD371F" w:rsidRPr="00DE1A53" w:rsidP="00CD371F" w14:paraId="678A0F59" w14:textId="77777777">
            <w:pPr>
              <w:jc w:val="both"/>
              <w:rPr>
                <w:sz w:val="26"/>
                <w:szCs w:val="26"/>
              </w:rPr>
            </w:pPr>
            <w:r w:rsidRPr="00DE1A53">
              <w:rPr>
                <w:sz w:val="26"/>
                <w:szCs w:val="26"/>
              </w:rPr>
              <w:t>2.</w:t>
            </w:r>
          </w:p>
        </w:tc>
        <w:tc>
          <w:tcPr>
            <w:tcW w:w="2613" w:type="dxa"/>
          </w:tcPr>
          <w:p w:rsidR="00CD371F" w:rsidRPr="00DE1A53" w:rsidP="00CD371F" w14:paraId="367BC677" w14:textId="77777777">
            <w:pPr>
              <w:jc w:val="both"/>
              <w:rPr>
                <w:sz w:val="26"/>
                <w:szCs w:val="26"/>
              </w:rPr>
            </w:pPr>
            <w:r w:rsidRPr="00DE1A53">
              <w:rPr>
                <w:sz w:val="26"/>
                <w:szCs w:val="26"/>
              </w:rPr>
              <w:t>Citas starptautiskās saistības</w:t>
            </w:r>
          </w:p>
        </w:tc>
        <w:tc>
          <w:tcPr>
            <w:tcW w:w="6175" w:type="dxa"/>
          </w:tcPr>
          <w:p w:rsidR="00CD371F" w:rsidRPr="00DE1A53" w:rsidP="00CD371F" w14:paraId="457983BE" w14:textId="77777777">
            <w:pPr>
              <w:jc w:val="both"/>
              <w:rPr>
                <w:sz w:val="26"/>
                <w:szCs w:val="26"/>
              </w:rPr>
            </w:pPr>
            <w:r w:rsidRPr="00DE1A53">
              <w:rPr>
                <w:sz w:val="26"/>
                <w:szCs w:val="26"/>
              </w:rPr>
              <w:t>Projekts šo jomu neskar.</w:t>
            </w:r>
          </w:p>
        </w:tc>
      </w:tr>
      <w:tr w14:paraId="3B83404B" w14:textId="77777777" w:rsidTr="00CD371F">
        <w:tblPrEx>
          <w:tblW w:w="9214" w:type="dxa"/>
          <w:tblInd w:w="-5" w:type="dxa"/>
          <w:tblLayout w:type="fixed"/>
          <w:tblCellMar>
            <w:left w:w="0" w:type="dxa"/>
            <w:right w:w="0" w:type="dxa"/>
          </w:tblCellMar>
          <w:tblLook w:val="0000"/>
        </w:tblPrEx>
        <w:trPr>
          <w:trHeight w:val="476"/>
        </w:trPr>
        <w:tc>
          <w:tcPr>
            <w:tcW w:w="426" w:type="dxa"/>
          </w:tcPr>
          <w:p w:rsidR="00CD371F" w:rsidRPr="00DE1A53" w:rsidP="00CD371F" w14:paraId="1CBD5AF7" w14:textId="77777777">
            <w:pPr>
              <w:jc w:val="both"/>
              <w:rPr>
                <w:sz w:val="26"/>
                <w:szCs w:val="26"/>
              </w:rPr>
            </w:pPr>
            <w:r w:rsidRPr="00DE1A53">
              <w:rPr>
                <w:sz w:val="26"/>
                <w:szCs w:val="26"/>
              </w:rPr>
              <w:t>3.</w:t>
            </w:r>
          </w:p>
        </w:tc>
        <w:tc>
          <w:tcPr>
            <w:tcW w:w="2613" w:type="dxa"/>
          </w:tcPr>
          <w:p w:rsidR="00CD371F" w:rsidRPr="00DE1A53" w:rsidP="00CD371F" w14:paraId="2757786B" w14:textId="77777777">
            <w:pPr>
              <w:jc w:val="both"/>
              <w:rPr>
                <w:sz w:val="26"/>
                <w:szCs w:val="26"/>
              </w:rPr>
            </w:pPr>
            <w:r w:rsidRPr="00DE1A53">
              <w:rPr>
                <w:sz w:val="26"/>
                <w:szCs w:val="26"/>
              </w:rPr>
              <w:t>Cita informācija</w:t>
            </w:r>
          </w:p>
        </w:tc>
        <w:tc>
          <w:tcPr>
            <w:tcW w:w="6175" w:type="dxa"/>
          </w:tcPr>
          <w:p w:rsidR="00CD371F" w:rsidRPr="00DE1A53" w:rsidP="00CD371F" w14:paraId="61B36DAC" w14:textId="77777777">
            <w:pPr>
              <w:jc w:val="both"/>
              <w:rPr>
                <w:sz w:val="26"/>
                <w:szCs w:val="26"/>
              </w:rPr>
            </w:pPr>
            <w:r w:rsidRPr="00DE1A53">
              <w:rPr>
                <w:sz w:val="26"/>
                <w:szCs w:val="26"/>
              </w:rPr>
              <w:t xml:space="preserve">Nav. </w:t>
            </w:r>
          </w:p>
        </w:tc>
      </w:tr>
    </w:tbl>
    <w:p w:rsidR="00CD371F" w:rsidRPr="00DE1A53" w:rsidP="00CD371F" w14:paraId="35464ACC" w14:textId="77777777">
      <w:pPr>
        <w:jc w:val="both"/>
        <w:rPr>
          <w:sz w:val="26"/>
          <w:szCs w:val="26"/>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7"/>
        <w:gridCol w:w="1639"/>
        <w:gridCol w:w="2409"/>
        <w:gridCol w:w="2863"/>
      </w:tblGrid>
      <w:tr w14:paraId="5AA85514" w14:textId="77777777" w:rsidTr="0098032E">
        <w:tblPrEx>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c>
          <w:tcPr>
            <w:tcW w:w="9208" w:type="dxa"/>
            <w:gridSpan w:val="4"/>
            <w:tcBorders>
              <w:top w:val="single" w:sz="4" w:space="0" w:color="000000"/>
              <w:left w:val="single" w:sz="4" w:space="0" w:color="000000"/>
              <w:bottom w:val="single" w:sz="4" w:space="0" w:color="000000"/>
              <w:right w:val="single" w:sz="4" w:space="0" w:color="000000"/>
            </w:tcBorders>
          </w:tcPr>
          <w:p w:rsidR="00CD371F" w:rsidRPr="00DE1A53" w:rsidP="00CD371F" w14:paraId="64B04DDF" w14:textId="77777777">
            <w:pPr>
              <w:jc w:val="both"/>
              <w:rPr>
                <w:sz w:val="26"/>
                <w:szCs w:val="26"/>
              </w:rPr>
            </w:pPr>
            <w:r w:rsidRPr="00DE1A53">
              <w:rPr>
                <w:b/>
                <w:sz w:val="26"/>
                <w:szCs w:val="26"/>
              </w:rPr>
              <w:t>1.tabula. Tiesību akta projekta atbilstība ES tiesību aktiem</w:t>
            </w:r>
          </w:p>
        </w:tc>
      </w:tr>
      <w:tr w14:paraId="7396500F"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DE1A53" w:rsidP="00CD371F" w14:paraId="06D4BDC8" w14:textId="77777777">
            <w:pPr>
              <w:jc w:val="both"/>
              <w:rPr>
                <w:sz w:val="26"/>
                <w:szCs w:val="26"/>
              </w:rPr>
            </w:pPr>
            <w:r w:rsidRPr="00DE1A53">
              <w:rPr>
                <w:sz w:val="26"/>
                <w:szCs w:val="26"/>
              </w:rP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tcPr>
          <w:p w:rsidR="00CD371F" w:rsidRPr="00DE1A53" w:rsidP="00CD371F" w14:paraId="2A814925" w14:textId="3CDDAFB0">
            <w:pPr>
              <w:jc w:val="both"/>
              <w:rPr>
                <w:sz w:val="26"/>
                <w:szCs w:val="26"/>
              </w:rPr>
            </w:pPr>
            <w:r w:rsidRPr="00DE1A53">
              <w:rPr>
                <w:sz w:val="26"/>
                <w:szCs w:val="26"/>
              </w:rPr>
              <w:t>Ar normatīvo aktu tiek ieviestas</w:t>
            </w:r>
            <w:r w:rsidRPr="00DE1A53" w:rsidR="00767EA0">
              <w:rPr>
                <w:sz w:val="26"/>
                <w:szCs w:val="26"/>
              </w:rPr>
              <w:t xml:space="preserve"> prasības no</w:t>
            </w:r>
            <w:r w:rsidRPr="00DE1A53">
              <w:rPr>
                <w:sz w:val="26"/>
                <w:szCs w:val="26"/>
              </w:rPr>
              <w:t>:</w:t>
            </w:r>
          </w:p>
          <w:p w:rsidR="00CD371F" w:rsidRPr="00DE1A53" w:rsidP="00CD371F" w14:paraId="36A30B4B" w14:textId="1A86335A">
            <w:pPr>
              <w:numPr>
                <w:ilvl w:val="0"/>
                <w:numId w:val="35"/>
              </w:numPr>
              <w:jc w:val="both"/>
              <w:rPr>
                <w:sz w:val="26"/>
                <w:szCs w:val="26"/>
              </w:rPr>
            </w:pPr>
            <w:r w:rsidRPr="00DE1A53">
              <w:rPr>
                <w:sz w:val="26"/>
                <w:szCs w:val="26"/>
              </w:rPr>
              <w:t>Komisijas paziņojuma</w:t>
            </w:r>
            <w:r w:rsidRPr="00DE1A53">
              <w:rPr>
                <w:sz w:val="26"/>
                <w:szCs w:val="26"/>
              </w:rPr>
              <w:t xml:space="preserve"> par EK līguma 87. un 88.panta piemērošanu valsts atbalstam garantiju veidā (2008/C 155/02) (turpmāk – Komisijas paziņojums)</w:t>
            </w:r>
            <w:r w:rsidRPr="00DE1A53" w:rsidR="0014071C">
              <w:rPr>
                <w:sz w:val="26"/>
                <w:szCs w:val="26"/>
              </w:rPr>
              <w:t>;</w:t>
            </w:r>
          </w:p>
          <w:p w:rsidR="0014071C" w:rsidRPr="00DE1A53" w:rsidP="0014071C" w14:paraId="045DE4FE" w14:textId="77777777">
            <w:pPr>
              <w:numPr>
                <w:ilvl w:val="0"/>
                <w:numId w:val="35"/>
              </w:numPr>
              <w:jc w:val="both"/>
              <w:rPr>
                <w:sz w:val="26"/>
                <w:szCs w:val="26"/>
              </w:rPr>
            </w:pPr>
            <w:r w:rsidRPr="00DE1A53">
              <w:rPr>
                <w:sz w:val="26"/>
                <w:szCs w:val="26"/>
              </w:rPr>
              <w:t>Regula</w:t>
            </w:r>
            <w:r w:rsidRPr="00DE1A53" w:rsidR="00767EA0">
              <w:rPr>
                <w:sz w:val="26"/>
                <w:szCs w:val="26"/>
              </w:rPr>
              <w:t>s</w:t>
            </w:r>
            <w:r w:rsidRPr="00DE1A53">
              <w:rPr>
                <w:sz w:val="26"/>
                <w:szCs w:val="26"/>
              </w:rPr>
              <w:t xml:space="preserve"> Nr.651/2014</w:t>
            </w:r>
            <w:r w:rsidRPr="00DE1A53" w:rsidR="00767EA0">
              <w:rPr>
                <w:sz w:val="26"/>
                <w:szCs w:val="26"/>
              </w:rPr>
              <w:t>;</w:t>
            </w:r>
          </w:p>
          <w:p w:rsidR="00767EA0" w:rsidRPr="00DE1A53" w:rsidP="00767EA0" w14:paraId="3CDFDFB7" w14:textId="7F736254">
            <w:pPr>
              <w:numPr>
                <w:ilvl w:val="0"/>
                <w:numId w:val="35"/>
              </w:numPr>
              <w:jc w:val="both"/>
              <w:rPr>
                <w:sz w:val="26"/>
                <w:szCs w:val="26"/>
              </w:rPr>
            </w:pPr>
            <w:r w:rsidRPr="00DE1A53">
              <w:rPr>
                <w:sz w:val="26"/>
                <w:szCs w:val="26"/>
              </w:rPr>
              <w:t>Regulas Nr.1407/2013</w:t>
            </w:r>
          </w:p>
        </w:tc>
      </w:tr>
      <w:tr w14:paraId="59059392"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DE1A53" w:rsidP="00CD371F" w14:paraId="688A54D2" w14:textId="77777777">
            <w:pPr>
              <w:jc w:val="both"/>
              <w:rPr>
                <w:sz w:val="26"/>
                <w:szCs w:val="26"/>
              </w:rPr>
            </w:pPr>
            <w:r w:rsidRPr="00DE1A53">
              <w:rPr>
                <w:sz w:val="26"/>
                <w:szCs w:val="26"/>
              </w:rPr>
              <w:t>A</w:t>
            </w:r>
          </w:p>
        </w:tc>
        <w:tc>
          <w:tcPr>
            <w:tcW w:w="1639" w:type="dxa"/>
            <w:tcBorders>
              <w:top w:val="single" w:sz="4" w:space="0" w:color="000000"/>
              <w:left w:val="single" w:sz="4" w:space="0" w:color="000000"/>
              <w:bottom w:val="single" w:sz="4" w:space="0" w:color="000000"/>
              <w:right w:val="single" w:sz="4" w:space="0" w:color="000000"/>
            </w:tcBorders>
          </w:tcPr>
          <w:p w:rsidR="00CD371F" w:rsidRPr="00DE1A53" w:rsidP="00CD371F" w14:paraId="1DE4E26B" w14:textId="77777777">
            <w:pPr>
              <w:jc w:val="both"/>
              <w:rPr>
                <w:sz w:val="26"/>
                <w:szCs w:val="26"/>
              </w:rPr>
            </w:pPr>
            <w:r w:rsidRPr="00DE1A53">
              <w:rPr>
                <w:sz w:val="26"/>
                <w:szCs w:val="26"/>
              </w:rPr>
              <w:t>B</w:t>
            </w:r>
          </w:p>
        </w:tc>
        <w:tc>
          <w:tcPr>
            <w:tcW w:w="2409" w:type="dxa"/>
            <w:tcBorders>
              <w:top w:val="single" w:sz="4" w:space="0" w:color="000000"/>
              <w:left w:val="single" w:sz="4" w:space="0" w:color="000000"/>
              <w:bottom w:val="single" w:sz="4" w:space="0" w:color="000000"/>
              <w:right w:val="single" w:sz="4" w:space="0" w:color="000000"/>
            </w:tcBorders>
          </w:tcPr>
          <w:p w:rsidR="00CD371F" w:rsidRPr="00DE1A53" w:rsidP="00CD371F" w14:paraId="70CEEC73" w14:textId="77777777">
            <w:pPr>
              <w:jc w:val="both"/>
              <w:rPr>
                <w:sz w:val="26"/>
                <w:szCs w:val="26"/>
              </w:rPr>
            </w:pPr>
            <w:r w:rsidRPr="00DE1A53">
              <w:rPr>
                <w:sz w:val="26"/>
                <w:szCs w:val="26"/>
              </w:rPr>
              <w:t>C</w:t>
            </w:r>
          </w:p>
        </w:tc>
        <w:tc>
          <w:tcPr>
            <w:tcW w:w="2863" w:type="dxa"/>
            <w:tcBorders>
              <w:top w:val="single" w:sz="4" w:space="0" w:color="000000"/>
              <w:left w:val="single" w:sz="4" w:space="0" w:color="000000"/>
              <w:bottom w:val="single" w:sz="4" w:space="0" w:color="000000"/>
              <w:right w:val="single" w:sz="4" w:space="0" w:color="000000"/>
            </w:tcBorders>
          </w:tcPr>
          <w:p w:rsidR="00CD371F" w:rsidRPr="00DE1A53" w:rsidP="00CD371F" w14:paraId="4D51DFDA" w14:textId="77777777">
            <w:pPr>
              <w:jc w:val="both"/>
              <w:rPr>
                <w:sz w:val="26"/>
                <w:szCs w:val="26"/>
              </w:rPr>
            </w:pPr>
            <w:r w:rsidRPr="00DE1A53">
              <w:rPr>
                <w:sz w:val="26"/>
                <w:szCs w:val="26"/>
              </w:rPr>
              <w:t>D</w:t>
            </w:r>
          </w:p>
        </w:tc>
      </w:tr>
      <w:tr w14:paraId="6793F1A7"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DE1A53" w:rsidP="00CD371F" w14:paraId="45FB3F06" w14:textId="77777777">
            <w:pPr>
              <w:jc w:val="both"/>
              <w:rPr>
                <w:i/>
                <w:sz w:val="26"/>
                <w:szCs w:val="26"/>
              </w:rPr>
            </w:pPr>
            <w:r w:rsidRPr="00DE1A53">
              <w:rPr>
                <w:i/>
                <w:sz w:val="26"/>
                <w:szCs w:val="26"/>
              </w:rPr>
              <w:t xml:space="preserve">Attiecīgā ES tiesību akta panta numurs (uzskaitot katru tiesību akta </w:t>
            </w:r>
            <w:r w:rsidRPr="00DE1A53">
              <w:rPr>
                <w:i/>
                <w:sz w:val="26"/>
                <w:szCs w:val="26"/>
              </w:rPr>
              <w:br/>
              <w:t>vienību – pantu, daļu, punktu, apakšpunktu)</w:t>
            </w:r>
          </w:p>
        </w:tc>
        <w:tc>
          <w:tcPr>
            <w:tcW w:w="1639" w:type="dxa"/>
            <w:tcBorders>
              <w:top w:val="single" w:sz="4" w:space="0" w:color="000000"/>
              <w:left w:val="single" w:sz="4" w:space="0" w:color="000000"/>
              <w:bottom w:val="single" w:sz="4" w:space="0" w:color="000000"/>
              <w:right w:val="single" w:sz="4" w:space="0" w:color="000000"/>
            </w:tcBorders>
          </w:tcPr>
          <w:p w:rsidR="00CD371F" w:rsidRPr="00DE1A53" w:rsidP="00CD371F" w14:paraId="52ADB41A" w14:textId="77777777">
            <w:pPr>
              <w:jc w:val="both"/>
              <w:rPr>
                <w:i/>
                <w:sz w:val="26"/>
                <w:szCs w:val="26"/>
              </w:rPr>
            </w:pPr>
            <w:r w:rsidRPr="00DE1A53">
              <w:rPr>
                <w:i/>
                <w:sz w:val="26"/>
                <w:szCs w:val="26"/>
              </w:rPr>
              <w:t>Projekta vienība, kas pārņem vai ievieš katru šīs tabulas A ailē minēto ES tiesību akta vienību, vai tiesību 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tcPr>
          <w:p w:rsidR="00CD371F" w:rsidRPr="00DE1A53" w:rsidP="00CD371F" w14:paraId="6CE32B00" w14:textId="77777777">
            <w:pPr>
              <w:jc w:val="both"/>
              <w:rPr>
                <w:i/>
                <w:sz w:val="26"/>
                <w:szCs w:val="26"/>
              </w:rPr>
            </w:pPr>
            <w:r w:rsidRPr="00DE1A53">
              <w:rPr>
                <w:i/>
                <w:sz w:val="26"/>
                <w:szCs w:val="26"/>
              </w:rPr>
              <w:t>Informācija par to, vai šīs tabulas A ailē minētās ES tiesību akta vienības tiek pārņemtas vai ieviestas pilnībā vai daļēji.</w:t>
            </w:r>
          </w:p>
          <w:p w:rsidR="00CD371F" w:rsidRPr="00DE1A53" w:rsidP="00CD371F" w14:paraId="61F58BDE" w14:textId="77777777">
            <w:pPr>
              <w:jc w:val="both"/>
              <w:rPr>
                <w:i/>
                <w:sz w:val="26"/>
                <w:szCs w:val="26"/>
              </w:rPr>
            </w:pPr>
            <w:r w:rsidRPr="00DE1A53">
              <w:rPr>
                <w:i/>
                <w:sz w:val="26"/>
                <w:szCs w:val="26"/>
              </w:rPr>
              <w:t>Ja attiecīgā ES tiesību akta vienība tiek pārņemta vai ieviesta daļēji, – sniedz attiecīgu skaidrojumu, kā arī precīzi norāda, kad un kādā veidā ES tiesību akta vienība tiks pārņemta vai ieviesta pilnībā.</w:t>
            </w:r>
          </w:p>
          <w:p w:rsidR="00CD371F" w:rsidRPr="00DE1A53" w:rsidP="00CD371F" w14:paraId="2403C101" w14:textId="77777777">
            <w:pPr>
              <w:jc w:val="both"/>
              <w:rPr>
                <w:i/>
                <w:sz w:val="26"/>
                <w:szCs w:val="26"/>
              </w:rPr>
            </w:pPr>
            <w:r w:rsidRPr="00DE1A53">
              <w:rPr>
                <w:i/>
                <w:sz w:val="26"/>
                <w:szCs w:val="26"/>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rsidR="00CD371F" w:rsidRPr="00DE1A53" w:rsidP="00CD371F" w14:paraId="3F1018C8" w14:textId="77777777">
            <w:pPr>
              <w:jc w:val="both"/>
              <w:rPr>
                <w:i/>
                <w:sz w:val="26"/>
                <w:szCs w:val="26"/>
              </w:rPr>
            </w:pPr>
            <w:r w:rsidRPr="00DE1A53">
              <w:rPr>
                <w:i/>
                <w:sz w:val="26"/>
                <w:szCs w:val="26"/>
              </w:rPr>
              <w:t>Informācija par to, vai šīs tabulas B ailē minētās projekta vienības paredz stingrākas prasības nekā šīs tabulas A ailē minētās ES tiesību akta vienības.</w:t>
            </w:r>
          </w:p>
          <w:p w:rsidR="00CD371F" w:rsidRPr="00DE1A53" w:rsidP="00CD371F" w14:paraId="67938D31" w14:textId="77777777">
            <w:pPr>
              <w:jc w:val="both"/>
              <w:rPr>
                <w:i/>
                <w:sz w:val="26"/>
                <w:szCs w:val="26"/>
              </w:rPr>
            </w:pPr>
            <w:r w:rsidRPr="00DE1A53">
              <w:rPr>
                <w:i/>
                <w:sz w:val="26"/>
                <w:szCs w:val="26"/>
              </w:rPr>
              <w:t>Ja projekts satur stingrākas prasības nekā attiecīgais ES tiesību akts, – norāda pamatojumu un samērīgumu.</w:t>
            </w:r>
          </w:p>
          <w:p w:rsidR="00CD371F" w:rsidRPr="00DE1A53" w:rsidP="00CD371F" w14:paraId="229C7728" w14:textId="77777777">
            <w:pPr>
              <w:jc w:val="both"/>
              <w:rPr>
                <w:i/>
                <w:sz w:val="26"/>
                <w:szCs w:val="26"/>
              </w:rPr>
            </w:pPr>
            <w:r w:rsidRPr="00DE1A53">
              <w:rPr>
                <w:i/>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14:paraId="077CE163"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0644D7" w:rsidRPr="00DE1A53" w:rsidP="000644D7" w14:paraId="18B80DD3" w14:textId="19EC16D6">
            <w:pPr>
              <w:jc w:val="both"/>
              <w:rPr>
                <w:i/>
                <w:sz w:val="26"/>
                <w:szCs w:val="26"/>
              </w:rPr>
            </w:pPr>
            <w:r w:rsidRPr="00DE1A53">
              <w:rPr>
                <w:i/>
                <w:sz w:val="26"/>
                <w:szCs w:val="26"/>
              </w:rPr>
              <w:t>Regulas Nr.1407/2013 4.panta 6.punkta c) punkts</w:t>
            </w:r>
          </w:p>
        </w:tc>
        <w:tc>
          <w:tcPr>
            <w:tcW w:w="1639" w:type="dxa"/>
            <w:tcBorders>
              <w:top w:val="single" w:sz="4" w:space="0" w:color="000000"/>
              <w:left w:val="single" w:sz="4" w:space="0" w:color="000000"/>
              <w:bottom w:val="single" w:sz="4" w:space="0" w:color="000000"/>
              <w:right w:val="single" w:sz="4" w:space="0" w:color="000000"/>
            </w:tcBorders>
          </w:tcPr>
          <w:p w:rsidR="000644D7" w:rsidRPr="00DE1A53" w:rsidP="000644D7" w14:paraId="67F71F22" w14:textId="39C305DB">
            <w:pPr>
              <w:jc w:val="both"/>
              <w:rPr>
                <w:i/>
                <w:sz w:val="26"/>
                <w:szCs w:val="26"/>
              </w:rPr>
            </w:pPr>
            <w:r w:rsidRPr="00DE1A53">
              <w:rPr>
                <w:i/>
                <w:sz w:val="26"/>
                <w:szCs w:val="26"/>
              </w:rPr>
              <w:t>6.punkts ar ko groza 10.3.punktu</w:t>
            </w:r>
          </w:p>
        </w:tc>
        <w:tc>
          <w:tcPr>
            <w:tcW w:w="2409" w:type="dxa"/>
            <w:tcBorders>
              <w:top w:val="single" w:sz="4" w:space="0" w:color="000000"/>
              <w:left w:val="single" w:sz="4" w:space="0" w:color="000000"/>
              <w:bottom w:val="single" w:sz="4" w:space="0" w:color="000000"/>
              <w:right w:val="single" w:sz="4" w:space="0" w:color="000000"/>
            </w:tcBorders>
          </w:tcPr>
          <w:p w:rsidR="000644D7" w:rsidRPr="00DE1A53" w:rsidP="000644D7" w14:paraId="0E724022" w14:textId="2207B962">
            <w:pPr>
              <w:jc w:val="both"/>
              <w:rPr>
                <w:i/>
                <w:sz w:val="26"/>
                <w:szCs w:val="26"/>
              </w:rPr>
            </w:pPr>
            <w:r w:rsidRPr="00DE1A53">
              <w:rPr>
                <w:i/>
                <w:sz w:val="26"/>
                <w:szCs w:val="26"/>
              </w:rPr>
              <w:t>Ieviests</w:t>
            </w:r>
            <w:r w:rsidRPr="00DE1A53">
              <w:rPr>
                <w:i/>
                <w:sz w:val="26"/>
                <w:szCs w:val="26"/>
              </w:rPr>
              <w:t xml:space="preserve"> pilnībā</w:t>
            </w:r>
          </w:p>
        </w:tc>
        <w:tc>
          <w:tcPr>
            <w:tcW w:w="2863" w:type="dxa"/>
            <w:tcBorders>
              <w:top w:val="single" w:sz="4" w:space="0" w:color="000000"/>
              <w:left w:val="single" w:sz="4" w:space="0" w:color="000000"/>
              <w:bottom w:val="single" w:sz="4" w:space="0" w:color="000000"/>
              <w:right w:val="single" w:sz="4" w:space="0" w:color="000000"/>
            </w:tcBorders>
          </w:tcPr>
          <w:p w:rsidR="000644D7" w:rsidRPr="00DE1A53" w:rsidP="000644D7" w14:paraId="50131797" w14:textId="350574EB">
            <w:pPr>
              <w:jc w:val="both"/>
              <w:rPr>
                <w:i/>
                <w:iCs/>
                <w:sz w:val="26"/>
                <w:szCs w:val="26"/>
              </w:rPr>
            </w:pPr>
            <w:r w:rsidRPr="00DE1A53">
              <w:rPr>
                <w:i/>
                <w:iCs/>
                <w:sz w:val="26"/>
                <w:szCs w:val="26"/>
              </w:rPr>
              <w:t>Neparedz stingrākas prasības</w:t>
            </w:r>
          </w:p>
        </w:tc>
      </w:tr>
      <w:tr w14:paraId="3C72D41D"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0644D7" w:rsidRPr="00DE1A53" w:rsidP="000644D7" w14:paraId="4370AE53" w14:textId="48B371CE">
            <w:pPr>
              <w:jc w:val="both"/>
              <w:rPr>
                <w:i/>
                <w:sz w:val="26"/>
                <w:szCs w:val="26"/>
              </w:rPr>
            </w:pPr>
            <w:r w:rsidRPr="00DE1A53">
              <w:rPr>
                <w:i/>
                <w:sz w:val="26"/>
                <w:szCs w:val="26"/>
              </w:rPr>
              <w:t>Regulas Nr.1407/2013 4.panta 6.punkta b) punkts</w:t>
            </w:r>
          </w:p>
        </w:tc>
        <w:tc>
          <w:tcPr>
            <w:tcW w:w="1639" w:type="dxa"/>
            <w:tcBorders>
              <w:top w:val="single" w:sz="4" w:space="0" w:color="000000"/>
              <w:left w:val="single" w:sz="4" w:space="0" w:color="000000"/>
              <w:bottom w:val="single" w:sz="4" w:space="0" w:color="000000"/>
              <w:right w:val="single" w:sz="4" w:space="0" w:color="000000"/>
            </w:tcBorders>
          </w:tcPr>
          <w:p w:rsidR="000644D7" w:rsidRPr="00DE1A53" w:rsidP="000644D7" w14:paraId="54DC8EFA" w14:textId="15E71ADB">
            <w:pPr>
              <w:jc w:val="both"/>
              <w:rPr>
                <w:i/>
                <w:sz w:val="26"/>
                <w:szCs w:val="26"/>
              </w:rPr>
            </w:pPr>
            <w:r w:rsidRPr="00DE1A53">
              <w:rPr>
                <w:i/>
                <w:sz w:val="26"/>
                <w:szCs w:val="26"/>
              </w:rPr>
              <w:t>7</w:t>
            </w:r>
            <w:r w:rsidRPr="00DE1A53">
              <w:rPr>
                <w:i/>
                <w:sz w:val="26"/>
                <w:szCs w:val="26"/>
              </w:rPr>
              <w:t>.punkts ar ko groza 10.4.punktu</w:t>
            </w:r>
          </w:p>
        </w:tc>
        <w:tc>
          <w:tcPr>
            <w:tcW w:w="2409" w:type="dxa"/>
            <w:tcBorders>
              <w:top w:val="single" w:sz="4" w:space="0" w:color="000000"/>
              <w:left w:val="single" w:sz="4" w:space="0" w:color="000000"/>
              <w:bottom w:val="single" w:sz="4" w:space="0" w:color="000000"/>
              <w:right w:val="single" w:sz="4" w:space="0" w:color="000000"/>
            </w:tcBorders>
          </w:tcPr>
          <w:p w:rsidR="000644D7" w:rsidRPr="00DE1A53" w:rsidP="000644D7" w14:paraId="2C65EB15" w14:textId="33F1B430">
            <w:pPr>
              <w:jc w:val="both"/>
              <w:rPr>
                <w:i/>
                <w:sz w:val="26"/>
                <w:szCs w:val="26"/>
              </w:rPr>
            </w:pPr>
            <w:r w:rsidRPr="00DE1A53">
              <w:rPr>
                <w:i/>
                <w:sz w:val="26"/>
                <w:szCs w:val="26"/>
              </w:rPr>
              <w:t>Ieviests</w:t>
            </w:r>
            <w:r w:rsidRPr="00DE1A53">
              <w:rPr>
                <w:i/>
                <w:sz w:val="26"/>
                <w:szCs w:val="26"/>
              </w:rPr>
              <w:t xml:space="preserve"> pilnībā</w:t>
            </w:r>
          </w:p>
        </w:tc>
        <w:tc>
          <w:tcPr>
            <w:tcW w:w="2863" w:type="dxa"/>
            <w:tcBorders>
              <w:top w:val="single" w:sz="4" w:space="0" w:color="000000"/>
              <w:left w:val="single" w:sz="4" w:space="0" w:color="000000"/>
              <w:bottom w:val="single" w:sz="4" w:space="0" w:color="000000"/>
              <w:right w:val="single" w:sz="4" w:space="0" w:color="000000"/>
            </w:tcBorders>
          </w:tcPr>
          <w:p w:rsidR="000644D7" w:rsidRPr="00DE1A53" w:rsidP="000644D7" w14:paraId="5CF84B6F" w14:textId="0BA9CB86">
            <w:pPr>
              <w:jc w:val="both"/>
              <w:rPr>
                <w:i/>
                <w:iCs/>
                <w:sz w:val="26"/>
                <w:szCs w:val="26"/>
              </w:rPr>
            </w:pPr>
            <w:r w:rsidRPr="00DE1A53">
              <w:rPr>
                <w:i/>
                <w:iCs/>
                <w:sz w:val="26"/>
                <w:szCs w:val="26"/>
              </w:rPr>
              <w:t>Neparedz stingrākas prasības</w:t>
            </w:r>
          </w:p>
        </w:tc>
      </w:tr>
      <w:tr w14:paraId="0581CBCD"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0644D7" w:rsidRPr="00DE1A53" w:rsidP="000644D7" w14:paraId="31AA6F62" w14:textId="11BAF484">
            <w:pPr>
              <w:jc w:val="both"/>
              <w:rPr>
                <w:i/>
                <w:sz w:val="26"/>
                <w:szCs w:val="26"/>
              </w:rPr>
            </w:pPr>
            <w:r w:rsidRPr="00DE1A53">
              <w:rPr>
                <w:i/>
                <w:sz w:val="26"/>
                <w:szCs w:val="26"/>
              </w:rPr>
              <w:t>Regulas Nr.1407/2013 4.panta 6.punkta b)</w:t>
            </w:r>
            <w:r w:rsidRPr="00DE1A53" w:rsidR="00617645">
              <w:rPr>
                <w:i/>
                <w:sz w:val="26"/>
                <w:szCs w:val="26"/>
              </w:rPr>
              <w:t xml:space="preserve"> </w:t>
            </w:r>
            <w:r w:rsidRPr="00DE1A53">
              <w:rPr>
                <w:i/>
                <w:sz w:val="26"/>
                <w:szCs w:val="26"/>
              </w:rPr>
              <w:t>punkts</w:t>
            </w:r>
          </w:p>
        </w:tc>
        <w:tc>
          <w:tcPr>
            <w:tcW w:w="1639" w:type="dxa"/>
            <w:tcBorders>
              <w:top w:val="single" w:sz="4" w:space="0" w:color="000000"/>
              <w:left w:val="single" w:sz="4" w:space="0" w:color="000000"/>
              <w:bottom w:val="single" w:sz="4" w:space="0" w:color="000000"/>
              <w:right w:val="single" w:sz="4" w:space="0" w:color="000000"/>
            </w:tcBorders>
          </w:tcPr>
          <w:p w:rsidR="000644D7" w:rsidRPr="00DE1A53" w:rsidP="000644D7" w14:paraId="727FC2AA" w14:textId="2952AF2F">
            <w:pPr>
              <w:jc w:val="both"/>
              <w:rPr>
                <w:i/>
                <w:sz w:val="26"/>
                <w:szCs w:val="26"/>
              </w:rPr>
            </w:pPr>
            <w:r w:rsidRPr="00DE1A53">
              <w:rPr>
                <w:i/>
                <w:sz w:val="26"/>
                <w:szCs w:val="26"/>
              </w:rPr>
              <w:t>10</w:t>
            </w:r>
            <w:r w:rsidRPr="00DE1A53">
              <w:rPr>
                <w:i/>
                <w:sz w:val="26"/>
                <w:szCs w:val="26"/>
              </w:rPr>
              <w:t>.punkts ar ko groza 14.punktu</w:t>
            </w:r>
          </w:p>
        </w:tc>
        <w:tc>
          <w:tcPr>
            <w:tcW w:w="2409" w:type="dxa"/>
            <w:tcBorders>
              <w:top w:val="single" w:sz="4" w:space="0" w:color="000000"/>
              <w:left w:val="single" w:sz="4" w:space="0" w:color="000000"/>
              <w:bottom w:val="single" w:sz="4" w:space="0" w:color="000000"/>
              <w:right w:val="single" w:sz="4" w:space="0" w:color="000000"/>
            </w:tcBorders>
          </w:tcPr>
          <w:p w:rsidR="000644D7" w:rsidRPr="00DE1A53" w:rsidP="000644D7" w14:paraId="2A5BD936" w14:textId="1CBA36D4">
            <w:pPr>
              <w:jc w:val="both"/>
              <w:rPr>
                <w:i/>
                <w:sz w:val="26"/>
                <w:szCs w:val="26"/>
              </w:rPr>
            </w:pPr>
            <w:r w:rsidRPr="00DE1A53">
              <w:rPr>
                <w:i/>
                <w:sz w:val="26"/>
                <w:szCs w:val="26"/>
              </w:rPr>
              <w:t>Ieviests</w:t>
            </w:r>
            <w:r w:rsidRPr="00DE1A53">
              <w:rPr>
                <w:i/>
                <w:sz w:val="26"/>
                <w:szCs w:val="26"/>
              </w:rPr>
              <w:t xml:space="preserve"> pilnībā</w:t>
            </w:r>
          </w:p>
        </w:tc>
        <w:tc>
          <w:tcPr>
            <w:tcW w:w="2863" w:type="dxa"/>
            <w:tcBorders>
              <w:top w:val="single" w:sz="4" w:space="0" w:color="000000"/>
              <w:left w:val="single" w:sz="4" w:space="0" w:color="000000"/>
              <w:bottom w:val="single" w:sz="4" w:space="0" w:color="000000"/>
              <w:right w:val="single" w:sz="4" w:space="0" w:color="000000"/>
            </w:tcBorders>
          </w:tcPr>
          <w:p w:rsidR="000644D7" w:rsidRPr="00DE1A53" w:rsidP="000644D7" w14:paraId="20A8C45C" w14:textId="77777777">
            <w:pPr>
              <w:jc w:val="both"/>
              <w:rPr>
                <w:i/>
                <w:sz w:val="26"/>
                <w:szCs w:val="26"/>
              </w:rPr>
            </w:pPr>
            <w:r w:rsidRPr="00DE1A53">
              <w:rPr>
                <w:i/>
                <w:iCs/>
                <w:sz w:val="26"/>
                <w:szCs w:val="26"/>
              </w:rPr>
              <w:t>Neparedz stingrākas prasības</w:t>
            </w:r>
          </w:p>
        </w:tc>
      </w:tr>
      <w:tr w14:paraId="2C82C8C7"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767EA0" w:rsidRPr="00DE1A53" w:rsidP="000644D7" w14:paraId="1F41302C" w14:textId="211A35EA">
            <w:pPr>
              <w:jc w:val="both"/>
              <w:rPr>
                <w:i/>
                <w:sz w:val="26"/>
                <w:szCs w:val="26"/>
              </w:rPr>
            </w:pPr>
            <w:r w:rsidRPr="00DE1A53">
              <w:rPr>
                <w:i/>
                <w:sz w:val="26"/>
                <w:szCs w:val="26"/>
              </w:rPr>
              <w:t>Regulas Nr.651/2014 8. panta 3. punkts</w:t>
            </w:r>
          </w:p>
        </w:tc>
        <w:tc>
          <w:tcPr>
            <w:tcW w:w="1639" w:type="dxa"/>
            <w:tcBorders>
              <w:top w:val="single" w:sz="4" w:space="0" w:color="000000"/>
              <w:left w:val="single" w:sz="4" w:space="0" w:color="000000"/>
              <w:bottom w:val="single" w:sz="4" w:space="0" w:color="000000"/>
              <w:right w:val="single" w:sz="4" w:space="0" w:color="000000"/>
            </w:tcBorders>
          </w:tcPr>
          <w:p w:rsidR="00767EA0" w:rsidRPr="00DE1A53" w:rsidP="000644D7" w14:paraId="22E1C2CE" w14:textId="468B1195">
            <w:pPr>
              <w:jc w:val="both"/>
              <w:rPr>
                <w:i/>
                <w:sz w:val="26"/>
                <w:szCs w:val="26"/>
              </w:rPr>
            </w:pPr>
            <w:r w:rsidRPr="00DE1A53">
              <w:rPr>
                <w:i/>
                <w:sz w:val="26"/>
                <w:szCs w:val="26"/>
              </w:rPr>
              <w:t>11.punkts ar ko groza 21.punktu</w:t>
            </w:r>
          </w:p>
        </w:tc>
        <w:tc>
          <w:tcPr>
            <w:tcW w:w="2409" w:type="dxa"/>
            <w:tcBorders>
              <w:top w:val="single" w:sz="4" w:space="0" w:color="000000"/>
              <w:left w:val="single" w:sz="4" w:space="0" w:color="000000"/>
              <w:bottom w:val="single" w:sz="4" w:space="0" w:color="000000"/>
              <w:right w:val="single" w:sz="4" w:space="0" w:color="000000"/>
            </w:tcBorders>
          </w:tcPr>
          <w:p w:rsidR="00767EA0" w:rsidRPr="00DE1A53" w:rsidP="000644D7" w14:paraId="49FB22DD" w14:textId="0381384C">
            <w:pPr>
              <w:jc w:val="both"/>
              <w:rPr>
                <w:i/>
                <w:sz w:val="26"/>
                <w:szCs w:val="26"/>
              </w:rPr>
            </w:pPr>
            <w:r w:rsidRPr="00DE1A53">
              <w:rPr>
                <w:i/>
                <w:sz w:val="26"/>
                <w:szCs w:val="26"/>
              </w:rPr>
              <w:t>Ieviests pilnībā</w:t>
            </w:r>
            <w:r w:rsidRPr="00DE1A53">
              <w:rPr>
                <w:i/>
                <w:sz w:val="26"/>
                <w:szCs w:val="26"/>
              </w:rPr>
              <w:tab/>
            </w:r>
          </w:p>
        </w:tc>
        <w:tc>
          <w:tcPr>
            <w:tcW w:w="2863" w:type="dxa"/>
            <w:tcBorders>
              <w:top w:val="single" w:sz="4" w:space="0" w:color="000000"/>
              <w:left w:val="single" w:sz="4" w:space="0" w:color="000000"/>
              <w:bottom w:val="single" w:sz="4" w:space="0" w:color="000000"/>
              <w:right w:val="single" w:sz="4" w:space="0" w:color="000000"/>
            </w:tcBorders>
          </w:tcPr>
          <w:p w:rsidR="00767EA0" w:rsidRPr="00DE1A53" w:rsidP="000644D7" w14:paraId="427563CF" w14:textId="693AECED">
            <w:pPr>
              <w:jc w:val="both"/>
              <w:rPr>
                <w:i/>
                <w:iCs/>
                <w:sz w:val="26"/>
                <w:szCs w:val="26"/>
              </w:rPr>
            </w:pPr>
            <w:r w:rsidRPr="00DE1A53">
              <w:rPr>
                <w:i/>
                <w:sz w:val="26"/>
                <w:szCs w:val="26"/>
              </w:rPr>
              <w:t>Neparedz stingrākas prasības</w:t>
            </w:r>
          </w:p>
        </w:tc>
      </w:tr>
      <w:tr w14:paraId="797FD8E2" w14:textId="77777777" w:rsidTr="0098032E">
        <w:tblPrEx>
          <w:tblW w:w="9208" w:type="dxa"/>
          <w:tblLayout w:type="fixed"/>
          <w:tblLook w:val="01E0"/>
        </w:tblPrEx>
        <w:tc>
          <w:tcPr>
            <w:tcW w:w="3936" w:type="dxa"/>
            <w:gridSpan w:val="2"/>
            <w:tcBorders>
              <w:top w:val="single" w:sz="4" w:space="0" w:color="000000"/>
              <w:left w:val="single" w:sz="4" w:space="0" w:color="000000"/>
              <w:bottom w:val="single" w:sz="4" w:space="0" w:color="000000"/>
              <w:right w:val="single" w:sz="4" w:space="0" w:color="000000"/>
            </w:tcBorders>
          </w:tcPr>
          <w:p w:rsidR="000644D7" w:rsidRPr="00DE1A53" w:rsidP="000644D7" w14:paraId="5F742ACC" w14:textId="77777777">
            <w:pPr>
              <w:jc w:val="both"/>
              <w:rPr>
                <w:sz w:val="26"/>
                <w:szCs w:val="26"/>
              </w:rPr>
            </w:pPr>
            <w:r w:rsidRPr="00DE1A53">
              <w:rPr>
                <w:sz w:val="26"/>
                <w:szCs w:val="26"/>
              </w:rPr>
              <w:t>Kā ir izmantota ES tiesību aktā paredzētā rīcības brīvība dalībvalstij pārņemt vai ieviest noteiktas ES tiesību akta normas?</w:t>
            </w:r>
          </w:p>
        </w:tc>
        <w:tc>
          <w:tcPr>
            <w:tcW w:w="5272" w:type="dxa"/>
            <w:gridSpan w:val="2"/>
            <w:tcBorders>
              <w:top w:val="single" w:sz="4" w:space="0" w:color="000000"/>
              <w:left w:val="single" w:sz="4" w:space="0" w:color="000000"/>
              <w:bottom w:val="single" w:sz="4" w:space="0" w:color="000000"/>
              <w:right w:val="single" w:sz="4" w:space="0" w:color="000000"/>
            </w:tcBorders>
          </w:tcPr>
          <w:p w:rsidR="000644D7" w:rsidRPr="00DE1A53" w:rsidP="000644D7" w14:paraId="069ABE36" w14:textId="77777777">
            <w:pPr>
              <w:jc w:val="both"/>
              <w:rPr>
                <w:sz w:val="26"/>
                <w:szCs w:val="26"/>
              </w:rPr>
            </w:pPr>
            <w:r w:rsidRPr="00DE1A53">
              <w:rPr>
                <w:sz w:val="26"/>
                <w:szCs w:val="26"/>
              </w:rPr>
              <w:t xml:space="preserve"> -</w:t>
            </w:r>
          </w:p>
        </w:tc>
      </w:tr>
      <w:tr w14:paraId="5ED565E5" w14:textId="77777777" w:rsidTr="0098032E">
        <w:tblPrEx>
          <w:tblW w:w="9208" w:type="dxa"/>
          <w:tblLayout w:type="fixed"/>
          <w:tblLook w:val="01E0"/>
        </w:tblPrEx>
        <w:tc>
          <w:tcPr>
            <w:tcW w:w="3936" w:type="dxa"/>
            <w:gridSpan w:val="2"/>
            <w:tcBorders>
              <w:top w:val="single" w:sz="4" w:space="0" w:color="000000"/>
              <w:left w:val="single" w:sz="4" w:space="0" w:color="000000"/>
              <w:bottom w:val="single" w:sz="4" w:space="0" w:color="000000"/>
              <w:right w:val="single" w:sz="4" w:space="0" w:color="000000"/>
            </w:tcBorders>
          </w:tcPr>
          <w:p w:rsidR="000644D7" w:rsidRPr="00DE1A53" w:rsidP="000644D7" w14:paraId="38B049F1" w14:textId="77777777">
            <w:pPr>
              <w:jc w:val="both"/>
              <w:rPr>
                <w:i/>
                <w:sz w:val="26"/>
                <w:szCs w:val="26"/>
              </w:rPr>
            </w:pPr>
            <w:r w:rsidRPr="00DE1A53">
              <w:rPr>
                <w:sz w:val="26"/>
                <w:szCs w:val="26"/>
              </w:rPr>
              <w:t xml:space="preserve">Saistības sniegt paziņojumu ES institūcijām un ES dalībvalstīm atbilstoši normatīvajiem aktiem, kas regulē informācijas sniegšanu par tehnisko noteikumu, valsts </w:t>
            </w:r>
            <w:r w:rsidRPr="00DE1A53">
              <w:rPr>
                <w:sz w:val="26"/>
                <w:szCs w:val="26"/>
              </w:rPr>
              <w:t>atbalsta piešķiršanas un finanšu noteikumu (attiecībā uz monetāro politiku) projektiem</w:t>
            </w:r>
          </w:p>
        </w:tc>
        <w:tc>
          <w:tcPr>
            <w:tcW w:w="5272" w:type="dxa"/>
            <w:gridSpan w:val="2"/>
            <w:tcBorders>
              <w:top w:val="single" w:sz="4" w:space="0" w:color="000000"/>
              <w:left w:val="single" w:sz="4" w:space="0" w:color="000000"/>
              <w:bottom w:val="single" w:sz="4" w:space="0" w:color="000000"/>
              <w:right w:val="single" w:sz="4" w:space="0" w:color="000000"/>
            </w:tcBorders>
          </w:tcPr>
          <w:p w:rsidR="000644D7" w:rsidRPr="00DE1A53" w:rsidP="000644D7" w14:paraId="5E11757F" w14:textId="77777777">
            <w:pPr>
              <w:jc w:val="both"/>
              <w:rPr>
                <w:sz w:val="26"/>
                <w:szCs w:val="26"/>
              </w:rPr>
            </w:pPr>
            <w:r w:rsidRPr="00DE1A53">
              <w:rPr>
                <w:sz w:val="26"/>
                <w:szCs w:val="26"/>
              </w:rPr>
              <w:t>Projekts šo jomu neskar.</w:t>
            </w:r>
          </w:p>
        </w:tc>
      </w:tr>
      <w:tr w14:paraId="3259B264" w14:textId="77777777" w:rsidTr="0098032E">
        <w:tblPrEx>
          <w:tblW w:w="9208" w:type="dxa"/>
          <w:tblLayout w:type="fixed"/>
          <w:tblLook w:val="01E0"/>
        </w:tblPrEx>
        <w:tc>
          <w:tcPr>
            <w:tcW w:w="3936" w:type="dxa"/>
            <w:gridSpan w:val="2"/>
            <w:tcBorders>
              <w:top w:val="single" w:sz="4" w:space="0" w:color="000000"/>
              <w:left w:val="single" w:sz="4" w:space="0" w:color="000000"/>
              <w:bottom w:val="single" w:sz="4" w:space="0" w:color="000000"/>
              <w:right w:val="single" w:sz="4" w:space="0" w:color="000000"/>
            </w:tcBorders>
          </w:tcPr>
          <w:p w:rsidR="000644D7" w:rsidRPr="00DE1A53" w:rsidP="000644D7" w14:paraId="3BB2FD73" w14:textId="77777777">
            <w:pPr>
              <w:jc w:val="both"/>
              <w:rPr>
                <w:i/>
                <w:sz w:val="26"/>
                <w:szCs w:val="26"/>
              </w:rPr>
            </w:pPr>
            <w:r w:rsidRPr="00DE1A53">
              <w:rPr>
                <w:sz w:val="26"/>
                <w:szCs w:val="26"/>
              </w:rPr>
              <w:t>Cita informācija</w:t>
            </w:r>
          </w:p>
        </w:tc>
        <w:tc>
          <w:tcPr>
            <w:tcW w:w="5272" w:type="dxa"/>
            <w:gridSpan w:val="2"/>
            <w:tcBorders>
              <w:top w:val="single" w:sz="4" w:space="0" w:color="000000"/>
              <w:left w:val="single" w:sz="4" w:space="0" w:color="000000"/>
              <w:bottom w:val="single" w:sz="4" w:space="0" w:color="000000"/>
              <w:right w:val="single" w:sz="4" w:space="0" w:color="000000"/>
            </w:tcBorders>
          </w:tcPr>
          <w:p w:rsidR="000644D7" w:rsidRPr="00DE1A53" w:rsidP="000644D7" w14:paraId="5CB1F6E6" w14:textId="77777777">
            <w:pPr>
              <w:jc w:val="both"/>
              <w:rPr>
                <w:sz w:val="26"/>
                <w:szCs w:val="26"/>
              </w:rPr>
            </w:pPr>
            <w:r w:rsidRPr="00DE1A53">
              <w:rPr>
                <w:sz w:val="26"/>
                <w:szCs w:val="26"/>
              </w:rPr>
              <w:t>Nav.</w:t>
            </w:r>
          </w:p>
        </w:tc>
      </w:tr>
    </w:tbl>
    <w:p w:rsidR="00CD371F" w:rsidRPr="00DE1A53" w:rsidP="001154C6" w14:paraId="361D8231" w14:textId="77777777">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84"/>
        <w:gridCol w:w="2741"/>
        <w:gridCol w:w="6189"/>
      </w:tblGrid>
      <w:tr w14:paraId="332018AF" w14:textId="77777777" w:rsidTr="00CD371F">
        <w:tblPrEx>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Ex>
        <w:trPr>
          <w:trHeight w:val="421"/>
        </w:trPr>
        <w:tc>
          <w:tcPr>
            <w:tcW w:w="9214" w:type="dxa"/>
            <w:gridSpan w:val="3"/>
            <w:vAlign w:val="center"/>
          </w:tcPr>
          <w:p w:rsidR="00CD371F" w:rsidRPr="00DE1A53" w:rsidP="00CD371F" w14:paraId="25185FCE" w14:textId="77777777">
            <w:pPr>
              <w:jc w:val="both"/>
              <w:rPr>
                <w:sz w:val="26"/>
                <w:szCs w:val="26"/>
              </w:rPr>
            </w:pPr>
            <w:r w:rsidRPr="00DE1A53">
              <w:rPr>
                <w:b/>
                <w:sz w:val="26"/>
                <w:szCs w:val="26"/>
              </w:rPr>
              <w:t>VI. Sabiedrības līdzdalība un komunikācijas aktivitātes</w:t>
            </w:r>
          </w:p>
        </w:tc>
      </w:tr>
      <w:tr w14:paraId="4264805C" w14:textId="77777777" w:rsidTr="00CD371F">
        <w:tblPrEx>
          <w:tblW w:w="9214" w:type="dxa"/>
          <w:tblInd w:w="-5" w:type="dxa"/>
          <w:tblLayout w:type="fixed"/>
          <w:tblCellMar>
            <w:left w:w="0" w:type="dxa"/>
            <w:right w:w="0" w:type="dxa"/>
          </w:tblCellMar>
          <w:tblLook w:val="0000"/>
        </w:tblPrEx>
        <w:trPr>
          <w:trHeight w:val="553"/>
        </w:trPr>
        <w:tc>
          <w:tcPr>
            <w:tcW w:w="284" w:type="dxa"/>
          </w:tcPr>
          <w:p w:rsidR="00CD371F" w:rsidRPr="00DE1A53" w:rsidP="00CD371F" w14:paraId="715FC9E9" w14:textId="77777777">
            <w:pPr>
              <w:jc w:val="both"/>
              <w:rPr>
                <w:sz w:val="26"/>
                <w:szCs w:val="26"/>
              </w:rPr>
            </w:pPr>
            <w:r w:rsidRPr="00DE1A53">
              <w:rPr>
                <w:sz w:val="26"/>
                <w:szCs w:val="26"/>
              </w:rPr>
              <w:t>1.</w:t>
            </w:r>
          </w:p>
        </w:tc>
        <w:tc>
          <w:tcPr>
            <w:tcW w:w="2741" w:type="dxa"/>
          </w:tcPr>
          <w:p w:rsidR="00CD371F" w:rsidRPr="00DE1A53" w:rsidP="00CD371F" w14:paraId="02D1F5C5" w14:textId="77777777">
            <w:pPr>
              <w:jc w:val="both"/>
              <w:rPr>
                <w:sz w:val="26"/>
                <w:szCs w:val="26"/>
              </w:rPr>
            </w:pPr>
            <w:r w:rsidRPr="00DE1A53">
              <w:rPr>
                <w:sz w:val="26"/>
                <w:szCs w:val="26"/>
              </w:rPr>
              <w:t>Plānotās sabiedrības līdzdalības un komunikācijas aktivitātes saistībā ar projektu</w:t>
            </w:r>
          </w:p>
        </w:tc>
        <w:tc>
          <w:tcPr>
            <w:tcW w:w="6189" w:type="dxa"/>
          </w:tcPr>
          <w:p w:rsidR="00CD371F" w:rsidRPr="00DE1A53" w:rsidP="00CD371F" w14:paraId="4BCE3F70" w14:textId="77777777">
            <w:pPr>
              <w:jc w:val="both"/>
              <w:rPr>
                <w:sz w:val="26"/>
                <w:szCs w:val="26"/>
              </w:rPr>
            </w:pPr>
            <w:bookmarkStart w:id="1" w:name="p61"/>
            <w:bookmarkEnd w:id="1"/>
            <w:r w:rsidRPr="00DE1A53">
              <w:rPr>
                <w:sz w:val="26"/>
                <w:szCs w:val="26"/>
              </w:rPr>
              <w:t xml:space="preserve">Pēc noteikumu projekta apstiprināšanas sabiedrība </w:t>
            </w:r>
            <w:r w:rsidRPr="00DE1A53">
              <w:rPr>
                <w:sz w:val="26"/>
                <w:szCs w:val="26"/>
              </w:rPr>
              <w:t>Altum</w:t>
            </w:r>
            <w:r w:rsidRPr="00DE1A53">
              <w:rPr>
                <w:sz w:val="26"/>
                <w:szCs w:val="26"/>
              </w:rPr>
              <w:t xml:space="preserve"> nodrošinās informēšanas pasākumus. </w:t>
            </w:r>
          </w:p>
        </w:tc>
      </w:tr>
      <w:tr w14:paraId="0DA8C4B4" w14:textId="77777777" w:rsidTr="00CD371F">
        <w:tblPrEx>
          <w:tblW w:w="9214" w:type="dxa"/>
          <w:tblInd w:w="-5" w:type="dxa"/>
          <w:tblLayout w:type="fixed"/>
          <w:tblCellMar>
            <w:left w:w="0" w:type="dxa"/>
            <w:right w:w="0" w:type="dxa"/>
          </w:tblCellMar>
          <w:tblLook w:val="0000"/>
        </w:tblPrEx>
        <w:trPr>
          <w:trHeight w:val="339"/>
        </w:trPr>
        <w:tc>
          <w:tcPr>
            <w:tcW w:w="284" w:type="dxa"/>
          </w:tcPr>
          <w:p w:rsidR="00CD371F" w:rsidRPr="00DE1A53" w:rsidP="00CD371F" w14:paraId="249D1DA5" w14:textId="77777777">
            <w:pPr>
              <w:jc w:val="both"/>
              <w:rPr>
                <w:sz w:val="26"/>
                <w:szCs w:val="26"/>
              </w:rPr>
            </w:pPr>
            <w:r w:rsidRPr="00DE1A53">
              <w:rPr>
                <w:sz w:val="26"/>
                <w:szCs w:val="26"/>
              </w:rPr>
              <w:t>2.</w:t>
            </w:r>
          </w:p>
        </w:tc>
        <w:tc>
          <w:tcPr>
            <w:tcW w:w="2741" w:type="dxa"/>
          </w:tcPr>
          <w:p w:rsidR="00CD371F" w:rsidRPr="00DE1A53" w:rsidP="00CD371F" w14:paraId="3A86FCB6" w14:textId="77777777">
            <w:pPr>
              <w:jc w:val="both"/>
              <w:rPr>
                <w:sz w:val="26"/>
                <w:szCs w:val="26"/>
              </w:rPr>
            </w:pPr>
            <w:r w:rsidRPr="00DE1A53">
              <w:rPr>
                <w:sz w:val="26"/>
                <w:szCs w:val="26"/>
              </w:rPr>
              <w:t>Sabiedrības līdzdalība projekta izstrādē</w:t>
            </w:r>
          </w:p>
        </w:tc>
        <w:tc>
          <w:tcPr>
            <w:tcW w:w="6189" w:type="dxa"/>
          </w:tcPr>
          <w:p w:rsidR="00CD371F" w:rsidRPr="00DE1A53" w:rsidP="00CD371F" w14:paraId="6799ADAD" w14:textId="0D9AAB61">
            <w:pPr>
              <w:jc w:val="both"/>
              <w:rPr>
                <w:sz w:val="26"/>
                <w:szCs w:val="26"/>
              </w:rPr>
            </w:pPr>
            <w:bookmarkStart w:id="2" w:name="p62"/>
            <w:bookmarkEnd w:id="2"/>
            <w:r w:rsidRPr="00DE1A53">
              <w:rPr>
                <w:sz w:val="26"/>
                <w:szCs w:val="26"/>
              </w:rPr>
              <w:t xml:space="preserve">Noteikumu projektu </w:t>
            </w:r>
            <w:r w:rsidRPr="00DE1A53" w:rsidR="004D3626">
              <w:rPr>
                <w:sz w:val="26"/>
                <w:szCs w:val="26"/>
              </w:rPr>
              <w:t xml:space="preserve">Ekonomikas ministrija </w:t>
            </w:r>
            <w:r w:rsidRPr="00DE1A53">
              <w:rPr>
                <w:sz w:val="26"/>
                <w:szCs w:val="26"/>
              </w:rPr>
              <w:t>nosūtīs saskaņošanai Latvijas Komercbanku asociācijai</w:t>
            </w:r>
          </w:p>
        </w:tc>
      </w:tr>
      <w:tr w14:paraId="379E15D2" w14:textId="77777777" w:rsidTr="00CD371F">
        <w:tblPrEx>
          <w:tblW w:w="9214" w:type="dxa"/>
          <w:tblInd w:w="-5" w:type="dxa"/>
          <w:tblLayout w:type="fixed"/>
          <w:tblCellMar>
            <w:left w:w="0" w:type="dxa"/>
            <w:right w:w="0" w:type="dxa"/>
          </w:tblCellMar>
          <w:tblLook w:val="0000"/>
        </w:tblPrEx>
        <w:trPr>
          <w:trHeight w:val="476"/>
        </w:trPr>
        <w:tc>
          <w:tcPr>
            <w:tcW w:w="284" w:type="dxa"/>
          </w:tcPr>
          <w:p w:rsidR="00CD371F" w:rsidRPr="00DE1A53" w:rsidP="00CD371F" w14:paraId="1E8EF4BA" w14:textId="77777777">
            <w:pPr>
              <w:jc w:val="both"/>
              <w:rPr>
                <w:sz w:val="26"/>
                <w:szCs w:val="26"/>
              </w:rPr>
            </w:pPr>
            <w:r w:rsidRPr="00DE1A53">
              <w:rPr>
                <w:sz w:val="26"/>
                <w:szCs w:val="26"/>
              </w:rPr>
              <w:t>3.</w:t>
            </w:r>
          </w:p>
        </w:tc>
        <w:tc>
          <w:tcPr>
            <w:tcW w:w="2741" w:type="dxa"/>
          </w:tcPr>
          <w:p w:rsidR="00CD371F" w:rsidRPr="00DE1A53" w:rsidP="00CD371F" w14:paraId="6D4F340C" w14:textId="77777777">
            <w:pPr>
              <w:jc w:val="both"/>
              <w:rPr>
                <w:sz w:val="26"/>
                <w:szCs w:val="26"/>
              </w:rPr>
            </w:pPr>
            <w:r w:rsidRPr="00DE1A53">
              <w:rPr>
                <w:sz w:val="26"/>
                <w:szCs w:val="26"/>
              </w:rPr>
              <w:t>Sabiedrības līdzdalības rezultāti</w:t>
            </w:r>
          </w:p>
        </w:tc>
        <w:tc>
          <w:tcPr>
            <w:tcW w:w="6189" w:type="dxa"/>
          </w:tcPr>
          <w:p w:rsidR="00CD371F" w:rsidRPr="00DE1A53" w:rsidP="00CD371F" w14:paraId="128C9E35" w14:textId="2F2D561E">
            <w:pPr>
              <w:jc w:val="both"/>
              <w:rPr>
                <w:sz w:val="26"/>
                <w:szCs w:val="26"/>
              </w:rPr>
            </w:pPr>
            <w:r w:rsidRPr="00DE1A53">
              <w:rPr>
                <w:sz w:val="26"/>
                <w:szCs w:val="26"/>
              </w:rPr>
              <w:t>Noteikumu projektu E</w:t>
            </w:r>
            <w:r w:rsidRPr="00DE1A53" w:rsidR="004D3626">
              <w:rPr>
                <w:sz w:val="26"/>
                <w:szCs w:val="26"/>
              </w:rPr>
              <w:t>konomikas ministrija</w:t>
            </w:r>
            <w:r w:rsidRPr="00DE1A53">
              <w:rPr>
                <w:sz w:val="26"/>
                <w:szCs w:val="26"/>
              </w:rPr>
              <w:t xml:space="preserve"> nosūtīs saskaņošanai Latvijas Komercbanku asociācijai</w:t>
            </w:r>
          </w:p>
        </w:tc>
      </w:tr>
      <w:tr w14:paraId="3088D0FA" w14:textId="77777777" w:rsidTr="00CD371F">
        <w:tblPrEx>
          <w:tblW w:w="9214" w:type="dxa"/>
          <w:tblInd w:w="-5" w:type="dxa"/>
          <w:tblLayout w:type="fixed"/>
          <w:tblCellMar>
            <w:left w:w="0" w:type="dxa"/>
            <w:right w:w="0" w:type="dxa"/>
          </w:tblCellMar>
          <w:tblLook w:val="0000"/>
        </w:tblPrEx>
        <w:trPr>
          <w:trHeight w:val="205"/>
        </w:trPr>
        <w:tc>
          <w:tcPr>
            <w:tcW w:w="284" w:type="dxa"/>
          </w:tcPr>
          <w:p w:rsidR="00CD371F" w:rsidRPr="00DE1A53" w:rsidP="00CD371F" w14:paraId="46B7E677" w14:textId="77777777">
            <w:pPr>
              <w:jc w:val="both"/>
              <w:rPr>
                <w:sz w:val="26"/>
                <w:szCs w:val="26"/>
              </w:rPr>
            </w:pPr>
            <w:r w:rsidRPr="00DE1A53">
              <w:rPr>
                <w:sz w:val="26"/>
                <w:szCs w:val="26"/>
              </w:rPr>
              <w:t>4.</w:t>
            </w:r>
          </w:p>
        </w:tc>
        <w:tc>
          <w:tcPr>
            <w:tcW w:w="2741" w:type="dxa"/>
          </w:tcPr>
          <w:p w:rsidR="00CD371F" w:rsidRPr="00DE1A53" w:rsidP="00CD371F" w14:paraId="18114085" w14:textId="77777777">
            <w:pPr>
              <w:jc w:val="both"/>
              <w:rPr>
                <w:sz w:val="26"/>
                <w:szCs w:val="26"/>
              </w:rPr>
            </w:pPr>
            <w:r w:rsidRPr="00DE1A53">
              <w:rPr>
                <w:sz w:val="26"/>
                <w:szCs w:val="26"/>
              </w:rPr>
              <w:t>Cita informācija</w:t>
            </w:r>
          </w:p>
        </w:tc>
        <w:tc>
          <w:tcPr>
            <w:tcW w:w="6189" w:type="dxa"/>
          </w:tcPr>
          <w:p w:rsidR="00CD371F" w:rsidRPr="00DE1A53" w:rsidP="00CD371F" w14:paraId="68E4E742" w14:textId="77777777">
            <w:pPr>
              <w:jc w:val="both"/>
              <w:rPr>
                <w:sz w:val="26"/>
                <w:szCs w:val="26"/>
              </w:rPr>
            </w:pPr>
            <w:r w:rsidRPr="00DE1A53">
              <w:rPr>
                <w:sz w:val="26"/>
                <w:szCs w:val="26"/>
              </w:rPr>
              <w:t>Nav.</w:t>
            </w:r>
          </w:p>
        </w:tc>
      </w:tr>
    </w:tbl>
    <w:p w:rsidR="00CD371F" w:rsidRPr="00DE1A53" w:rsidP="001154C6" w14:paraId="0BC5E648" w14:textId="77777777">
      <w:pPr>
        <w:jc w:val="both"/>
        <w:rPr>
          <w:sz w:val="26"/>
          <w:szCs w:val="26"/>
        </w:rPr>
      </w:pPr>
    </w:p>
    <w:p w:rsidR="00CD371F" w:rsidRPr="00DE1A53" w:rsidP="001154C6" w14:paraId="42201B5E" w14:textId="77777777">
      <w:pPr>
        <w:jc w:val="both"/>
        <w:rPr>
          <w:sz w:val="26"/>
          <w:szCs w:val="26"/>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
        <w:gridCol w:w="2739"/>
        <w:gridCol w:w="6197"/>
      </w:tblGrid>
      <w:tr w14:paraId="3735261C" w14:textId="77777777" w:rsidTr="00FA631E">
        <w:tblPrEx>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rsidR="0039762C" w:rsidRPr="00DE1A53" w:rsidP="0039762C" w14:paraId="64C6BC5D" w14:textId="77777777">
            <w:pPr>
              <w:spacing w:before="100" w:beforeAutospacing="1" w:after="100" w:afterAutospacing="1"/>
              <w:ind w:firstLine="300"/>
              <w:jc w:val="center"/>
              <w:rPr>
                <w:rFonts w:eastAsia="Times New Roman"/>
                <w:sz w:val="26"/>
                <w:szCs w:val="26"/>
              </w:rPr>
            </w:pPr>
            <w:r w:rsidRPr="00DE1A53">
              <w:rPr>
                <w:rFonts w:eastAsia="Times New Roman"/>
                <w:b/>
                <w:bCs/>
                <w:color w:val="000000"/>
                <w:sz w:val="26"/>
                <w:szCs w:val="26"/>
              </w:rPr>
              <w:t>VII. Tiesību akta projekta izpildes nodrošināšana un tās ietekme uz institūcijām</w:t>
            </w:r>
          </w:p>
        </w:tc>
      </w:tr>
      <w:tr w14:paraId="44976B80" w14:textId="77777777" w:rsidTr="00FA631E">
        <w:tblPrEx>
          <w:tblW w:w="9206" w:type="dxa"/>
          <w:tblCellMar>
            <w:top w:w="30" w:type="dxa"/>
            <w:left w:w="30" w:type="dxa"/>
            <w:bottom w:w="30" w:type="dxa"/>
            <w:right w:w="30" w:type="dxa"/>
          </w:tblCellMar>
          <w:tblLook w:val="04A0"/>
        </w:tblPrEx>
        <w:trPr>
          <w:trHeight w:val="420"/>
        </w:trPr>
        <w:tc>
          <w:tcPr>
            <w:tcW w:w="270"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0D03D059" w14:textId="77777777">
            <w:pPr>
              <w:spacing w:before="100" w:beforeAutospacing="1" w:after="100" w:afterAutospacing="1"/>
              <w:rPr>
                <w:rFonts w:eastAsia="Times New Roman"/>
                <w:sz w:val="26"/>
                <w:szCs w:val="26"/>
              </w:rPr>
            </w:pPr>
            <w:r w:rsidRPr="00DE1A53">
              <w:rPr>
                <w:rFonts w:eastAsia="Times New Roman"/>
                <w:color w:val="000000"/>
                <w:sz w:val="26"/>
                <w:szCs w:val="26"/>
              </w:rPr>
              <w:t>1.</w:t>
            </w:r>
          </w:p>
        </w:tc>
        <w:tc>
          <w:tcPr>
            <w:tcW w:w="2739"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665CA771" w14:textId="77777777">
            <w:pPr>
              <w:ind w:right="112"/>
              <w:jc w:val="both"/>
              <w:rPr>
                <w:sz w:val="26"/>
                <w:szCs w:val="26"/>
                <w:lang w:eastAsia="en-US"/>
              </w:rPr>
            </w:pPr>
            <w:r w:rsidRPr="00DE1A53">
              <w:rPr>
                <w:sz w:val="26"/>
                <w:szCs w:val="26"/>
                <w:lang w:eastAsia="en-US"/>
              </w:rPr>
              <w:t>Projekta izpildē iesaistītās institūcijas</w:t>
            </w:r>
          </w:p>
        </w:tc>
        <w:tc>
          <w:tcPr>
            <w:tcW w:w="6197"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0B909456" w14:textId="77777777">
            <w:pPr>
              <w:ind w:left="82" w:right="161"/>
              <w:jc w:val="both"/>
              <w:rPr>
                <w:sz w:val="26"/>
                <w:szCs w:val="26"/>
                <w:lang w:eastAsia="en-US"/>
              </w:rPr>
            </w:pPr>
            <w:r w:rsidRPr="00DE1A53">
              <w:rPr>
                <w:sz w:val="26"/>
                <w:szCs w:val="26"/>
                <w:lang w:eastAsia="en-US"/>
              </w:rPr>
              <w:t xml:space="preserve">Ministru kabineta noteikumu projekta izpildi nodrošinās Ekonomikas ministrija un akciju sabiedrība “Attīstības finanšu institūcija </w:t>
            </w:r>
            <w:r w:rsidRPr="00DE1A53">
              <w:rPr>
                <w:sz w:val="26"/>
                <w:szCs w:val="26"/>
                <w:lang w:eastAsia="en-US"/>
              </w:rPr>
              <w:t>Altum</w:t>
            </w:r>
            <w:r w:rsidRPr="00DE1A53">
              <w:rPr>
                <w:sz w:val="26"/>
                <w:szCs w:val="26"/>
                <w:lang w:eastAsia="en-US"/>
              </w:rPr>
              <w:t>”.</w:t>
            </w:r>
          </w:p>
        </w:tc>
      </w:tr>
      <w:tr w14:paraId="40B6F488" w14:textId="77777777" w:rsidTr="00FA631E">
        <w:tblPrEx>
          <w:tblW w:w="9206" w:type="dxa"/>
          <w:tblCellMar>
            <w:top w:w="30" w:type="dxa"/>
            <w:left w:w="30" w:type="dxa"/>
            <w:bottom w:w="30" w:type="dxa"/>
            <w:right w:w="30" w:type="dxa"/>
          </w:tblCellMar>
          <w:tblLook w:val="04A0"/>
        </w:tblPrEx>
        <w:trPr>
          <w:trHeight w:val="450"/>
        </w:trPr>
        <w:tc>
          <w:tcPr>
            <w:tcW w:w="270"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0003F98D" w14:textId="77777777">
            <w:pPr>
              <w:spacing w:before="100" w:beforeAutospacing="1" w:after="100" w:afterAutospacing="1"/>
              <w:rPr>
                <w:rFonts w:eastAsia="Times New Roman"/>
                <w:sz w:val="26"/>
                <w:szCs w:val="26"/>
              </w:rPr>
            </w:pPr>
            <w:r w:rsidRPr="00DE1A53">
              <w:rPr>
                <w:rFonts w:eastAsia="Times New Roman"/>
                <w:color w:val="000000"/>
                <w:sz w:val="26"/>
                <w:szCs w:val="26"/>
              </w:rPr>
              <w:t>2.</w:t>
            </w:r>
          </w:p>
        </w:tc>
        <w:tc>
          <w:tcPr>
            <w:tcW w:w="2739"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338946DA" w14:textId="77777777">
            <w:pPr>
              <w:ind w:right="112"/>
              <w:jc w:val="both"/>
              <w:rPr>
                <w:sz w:val="26"/>
                <w:szCs w:val="26"/>
                <w:lang w:eastAsia="en-US"/>
              </w:rPr>
            </w:pPr>
            <w:r w:rsidRPr="00DE1A53">
              <w:rPr>
                <w:sz w:val="26"/>
                <w:szCs w:val="26"/>
                <w:lang w:eastAsia="en-US"/>
              </w:rPr>
              <w:t>Projekta izpildes ietekme uz pārvaldes funkcijām un institucionālo struktūru. Jaunu institūciju izveide, esošu institūciju likvidācija vai reorganizācija, to ietekme uz institūcijas cilvēkresursiem.</w:t>
            </w:r>
          </w:p>
        </w:tc>
        <w:tc>
          <w:tcPr>
            <w:tcW w:w="6197"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346FEE9E" w14:textId="77777777">
            <w:pPr>
              <w:ind w:left="82" w:right="161"/>
              <w:jc w:val="both"/>
              <w:rPr>
                <w:sz w:val="26"/>
                <w:szCs w:val="26"/>
                <w:lang w:eastAsia="en-US"/>
              </w:rPr>
            </w:pPr>
            <w:r w:rsidRPr="00DE1A53">
              <w:rPr>
                <w:sz w:val="26"/>
                <w:szCs w:val="26"/>
                <w:lang w:eastAsia="en-US"/>
              </w:rPr>
              <w:t xml:space="preserve">Ministru kabineta noteikumu projekta izpilde tiks nodrošināta Ekonomikas ministrijas un akciju sabiedrības “Attīstības finanšu institūcija </w:t>
            </w:r>
            <w:r w:rsidRPr="00DE1A53">
              <w:rPr>
                <w:sz w:val="26"/>
                <w:szCs w:val="26"/>
                <w:lang w:eastAsia="en-US"/>
              </w:rPr>
              <w:t>Altum</w:t>
            </w:r>
            <w:r w:rsidRPr="00DE1A53">
              <w:rPr>
                <w:sz w:val="26"/>
                <w:szCs w:val="26"/>
                <w:lang w:eastAsia="en-US"/>
              </w:rPr>
              <w:t>” esošo funkciju ietvaros.</w:t>
            </w:r>
          </w:p>
          <w:p w:rsidR="0039762C" w:rsidRPr="00DE1A53" w:rsidP="0039762C" w14:paraId="4521E765" w14:textId="77777777">
            <w:pPr>
              <w:ind w:left="82" w:right="161" w:firstLine="720"/>
              <w:jc w:val="both"/>
              <w:rPr>
                <w:sz w:val="26"/>
                <w:szCs w:val="26"/>
                <w:lang w:eastAsia="en-US"/>
              </w:rPr>
            </w:pPr>
          </w:p>
        </w:tc>
      </w:tr>
      <w:tr w14:paraId="41772B5A" w14:textId="77777777" w:rsidTr="00FA631E">
        <w:tblPrEx>
          <w:tblW w:w="9206" w:type="dxa"/>
          <w:tblCellMar>
            <w:top w:w="30" w:type="dxa"/>
            <w:left w:w="30" w:type="dxa"/>
            <w:bottom w:w="30" w:type="dxa"/>
            <w:right w:w="30" w:type="dxa"/>
          </w:tblCellMar>
          <w:tblLook w:val="04A0"/>
        </w:tblPrEx>
        <w:trPr>
          <w:trHeight w:val="390"/>
        </w:trPr>
        <w:tc>
          <w:tcPr>
            <w:tcW w:w="270"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45CFD7AD" w14:textId="77777777">
            <w:pPr>
              <w:spacing w:before="100" w:beforeAutospacing="1" w:after="100" w:afterAutospacing="1"/>
              <w:rPr>
                <w:rFonts w:eastAsia="Times New Roman"/>
                <w:sz w:val="26"/>
                <w:szCs w:val="26"/>
              </w:rPr>
            </w:pPr>
            <w:r w:rsidRPr="00DE1A53">
              <w:rPr>
                <w:rFonts w:eastAsia="Times New Roman"/>
                <w:color w:val="000000"/>
                <w:sz w:val="26"/>
                <w:szCs w:val="26"/>
              </w:rPr>
              <w:t>3.</w:t>
            </w:r>
          </w:p>
        </w:tc>
        <w:tc>
          <w:tcPr>
            <w:tcW w:w="2739"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5191F29F" w14:textId="77777777">
            <w:pPr>
              <w:jc w:val="both"/>
              <w:rPr>
                <w:rFonts w:eastAsia="Times New Roman"/>
                <w:sz w:val="26"/>
                <w:szCs w:val="26"/>
              </w:rPr>
            </w:pPr>
            <w:r w:rsidRPr="00DE1A53">
              <w:rPr>
                <w:rFonts w:eastAsia="Times New Roman"/>
                <w:sz w:val="26"/>
                <w:szCs w:val="26"/>
              </w:rPr>
              <w:t>Cita informācija</w:t>
            </w:r>
          </w:p>
        </w:tc>
        <w:tc>
          <w:tcPr>
            <w:tcW w:w="6197" w:type="dxa"/>
            <w:tcBorders>
              <w:top w:val="outset" w:sz="6" w:space="0" w:color="414142"/>
              <w:left w:val="outset" w:sz="6" w:space="0" w:color="414142"/>
              <w:bottom w:val="outset" w:sz="6" w:space="0" w:color="414142"/>
              <w:right w:val="outset" w:sz="6" w:space="0" w:color="414142"/>
            </w:tcBorders>
            <w:hideMark/>
          </w:tcPr>
          <w:p w:rsidR="0039762C" w:rsidRPr="00DE1A53" w:rsidP="0039762C" w14:paraId="67159161" w14:textId="77777777">
            <w:pPr>
              <w:ind w:firstLine="720"/>
              <w:jc w:val="both"/>
              <w:rPr>
                <w:rFonts w:eastAsia="Times New Roman"/>
                <w:sz w:val="26"/>
                <w:szCs w:val="26"/>
              </w:rPr>
            </w:pPr>
            <w:r w:rsidRPr="00DE1A53">
              <w:rPr>
                <w:rFonts w:eastAsia="Times New Roman"/>
                <w:sz w:val="26"/>
                <w:szCs w:val="26"/>
              </w:rPr>
              <w:t>Nav</w:t>
            </w:r>
          </w:p>
        </w:tc>
      </w:tr>
    </w:tbl>
    <w:p w:rsidR="00106976" w:rsidRPr="00DE1A53" w:rsidP="00A861B4" w14:paraId="13C6F1DE" w14:textId="77777777">
      <w:pPr>
        <w:jc w:val="both"/>
        <w:rPr>
          <w:sz w:val="26"/>
          <w:szCs w:val="26"/>
        </w:rPr>
      </w:pPr>
    </w:p>
    <w:p w:rsidR="0039762C" w:rsidRPr="00DE1A53" w:rsidP="00A861B4" w14:paraId="523980C7" w14:textId="77777777">
      <w:pPr>
        <w:jc w:val="both"/>
        <w:rPr>
          <w:sz w:val="26"/>
          <w:szCs w:val="26"/>
        </w:rPr>
      </w:pPr>
    </w:p>
    <w:p w:rsidR="00CF6A56" w:rsidRPr="00DE1A53" w:rsidP="00A861B4" w14:paraId="030E35CD" w14:textId="77777777">
      <w:pPr>
        <w:jc w:val="both"/>
        <w:rPr>
          <w:sz w:val="26"/>
          <w:szCs w:val="26"/>
        </w:rPr>
      </w:pPr>
      <w:r w:rsidRPr="00DE1A53">
        <w:rPr>
          <w:sz w:val="26"/>
          <w:szCs w:val="26"/>
        </w:rPr>
        <w:t>Ministru prezidenta biedrs,</w:t>
      </w:r>
    </w:p>
    <w:p w:rsidR="00CF6A56" w:rsidRPr="00DE1A53" w:rsidP="00F562D3" w14:paraId="5332B557" w14:textId="77777777">
      <w:pPr>
        <w:rPr>
          <w:sz w:val="26"/>
          <w:szCs w:val="26"/>
        </w:rPr>
      </w:pPr>
      <w:r w:rsidRPr="00DE1A53">
        <w:rPr>
          <w:sz w:val="26"/>
          <w:szCs w:val="26"/>
        </w:rPr>
        <w:t xml:space="preserve">ekonomikas ministrs      </w:t>
      </w:r>
      <w:r w:rsidRPr="00DE1A53">
        <w:rPr>
          <w:sz w:val="26"/>
          <w:szCs w:val="26"/>
        </w:rPr>
        <w:tab/>
      </w:r>
      <w:r w:rsidRPr="00DE1A53">
        <w:rPr>
          <w:sz w:val="26"/>
          <w:szCs w:val="26"/>
        </w:rPr>
        <w:tab/>
      </w:r>
      <w:r w:rsidRPr="00DE1A53">
        <w:rPr>
          <w:sz w:val="26"/>
          <w:szCs w:val="26"/>
        </w:rPr>
        <w:tab/>
      </w:r>
      <w:r w:rsidRPr="00DE1A53">
        <w:rPr>
          <w:sz w:val="26"/>
          <w:szCs w:val="26"/>
        </w:rPr>
        <w:tab/>
      </w:r>
      <w:r w:rsidRPr="00DE1A53">
        <w:rPr>
          <w:sz w:val="26"/>
          <w:szCs w:val="26"/>
        </w:rPr>
        <w:tab/>
        <w:t xml:space="preserve">                      </w:t>
      </w:r>
      <w:r w:rsidRPr="00DE1A53">
        <w:rPr>
          <w:sz w:val="26"/>
          <w:szCs w:val="26"/>
        </w:rPr>
        <w:t>A.Ašeradens</w:t>
      </w:r>
    </w:p>
    <w:p w:rsidR="00CF6A56" w:rsidRPr="00DE1A53" w:rsidP="00F562D3" w14:paraId="5B63A977" w14:textId="77777777">
      <w:pPr>
        <w:rPr>
          <w:sz w:val="26"/>
          <w:szCs w:val="26"/>
        </w:rPr>
      </w:pPr>
      <w:r w:rsidRPr="00DE1A53">
        <w:rPr>
          <w:sz w:val="26"/>
          <w:szCs w:val="26"/>
        </w:rPr>
        <w:tab/>
      </w:r>
    </w:p>
    <w:p w:rsidR="00B67F84" w:rsidRPr="00DE1A53" w:rsidP="00F562D3" w14:paraId="74F87BD8" w14:textId="334CFCDE">
      <w:pPr>
        <w:rPr>
          <w:sz w:val="26"/>
          <w:szCs w:val="26"/>
        </w:rPr>
      </w:pPr>
      <w:r w:rsidRPr="00DE1A53">
        <w:rPr>
          <w:sz w:val="26"/>
          <w:szCs w:val="26"/>
        </w:rPr>
        <w:t xml:space="preserve">Vīza: Valsts </w:t>
      </w:r>
      <w:r w:rsidRPr="00DE1A53">
        <w:rPr>
          <w:sz w:val="26"/>
          <w:szCs w:val="26"/>
        </w:rPr>
        <w:t>sekretārs</w:t>
      </w:r>
      <w:r w:rsidRPr="00DE1A53">
        <w:rPr>
          <w:sz w:val="26"/>
          <w:szCs w:val="26"/>
        </w:rPr>
        <w:tab/>
      </w:r>
      <w:r w:rsidRPr="00DE1A53">
        <w:rPr>
          <w:sz w:val="26"/>
          <w:szCs w:val="26"/>
        </w:rPr>
        <w:tab/>
      </w:r>
      <w:r w:rsidRPr="00DE1A53">
        <w:rPr>
          <w:sz w:val="26"/>
          <w:szCs w:val="26"/>
        </w:rPr>
        <w:tab/>
      </w:r>
      <w:r w:rsidR="0075113C">
        <w:rPr>
          <w:sz w:val="26"/>
          <w:szCs w:val="26"/>
        </w:rPr>
        <w:tab/>
      </w:r>
      <w:r w:rsidR="0075113C">
        <w:rPr>
          <w:sz w:val="26"/>
          <w:szCs w:val="26"/>
        </w:rPr>
        <w:tab/>
      </w:r>
      <w:r w:rsidR="0075113C">
        <w:rPr>
          <w:sz w:val="26"/>
          <w:szCs w:val="26"/>
        </w:rPr>
        <w:tab/>
        <w:t xml:space="preserve">    </w:t>
      </w:r>
      <w:r w:rsidR="0075113C">
        <w:rPr>
          <w:sz w:val="26"/>
          <w:szCs w:val="26"/>
        </w:rPr>
        <w:tab/>
        <w:t xml:space="preserve">    E.Eglītis</w:t>
      </w:r>
      <w:bookmarkStart w:id="3" w:name="_GoBack"/>
      <w:bookmarkEnd w:id="3"/>
      <w:r w:rsidRPr="00DE1A53">
        <w:rPr>
          <w:sz w:val="26"/>
          <w:szCs w:val="26"/>
        </w:rPr>
        <w:t xml:space="preserve"> </w:t>
      </w:r>
    </w:p>
    <w:p w:rsidR="00B67F84" w:rsidP="00F562D3" w14:paraId="7BB3F9E3" w14:textId="3659EF63">
      <w:pPr>
        <w:rPr>
          <w:sz w:val="26"/>
          <w:szCs w:val="26"/>
        </w:rPr>
      </w:pPr>
    </w:p>
    <w:p w:rsidR="00EE4514" w:rsidP="00F562D3" w14:paraId="334177CA" w14:textId="719D5D84">
      <w:pPr>
        <w:rPr>
          <w:sz w:val="26"/>
          <w:szCs w:val="26"/>
        </w:rPr>
      </w:pPr>
    </w:p>
    <w:p w:rsidR="00EE4514" w:rsidRPr="00DE1A53" w:rsidP="00F562D3" w14:paraId="3D1988B0" w14:textId="77777777">
      <w:pPr>
        <w:rPr>
          <w:sz w:val="26"/>
          <w:szCs w:val="26"/>
        </w:rPr>
      </w:pPr>
    </w:p>
    <w:p w:rsidR="004B385B" w:rsidRPr="00EE4514" w:rsidP="004B385B" w14:paraId="42867360" w14:textId="77777777">
      <w:pPr>
        <w:ind w:right="709"/>
        <w:rPr>
          <w:rFonts w:eastAsia="Times New Roman"/>
          <w:sz w:val="20"/>
          <w:szCs w:val="20"/>
          <w:lang w:eastAsia="en-US"/>
        </w:rPr>
      </w:pPr>
      <w:r w:rsidRPr="00EE4514">
        <w:rPr>
          <w:rFonts w:eastAsia="Times New Roman"/>
          <w:sz w:val="20"/>
          <w:szCs w:val="20"/>
          <w:lang w:eastAsia="en-US"/>
        </w:rPr>
        <w:t>Signe Tuklere</w:t>
      </w:r>
    </w:p>
    <w:p w:rsidR="00D57DE0" w:rsidRPr="00EE4514" w:rsidP="004B385B" w14:paraId="74771582" w14:textId="4A9E2037">
      <w:pPr>
        <w:ind w:right="709"/>
        <w:rPr>
          <w:rFonts w:eastAsia="Times New Roman"/>
          <w:sz w:val="20"/>
          <w:szCs w:val="20"/>
          <w:lang w:eastAsia="en-US"/>
        </w:rPr>
      </w:pPr>
      <w:r w:rsidRPr="00EE4514">
        <w:rPr>
          <w:rFonts w:eastAsia="Times New Roman"/>
          <w:sz w:val="20"/>
          <w:szCs w:val="20"/>
          <w:lang w:eastAsia="en-US"/>
        </w:rPr>
        <w:t>67013298</w:t>
      </w:r>
      <w:r w:rsidRPr="00EE4514" w:rsidR="004B385B">
        <w:rPr>
          <w:rFonts w:eastAsia="Times New Roman"/>
          <w:sz w:val="20"/>
          <w:szCs w:val="20"/>
          <w:lang w:eastAsia="en-US"/>
        </w:rPr>
        <w:t xml:space="preserve">, </w:t>
      </w:r>
      <w:r>
        <w:fldChar w:fldCharType="begin"/>
      </w:r>
      <w:r>
        <w:instrText xml:space="preserve"> HYPERLINK "mailto:Signe.Tuklere@em.gov.lv" </w:instrText>
      </w:r>
      <w:r>
        <w:fldChar w:fldCharType="separate"/>
      </w:r>
      <w:r w:rsidRPr="00EE4514">
        <w:rPr>
          <w:rStyle w:val="Hyperlink"/>
          <w:rFonts w:eastAsia="Times New Roman"/>
          <w:sz w:val="20"/>
          <w:szCs w:val="20"/>
          <w:lang w:eastAsia="en-US"/>
        </w:rPr>
        <w:t>Signe.Tuklere@em.gov.lv</w:t>
      </w:r>
      <w:r>
        <w:fldChar w:fldCharType="end"/>
      </w:r>
    </w:p>
    <w:sectPr w:rsidSect="00BB3106">
      <w:headerReference w:type="default" r:id="rId10"/>
      <w:footerReference w:type="even" r:id="rId11"/>
      <w:footerReference w:type="default" r:id="rId12"/>
      <w:headerReference w:type="first" r:id="rId13"/>
      <w:footerReference w:type="first" r:id="rId14"/>
      <w:pgSz w:w="11906" w:h="16838"/>
      <w:pgMar w:top="1134" w:right="1134" w:bottom="1134" w:left="1701" w:header="709" w:footer="36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186C21" w:rsidP="00AE31DE" w14:paraId="599E2113"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BFE" w:rsidRPr="003903A8" w:rsidP="00C40BFE" w14:paraId="01FE38F9" w14:textId="24BEE3D2">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p>
  <w:p w:rsidR="004C047A" w:rsidRPr="00F07CAE" w:rsidP="00F07CAE" w14:paraId="10DC480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3903A8" w:rsidP="00504A53" w14:paraId="45EF79EA" w14:textId="7B2EF4BE">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2E28" w14:paraId="034CF107" w14:textId="77777777">
      <w:r>
        <w:separator/>
      </w:r>
    </w:p>
  </w:footnote>
  <w:footnote w:type="continuationSeparator" w:id="1">
    <w:p w:rsidR="00872E28" w14:paraId="2D4FF116" w14:textId="77777777">
      <w:r>
        <w:continuationSeparator/>
      </w:r>
    </w:p>
  </w:footnote>
  <w:footnote w:type="continuationNotice" w:id="2">
    <w:p w:rsidR="00872E28" w14:paraId="3D9B22A7" w14:textId="77777777"/>
  </w:footnote>
  <w:footnote w:id="3">
    <w:p w:rsidR="008E09BF" w:rsidRPr="00245E5B" w:rsidP="008E09BF" w14:paraId="5FC906AF" w14:textId="77777777">
      <w:pPr>
        <w:pStyle w:val="FootnoteText"/>
      </w:pPr>
      <w:r>
        <w:rPr>
          <w:rStyle w:val="FootnoteReference"/>
        </w:rPr>
        <w:footnoteRef/>
      </w:r>
      <w:r>
        <w:t xml:space="preserve"> </w:t>
      </w:r>
      <w:r w:rsidRPr="005A4243">
        <w:t>http://tap.mk.gov.lv/mk/mksedes/saraksts/protokols/?protokols=2013-05-28</w:t>
      </w:r>
    </w:p>
  </w:footnote>
  <w:footnote w:id="4">
    <w:p w:rsidR="008E09BF" w:rsidRPr="00245E5B" w:rsidP="008E09BF" w14:paraId="3E12441C" w14:textId="77777777">
      <w:pPr>
        <w:pStyle w:val="FootnoteText"/>
      </w:pPr>
      <w:r>
        <w:rPr>
          <w:rStyle w:val="FootnoteReference"/>
        </w:rPr>
        <w:footnoteRef/>
      </w:r>
      <w:r>
        <w:t xml:space="preserve"> </w:t>
      </w:r>
      <w:r>
        <w:fldChar w:fldCharType="begin"/>
      </w:r>
      <w:r>
        <w:instrText xml:space="preserve"> HYPERLINK "http://tap.mk.gov.lv/mk/mksedes/saraksts/protokols/?protokols=2013-08-20" </w:instrText>
      </w:r>
      <w:r>
        <w:fldChar w:fldCharType="separate"/>
      </w:r>
      <w:r w:rsidRPr="00171661">
        <w:rPr>
          <w:rStyle w:val="Hyperlink"/>
        </w:rPr>
        <w:t>http://tap.mk.gov.lv/mk/mksedes/saraksts/protokols/?protokols=2013-08-20</w:t>
      </w:r>
      <w:r>
        <w:fldChar w:fldCharType="end"/>
      </w:r>
    </w:p>
  </w:footnote>
  <w:footnote w:id="5">
    <w:p w:rsidR="008E09BF" w:rsidRPr="00382D4C" w:rsidP="008E09BF" w14:paraId="5DCBCC86" w14:textId="77777777">
      <w:pPr>
        <w:pStyle w:val="FootnoteText"/>
      </w:pPr>
      <w:r>
        <w:rPr>
          <w:rStyle w:val="FootnoteReference"/>
        </w:rPr>
        <w:footnoteRef/>
      </w:r>
      <w:r>
        <w:t xml:space="preserve"> </w:t>
      </w:r>
      <w:r w:rsidRPr="00382D4C">
        <w:t>Ministru</w:t>
      </w:r>
      <w:r w:rsidRPr="00382D4C">
        <w:t xml:space="preserve"> </w:t>
      </w:r>
      <w:r w:rsidRPr="00382D4C">
        <w:t>kabinet</w:t>
      </w:r>
      <w:r>
        <w:t>a</w:t>
      </w:r>
      <w:r>
        <w:t xml:space="preserve"> 2009.gada </w:t>
      </w:r>
      <w:r>
        <w:t>31.marta</w:t>
      </w:r>
      <w:r>
        <w:t xml:space="preserve"> </w:t>
      </w:r>
      <w:r>
        <w:t>noteikumi</w:t>
      </w:r>
      <w:r>
        <w:t xml:space="preserve"> </w:t>
      </w:r>
      <w:r w:rsidRPr="00382D4C">
        <w:t>Nr.293 "</w:t>
      </w:r>
      <w:r w:rsidRPr="00382D4C">
        <w:t>Noteikumi</w:t>
      </w:r>
      <w:r w:rsidRPr="00382D4C">
        <w:t xml:space="preserve"> par </w:t>
      </w:r>
      <w:r w:rsidRPr="00382D4C">
        <w:t>darbības</w:t>
      </w:r>
      <w:r w:rsidRPr="00382D4C">
        <w:t xml:space="preserve"> </w:t>
      </w:r>
      <w:r w:rsidRPr="00382D4C">
        <w:t>programmas</w:t>
      </w:r>
      <w:r w:rsidRPr="00382D4C">
        <w:t xml:space="preserve"> "</w:t>
      </w:r>
      <w:r w:rsidRPr="00382D4C">
        <w:t>Cilvēkresursi</w:t>
      </w:r>
      <w:r w:rsidRPr="00382D4C">
        <w:t xml:space="preserve"> un </w:t>
      </w:r>
      <w:r w:rsidRPr="00382D4C">
        <w:t>nodarbinātība</w:t>
      </w:r>
      <w:r w:rsidRPr="00382D4C">
        <w:t xml:space="preserve">" </w:t>
      </w:r>
      <w:r w:rsidRPr="00382D4C">
        <w:t>papildinājuma</w:t>
      </w:r>
      <w:r w:rsidRPr="00382D4C">
        <w:t xml:space="preserve"> 1.3.1.2.aktivitāti "</w:t>
      </w:r>
      <w:r w:rsidRPr="00382D4C">
        <w:t>Atbalsts</w:t>
      </w:r>
      <w:r w:rsidRPr="00382D4C">
        <w:t xml:space="preserve"> </w:t>
      </w:r>
      <w:r w:rsidRPr="00382D4C">
        <w:t>pašnodarbinātības</w:t>
      </w:r>
      <w:r w:rsidRPr="00382D4C">
        <w:t xml:space="preserve"> un </w:t>
      </w:r>
      <w:r w:rsidRPr="00382D4C">
        <w:t>uzņēmējdarbības</w:t>
      </w:r>
      <w:r w:rsidRPr="00382D4C">
        <w:t xml:space="preserve"> </w:t>
      </w:r>
      <w:r w:rsidRPr="00382D4C">
        <w:t>uzsākšanai</w:t>
      </w:r>
      <w:r w:rsidRPr="00382D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P="00AE31DE" w14:paraId="1FDE0752" w14:textId="26235A5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4C047A" w14:paraId="23CBA5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433CA3" w:rsidP="00433CA3" w14:paraId="6FDF3E9C" w14:textId="77777777">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E"/>
    <w:multiLevelType w:val="hybridMultilevel"/>
    <w:tmpl w:val="7825D1EA"/>
    <w:lvl w:ilvl="0">
      <w:start w:val="14"/>
      <w:numFmt w:val="bullet"/>
      <w:lvlText w:val="-"/>
      <w:lvlJc w:val="left"/>
      <w:pPr>
        <w:ind w:left="720" w:hanging="360"/>
      </w:pPr>
      <w:rPr>
        <w:rFonts w:ascii="Times New Roman" w:eastAsia="Times New Roman" w:hAnsi="Times New Roman"/>
        <w:w w:val="100"/>
        <w:sz w:val="20"/>
        <w:szCs w:val="20"/>
        <w:shd w:val="clear" w:color="auto" w:fill="auto"/>
      </w:rPr>
    </w:lvl>
    <w:lvl w:ilvl="1">
      <w:start w:val="1"/>
      <w:numFmt w:val="bullet"/>
      <w:lvlText w:val="o"/>
      <w:lvlJc w:val="left"/>
      <w:pPr>
        <w:ind w:left="1440" w:hanging="360"/>
      </w:pPr>
      <w:rPr>
        <w:rFonts w:ascii="Courier New" w:eastAsia="Courier New" w:hAnsi="Courier New"/>
        <w:w w:val="100"/>
        <w:sz w:val="20"/>
        <w:szCs w:val="20"/>
        <w:shd w:val="clear" w:color="auto" w:fill="auto"/>
      </w:rPr>
    </w:lvl>
    <w:lvl w:ilvl="2">
      <w:start w:val="1"/>
      <w:numFmt w:val="bullet"/>
      <w:lvlText w:val="§"/>
      <w:lvlJc w:val="left"/>
      <w:pPr>
        <w:ind w:left="2160" w:hanging="360"/>
      </w:pPr>
      <w:rPr>
        <w:rFonts w:ascii="Wingdings" w:eastAsia="Wingdings" w:hAnsi="Wingdings"/>
        <w:w w:val="100"/>
        <w:sz w:val="20"/>
        <w:szCs w:val="20"/>
        <w:shd w:val="clear" w:color="auto" w:fill="auto"/>
      </w:rPr>
    </w:lvl>
    <w:lvl w:ilvl="3">
      <w:start w:val="1"/>
      <w:numFmt w:val="bullet"/>
      <w:lvlText w:val="·"/>
      <w:lvlJc w:val="left"/>
      <w:pPr>
        <w:ind w:left="2880" w:hanging="360"/>
      </w:pPr>
      <w:rPr>
        <w:rFonts w:ascii="Symbol" w:eastAsia="Symbol" w:hAnsi="Symbol"/>
        <w:w w:val="100"/>
        <w:sz w:val="20"/>
        <w:szCs w:val="20"/>
        <w:shd w:val="clear" w:color="auto" w:fill="auto"/>
      </w:rPr>
    </w:lvl>
    <w:lvl w:ilvl="4">
      <w:start w:val="1"/>
      <w:numFmt w:val="bullet"/>
      <w:lvlText w:val="o"/>
      <w:lvlJc w:val="left"/>
      <w:pPr>
        <w:ind w:left="3600" w:hanging="360"/>
      </w:pPr>
      <w:rPr>
        <w:rFonts w:ascii="Courier New" w:eastAsia="Courier New" w:hAnsi="Courier New"/>
        <w:w w:val="100"/>
        <w:sz w:val="20"/>
        <w:szCs w:val="20"/>
        <w:shd w:val="clear" w:color="auto" w:fill="auto"/>
      </w:rPr>
    </w:lvl>
    <w:lvl w:ilvl="5">
      <w:start w:val="1"/>
      <w:numFmt w:val="bullet"/>
      <w:lvlText w:val="§"/>
      <w:lvlJc w:val="left"/>
      <w:pPr>
        <w:ind w:left="4320" w:hanging="360"/>
      </w:pPr>
      <w:rPr>
        <w:rFonts w:ascii="Wingdings" w:eastAsia="Wingdings" w:hAnsi="Wingdings"/>
        <w:w w:val="100"/>
        <w:sz w:val="20"/>
        <w:szCs w:val="20"/>
        <w:shd w:val="clear" w:color="auto" w:fill="auto"/>
      </w:rPr>
    </w:lvl>
    <w:lvl w:ilvl="6">
      <w:start w:val="1"/>
      <w:numFmt w:val="bullet"/>
      <w:lvlText w:val="·"/>
      <w:lvlJc w:val="left"/>
      <w:pPr>
        <w:ind w:left="5040" w:hanging="360"/>
      </w:pPr>
      <w:rPr>
        <w:rFonts w:ascii="Symbol" w:eastAsia="Symbol" w:hAnsi="Symbol"/>
        <w:w w:val="100"/>
        <w:sz w:val="20"/>
        <w:szCs w:val="20"/>
        <w:shd w:val="clear" w:color="auto" w:fill="auto"/>
      </w:rPr>
    </w:lvl>
    <w:lvl w:ilvl="7">
      <w:start w:val="1"/>
      <w:numFmt w:val="bullet"/>
      <w:lvlText w:val="o"/>
      <w:lvlJc w:val="left"/>
      <w:pPr>
        <w:ind w:left="5760" w:hanging="360"/>
      </w:pPr>
      <w:rPr>
        <w:rFonts w:ascii="Courier New" w:eastAsia="Courier New" w:hAnsi="Courier New"/>
        <w:w w:val="100"/>
        <w:sz w:val="20"/>
        <w:szCs w:val="20"/>
        <w:shd w:val="clear" w:color="auto" w:fill="auto"/>
      </w:rPr>
    </w:lvl>
    <w:lvl w:ilvl="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1">
    <w:nsid w:val="19CF3FAE"/>
    <w:multiLevelType w:val="hybridMultilevel"/>
    <w:tmpl w:val="D0140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5"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8"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33005251"/>
    <w:multiLevelType w:val="hybridMultilevel"/>
    <w:tmpl w:val="A52E4EE0"/>
    <w:lvl w:ilvl="0">
      <w:start w:val="0"/>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0" w15:restartNumberingAfterBreak="1">
    <w:nsid w:val="3A16233E"/>
    <w:multiLevelType w:val="hybridMultilevel"/>
    <w:tmpl w:val="2EE8EA98"/>
    <w:lvl w:ilvl="0">
      <w:start w:val="0"/>
      <w:numFmt w:val="bullet"/>
      <w:lvlText w:val="-"/>
      <w:lvlJc w:val="left"/>
      <w:pPr>
        <w:ind w:left="420" w:hanging="360"/>
      </w:pPr>
      <w:rPr>
        <w:rFonts w:ascii="Times New Roman" w:hAnsi="Times New Roman" w:eastAsiaTheme="minorHAnsi" w:cs="Times New Roman" w:hint="default"/>
        <w:i w:val="0"/>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1"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3"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4"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5"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6"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533E3906"/>
    <w:multiLevelType w:val="hybridMultilevel"/>
    <w:tmpl w:val="A11EA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1"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9513970"/>
    <w:multiLevelType w:val="hybridMultilevel"/>
    <w:tmpl w:val="770200A6"/>
    <w:lvl w:ilvl="0">
      <w:start w:val="0"/>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7"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8"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1" w15:restartNumberingAfterBreak="1">
    <w:nsid w:val="75B617A8"/>
    <w:multiLevelType w:val="hybridMultilevel"/>
    <w:tmpl w:val="FB487BEA"/>
    <w:lvl w:ilvl="0">
      <w:start w:val="2015"/>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2"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D4F09D7"/>
    <w:multiLevelType w:val="hybridMultilevel"/>
    <w:tmpl w:val="7DE4F490"/>
    <w:lvl w:ilvl="0">
      <w:start w:val="3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6"/>
  </w:num>
  <w:num w:numId="3">
    <w:abstractNumId w:val="32"/>
  </w:num>
  <w:num w:numId="4">
    <w:abstractNumId w:val="30"/>
  </w:num>
  <w:num w:numId="5">
    <w:abstractNumId w:val="7"/>
  </w:num>
  <w:num w:numId="6">
    <w:abstractNumId w:val="20"/>
  </w:num>
  <w:num w:numId="7">
    <w:abstractNumId w:val="13"/>
  </w:num>
  <w:num w:numId="8">
    <w:abstractNumId w:val="5"/>
  </w:num>
  <w:num w:numId="9">
    <w:abstractNumId w:val="4"/>
  </w:num>
  <w:num w:numId="10">
    <w:abstractNumId w:val="8"/>
  </w:num>
  <w:num w:numId="11">
    <w:abstractNumId w:val="14"/>
  </w:num>
  <w:num w:numId="12">
    <w:abstractNumId w:val="29"/>
  </w:num>
  <w:num w:numId="13">
    <w:abstractNumId w:val="16"/>
  </w:num>
  <w:num w:numId="14">
    <w:abstractNumId w:val="26"/>
  </w:num>
  <w:num w:numId="15">
    <w:abstractNumId w:val="1"/>
  </w:num>
  <w:num w:numId="16">
    <w:abstractNumId w:val="34"/>
  </w:num>
  <w:num w:numId="17">
    <w:abstractNumId w:val="3"/>
  </w:num>
  <w:num w:numId="18">
    <w:abstractNumId w:val="23"/>
  </w:num>
  <w:num w:numId="19">
    <w:abstractNumId w:val="18"/>
  </w:num>
  <w:num w:numId="20">
    <w:abstractNumId w:val="15"/>
  </w:num>
  <w:num w:numId="21">
    <w:abstractNumId w:val="17"/>
  </w:num>
  <w:num w:numId="22">
    <w:abstractNumId w:val="27"/>
  </w:num>
  <w:num w:numId="23">
    <w:abstractNumId w:val="24"/>
  </w:num>
  <w:num w:numId="24">
    <w:abstractNumId w:val="25"/>
  </w:num>
  <w:num w:numId="25">
    <w:abstractNumId w:val="21"/>
  </w:num>
  <w:num w:numId="26">
    <w:abstractNumId w:val="28"/>
  </w:num>
  <w:num w:numId="27">
    <w:abstractNumId w:val="12"/>
  </w:num>
  <w:num w:numId="28">
    <w:abstractNumId w:val="2"/>
  </w:num>
  <w:num w:numId="29">
    <w:abstractNumId w:val="31"/>
  </w:num>
  <w:num w:numId="30">
    <w:abstractNumId w:val="19"/>
  </w:num>
  <w:num w:numId="31">
    <w:abstractNumId w:val="9"/>
  </w:num>
  <w:num w:numId="32">
    <w:abstractNumId w:val="22"/>
  </w:num>
  <w:num w:numId="33">
    <w:abstractNumId w:val="10"/>
  </w:num>
  <w:num w:numId="34">
    <w:abstractNumId w:val="0"/>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F50"/>
    <w:rsid w:val="000126CC"/>
    <w:rsid w:val="00013582"/>
    <w:rsid w:val="00014D26"/>
    <w:rsid w:val="00016A4F"/>
    <w:rsid w:val="00016DB8"/>
    <w:rsid w:val="00016FFA"/>
    <w:rsid w:val="00020610"/>
    <w:rsid w:val="00021136"/>
    <w:rsid w:val="00021948"/>
    <w:rsid w:val="000226EF"/>
    <w:rsid w:val="00022716"/>
    <w:rsid w:val="00022ADB"/>
    <w:rsid w:val="00023A5E"/>
    <w:rsid w:val="00025982"/>
    <w:rsid w:val="00025D9F"/>
    <w:rsid w:val="000261F2"/>
    <w:rsid w:val="0002670D"/>
    <w:rsid w:val="000276C4"/>
    <w:rsid w:val="00027C48"/>
    <w:rsid w:val="00031531"/>
    <w:rsid w:val="00032C84"/>
    <w:rsid w:val="00032CC9"/>
    <w:rsid w:val="00033622"/>
    <w:rsid w:val="00033962"/>
    <w:rsid w:val="00035163"/>
    <w:rsid w:val="000355AF"/>
    <w:rsid w:val="000363D2"/>
    <w:rsid w:val="00036BA5"/>
    <w:rsid w:val="00037EA8"/>
    <w:rsid w:val="00041C63"/>
    <w:rsid w:val="0004227B"/>
    <w:rsid w:val="000439E5"/>
    <w:rsid w:val="00043C55"/>
    <w:rsid w:val="00043D08"/>
    <w:rsid w:val="0004620F"/>
    <w:rsid w:val="00046B88"/>
    <w:rsid w:val="0004745A"/>
    <w:rsid w:val="0004782E"/>
    <w:rsid w:val="00047ADE"/>
    <w:rsid w:val="00047C4D"/>
    <w:rsid w:val="000501E1"/>
    <w:rsid w:val="000503D4"/>
    <w:rsid w:val="000518A7"/>
    <w:rsid w:val="000528F8"/>
    <w:rsid w:val="0005308B"/>
    <w:rsid w:val="00055841"/>
    <w:rsid w:val="00056289"/>
    <w:rsid w:val="00056326"/>
    <w:rsid w:val="00056E0C"/>
    <w:rsid w:val="00057D59"/>
    <w:rsid w:val="000600BF"/>
    <w:rsid w:val="00061BA5"/>
    <w:rsid w:val="00062143"/>
    <w:rsid w:val="000624F1"/>
    <w:rsid w:val="000643D4"/>
    <w:rsid w:val="000644D7"/>
    <w:rsid w:val="000648AC"/>
    <w:rsid w:val="00064C5E"/>
    <w:rsid w:val="0006611D"/>
    <w:rsid w:val="000663AF"/>
    <w:rsid w:val="000671DF"/>
    <w:rsid w:val="000706BF"/>
    <w:rsid w:val="00070927"/>
    <w:rsid w:val="000715EF"/>
    <w:rsid w:val="00072303"/>
    <w:rsid w:val="00075707"/>
    <w:rsid w:val="00076AD3"/>
    <w:rsid w:val="000805C2"/>
    <w:rsid w:val="00080875"/>
    <w:rsid w:val="00080F7E"/>
    <w:rsid w:val="00081113"/>
    <w:rsid w:val="000817DA"/>
    <w:rsid w:val="00083A4D"/>
    <w:rsid w:val="00083ECF"/>
    <w:rsid w:val="00084A32"/>
    <w:rsid w:val="00085257"/>
    <w:rsid w:val="00085C7A"/>
    <w:rsid w:val="0008752E"/>
    <w:rsid w:val="0009001A"/>
    <w:rsid w:val="00091649"/>
    <w:rsid w:val="0009178C"/>
    <w:rsid w:val="0009201C"/>
    <w:rsid w:val="00092145"/>
    <w:rsid w:val="00093676"/>
    <w:rsid w:val="00094212"/>
    <w:rsid w:val="0009448B"/>
    <w:rsid w:val="00094926"/>
    <w:rsid w:val="00095292"/>
    <w:rsid w:val="000952A1"/>
    <w:rsid w:val="00096395"/>
    <w:rsid w:val="0009693B"/>
    <w:rsid w:val="000A0387"/>
    <w:rsid w:val="000A03A6"/>
    <w:rsid w:val="000A2823"/>
    <w:rsid w:val="000A368F"/>
    <w:rsid w:val="000A3888"/>
    <w:rsid w:val="000A423C"/>
    <w:rsid w:val="000A534A"/>
    <w:rsid w:val="000A79AB"/>
    <w:rsid w:val="000B3E3D"/>
    <w:rsid w:val="000B3E6C"/>
    <w:rsid w:val="000B46E1"/>
    <w:rsid w:val="000B4CB2"/>
    <w:rsid w:val="000B582B"/>
    <w:rsid w:val="000B6D50"/>
    <w:rsid w:val="000B744A"/>
    <w:rsid w:val="000B74F2"/>
    <w:rsid w:val="000B7AB5"/>
    <w:rsid w:val="000C090B"/>
    <w:rsid w:val="000C0BBB"/>
    <w:rsid w:val="000C0F79"/>
    <w:rsid w:val="000C1255"/>
    <w:rsid w:val="000C3696"/>
    <w:rsid w:val="000C3763"/>
    <w:rsid w:val="000C4F50"/>
    <w:rsid w:val="000C6E81"/>
    <w:rsid w:val="000C7E15"/>
    <w:rsid w:val="000D0DCE"/>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18E"/>
    <w:rsid w:val="000E43ED"/>
    <w:rsid w:val="000E5231"/>
    <w:rsid w:val="000E5BDF"/>
    <w:rsid w:val="000E63C6"/>
    <w:rsid w:val="000E6573"/>
    <w:rsid w:val="000E6952"/>
    <w:rsid w:val="000E6DCD"/>
    <w:rsid w:val="000F06A3"/>
    <w:rsid w:val="000F0C52"/>
    <w:rsid w:val="000F0E3B"/>
    <w:rsid w:val="000F14BE"/>
    <w:rsid w:val="000F288D"/>
    <w:rsid w:val="000F2A34"/>
    <w:rsid w:val="000F3247"/>
    <w:rsid w:val="000F4DC7"/>
    <w:rsid w:val="000F4F3B"/>
    <w:rsid w:val="000F56A7"/>
    <w:rsid w:val="000F7B86"/>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BA6"/>
    <w:rsid w:val="00115480"/>
    <w:rsid w:val="001154C6"/>
    <w:rsid w:val="0011584F"/>
    <w:rsid w:val="00116C54"/>
    <w:rsid w:val="00120406"/>
    <w:rsid w:val="001206A2"/>
    <w:rsid w:val="00120A48"/>
    <w:rsid w:val="00120ACA"/>
    <w:rsid w:val="00121D4F"/>
    <w:rsid w:val="00121F0F"/>
    <w:rsid w:val="001221A7"/>
    <w:rsid w:val="001246EA"/>
    <w:rsid w:val="00124F0E"/>
    <w:rsid w:val="00125297"/>
    <w:rsid w:val="00125BE7"/>
    <w:rsid w:val="001267AF"/>
    <w:rsid w:val="00126C02"/>
    <w:rsid w:val="00126F8A"/>
    <w:rsid w:val="00130B8C"/>
    <w:rsid w:val="001320BC"/>
    <w:rsid w:val="001323C1"/>
    <w:rsid w:val="001333C1"/>
    <w:rsid w:val="00133C20"/>
    <w:rsid w:val="001356F7"/>
    <w:rsid w:val="00136085"/>
    <w:rsid w:val="00136B1B"/>
    <w:rsid w:val="001404C5"/>
    <w:rsid w:val="0014071C"/>
    <w:rsid w:val="001408A3"/>
    <w:rsid w:val="001418C6"/>
    <w:rsid w:val="00141D62"/>
    <w:rsid w:val="001421E1"/>
    <w:rsid w:val="001428A9"/>
    <w:rsid w:val="00142902"/>
    <w:rsid w:val="00142AEA"/>
    <w:rsid w:val="0014304D"/>
    <w:rsid w:val="00144810"/>
    <w:rsid w:val="00144BF2"/>
    <w:rsid w:val="001457B4"/>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6B17"/>
    <w:rsid w:val="00167801"/>
    <w:rsid w:val="00167959"/>
    <w:rsid w:val="00171627"/>
    <w:rsid w:val="00171661"/>
    <w:rsid w:val="001725AE"/>
    <w:rsid w:val="00172F58"/>
    <w:rsid w:val="001743D2"/>
    <w:rsid w:val="001750CD"/>
    <w:rsid w:val="00176350"/>
    <w:rsid w:val="00177068"/>
    <w:rsid w:val="00177522"/>
    <w:rsid w:val="0018069C"/>
    <w:rsid w:val="00180BDE"/>
    <w:rsid w:val="00186C21"/>
    <w:rsid w:val="00190A21"/>
    <w:rsid w:val="001913BD"/>
    <w:rsid w:val="001934C4"/>
    <w:rsid w:val="00195D1F"/>
    <w:rsid w:val="00196226"/>
    <w:rsid w:val="0019632B"/>
    <w:rsid w:val="0019688E"/>
    <w:rsid w:val="001979DD"/>
    <w:rsid w:val="001A060A"/>
    <w:rsid w:val="001A2127"/>
    <w:rsid w:val="001A2DC9"/>
    <w:rsid w:val="001A3B59"/>
    <w:rsid w:val="001A40ED"/>
    <w:rsid w:val="001A478B"/>
    <w:rsid w:val="001A5627"/>
    <w:rsid w:val="001A5867"/>
    <w:rsid w:val="001A5A2B"/>
    <w:rsid w:val="001A6B23"/>
    <w:rsid w:val="001A756C"/>
    <w:rsid w:val="001A7BCB"/>
    <w:rsid w:val="001B0A1F"/>
    <w:rsid w:val="001B2391"/>
    <w:rsid w:val="001B2891"/>
    <w:rsid w:val="001B28B5"/>
    <w:rsid w:val="001B2B6D"/>
    <w:rsid w:val="001B50DE"/>
    <w:rsid w:val="001B5678"/>
    <w:rsid w:val="001B6148"/>
    <w:rsid w:val="001B6264"/>
    <w:rsid w:val="001B688B"/>
    <w:rsid w:val="001B7CB1"/>
    <w:rsid w:val="001C1418"/>
    <w:rsid w:val="001C15B2"/>
    <w:rsid w:val="001C18E2"/>
    <w:rsid w:val="001C1AC7"/>
    <w:rsid w:val="001C346C"/>
    <w:rsid w:val="001C363B"/>
    <w:rsid w:val="001C4291"/>
    <w:rsid w:val="001C5252"/>
    <w:rsid w:val="001C53BB"/>
    <w:rsid w:val="001C70DA"/>
    <w:rsid w:val="001C7820"/>
    <w:rsid w:val="001D0A43"/>
    <w:rsid w:val="001D2003"/>
    <w:rsid w:val="001D2B79"/>
    <w:rsid w:val="001D2BED"/>
    <w:rsid w:val="001D2C76"/>
    <w:rsid w:val="001D2F71"/>
    <w:rsid w:val="001D33B2"/>
    <w:rsid w:val="001D4894"/>
    <w:rsid w:val="001D5DA0"/>
    <w:rsid w:val="001D5FE3"/>
    <w:rsid w:val="001D623A"/>
    <w:rsid w:val="001E05C0"/>
    <w:rsid w:val="001E065F"/>
    <w:rsid w:val="001E06D5"/>
    <w:rsid w:val="001E1862"/>
    <w:rsid w:val="001E1D73"/>
    <w:rsid w:val="001E228E"/>
    <w:rsid w:val="001E3369"/>
    <w:rsid w:val="001E36CF"/>
    <w:rsid w:val="001E44A7"/>
    <w:rsid w:val="001E4E6D"/>
    <w:rsid w:val="001E5C2E"/>
    <w:rsid w:val="001E5DF4"/>
    <w:rsid w:val="001E6375"/>
    <w:rsid w:val="001F0A1D"/>
    <w:rsid w:val="001F1083"/>
    <w:rsid w:val="001F14A5"/>
    <w:rsid w:val="001F14FA"/>
    <w:rsid w:val="001F1A2B"/>
    <w:rsid w:val="001F1B20"/>
    <w:rsid w:val="001F1F35"/>
    <w:rsid w:val="001F2E31"/>
    <w:rsid w:val="001F34E6"/>
    <w:rsid w:val="001F361F"/>
    <w:rsid w:val="001F3D4C"/>
    <w:rsid w:val="001F4DB2"/>
    <w:rsid w:val="001F4DD8"/>
    <w:rsid w:val="001F5063"/>
    <w:rsid w:val="001F595C"/>
    <w:rsid w:val="001F65F3"/>
    <w:rsid w:val="001F7BE6"/>
    <w:rsid w:val="0020001C"/>
    <w:rsid w:val="0020004B"/>
    <w:rsid w:val="002003F2"/>
    <w:rsid w:val="00202DA4"/>
    <w:rsid w:val="002030DB"/>
    <w:rsid w:val="0020342E"/>
    <w:rsid w:val="002062E4"/>
    <w:rsid w:val="00206342"/>
    <w:rsid w:val="00206722"/>
    <w:rsid w:val="00207072"/>
    <w:rsid w:val="00207B52"/>
    <w:rsid w:val="002116BD"/>
    <w:rsid w:val="00212218"/>
    <w:rsid w:val="00213149"/>
    <w:rsid w:val="00214A06"/>
    <w:rsid w:val="00214F0B"/>
    <w:rsid w:val="00215ED7"/>
    <w:rsid w:val="0021747A"/>
    <w:rsid w:val="00220078"/>
    <w:rsid w:val="002202EA"/>
    <w:rsid w:val="00221CCE"/>
    <w:rsid w:val="00222172"/>
    <w:rsid w:val="00222580"/>
    <w:rsid w:val="00222C27"/>
    <w:rsid w:val="0022567B"/>
    <w:rsid w:val="002305A8"/>
    <w:rsid w:val="00230DC6"/>
    <w:rsid w:val="00232B52"/>
    <w:rsid w:val="00232BD8"/>
    <w:rsid w:val="00233ACD"/>
    <w:rsid w:val="00234F2B"/>
    <w:rsid w:val="00235496"/>
    <w:rsid w:val="002363B4"/>
    <w:rsid w:val="00237EFC"/>
    <w:rsid w:val="00240959"/>
    <w:rsid w:val="002413A6"/>
    <w:rsid w:val="00241E63"/>
    <w:rsid w:val="002421F8"/>
    <w:rsid w:val="00242936"/>
    <w:rsid w:val="0024330A"/>
    <w:rsid w:val="00244398"/>
    <w:rsid w:val="00244C4C"/>
    <w:rsid w:val="00245E5B"/>
    <w:rsid w:val="002463FA"/>
    <w:rsid w:val="0024658B"/>
    <w:rsid w:val="00246F31"/>
    <w:rsid w:val="00250B85"/>
    <w:rsid w:val="002524B8"/>
    <w:rsid w:val="002539BA"/>
    <w:rsid w:val="00253B3F"/>
    <w:rsid w:val="00253F70"/>
    <w:rsid w:val="00254323"/>
    <w:rsid w:val="0025451F"/>
    <w:rsid w:val="00254A20"/>
    <w:rsid w:val="00254CDC"/>
    <w:rsid w:val="00255E6A"/>
    <w:rsid w:val="00255FEF"/>
    <w:rsid w:val="00261A6E"/>
    <w:rsid w:val="00261D6D"/>
    <w:rsid w:val="00261ED1"/>
    <w:rsid w:val="002636FC"/>
    <w:rsid w:val="00265208"/>
    <w:rsid w:val="002668BD"/>
    <w:rsid w:val="002673AF"/>
    <w:rsid w:val="00267907"/>
    <w:rsid w:val="002703C7"/>
    <w:rsid w:val="00271EB3"/>
    <w:rsid w:val="0027234B"/>
    <w:rsid w:val="0027270B"/>
    <w:rsid w:val="002732E7"/>
    <w:rsid w:val="00273339"/>
    <w:rsid w:val="002737E1"/>
    <w:rsid w:val="0027380B"/>
    <w:rsid w:val="00273F81"/>
    <w:rsid w:val="00275FF8"/>
    <w:rsid w:val="002762A5"/>
    <w:rsid w:val="00277ACD"/>
    <w:rsid w:val="00277FBE"/>
    <w:rsid w:val="00280927"/>
    <w:rsid w:val="00280F91"/>
    <w:rsid w:val="00282093"/>
    <w:rsid w:val="00282E1F"/>
    <w:rsid w:val="00283E34"/>
    <w:rsid w:val="0028403E"/>
    <w:rsid w:val="00285F34"/>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54FE"/>
    <w:rsid w:val="00295EA4"/>
    <w:rsid w:val="00296AB3"/>
    <w:rsid w:val="00297452"/>
    <w:rsid w:val="002976ED"/>
    <w:rsid w:val="002A15EF"/>
    <w:rsid w:val="002A1D97"/>
    <w:rsid w:val="002A37F4"/>
    <w:rsid w:val="002A3FAF"/>
    <w:rsid w:val="002A452C"/>
    <w:rsid w:val="002A5C20"/>
    <w:rsid w:val="002B30CC"/>
    <w:rsid w:val="002B4865"/>
    <w:rsid w:val="002B49EC"/>
    <w:rsid w:val="002B4A30"/>
    <w:rsid w:val="002B4D5F"/>
    <w:rsid w:val="002B52C7"/>
    <w:rsid w:val="002B5A2C"/>
    <w:rsid w:val="002B5D24"/>
    <w:rsid w:val="002B628A"/>
    <w:rsid w:val="002B6636"/>
    <w:rsid w:val="002B746F"/>
    <w:rsid w:val="002B79A1"/>
    <w:rsid w:val="002C2730"/>
    <w:rsid w:val="002C2A3D"/>
    <w:rsid w:val="002C442E"/>
    <w:rsid w:val="002C512B"/>
    <w:rsid w:val="002C52EB"/>
    <w:rsid w:val="002C5C63"/>
    <w:rsid w:val="002C6C37"/>
    <w:rsid w:val="002C752A"/>
    <w:rsid w:val="002C75AF"/>
    <w:rsid w:val="002C7B42"/>
    <w:rsid w:val="002D07C0"/>
    <w:rsid w:val="002D10F3"/>
    <w:rsid w:val="002D1242"/>
    <w:rsid w:val="002D1AAA"/>
    <w:rsid w:val="002D2DC3"/>
    <w:rsid w:val="002D370A"/>
    <w:rsid w:val="002D7F8E"/>
    <w:rsid w:val="002E0B99"/>
    <w:rsid w:val="002E167C"/>
    <w:rsid w:val="002E1A3E"/>
    <w:rsid w:val="002E1CF9"/>
    <w:rsid w:val="002E4AC5"/>
    <w:rsid w:val="002E55A9"/>
    <w:rsid w:val="002F25E7"/>
    <w:rsid w:val="002F5954"/>
    <w:rsid w:val="002F5BDF"/>
    <w:rsid w:val="002F7833"/>
    <w:rsid w:val="002F7A63"/>
    <w:rsid w:val="00303A7F"/>
    <w:rsid w:val="003046B0"/>
    <w:rsid w:val="00304D05"/>
    <w:rsid w:val="00305FE3"/>
    <w:rsid w:val="00306BDD"/>
    <w:rsid w:val="00306C1E"/>
    <w:rsid w:val="00310D41"/>
    <w:rsid w:val="003112BD"/>
    <w:rsid w:val="0031255F"/>
    <w:rsid w:val="0031340F"/>
    <w:rsid w:val="003134F0"/>
    <w:rsid w:val="003143DF"/>
    <w:rsid w:val="00314552"/>
    <w:rsid w:val="00315B99"/>
    <w:rsid w:val="00320DEC"/>
    <w:rsid w:val="0032152A"/>
    <w:rsid w:val="00322373"/>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4F6"/>
    <w:rsid w:val="00334AA3"/>
    <w:rsid w:val="00334B92"/>
    <w:rsid w:val="00337DBF"/>
    <w:rsid w:val="00340257"/>
    <w:rsid w:val="00340A6F"/>
    <w:rsid w:val="003411DC"/>
    <w:rsid w:val="003422F9"/>
    <w:rsid w:val="00342E1B"/>
    <w:rsid w:val="00343C7B"/>
    <w:rsid w:val="00344178"/>
    <w:rsid w:val="00345AC5"/>
    <w:rsid w:val="00347231"/>
    <w:rsid w:val="0034786E"/>
    <w:rsid w:val="0035093B"/>
    <w:rsid w:val="00350CB0"/>
    <w:rsid w:val="0035362C"/>
    <w:rsid w:val="003577C7"/>
    <w:rsid w:val="00360258"/>
    <w:rsid w:val="00360CDE"/>
    <w:rsid w:val="00360F61"/>
    <w:rsid w:val="00362B4E"/>
    <w:rsid w:val="00362FEC"/>
    <w:rsid w:val="00364D8C"/>
    <w:rsid w:val="0036504D"/>
    <w:rsid w:val="00365127"/>
    <w:rsid w:val="00366D85"/>
    <w:rsid w:val="0036786A"/>
    <w:rsid w:val="00370544"/>
    <w:rsid w:val="00373A5D"/>
    <w:rsid w:val="003743B1"/>
    <w:rsid w:val="0037545A"/>
    <w:rsid w:val="00376A77"/>
    <w:rsid w:val="003805E5"/>
    <w:rsid w:val="00382D4C"/>
    <w:rsid w:val="003838CA"/>
    <w:rsid w:val="0038424B"/>
    <w:rsid w:val="00384F30"/>
    <w:rsid w:val="003852F7"/>
    <w:rsid w:val="0038574C"/>
    <w:rsid w:val="00385C2A"/>
    <w:rsid w:val="00385DEB"/>
    <w:rsid w:val="00386863"/>
    <w:rsid w:val="003903A8"/>
    <w:rsid w:val="003908DB"/>
    <w:rsid w:val="0039273B"/>
    <w:rsid w:val="00392B49"/>
    <w:rsid w:val="00392E82"/>
    <w:rsid w:val="003933E9"/>
    <w:rsid w:val="00393472"/>
    <w:rsid w:val="003934B8"/>
    <w:rsid w:val="00393D05"/>
    <w:rsid w:val="003942BF"/>
    <w:rsid w:val="003944A8"/>
    <w:rsid w:val="003949D4"/>
    <w:rsid w:val="00394C33"/>
    <w:rsid w:val="00396124"/>
    <w:rsid w:val="0039687D"/>
    <w:rsid w:val="003969CE"/>
    <w:rsid w:val="0039762C"/>
    <w:rsid w:val="003A0C47"/>
    <w:rsid w:val="003A2154"/>
    <w:rsid w:val="003A2A13"/>
    <w:rsid w:val="003A3816"/>
    <w:rsid w:val="003A4AC8"/>
    <w:rsid w:val="003A6127"/>
    <w:rsid w:val="003A6AB4"/>
    <w:rsid w:val="003A778C"/>
    <w:rsid w:val="003B0FF1"/>
    <w:rsid w:val="003B31CD"/>
    <w:rsid w:val="003B39A6"/>
    <w:rsid w:val="003B3D94"/>
    <w:rsid w:val="003B45FA"/>
    <w:rsid w:val="003B4632"/>
    <w:rsid w:val="003B5C85"/>
    <w:rsid w:val="003B601E"/>
    <w:rsid w:val="003B6492"/>
    <w:rsid w:val="003B67EF"/>
    <w:rsid w:val="003B69F4"/>
    <w:rsid w:val="003B7C62"/>
    <w:rsid w:val="003C0B01"/>
    <w:rsid w:val="003C2574"/>
    <w:rsid w:val="003C2797"/>
    <w:rsid w:val="003C2DA4"/>
    <w:rsid w:val="003C3770"/>
    <w:rsid w:val="003C39F1"/>
    <w:rsid w:val="003C4567"/>
    <w:rsid w:val="003C47F2"/>
    <w:rsid w:val="003C48E2"/>
    <w:rsid w:val="003C58BF"/>
    <w:rsid w:val="003C5BD8"/>
    <w:rsid w:val="003C5D25"/>
    <w:rsid w:val="003C6CB6"/>
    <w:rsid w:val="003C6E0F"/>
    <w:rsid w:val="003C7725"/>
    <w:rsid w:val="003C7C96"/>
    <w:rsid w:val="003D164D"/>
    <w:rsid w:val="003D2883"/>
    <w:rsid w:val="003D2917"/>
    <w:rsid w:val="003D2F02"/>
    <w:rsid w:val="003D3ADD"/>
    <w:rsid w:val="003D3DC7"/>
    <w:rsid w:val="003D42F9"/>
    <w:rsid w:val="003D5485"/>
    <w:rsid w:val="003D5CDD"/>
    <w:rsid w:val="003D6ECA"/>
    <w:rsid w:val="003E096B"/>
    <w:rsid w:val="003E1992"/>
    <w:rsid w:val="003E3AE6"/>
    <w:rsid w:val="003E3CE7"/>
    <w:rsid w:val="003E4701"/>
    <w:rsid w:val="003E4F47"/>
    <w:rsid w:val="003E5435"/>
    <w:rsid w:val="003E5C83"/>
    <w:rsid w:val="003E62BA"/>
    <w:rsid w:val="003E73BB"/>
    <w:rsid w:val="003E755C"/>
    <w:rsid w:val="003F0705"/>
    <w:rsid w:val="003F11A0"/>
    <w:rsid w:val="003F1B8F"/>
    <w:rsid w:val="003F222E"/>
    <w:rsid w:val="003F24CB"/>
    <w:rsid w:val="003F3001"/>
    <w:rsid w:val="003F36CD"/>
    <w:rsid w:val="003F373D"/>
    <w:rsid w:val="003F3DFF"/>
    <w:rsid w:val="003F5C65"/>
    <w:rsid w:val="003F60F0"/>
    <w:rsid w:val="00400158"/>
    <w:rsid w:val="0040028C"/>
    <w:rsid w:val="0040030D"/>
    <w:rsid w:val="00400D2F"/>
    <w:rsid w:val="00401FC2"/>
    <w:rsid w:val="004045C7"/>
    <w:rsid w:val="0040559D"/>
    <w:rsid w:val="00405B29"/>
    <w:rsid w:val="00406797"/>
    <w:rsid w:val="00407AA4"/>
    <w:rsid w:val="004110C4"/>
    <w:rsid w:val="00411B8F"/>
    <w:rsid w:val="00413696"/>
    <w:rsid w:val="00414B46"/>
    <w:rsid w:val="0041545D"/>
    <w:rsid w:val="0041659D"/>
    <w:rsid w:val="00416F89"/>
    <w:rsid w:val="0041705E"/>
    <w:rsid w:val="0042049C"/>
    <w:rsid w:val="00420AB5"/>
    <w:rsid w:val="00421513"/>
    <w:rsid w:val="004227C9"/>
    <w:rsid w:val="00422D8D"/>
    <w:rsid w:val="00424D8D"/>
    <w:rsid w:val="00425B84"/>
    <w:rsid w:val="00425FF2"/>
    <w:rsid w:val="00426A4A"/>
    <w:rsid w:val="00427933"/>
    <w:rsid w:val="00427BE1"/>
    <w:rsid w:val="00431321"/>
    <w:rsid w:val="00431C6A"/>
    <w:rsid w:val="00431F6D"/>
    <w:rsid w:val="00433222"/>
    <w:rsid w:val="00433CA3"/>
    <w:rsid w:val="00435601"/>
    <w:rsid w:val="004358C2"/>
    <w:rsid w:val="004359E1"/>
    <w:rsid w:val="00435B0F"/>
    <w:rsid w:val="004365FE"/>
    <w:rsid w:val="0043792D"/>
    <w:rsid w:val="00437DB9"/>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65EC"/>
    <w:rsid w:val="004566DA"/>
    <w:rsid w:val="00456F68"/>
    <w:rsid w:val="00457218"/>
    <w:rsid w:val="00457912"/>
    <w:rsid w:val="004602A6"/>
    <w:rsid w:val="004603AF"/>
    <w:rsid w:val="004607B7"/>
    <w:rsid w:val="0046091D"/>
    <w:rsid w:val="00460D8E"/>
    <w:rsid w:val="00461384"/>
    <w:rsid w:val="004633A1"/>
    <w:rsid w:val="0046461F"/>
    <w:rsid w:val="00464EF7"/>
    <w:rsid w:val="00465744"/>
    <w:rsid w:val="0046732D"/>
    <w:rsid w:val="00467EA6"/>
    <w:rsid w:val="0047025D"/>
    <w:rsid w:val="00471474"/>
    <w:rsid w:val="00473AFD"/>
    <w:rsid w:val="00473C57"/>
    <w:rsid w:val="00474E65"/>
    <w:rsid w:val="00475999"/>
    <w:rsid w:val="00477249"/>
    <w:rsid w:val="004773BC"/>
    <w:rsid w:val="004803A0"/>
    <w:rsid w:val="00482751"/>
    <w:rsid w:val="00482E5C"/>
    <w:rsid w:val="00483994"/>
    <w:rsid w:val="00484D6F"/>
    <w:rsid w:val="00485372"/>
    <w:rsid w:val="0048582F"/>
    <w:rsid w:val="00485857"/>
    <w:rsid w:val="00485CD9"/>
    <w:rsid w:val="00486163"/>
    <w:rsid w:val="004867DC"/>
    <w:rsid w:val="00490BC2"/>
    <w:rsid w:val="0049185C"/>
    <w:rsid w:val="004943B2"/>
    <w:rsid w:val="004960DD"/>
    <w:rsid w:val="00497B1B"/>
    <w:rsid w:val="004A0A47"/>
    <w:rsid w:val="004A0AA3"/>
    <w:rsid w:val="004A11A5"/>
    <w:rsid w:val="004A3D81"/>
    <w:rsid w:val="004A42D9"/>
    <w:rsid w:val="004A4EFE"/>
    <w:rsid w:val="004A53A0"/>
    <w:rsid w:val="004A570F"/>
    <w:rsid w:val="004A7B5A"/>
    <w:rsid w:val="004A7FFE"/>
    <w:rsid w:val="004B0CAD"/>
    <w:rsid w:val="004B16F6"/>
    <w:rsid w:val="004B1C26"/>
    <w:rsid w:val="004B2292"/>
    <w:rsid w:val="004B385B"/>
    <w:rsid w:val="004B38D7"/>
    <w:rsid w:val="004B3BA8"/>
    <w:rsid w:val="004B41B4"/>
    <w:rsid w:val="004B4564"/>
    <w:rsid w:val="004B4BD9"/>
    <w:rsid w:val="004C047A"/>
    <w:rsid w:val="004C1386"/>
    <w:rsid w:val="004C25C3"/>
    <w:rsid w:val="004C30B5"/>
    <w:rsid w:val="004C3A3D"/>
    <w:rsid w:val="004C7D56"/>
    <w:rsid w:val="004C7DDE"/>
    <w:rsid w:val="004D09D2"/>
    <w:rsid w:val="004D1CDA"/>
    <w:rsid w:val="004D3626"/>
    <w:rsid w:val="004D3C11"/>
    <w:rsid w:val="004D3C8A"/>
    <w:rsid w:val="004D3D5A"/>
    <w:rsid w:val="004D5770"/>
    <w:rsid w:val="004D74C1"/>
    <w:rsid w:val="004E01A7"/>
    <w:rsid w:val="004E03A5"/>
    <w:rsid w:val="004E1136"/>
    <w:rsid w:val="004E2372"/>
    <w:rsid w:val="004E2585"/>
    <w:rsid w:val="004E29B5"/>
    <w:rsid w:val="004E2A2E"/>
    <w:rsid w:val="004E2F39"/>
    <w:rsid w:val="004E4568"/>
    <w:rsid w:val="004E5360"/>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5E4"/>
    <w:rsid w:val="00506F73"/>
    <w:rsid w:val="005101EB"/>
    <w:rsid w:val="00510A23"/>
    <w:rsid w:val="00512138"/>
    <w:rsid w:val="00513342"/>
    <w:rsid w:val="00513D72"/>
    <w:rsid w:val="00513EF3"/>
    <w:rsid w:val="00513FBB"/>
    <w:rsid w:val="00514837"/>
    <w:rsid w:val="00514E3B"/>
    <w:rsid w:val="00515068"/>
    <w:rsid w:val="005157D7"/>
    <w:rsid w:val="00515B13"/>
    <w:rsid w:val="00517A8F"/>
    <w:rsid w:val="00517CFE"/>
    <w:rsid w:val="0052015A"/>
    <w:rsid w:val="0052047B"/>
    <w:rsid w:val="00520703"/>
    <w:rsid w:val="005209DB"/>
    <w:rsid w:val="00520A23"/>
    <w:rsid w:val="00521703"/>
    <w:rsid w:val="005223A7"/>
    <w:rsid w:val="005229D7"/>
    <w:rsid w:val="00524E89"/>
    <w:rsid w:val="005262F6"/>
    <w:rsid w:val="00526367"/>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2CBC"/>
    <w:rsid w:val="00554AB1"/>
    <w:rsid w:val="00555A9D"/>
    <w:rsid w:val="00555C6A"/>
    <w:rsid w:val="00555F3E"/>
    <w:rsid w:val="0055651A"/>
    <w:rsid w:val="005576B0"/>
    <w:rsid w:val="00565507"/>
    <w:rsid w:val="00566497"/>
    <w:rsid w:val="0056689A"/>
    <w:rsid w:val="005670FE"/>
    <w:rsid w:val="005708D1"/>
    <w:rsid w:val="0057235E"/>
    <w:rsid w:val="00572523"/>
    <w:rsid w:val="00573772"/>
    <w:rsid w:val="005739B0"/>
    <w:rsid w:val="0057481D"/>
    <w:rsid w:val="005753E6"/>
    <w:rsid w:val="005757C3"/>
    <w:rsid w:val="00576865"/>
    <w:rsid w:val="005775BF"/>
    <w:rsid w:val="00580595"/>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D79"/>
    <w:rsid w:val="005A0E62"/>
    <w:rsid w:val="005A10FB"/>
    <w:rsid w:val="005A1973"/>
    <w:rsid w:val="005A2057"/>
    <w:rsid w:val="005A3C4F"/>
    <w:rsid w:val="005A4243"/>
    <w:rsid w:val="005A4B0F"/>
    <w:rsid w:val="005A4CA6"/>
    <w:rsid w:val="005A4F60"/>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7B9"/>
    <w:rsid w:val="005C2DA0"/>
    <w:rsid w:val="005C341A"/>
    <w:rsid w:val="005C39E7"/>
    <w:rsid w:val="005D127A"/>
    <w:rsid w:val="005D1609"/>
    <w:rsid w:val="005D1819"/>
    <w:rsid w:val="005D4842"/>
    <w:rsid w:val="005D5A73"/>
    <w:rsid w:val="005D5C24"/>
    <w:rsid w:val="005D70B9"/>
    <w:rsid w:val="005E0052"/>
    <w:rsid w:val="005E1C73"/>
    <w:rsid w:val="005E2246"/>
    <w:rsid w:val="005E527A"/>
    <w:rsid w:val="005E5885"/>
    <w:rsid w:val="005E6398"/>
    <w:rsid w:val="005E716D"/>
    <w:rsid w:val="005E7925"/>
    <w:rsid w:val="005F07D3"/>
    <w:rsid w:val="005F0C1C"/>
    <w:rsid w:val="005F1A67"/>
    <w:rsid w:val="005F256C"/>
    <w:rsid w:val="005F3977"/>
    <w:rsid w:val="005F5523"/>
    <w:rsid w:val="005F78CF"/>
    <w:rsid w:val="00601522"/>
    <w:rsid w:val="00602C7A"/>
    <w:rsid w:val="00603A52"/>
    <w:rsid w:val="00603D1A"/>
    <w:rsid w:val="00604B03"/>
    <w:rsid w:val="00606C20"/>
    <w:rsid w:val="00606D36"/>
    <w:rsid w:val="00607C2F"/>
    <w:rsid w:val="006100BF"/>
    <w:rsid w:val="00612807"/>
    <w:rsid w:val="0061539D"/>
    <w:rsid w:val="006159B1"/>
    <w:rsid w:val="0061651A"/>
    <w:rsid w:val="006168D2"/>
    <w:rsid w:val="00616FC8"/>
    <w:rsid w:val="00617094"/>
    <w:rsid w:val="0061743E"/>
    <w:rsid w:val="00617645"/>
    <w:rsid w:val="006177B3"/>
    <w:rsid w:val="00617C20"/>
    <w:rsid w:val="006203D0"/>
    <w:rsid w:val="00621AB0"/>
    <w:rsid w:val="006222A8"/>
    <w:rsid w:val="00624D78"/>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5228"/>
    <w:rsid w:val="00647C54"/>
    <w:rsid w:val="00650359"/>
    <w:rsid w:val="00650F99"/>
    <w:rsid w:val="00652C65"/>
    <w:rsid w:val="00652E55"/>
    <w:rsid w:val="00653CC2"/>
    <w:rsid w:val="00653DE8"/>
    <w:rsid w:val="006542E4"/>
    <w:rsid w:val="00655A09"/>
    <w:rsid w:val="00656FCD"/>
    <w:rsid w:val="00660212"/>
    <w:rsid w:val="00662129"/>
    <w:rsid w:val="00662B5B"/>
    <w:rsid w:val="00662D5E"/>
    <w:rsid w:val="00663CC5"/>
    <w:rsid w:val="0066607F"/>
    <w:rsid w:val="00666888"/>
    <w:rsid w:val="00666D36"/>
    <w:rsid w:val="00671392"/>
    <w:rsid w:val="006718EF"/>
    <w:rsid w:val="006719D2"/>
    <w:rsid w:val="00671CD8"/>
    <w:rsid w:val="0067593B"/>
    <w:rsid w:val="00676D30"/>
    <w:rsid w:val="006773D7"/>
    <w:rsid w:val="00677826"/>
    <w:rsid w:val="00677D07"/>
    <w:rsid w:val="006806C4"/>
    <w:rsid w:val="0068314C"/>
    <w:rsid w:val="0068454C"/>
    <w:rsid w:val="006860FF"/>
    <w:rsid w:val="00686744"/>
    <w:rsid w:val="00686C26"/>
    <w:rsid w:val="00687E19"/>
    <w:rsid w:val="00687FA7"/>
    <w:rsid w:val="00690170"/>
    <w:rsid w:val="0069169A"/>
    <w:rsid w:val="006918A2"/>
    <w:rsid w:val="00692584"/>
    <w:rsid w:val="00692B68"/>
    <w:rsid w:val="0069386D"/>
    <w:rsid w:val="00693999"/>
    <w:rsid w:val="00694DC3"/>
    <w:rsid w:val="0069543C"/>
    <w:rsid w:val="006954B3"/>
    <w:rsid w:val="00696EDE"/>
    <w:rsid w:val="00697523"/>
    <w:rsid w:val="006A0793"/>
    <w:rsid w:val="006A10CA"/>
    <w:rsid w:val="006A25EB"/>
    <w:rsid w:val="006A3A6B"/>
    <w:rsid w:val="006A3BA8"/>
    <w:rsid w:val="006A48D9"/>
    <w:rsid w:val="006A4B36"/>
    <w:rsid w:val="006A4CB8"/>
    <w:rsid w:val="006A5FDF"/>
    <w:rsid w:val="006A7153"/>
    <w:rsid w:val="006B13B3"/>
    <w:rsid w:val="006B2982"/>
    <w:rsid w:val="006B3406"/>
    <w:rsid w:val="006B4D9B"/>
    <w:rsid w:val="006B55C3"/>
    <w:rsid w:val="006B685F"/>
    <w:rsid w:val="006B6C22"/>
    <w:rsid w:val="006B714B"/>
    <w:rsid w:val="006B7372"/>
    <w:rsid w:val="006B7DFE"/>
    <w:rsid w:val="006C08B4"/>
    <w:rsid w:val="006C3682"/>
    <w:rsid w:val="006C3EDF"/>
    <w:rsid w:val="006C451E"/>
    <w:rsid w:val="006C6368"/>
    <w:rsid w:val="006C6B4B"/>
    <w:rsid w:val="006C7116"/>
    <w:rsid w:val="006D04E8"/>
    <w:rsid w:val="006D1EED"/>
    <w:rsid w:val="006D2391"/>
    <w:rsid w:val="006D2742"/>
    <w:rsid w:val="006D2DAA"/>
    <w:rsid w:val="006D4A39"/>
    <w:rsid w:val="006D4F76"/>
    <w:rsid w:val="006D6FD8"/>
    <w:rsid w:val="006D7B92"/>
    <w:rsid w:val="006E0DBA"/>
    <w:rsid w:val="006E1A40"/>
    <w:rsid w:val="006E2371"/>
    <w:rsid w:val="006E39D0"/>
    <w:rsid w:val="006E3A79"/>
    <w:rsid w:val="006E41E2"/>
    <w:rsid w:val="006E4338"/>
    <w:rsid w:val="006E47D4"/>
    <w:rsid w:val="006E4CE1"/>
    <w:rsid w:val="006E5786"/>
    <w:rsid w:val="006E654C"/>
    <w:rsid w:val="006E7C0D"/>
    <w:rsid w:val="006F0F9F"/>
    <w:rsid w:val="006F1EFE"/>
    <w:rsid w:val="006F5701"/>
    <w:rsid w:val="006F5A7D"/>
    <w:rsid w:val="006F73DF"/>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203E9"/>
    <w:rsid w:val="00723FE4"/>
    <w:rsid w:val="00724555"/>
    <w:rsid w:val="00724E9D"/>
    <w:rsid w:val="007252A5"/>
    <w:rsid w:val="0072561B"/>
    <w:rsid w:val="0072584B"/>
    <w:rsid w:val="00725D61"/>
    <w:rsid w:val="00725E71"/>
    <w:rsid w:val="00727A98"/>
    <w:rsid w:val="00730DEF"/>
    <w:rsid w:val="00731140"/>
    <w:rsid w:val="00732B36"/>
    <w:rsid w:val="00733654"/>
    <w:rsid w:val="007337CC"/>
    <w:rsid w:val="00735728"/>
    <w:rsid w:val="007373D3"/>
    <w:rsid w:val="00737A0A"/>
    <w:rsid w:val="00737E7E"/>
    <w:rsid w:val="00740E0A"/>
    <w:rsid w:val="007410CF"/>
    <w:rsid w:val="00743536"/>
    <w:rsid w:val="00743680"/>
    <w:rsid w:val="0074374A"/>
    <w:rsid w:val="00743A0D"/>
    <w:rsid w:val="00743CD5"/>
    <w:rsid w:val="0074525F"/>
    <w:rsid w:val="0074534E"/>
    <w:rsid w:val="0074706A"/>
    <w:rsid w:val="00747929"/>
    <w:rsid w:val="007509A3"/>
    <w:rsid w:val="0075113C"/>
    <w:rsid w:val="00752E42"/>
    <w:rsid w:val="00753FC7"/>
    <w:rsid w:val="0075444B"/>
    <w:rsid w:val="00754FFC"/>
    <w:rsid w:val="00756366"/>
    <w:rsid w:val="00760166"/>
    <w:rsid w:val="00761F89"/>
    <w:rsid w:val="007626DA"/>
    <w:rsid w:val="00762BB2"/>
    <w:rsid w:val="00763A6A"/>
    <w:rsid w:val="00763E53"/>
    <w:rsid w:val="007645B3"/>
    <w:rsid w:val="007650F5"/>
    <w:rsid w:val="00765680"/>
    <w:rsid w:val="00765AAC"/>
    <w:rsid w:val="007660E1"/>
    <w:rsid w:val="00766442"/>
    <w:rsid w:val="00767697"/>
    <w:rsid w:val="00767C41"/>
    <w:rsid w:val="00767EA0"/>
    <w:rsid w:val="00771694"/>
    <w:rsid w:val="00771758"/>
    <w:rsid w:val="00772941"/>
    <w:rsid w:val="007729DB"/>
    <w:rsid w:val="0077305F"/>
    <w:rsid w:val="00773754"/>
    <w:rsid w:val="00773A85"/>
    <w:rsid w:val="00773E94"/>
    <w:rsid w:val="00775563"/>
    <w:rsid w:val="007759EA"/>
    <w:rsid w:val="00776D89"/>
    <w:rsid w:val="0077707B"/>
    <w:rsid w:val="00777540"/>
    <w:rsid w:val="007808CD"/>
    <w:rsid w:val="00781895"/>
    <w:rsid w:val="0078372F"/>
    <w:rsid w:val="007854C1"/>
    <w:rsid w:val="00786AEB"/>
    <w:rsid w:val="0078726F"/>
    <w:rsid w:val="0079068A"/>
    <w:rsid w:val="00790757"/>
    <w:rsid w:val="007908D6"/>
    <w:rsid w:val="00791797"/>
    <w:rsid w:val="0079179D"/>
    <w:rsid w:val="00792B36"/>
    <w:rsid w:val="007939BC"/>
    <w:rsid w:val="00796848"/>
    <w:rsid w:val="00796A3B"/>
    <w:rsid w:val="0079752F"/>
    <w:rsid w:val="00797F33"/>
    <w:rsid w:val="007A1722"/>
    <w:rsid w:val="007A210F"/>
    <w:rsid w:val="007A24C6"/>
    <w:rsid w:val="007A3282"/>
    <w:rsid w:val="007A368E"/>
    <w:rsid w:val="007A3DD8"/>
    <w:rsid w:val="007A41B7"/>
    <w:rsid w:val="007A547F"/>
    <w:rsid w:val="007A6742"/>
    <w:rsid w:val="007A69F0"/>
    <w:rsid w:val="007A75E1"/>
    <w:rsid w:val="007A7CE8"/>
    <w:rsid w:val="007B0293"/>
    <w:rsid w:val="007B04C6"/>
    <w:rsid w:val="007B06BE"/>
    <w:rsid w:val="007B08A2"/>
    <w:rsid w:val="007B29E1"/>
    <w:rsid w:val="007B3382"/>
    <w:rsid w:val="007B34BD"/>
    <w:rsid w:val="007B3EC9"/>
    <w:rsid w:val="007B4935"/>
    <w:rsid w:val="007B4B86"/>
    <w:rsid w:val="007B642D"/>
    <w:rsid w:val="007B6A8D"/>
    <w:rsid w:val="007B7025"/>
    <w:rsid w:val="007C089A"/>
    <w:rsid w:val="007C199A"/>
    <w:rsid w:val="007C20E6"/>
    <w:rsid w:val="007C281D"/>
    <w:rsid w:val="007C337A"/>
    <w:rsid w:val="007C48F8"/>
    <w:rsid w:val="007C61D1"/>
    <w:rsid w:val="007C6F56"/>
    <w:rsid w:val="007D1A9C"/>
    <w:rsid w:val="007D2880"/>
    <w:rsid w:val="007D34E5"/>
    <w:rsid w:val="007D3894"/>
    <w:rsid w:val="007D467E"/>
    <w:rsid w:val="007D491B"/>
    <w:rsid w:val="007D6A79"/>
    <w:rsid w:val="007D7C78"/>
    <w:rsid w:val="007E1388"/>
    <w:rsid w:val="007E19B0"/>
    <w:rsid w:val="007E2FAB"/>
    <w:rsid w:val="007E3033"/>
    <w:rsid w:val="007E4850"/>
    <w:rsid w:val="007E5013"/>
    <w:rsid w:val="007E5597"/>
    <w:rsid w:val="007E6491"/>
    <w:rsid w:val="007E672C"/>
    <w:rsid w:val="007E6B8B"/>
    <w:rsid w:val="007E757C"/>
    <w:rsid w:val="007E7AAD"/>
    <w:rsid w:val="007F1383"/>
    <w:rsid w:val="007F1D02"/>
    <w:rsid w:val="007F33A1"/>
    <w:rsid w:val="007F34A1"/>
    <w:rsid w:val="007F3E3C"/>
    <w:rsid w:val="007F52DF"/>
    <w:rsid w:val="007F5FF8"/>
    <w:rsid w:val="007F6B79"/>
    <w:rsid w:val="007F7144"/>
    <w:rsid w:val="008001BF"/>
    <w:rsid w:val="008019F1"/>
    <w:rsid w:val="00801DE0"/>
    <w:rsid w:val="008023A3"/>
    <w:rsid w:val="008025E5"/>
    <w:rsid w:val="00802CE6"/>
    <w:rsid w:val="008032CD"/>
    <w:rsid w:val="008052BB"/>
    <w:rsid w:val="00806F09"/>
    <w:rsid w:val="00807166"/>
    <w:rsid w:val="00807DA5"/>
    <w:rsid w:val="00810B5B"/>
    <w:rsid w:val="00811FD5"/>
    <w:rsid w:val="00812350"/>
    <w:rsid w:val="0081309E"/>
    <w:rsid w:val="00816075"/>
    <w:rsid w:val="008162F1"/>
    <w:rsid w:val="008172A5"/>
    <w:rsid w:val="00822172"/>
    <w:rsid w:val="00824711"/>
    <w:rsid w:val="008258D3"/>
    <w:rsid w:val="00826D3F"/>
    <w:rsid w:val="00830138"/>
    <w:rsid w:val="008321AF"/>
    <w:rsid w:val="00834597"/>
    <w:rsid w:val="00834C8E"/>
    <w:rsid w:val="0083560F"/>
    <w:rsid w:val="00835FC5"/>
    <w:rsid w:val="00836D51"/>
    <w:rsid w:val="00836FAA"/>
    <w:rsid w:val="00841771"/>
    <w:rsid w:val="00842CF0"/>
    <w:rsid w:val="00844F61"/>
    <w:rsid w:val="0084692A"/>
    <w:rsid w:val="00846A52"/>
    <w:rsid w:val="00850210"/>
    <w:rsid w:val="0085260F"/>
    <w:rsid w:val="0085338B"/>
    <w:rsid w:val="008542CA"/>
    <w:rsid w:val="00855F45"/>
    <w:rsid w:val="0085621C"/>
    <w:rsid w:val="00856D3C"/>
    <w:rsid w:val="008572C2"/>
    <w:rsid w:val="0086037D"/>
    <w:rsid w:val="00860C20"/>
    <w:rsid w:val="00860E40"/>
    <w:rsid w:val="0086136A"/>
    <w:rsid w:val="008619A0"/>
    <w:rsid w:val="00861F9D"/>
    <w:rsid w:val="0086228E"/>
    <w:rsid w:val="00862D38"/>
    <w:rsid w:val="00862E1F"/>
    <w:rsid w:val="0086590F"/>
    <w:rsid w:val="00866A7E"/>
    <w:rsid w:val="00866E70"/>
    <w:rsid w:val="00866FDE"/>
    <w:rsid w:val="00867797"/>
    <w:rsid w:val="00867B85"/>
    <w:rsid w:val="00870582"/>
    <w:rsid w:val="00871DF3"/>
    <w:rsid w:val="00872696"/>
    <w:rsid w:val="00872E28"/>
    <w:rsid w:val="00873983"/>
    <w:rsid w:val="00873E50"/>
    <w:rsid w:val="0087484E"/>
    <w:rsid w:val="008749E1"/>
    <w:rsid w:val="00875F2C"/>
    <w:rsid w:val="00875FC0"/>
    <w:rsid w:val="008762EE"/>
    <w:rsid w:val="0087658C"/>
    <w:rsid w:val="00876EFD"/>
    <w:rsid w:val="008770A2"/>
    <w:rsid w:val="00880BF6"/>
    <w:rsid w:val="00880E65"/>
    <w:rsid w:val="00882E49"/>
    <w:rsid w:val="00882FF6"/>
    <w:rsid w:val="008843EF"/>
    <w:rsid w:val="008849C8"/>
    <w:rsid w:val="008850E9"/>
    <w:rsid w:val="008853B0"/>
    <w:rsid w:val="00887D64"/>
    <w:rsid w:val="008908B4"/>
    <w:rsid w:val="008909C2"/>
    <w:rsid w:val="008927D4"/>
    <w:rsid w:val="00892FF9"/>
    <w:rsid w:val="00893326"/>
    <w:rsid w:val="00893512"/>
    <w:rsid w:val="00893BCA"/>
    <w:rsid w:val="00893F35"/>
    <w:rsid w:val="00893FBD"/>
    <w:rsid w:val="0089574D"/>
    <w:rsid w:val="0089638A"/>
    <w:rsid w:val="00896CFD"/>
    <w:rsid w:val="00896EEF"/>
    <w:rsid w:val="008A05DE"/>
    <w:rsid w:val="008A28E1"/>
    <w:rsid w:val="008A34DC"/>
    <w:rsid w:val="008A3FDC"/>
    <w:rsid w:val="008A43C4"/>
    <w:rsid w:val="008A497D"/>
    <w:rsid w:val="008A4E08"/>
    <w:rsid w:val="008A639B"/>
    <w:rsid w:val="008A6430"/>
    <w:rsid w:val="008A6881"/>
    <w:rsid w:val="008B0346"/>
    <w:rsid w:val="008B0C53"/>
    <w:rsid w:val="008B2080"/>
    <w:rsid w:val="008B44C6"/>
    <w:rsid w:val="008B47D3"/>
    <w:rsid w:val="008B73FA"/>
    <w:rsid w:val="008C0689"/>
    <w:rsid w:val="008C099D"/>
    <w:rsid w:val="008C0A4E"/>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64C6"/>
    <w:rsid w:val="008D701B"/>
    <w:rsid w:val="008E09BF"/>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615"/>
    <w:rsid w:val="008F4E4A"/>
    <w:rsid w:val="008F5616"/>
    <w:rsid w:val="008F6EA9"/>
    <w:rsid w:val="008F74E6"/>
    <w:rsid w:val="00900EA0"/>
    <w:rsid w:val="00901C7C"/>
    <w:rsid w:val="00902525"/>
    <w:rsid w:val="009027B2"/>
    <w:rsid w:val="009028C9"/>
    <w:rsid w:val="0090301A"/>
    <w:rsid w:val="0090344A"/>
    <w:rsid w:val="009059D7"/>
    <w:rsid w:val="00907F21"/>
    <w:rsid w:val="009109E4"/>
    <w:rsid w:val="00911C2F"/>
    <w:rsid w:val="00912151"/>
    <w:rsid w:val="0091317F"/>
    <w:rsid w:val="00913472"/>
    <w:rsid w:val="0091658B"/>
    <w:rsid w:val="009179C9"/>
    <w:rsid w:val="00920513"/>
    <w:rsid w:val="00920F0A"/>
    <w:rsid w:val="0092249F"/>
    <w:rsid w:val="00922C2C"/>
    <w:rsid w:val="00923280"/>
    <w:rsid w:val="00923EDC"/>
    <w:rsid w:val="00925022"/>
    <w:rsid w:val="00925454"/>
    <w:rsid w:val="009254F8"/>
    <w:rsid w:val="009258D9"/>
    <w:rsid w:val="00925ACC"/>
    <w:rsid w:val="00925D6C"/>
    <w:rsid w:val="00927E6F"/>
    <w:rsid w:val="009313E6"/>
    <w:rsid w:val="00931AC7"/>
    <w:rsid w:val="00932DEC"/>
    <w:rsid w:val="00935088"/>
    <w:rsid w:val="009363FF"/>
    <w:rsid w:val="00936600"/>
    <w:rsid w:val="00936D37"/>
    <w:rsid w:val="009378FC"/>
    <w:rsid w:val="00941F50"/>
    <w:rsid w:val="00944CA3"/>
    <w:rsid w:val="00945BD9"/>
    <w:rsid w:val="00946D7D"/>
    <w:rsid w:val="00946DBE"/>
    <w:rsid w:val="009470E0"/>
    <w:rsid w:val="00947CD9"/>
    <w:rsid w:val="009503AC"/>
    <w:rsid w:val="0095132D"/>
    <w:rsid w:val="00951F2B"/>
    <w:rsid w:val="009536E6"/>
    <w:rsid w:val="00953C2C"/>
    <w:rsid w:val="00953CB4"/>
    <w:rsid w:val="00953F60"/>
    <w:rsid w:val="00953FF7"/>
    <w:rsid w:val="00954258"/>
    <w:rsid w:val="009550BC"/>
    <w:rsid w:val="00955C0E"/>
    <w:rsid w:val="00956951"/>
    <w:rsid w:val="00956ACC"/>
    <w:rsid w:val="00956F01"/>
    <w:rsid w:val="009571C3"/>
    <w:rsid w:val="00961A25"/>
    <w:rsid w:val="00961F6D"/>
    <w:rsid w:val="009623F4"/>
    <w:rsid w:val="00965315"/>
    <w:rsid w:val="00966386"/>
    <w:rsid w:val="0096668D"/>
    <w:rsid w:val="00966768"/>
    <w:rsid w:val="009668FA"/>
    <w:rsid w:val="00966E0E"/>
    <w:rsid w:val="0096741A"/>
    <w:rsid w:val="0097068A"/>
    <w:rsid w:val="00970E38"/>
    <w:rsid w:val="00971D65"/>
    <w:rsid w:val="00973D50"/>
    <w:rsid w:val="00976440"/>
    <w:rsid w:val="009767C5"/>
    <w:rsid w:val="0097740C"/>
    <w:rsid w:val="009777FF"/>
    <w:rsid w:val="00980ABB"/>
    <w:rsid w:val="00981725"/>
    <w:rsid w:val="00981765"/>
    <w:rsid w:val="00983B23"/>
    <w:rsid w:val="00983EEF"/>
    <w:rsid w:val="009840ED"/>
    <w:rsid w:val="009842D1"/>
    <w:rsid w:val="00984E63"/>
    <w:rsid w:val="009850BC"/>
    <w:rsid w:val="009865D3"/>
    <w:rsid w:val="00986A57"/>
    <w:rsid w:val="009873D6"/>
    <w:rsid w:val="009905AC"/>
    <w:rsid w:val="009914B7"/>
    <w:rsid w:val="00991A63"/>
    <w:rsid w:val="00991CE7"/>
    <w:rsid w:val="00992ABE"/>
    <w:rsid w:val="00992FC7"/>
    <w:rsid w:val="00995EC2"/>
    <w:rsid w:val="00996FB2"/>
    <w:rsid w:val="00997A5B"/>
    <w:rsid w:val="009A059E"/>
    <w:rsid w:val="009A0899"/>
    <w:rsid w:val="009A2656"/>
    <w:rsid w:val="009A2CFA"/>
    <w:rsid w:val="009A351B"/>
    <w:rsid w:val="009A3FDD"/>
    <w:rsid w:val="009A6031"/>
    <w:rsid w:val="009A652C"/>
    <w:rsid w:val="009A6963"/>
    <w:rsid w:val="009A6C95"/>
    <w:rsid w:val="009B037F"/>
    <w:rsid w:val="009B0444"/>
    <w:rsid w:val="009B229C"/>
    <w:rsid w:val="009B259F"/>
    <w:rsid w:val="009B2679"/>
    <w:rsid w:val="009B4693"/>
    <w:rsid w:val="009B52C1"/>
    <w:rsid w:val="009B59CA"/>
    <w:rsid w:val="009B7318"/>
    <w:rsid w:val="009C0F32"/>
    <w:rsid w:val="009C11AB"/>
    <w:rsid w:val="009C2F82"/>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4635"/>
    <w:rsid w:val="009D5626"/>
    <w:rsid w:val="009D63FE"/>
    <w:rsid w:val="009D73F0"/>
    <w:rsid w:val="009E16AA"/>
    <w:rsid w:val="009E4086"/>
    <w:rsid w:val="009E4632"/>
    <w:rsid w:val="009E538D"/>
    <w:rsid w:val="009E5533"/>
    <w:rsid w:val="009E6D94"/>
    <w:rsid w:val="009F1856"/>
    <w:rsid w:val="009F2175"/>
    <w:rsid w:val="009F2919"/>
    <w:rsid w:val="009F2A98"/>
    <w:rsid w:val="009F5004"/>
    <w:rsid w:val="009F6DE1"/>
    <w:rsid w:val="009F7BA1"/>
    <w:rsid w:val="009F7BFF"/>
    <w:rsid w:val="009F7C1D"/>
    <w:rsid w:val="009F7FF6"/>
    <w:rsid w:val="00A00145"/>
    <w:rsid w:val="00A00383"/>
    <w:rsid w:val="00A011FE"/>
    <w:rsid w:val="00A019DD"/>
    <w:rsid w:val="00A03660"/>
    <w:rsid w:val="00A036CB"/>
    <w:rsid w:val="00A04194"/>
    <w:rsid w:val="00A041A8"/>
    <w:rsid w:val="00A04B88"/>
    <w:rsid w:val="00A04BA4"/>
    <w:rsid w:val="00A04BB2"/>
    <w:rsid w:val="00A05249"/>
    <w:rsid w:val="00A0651B"/>
    <w:rsid w:val="00A066C7"/>
    <w:rsid w:val="00A07492"/>
    <w:rsid w:val="00A10E1C"/>
    <w:rsid w:val="00A1147B"/>
    <w:rsid w:val="00A119C5"/>
    <w:rsid w:val="00A12878"/>
    <w:rsid w:val="00A1353F"/>
    <w:rsid w:val="00A14660"/>
    <w:rsid w:val="00A146F0"/>
    <w:rsid w:val="00A15658"/>
    <w:rsid w:val="00A15AC7"/>
    <w:rsid w:val="00A16034"/>
    <w:rsid w:val="00A17EE4"/>
    <w:rsid w:val="00A216A1"/>
    <w:rsid w:val="00A21EB9"/>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28A2"/>
    <w:rsid w:val="00A435C8"/>
    <w:rsid w:val="00A43B77"/>
    <w:rsid w:val="00A44195"/>
    <w:rsid w:val="00A45825"/>
    <w:rsid w:val="00A45F13"/>
    <w:rsid w:val="00A46A29"/>
    <w:rsid w:val="00A477DB"/>
    <w:rsid w:val="00A503F8"/>
    <w:rsid w:val="00A50676"/>
    <w:rsid w:val="00A509FE"/>
    <w:rsid w:val="00A52323"/>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775C6"/>
    <w:rsid w:val="00A807E4"/>
    <w:rsid w:val="00A810B9"/>
    <w:rsid w:val="00A81715"/>
    <w:rsid w:val="00A81BC0"/>
    <w:rsid w:val="00A82BCE"/>
    <w:rsid w:val="00A831DA"/>
    <w:rsid w:val="00A8321F"/>
    <w:rsid w:val="00A839E9"/>
    <w:rsid w:val="00A8482E"/>
    <w:rsid w:val="00A84BA5"/>
    <w:rsid w:val="00A84D91"/>
    <w:rsid w:val="00A861B4"/>
    <w:rsid w:val="00A876DA"/>
    <w:rsid w:val="00A87C09"/>
    <w:rsid w:val="00A906A4"/>
    <w:rsid w:val="00A908E0"/>
    <w:rsid w:val="00A9195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7959"/>
    <w:rsid w:val="00AB09B4"/>
    <w:rsid w:val="00AB1CB7"/>
    <w:rsid w:val="00AB2558"/>
    <w:rsid w:val="00AB3B97"/>
    <w:rsid w:val="00AB4076"/>
    <w:rsid w:val="00AB4123"/>
    <w:rsid w:val="00AB419D"/>
    <w:rsid w:val="00AC1405"/>
    <w:rsid w:val="00AC20F2"/>
    <w:rsid w:val="00AC2E05"/>
    <w:rsid w:val="00AC3C70"/>
    <w:rsid w:val="00AC4798"/>
    <w:rsid w:val="00AC4893"/>
    <w:rsid w:val="00AC5E53"/>
    <w:rsid w:val="00AC62C9"/>
    <w:rsid w:val="00AC739B"/>
    <w:rsid w:val="00AC7507"/>
    <w:rsid w:val="00AC7A4B"/>
    <w:rsid w:val="00AD07D5"/>
    <w:rsid w:val="00AD0CFD"/>
    <w:rsid w:val="00AD21F1"/>
    <w:rsid w:val="00AD2BD3"/>
    <w:rsid w:val="00AD4270"/>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69"/>
    <w:rsid w:val="00AE542A"/>
    <w:rsid w:val="00AE5D47"/>
    <w:rsid w:val="00AE655D"/>
    <w:rsid w:val="00AE6B86"/>
    <w:rsid w:val="00AE77FE"/>
    <w:rsid w:val="00AF0203"/>
    <w:rsid w:val="00AF17E1"/>
    <w:rsid w:val="00AF1DA1"/>
    <w:rsid w:val="00AF3C86"/>
    <w:rsid w:val="00AF429D"/>
    <w:rsid w:val="00AF4495"/>
    <w:rsid w:val="00AF49AD"/>
    <w:rsid w:val="00AF5E83"/>
    <w:rsid w:val="00AF6E0E"/>
    <w:rsid w:val="00AF6E7B"/>
    <w:rsid w:val="00B009FE"/>
    <w:rsid w:val="00B02599"/>
    <w:rsid w:val="00B0376B"/>
    <w:rsid w:val="00B03BE9"/>
    <w:rsid w:val="00B051CF"/>
    <w:rsid w:val="00B0571A"/>
    <w:rsid w:val="00B0623F"/>
    <w:rsid w:val="00B063C8"/>
    <w:rsid w:val="00B070CA"/>
    <w:rsid w:val="00B07847"/>
    <w:rsid w:val="00B105D9"/>
    <w:rsid w:val="00B10BD7"/>
    <w:rsid w:val="00B13AD3"/>
    <w:rsid w:val="00B17BFE"/>
    <w:rsid w:val="00B201C9"/>
    <w:rsid w:val="00B20394"/>
    <w:rsid w:val="00B222DF"/>
    <w:rsid w:val="00B24512"/>
    <w:rsid w:val="00B24994"/>
    <w:rsid w:val="00B24E57"/>
    <w:rsid w:val="00B25431"/>
    <w:rsid w:val="00B25DF5"/>
    <w:rsid w:val="00B25E7E"/>
    <w:rsid w:val="00B26A6D"/>
    <w:rsid w:val="00B26AF6"/>
    <w:rsid w:val="00B27919"/>
    <w:rsid w:val="00B30577"/>
    <w:rsid w:val="00B3086C"/>
    <w:rsid w:val="00B31421"/>
    <w:rsid w:val="00B315D8"/>
    <w:rsid w:val="00B31AB6"/>
    <w:rsid w:val="00B32E32"/>
    <w:rsid w:val="00B33800"/>
    <w:rsid w:val="00B34073"/>
    <w:rsid w:val="00B360B9"/>
    <w:rsid w:val="00B360D0"/>
    <w:rsid w:val="00B36911"/>
    <w:rsid w:val="00B40964"/>
    <w:rsid w:val="00B430D1"/>
    <w:rsid w:val="00B433B7"/>
    <w:rsid w:val="00B4453B"/>
    <w:rsid w:val="00B44CB4"/>
    <w:rsid w:val="00B44EAE"/>
    <w:rsid w:val="00B51132"/>
    <w:rsid w:val="00B512BF"/>
    <w:rsid w:val="00B52507"/>
    <w:rsid w:val="00B52521"/>
    <w:rsid w:val="00B52842"/>
    <w:rsid w:val="00B52EAB"/>
    <w:rsid w:val="00B537F2"/>
    <w:rsid w:val="00B54274"/>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6555"/>
    <w:rsid w:val="00B67C1F"/>
    <w:rsid w:val="00B67F84"/>
    <w:rsid w:val="00B700C4"/>
    <w:rsid w:val="00B72940"/>
    <w:rsid w:val="00B72FDA"/>
    <w:rsid w:val="00B7428A"/>
    <w:rsid w:val="00B74FB6"/>
    <w:rsid w:val="00B75347"/>
    <w:rsid w:val="00B7579E"/>
    <w:rsid w:val="00B75835"/>
    <w:rsid w:val="00B75C50"/>
    <w:rsid w:val="00B75CB4"/>
    <w:rsid w:val="00B76139"/>
    <w:rsid w:val="00B76F3C"/>
    <w:rsid w:val="00B77711"/>
    <w:rsid w:val="00B77B4D"/>
    <w:rsid w:val="00B77F0E"/>
    <w:rsid w:val="00B81F07"/>
    <w:rsid w:val="00B826D8"/>
    <w:rsid w:val="00B83C91"/>
    <w:rsid w:val="00B841E0"/>
    <w:rsid w:val="00B85266"/>
    <w:rsid w:val="00B8555E"/>
    <w:rsid w:val="00B85B4F"/>
    <w:rsid w:val="00B8618F"/>
    <w:rsid w:val="00B86304"/>
    <w:rsid w:val="00B86843"/>
    <w:rsid w:val="00B87ECD"/>
    <w:rsid w:val="00B91FC8"/>
    <w:rsid w:val="00B922CD"/>
    <w:rsid w:val="00B924DB"/>
    <w:rsid w:val="00B9306B"/>
    <w:rsid w:val="00B932C9"/>
    <w:rsid w:val="00B93972"/>
    <w:rsid w:val="00B957AC"/>
    <w:rsid w:val="00B97065"/>
    <w:rsid w:val="00BA0050"/>
    <w:rsid w:val="00BA1673"/>
    <w:rsid w:val="00BA20AE"/>
    <w:rsid w:val="00BA38EB"/>
    <w:rsid w:val="00BA551D"/>
    <w:rsid w:val="00BA581D"/>
    <w:rsid w:val="00BB0240"/>
    <w:rsid w:val="00BB04C9"/>
    <w:rsid w:val="00BB0730"/>
    <w:rsid w:val="00BB0CB6"/>
    <w:rsid w:val="00BB15BF"/>
    <w:rsid w:val="00BB161D"/>
    <w:rsid w:val="00BB2692"/>
    <w:rsid w:val="00BB2CDC"/>
    <w:rsid w:val="00BB3106"/>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4AD"/>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0E2"/>
    <w:rsid w:val="00BE5AEF"/>
    <w:rsid w:val="00BE6954"/>
    <w:rsid w:val="00BE702E"/>
    <w:rsid w:val="00BF0BAD"/>
    <w:rsid w:val="00BF2D47"/>
    <w:rsid w:val="00BF3252"/>
    <w:rsid w:val="00BF5DDA"/>
    <w:rsid w:val="00BF60E2"/>
    <w:rsid w:val="00BF620C"/>
    <w:rsid w:val="00BF77E6"/>
    <w:rsid w:val="00C005E4"/>
    <w:rsid w:val="00C02B98"/>
    <w:rsid w:val="00C02E41"/>
    <w:rsid w:val="00C035A3"/>
    <w:rsid w:val="00C03F4B"/>
    <w:rsid w:val="00C047CE"/>
    <w:rsid w:val="00C04862"/>
    <w:rsid w:val="00C04A96"/>
    <w:rsid w:val="00C0524A"/>
    <w:rsid w:val="00C05DC1"/>
    <w:rsid w:val="00C06B3B"/>
    <w:rsid w:val="00C06DC6"/>
    <w:rsid w:val="00C07A2F"/>
    <w:rsid w:val="00C10BF5"/>
    <w:rsid w:val="00C11733"/>
    <w:rsid w:val="00C123C5"/>
    <w:rsid w:val="00C12CB2"/>
    <w:rsid w:val="00C13F92"/>
    <w:rsid w:val="00C14721"/>
    <w:rsid w:val="00C16982"/>
    <w:rsid w:val="00C21280"/>
    <w:rsid w:val="00C21301"/>
    <w:rsid w:val="00C21984"/>
    <w:rsid w:val="00C21D54"/>
    <w:rsid w:val="00C22A2D"/>
    <w:rsid w:val="00C235A0"/>
    <w:rsid w:val="00C23F5F"/>
    <w:rsid w:val="00C24033"/>
    <w:rsid w:val="00C24108"/>
    <w:rsid w:val="00C30FA8"/>
    <w:rsid w:val="00C314DD"/>
    <w:rsid w:val="00C31623"/>
    <w:rsid w:val="00C31D99"/>
    <w:rsid w:val="00C32BFC"/>
    <w:rsid w:val="00C34400"/>
    <w:rsid w:val="00C355D8"/>
    <w:rsid w:val="00C35950"/>
    <w:rsid w:val="00C36699"/>
    <w:rsid w:val="00C37F8E"/>
    <w:rsid w:val="00C40BFE"/>
    <w:rsid w:val="00C4256A"/>
    <w:rsid w:val="00C42606"/>
    <w:rsid w:val="00C42CC8"/>
    <w:rsid w:val="00C42D9F"/>
    <w:rsid w:val="00C43A8F"/>
    <w:rsid w:val="00C44220"/>
    <w:rsid w:val="00C4581D"/>
    <w:rsid w:val="00C4597D"/>
    <w:rsid w:val="00C45F6C"/>
    <w:rsid w:val="00C46C58"/>
    <w:rsid w:val="00C46DA0"/>
    <w:rsid w:val="00C46DB3"/>
    <w:rsid w:val="00C4727D"/>
    <w:rsid w:val="00C472ED"/>
    <w:rsid w:val="00C5098C"/>
    <w:rsid w:val="00C50E98"/>
    <w:rsid w:val="00C537E9"/>
    <w:rsid w:val="00C561A5"/>
    <w:rsid w:val="00C56DCB"/>
    <w:rsid w:val="00C56F2C"/>
    <w:rsid w:val="00C6029A"/>
    <w:rsid w:val="00C61083"/>
    <w:rsid w:val="00C61A59"/>
    <w:rsid w:val="00C62A3D"/>
    <w:rsid w:val="00C637BD"/>
    <w:rsid w:val="00C63CA4"/>
    <w:rsid w:val="00C64AAC"/>
    <w:rsid w:val="00C64C06"/>
    <w:rsid w:val="00C64F99"/>
    <w:rsid w:val="00C65979"/>
    <w:rsid w:val="00C66758"/>
    <w:rsid w:val="00C676FD"/>
    <w:rsid w:val="00C718C7"/>
    <w:rsid w:val="00C7250B"/>
    <w:rsid w:val="00C733AC"/>
    <w:rsid w:val="00C73DA6"/>
    <w:rsid w:val="00C748FD"/>
    <w:rsid w:val="00C75F30"/>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691"/>
    <w:rsid w:val="00CA4EF5"/>
    <w:rsid w:val="00CA5405"/>
    <w:rsid w:val="00CA5B04"/>
    <w:rsid w:val="00CA641E"/>
    <w:rsid w:val="00CA6ADD"/>
    <w:rsid w:val="00CB1DA7"/>
    <w:rsid w:val="00CB344B"/>
    <w:rsid w:val="00CB5873"/>
    <w:rsid w:val="00CB5E7B"/>
    <w:rsid w:val="00CB7E10"/>
    <w:rsid w:val="00CC22C6"/>
    <w:rsid w:val="00CC2802"/>
    <w:rsid w:val="00CC2A61"/>
    <w:rsid w:val="00CC3BB9"/>
    <w:rsid w:val="00CC5847"/>
    <w:rsid w:val="00CC6AAF"/>
    <w:rsid w:val="00CD081E"/>
    <w:rsid w:val="00CD0EF5"/>
    <w:rsid w:val="00CD1348"/>
    <w:rsid w:val="00CD189A"/>
    <w:rsid w:val="00CD1CDC"/>
    <w:rsid w:val="00CD222D"/>
    <w:rsid w:val="00CD2609"/>
    <w:rsid w:val="00CD284B"/>
    <w:rsid w:val="00CD2D41"/>
    <w:rsid w:val="00CD2FF8"/>
    <w:rsid w:val="00CD34CD"/>
    <w:rsid w:val="00CD371F"/>
    <w:rsid w:val="00CD39FC"/>
    <w:rsid w:val="00CD5D39"/>
    <w:rsid w:val="00CD6B9C"/>
    <w:rsid w:val="00CD6D1A"/>
    <w:rsid w:val="00CE0E71"/>
    <w:rsid w:val="00CE11C3"/>
    <w:rsid w:val="00CE1AF7"/>
    <w:rsid w:val="00CE26C7"/>
    <w:rsid w:val="00CE366C"/>
    <w:rsid w:val="00CE5250"/>
    <w:rsid w:val="00CE66CD"/>
    <w:rsid w:val="00CE68B2"/>
    <w:rsid w:val="00CE7C62"/>
    <w:rsid w:val="00CF09A3"/>
    <w:rsid w:val="00CF1958"/>
    <w:rsid w:val="00CF21FE"/>
    <w:rsid w:val="00CF2793"/>
    <w:rsid w:val="00CF3404"/>
    <w:rsid w:val="00CF47A0"/>
    <w:rsid w:val="00CF54B5"/>
    <w:rsid w:val="00CF6A56"/>
    <w:rsid w:val="00D02EF2"/>
    <w:rsid w:val="00D038A8"/>
    <w:rsid w:val="00D06875"/>
    <w:rsid w:val="00D06FF9"/>
    <w:rsid w:val="00D11105"/>
    <w:rsid w:val="00D128DE"/>
    <w:rsid w:val="00D12BC1"/>
    <w:rsid w:val="00D13578"/>
    <w:rsid w:val="00D1656E"/>
    <w:rsid w:val="00D16FEA"/>
    <w:rsid w:val="00D17A04"/>
    <w:rsid w:val="00D20309"/>
    <w:rsid w:val="00D20B69"/>
    <w:rsid w:val="00D21127"/>
    <w:rsid w:val="00D2252E"/>
    <w:rsid w:val="00D22E45"/>
    <w:rsid w:val="00D233DB"/>
    <w:rsid w:val="00D23EE9"/>
    <w:rsid w:val="00D253CA"/>
    <w:rsid w:val="00D25DA8"/>
    <w:rsid w:val="00D26271"/>
    <w:rsid w:val="00D30519"/>
    <w:rsid w:val="00D30B83"/>
    <w:rsid w:val="00D31719"/>
    <w:rsid w:val="00D31ABC"/>
    <w:rsid w:val="00D36607"/>
    <w:rsid w:val="00D37B9E"/>
    <w:rsid w:val="00D404FC"/>
    <w:rsid w:val="00D40D87"/>
    <w:rsid w:val="00D432B7"/>
    <w:rsid w:val="00D43562"/>
    <w:rsid w:val="00D439B2"/>
    <w:rsid w:val="00D43F8B"/>
    <w:rsid w:val="00D44275"/>
    <w:rsid w:val="00D45CB4"/>
    <w:rsid w:val="00D4602A"/>
    <w:rsid w:val="00D4637C"/>
    <w:rsid w:val="00D46FC9"/>
    <w:rsid w:val="00D51EA7"/>
    <w:rsid w:val="00D52D77"/>
    <w:rsid w:val="00D53132"/>
    <w:rsid w:val="00D54B0E"/>
    <w:rsid w:val="00D54F74"/>
    <w:rsid w:val="00D560EF"/>
    <w:rsid w:val="00D56CD9"/>
    <w:rsid w:val="00D57DE0"/>
    <w:rsid w:val="00D608DA"/>
    <w:rsid w:val="00D60987"/>
    <w:rsid w:val="00D615CD"/>
    <w:rsid w:val="00D61FC5"/>
    <w:rsid w:val="00D62196"/>
    <w:rsid w:val="00D62721"/>
    <w:rsid w:val="00D62868"/>
    <w:rsid w:val="00D642F4"/>
    <w:rsid w:val="00D65E09"/>
    <w:rsid w:val="00D65F49"/>
    <w:rsid w:val="00D6791F"/>
    <w:rsid w:val="00D70622"/>
    <w:rsid w:val="00D709A3"/>
    <w:rsid w:val="00D70AD6"/>
    <w:rsid w:val="00D70C7F"/>
    <w:rsid w:val="00D7163F"/>
    <w:rsid w:val="00D71BC9"/>
    <w:rsid w:val="00D724F1"/>
    <w:rsid w:val="00D72F92"/>
    <w:rsid w:val="00D73133"/>
    <w:rsid w:val="00D73847"/>
    <w:rsid w:val="00D73B20"/>
    <w:rsid w:val="00D7406C"/>
    <w:rsid w:val="00D74243"/>
    <w:rsid w:val="00D75802"/>
    <w:rsid w:val="00D77028"/>
    <w:rsid w:val="00D773A6"/>
    <w:rsid w:val="00D77797"/>
    <w:rsid w:val="00D80DF0"/>
    <w:rsid w:val="00D81371"/>
    <w:rsid w:val="00D827F6"/>
    <w:rsid w:val="00D83EA4"/>
    <w:rsid w:val="00D8411F"/>
    <w:rsid w:val="00D844E1"/>
    <w:rsid w:val="00D855ED"/>
    <w:rsid w:val="00D85BEF"/>
    <w:rsid w:val="00D86891"/>
    <w:rsid w:val="00D86AFD"/>
    <w:rsid w:val="00D87403"/>
    <w:rsid w:val="00D874AA"/>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35BD"/>
    <w:rsid w:val="00DA3A24"/>
    <w:rsid w:val="00DA4FB4"/>
    <w:rsid w:val="00DA7E9C"/>
    <w:rsid w:val="00DB032F"/>
    <w:rsid w:val="00DB0593"/>
    <w:rsid w:val="00DB15A0"/>
    <w:rsid w:val="00DB27AC"/>
    <w:rsid w:val="00DB3047"/>
    <w:rsid w:val="00DB3AAA"/>
    <w:rsid w:val="00DB3E69"/>
    <w:rsid w:val="00DB3F79"/>
    <w:rsid w:val="00DB4733"/>
    <w:rsid w:val="00DB4886"/>
    <w:rsid w:val="00DB49B6"/>
    <w:rsid w:val="00DB55DA"/>
    <w:rsid w:val="00DB60C3"/>
    <w:rsid w:val="00DB6A47"/>
    <w:rsid w:val="00DC2E8F"/>
    <w:rsid w:val="00DC3D3A"/>
    <w:rsid w:val="00DC4078"/>
    <w:rsid w:val="00DC4924"/>
    <w:rsid w:val="00DC4FE2"/>
    <w:rsid w:val="00DC5938"/>
    <w:rsid w:val="00DC67D9"/>
    <w:rsid w:val="00DC6AB9"/>
    <w:rsid w:val="00DC7574"/>
    <w:rsid w:val="00DD0E8E"/>
    <w:rsid w:val="00DD15F7"/>
    <w:rsid w:val="00DD16B0"/>
    <w:rsid w:val="00DD1F5F"/>
    <w:rsid w:val="00DD3461"/>
    <w:rsid w:val="00DD47B9"/>
    <w:rsid w:val="00DD4CEC"/>
    <w:rsid w:val="00DD581E"/>
    <w:rsid w:val="00DD6343"/>
    <w:rsid w:val="00DD63E8"/>
    <w:rsid w:val="00DD6C65"/>
    <w:rsid w:val="00DE0149"/>
    <w:rsid w:val="00DE1A53"/>
    <w:rsid w:val="00DE28C9"/>
    <w:rsid w:val="00DE306B"/>
    <w:rsid w:val="00DE498C"/>
    <w:rsid w:val="00DE5170"/>
    <w:rsid w:val="00DE541D"/>
    <w:rsid w:val="00DE5A75"/>
    <w:rsid w:val="00DE649D"/>
    <w:rsid w:val="00DE716C"/>
    <w:rsid w:val="00DF02AB"/>
    <w:rsid w:val="00DF08EF"/>
    <w:rsid w:val="00DF1387"/>
    <w:rsid w:val="00DF14FA"/>
    <w:rsid w:val="00DF1FF6"/>
    <w:rsid w:val="00DF200A"/>
    <w:rsid w:val="00DF4E69"/>
    <w:rsid w:val="00DF5118"/>
    <w:rsid w:val="00DF66E2"/>
    <w:rsid w:val="00DF6BA5"/>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1F86"/>
    <w:rsid w:val="00E13454"/>
    <w:rsid w:val="00E15357"/>
    <w:rsid w:val="00E15AFF"/>
    <w:rsid w:val="00E15F1B"/>
    <w:rsid w:val="00E166D5"/>
    <w:rsid w:val="00E16883"/>
    <w:rsid w:val="00E16A2A"/>
    <w:rsid w:val="00E16A68"/>
    <w:rsid w:val="00E17C2E"/>
    <w:rsid w:val="00E2233C"/>
    <w:rsid w:val="00E22CDB"/>
    <w:rsid w:val="00E22CFD"/>
    <w:rsid w:val="00E246BE"/>
    <w:rsid w:val="00E24A2E"/>
    <w:rsid w:val="00E24CA9"/>
    <w:rsid w:val="00E24CF3"/>
    <w:rsid w:val="00E261CA"/>
    <w:rsid w:val="00E26820"/>
    <w:rsid w:val="00E26AC6"/>
    <w:rsid w:val="00E306A6"/>
    <w:rsid w:val="00E30776"/>
    <w:rsid w:val="00E30BA5"/>
    <w:rsid w:val="00E340FF"/>
    <w:rsid w:val="00E3445A"/>
    <w:rsid w:val="00E35208"/>
    <w:rsid w:val="00E3522D"/>
    <w:rsid w:val="00E35D25"/>
    <w:rsid w:val="00E35D4A"/>
    <w:rsid w:val="00E36DC1"/>
    <w:rsid w:val="00E40ED9"/>
    <w:rsid w:val="00E42325"/>
    <w:rsid w:val="00E43B36"/>
    <w:rsid w:val="00E44189"/>
    <w:rsid w:val="00E44D48"/>
    <w:rsid w:val="00E44DA7"/>
    <w:rsid w:val="00E44E56"/>
    <w:rsid w:val="00E45BEE"/>
    <w:rsid w:val="00E4648C"/>
    <w:rsid w:val="00E46A2B"/>
    <w:rsid w:val="00E46C63"/>
    <w:rsid w:val="00E46F83"/>
    <w:rsid w:val="00E47790"/>
    <w:rsid w:val="00E50D68"/>
    <w:rsid w:val="00E52957"/>
    <w:rsid w:val="00E540AC"/>
    <w:rsid w:val="00E55AE0"/>
    <w:rsid w:val="00E56046"/>
    <w:rsid w:val="00E60CE1"/>
    <w:rsid w:val="00E61CFA"/>
    <w:rsid w:val="00E635BB"/>
    <w:rsid w:val="00E639CA"/>
    <w:rsid w:val="00E63D4C"/>
    <w:rsid w:val="00E640A7"/>
    <w:rsid w:val="00E64CA0"/>
    <w:rsid w:val="00E65AD1"/>
    <w:rsid w:val="00E70122"/>
    <w:rsid w:val="00E70410"/>
    <w:rsid w:val="00E707EA"/>
    <w:rsid w:val="00E70F67"/>
    <w:rsid w:val="00E73E6D"/>
    <w:rsid w:val="00E746B2"/>
    <w:rsid w:val="00E74934"/>
    <w:rsid w:val="00E75DFB"/>
    <w:rsid w:val="00E761AC"/>
    <w:rsid w:val="00E765CD"/>
    <w:rsid w:val="00E83653"/>
    <w:rsid w:val="00E83FA4"/>
    <w:rsid w:val="00E8593D"/>
    <w:rsid w:val="00E85DDF"/>
    <w:rsid w:val="00E90021"/>
    <w:rsid w:val="00E90B90"/>
    <w:rsid w:val="00E91082"/>
    <w:rsid w:val="00E9197D"/>
    <w:rsid w:val="00E91CB1"/>
    <w:rsid w:val="00E93A00"/>
    <w:rsid w:val="00E95952"/>
    <w:rsid w:val="00E96379"/>
    <w:rsid w:val="00E96422"/>
    <w:rsid w:val="00E97957"/>
    <w:rsid w:val="00EA262C"/>
    <w:rsid w:val="00EA3726"/>
    <w:rsid w:val="00EA4047"/>
    <w:rsid w:val="00EA49AA"/>
    <w:rsid w:val="00EA4D5C"/>
    <w:rsid w:val="00EA5DC3"/>
    <w:rsid w:val="00EA7BB0"/>
    <w:rsid w:val="00EB06DC"/>
    <w:rsid w:val="00EB0DBC"/>
    <w:rsid w:val="00EB2952"/>
    <w:rsid w:val="00EB3EC7"/>
    <w:rsid w:val="00EB4A11"/>
    <w:rsid w:val="00EB5B17"/>
    <w:rsid w:val="00EB5F39"/>
    <w:rsid w:val="00EB6DC3"/>
    <w:rsid w:val="00EB732A"/>
    <w:rsid w:val="00EB79ED"/>
    <w:rsid w:val="00EC08CA"/>
    <w:rsid w:val="00EC1992"/>
    <w:rsid w:val="00EC24E4"/>
    <w:rsid w:val="00EC318B"/>
    <w:rsid w:val="00EC39A5"/>
    <w:rsid w:val="00EC456A"/>
    <w:rsid w:val="00EC5A90"/>
    <w:rsid w:val="00EC6429"/>
    <w:rsid w:val="00EC6456"/>
    <w:rsid w:val="00EC735A"/>
    <w:rsid w:val="00ED0902"/>
    <w:rsid w:val="00ED2163"/>
    <w:rsid w:val="00ED2F5B"/>
    <w:rsid w:val="00ED327A"/>
    <w:rsid w:val="00ED40A3"/>
    <w:rsid w:val="00ED427C"/>
    <w:rsid w:val="00ED6511"/>
    <w:rsid w:val="00ED69A1"/>
    <w:rsid w:val="00ED6B55"/>
    <w:rsid w:val="00ED7EE7"/>
    <w:rsid w:val="00EE014C"/>
    <w:rsid w:val="00EE03B3"/>
    <w:rsid w:val="00EE082F"/>
    <w:rsid w:val="00EE09FD"/>
    <w:rsid w:val="00EE0B57"/>
    <w:rsid w:val="00EE184D"/>
    <w:rsid w:val="00EE4514"/>
    <w:rsid w:val="00EE68B1"/>
    <w:rsid w:val="00EF063C"/>
    <w:rsid w:val="00EF0904"/>
    <w:rsid w:val="00EF1EE0"/>
    <w:rsid w:val="00EF2468"/>
    <w:rsid w:val="00EF2CBD"/>
    <w:rsid w:val="00EF37D0"/>
    <w:rsid w:val="00EF3F96"/>
    <w:rsid w:val="00EF4776"/>
    <w:rsid w:val="00EF48F6"/>
    <w:rsid w:val="00EF492A"/>
    <w:rsid w:val="00EF508C"/>
    <w:rsid w:val="00EF53ED"/>
    <w:rsid w:val="00F0108C"/>
    <w:rsid w:val="00F01A62"/>
    <w:rsid w:val="00F020AA"/>
    <w:rsid w:val="00F033EC"/>
    <w:rsid w:val="00F03E93"/>
    <w:rsid w:val="00F044AE"/>
    <w:rsid w:val="00F04974"/>
    <w:rsid w:val="00F05471"/>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51"/>
    <w:rsid w:val="00F178E3"/>
    <w:rsid w:val="00F2050C"/>
    <w:rsid w:val="00F20882"/>
    <w:rsid w:val="00F20ADE"/>
    <w:rsid w:val="00F20F94"/>
    <w:rsid w:val="00F2111F"/>
    <w:rsid w:val="00F21E58"/>
    <w:rsid w:val="00F2331D"/>
    <w:rsid w:val="00F23AF8"/>
    <w:rsid w:val="00F247DF"/>
    <w:rsid w:val="00F24960"/>
    <w:rsid w:val="00F279C6"/>
    <w:rsid w:val="00F3206A"/>
    <w:rsid w:val="00F334E5"/>
    <w:rsid w:val="00F368B9"/>
    <w:rsid w:val="00F36CFF"/>
    <w:rsid w:val="00F40005"/>
    <w:rsid w:val="00F40051"/>
    <w:rsid w:val="00F4140E"/>
    <w:rsid w:val="00F4267D"/>
    <w:rsid w:val="00F4361B"/>
    <w:rsid w:val="00F43649"/>
    <w:rsid w:val="00F43854"/>
    <w:rsid w:val="00F43924"/>
    <w:rsid w:val="00F43A4B"/>
    <w:rsid w:val="00F454D2"/>
    <w:rsid w:val="00F50D66"/>
    <w:rsid w:val="00F51C68"/>
    <w:rsid w:val="00F526B2"/>
    <w:rsid w:val="00F52711"/>
    <w:rsid w:val="00F539C0"/>
    <w:rsid w:val="00F53B6C"/>
    <w:rsid w:val="00F55299"/>
    <w:rsid w:val="00F5554F"/>
    <w:rsid w:val="00F562D3"/>
    <w:rsid w:val="00F62410"/>
    <w:rsid w:val="00F62772"/>
    <w:rsid w:val="00F627F8"/>
    <w:rsid w:val="00F638B2"/>
    <w:rsid w:val="00F63ABB"/>
    <w:rsid w:val="00F63B8D"/>
    <w:rsid w:val="00F63D53"/>
    <w:rsid w:val="00F6441C"/>
    <w:rsid w:val="00F645B6"/>
    <w:rsid w:val="00F64735"/>
    <w:rsid w:val="00F653BE"/>
    <w:rsid w:val="00F6588F"/>
    <w:rsid w:val="00F65B31"/>
    <w:rsid w:val="00F65F16"/>
    <w:rsid w:val="00F705AB"/>
    <w:rsid w:val="00F70878"/>
    <w:rsid w:val="00F7111F"/>
    <w:rsid w:val="00F71FB6"/>
    <w:rsid w:val="00F73768"/>
    <w:rsid w:val="00F74EDC"/>
    <w:rsid w:val="00F7573D"/>
    <w:rsid w:val="00F75EE3"/>
    <w:rsid w:val="00F76277"/>
    <w:rsid w:val="00F766CE"/>
    <w:rsid w:val="00F7673B"/>
    <w:rsid w:val="00F77172"/>
    <w:rsid w:val="00F80C09"/>
    <w:rsid w:val="00F81DB5"/>
    <w:rsid w:val="00F82FF6"/>
    <w:rsid w:val="00F843A0"/>
    <w:rsid w:val="00F8454B"/>
    <w:rsid w:val="00F84AE3"/>
    <w:rsid w:val="00F85406"/>
    <w:rsid w:val="00F85790"/>
    <w:rsid w:val="00F85D7A"/>
    <w:rsid w:val="00F87A20"/>
    <w:rsid w:val="00F91EAD"/>
    <w:rsid w:val="00F924D8"/>
    <w:rsid w:val="00F93A02"/>
    <w:rsid w:val="00F93CD9"/>
    <w:rsid w:val="00F9473F"/>
    <w:rsid w:val="00F951A6"/>
    <w:rsid w:val="00F9523F"/>
    <w:rsid w:val="00F95D54"/>
    <w:rsid w:val="00F95D9D"/>
    <w:rsid w:val="00FA16E2"/>
    <w:rsid w:val="00FA312C"/>
    <w:rsid w:val="00FA3ACF"/>
    <w:rsid w:val="00FA3EF1"/>
    <w:rsid w:val="00FA4192"/>
    <w:rsid w:val="00FA456E"/>
    <w:rsid w:val="00FA4747"/>
    <w:rsid w:val="00FB0643"/>
    <w:rsid w:val="00FB0CD8"/>
    <w:rsid w:val="00FB13EB"/>
    <w:rsid w:val="00FB21C8"/>
    <w:rsid w:val="00FB49D3"/>
    <w:rsid w:val="00FB5C88"/>
    <w:rsid w:val="00FB7443"/>
    <w:rsid w:val="00FC083D"/>
    <w:rsid w:val="00FC22A4"/>
    <w:rsid w:val="00FC233D"/>
    <w:rsid w:val="00FC3238"/>
    <w:rsid w:val="00FC3974"/>
    <w:rsid w:val="00FC4C13"/>
    <w:rsid w:val="00FC4DDB"/>
    <w:rsid w:val="00FC56A7"/>
    <w:rsid w:val="00FC683C"/>
    <w:rsid w:val="00FC68E4"/>
    <w:rsid w:val="00FC7693"/>
    <w:rsid w:val="00FD0032"/>
    <w:rsid w:val="00FD0A1D"/>
    <w:rsid w:val="00FD0EC4"/>
    <w:rsid w:val="00FD2E24"/>
    <w:rsid w:val="00FD4552"/>
    <w:rsid w:val="00FD45F7"/>
    <w:rsid w:val="00FD4E29"/>
    <w:rsid w:val="00FD578F"/>
    <w:rsid w:val="00FD5DCE"/>
    <w:rsid w:val="00FD6099"/>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E1207F6-6735-41A1-BD55-3304D03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26"/>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26"/>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character" w:customStyle="1" w:styleId="Mention">
    <w:name w:val="Mention"/>
    <w:basedOn w:val="DefaultParagraphFont"/>
    <w:uiPriority w:val="99"/>
    <w:semiHidden/>
    <w:unhideWhenUsed/>
    <w:rsid w:val="008E09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94584-4CB9-4E03-89B3-FEF4A6943B3D}">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A8CA9C39-DFA2-4140-A5EE-03A21957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10</Pages>
  <Words>15377</Words>
  <Characters>8766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Nr.997„Noteikumi par garantijām komersantu un atbilstošu lauksaimniecības pakalpojumu kooperatīvo sabiedrību konkurētspējas uzlabošanai”” sākotnējās ietekmes</vt:lpstr>
    </vt:vector>
  </TitlesOfParts>
  <Company>EM</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Nr.997„Noteikumi par garantijām komersantu un atbilstošu lauksaimniecības pakalpojumu kooperatīvo sabiedrību konkurētspējas uzlabošanai”” sākotnējās ietekmes novērtējuma ziņojums (anotācija)</dc:title>
  <dc:subject>MK noteikumu anotācija</dc:subject>
  <dc:creator>Elīna Dlohi</dc:creator>
  <cp:lastModifiedBy>Signe Tuklere</cp:lastModifiedBy>
  <cp:revision>32</cp:revision>
  <cp:lastPrinted>2016-10-31T12:58:00Z</cp:lastPrinted>
  <dcterms:created xsi:type="dcterms:W3CDTF">2017-11-29T09:24:00Z</dcterms:created>
  <dcterms:modified xsi:type="dcterms:W3CDTF">2018-04-04T14:05:00Z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ies>
</file>