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F96973" w:rsidP="00D94317" w14:paraId="7292C2A2" w14:textId="3632321F">
      <w:pPr>
        <w:shd w:val="clear" w:color="auto" w:fill="FFFFFF"/>
        <w:spacing w:after="0" w:line="240" w:lineRule="auto"/>
        <w:jc w:val="center"/>
        <w:rPr>
          <w:rFonts w:ascii="Times New Roman" w:eastAsia="Times New Roman" w:hAnsi="Times New Roman" w:cs="Times New Roman"/>
          <w:b/>
          <w:bCs/>
          <w:sz w:val="24"/>
          <w:szCs w:val="24"/>
          <w:lang w:eastAsia="lv-LV"/>
        </w:rPr>
      </w:pPr>
      <w:r w:rsidRPr="00F96973">
        <w:rPr>
          <w:rFonts w:ascii="Times New Roman" w:eastAsia="Times New Roman" w:hAnsi="Times New Roman" w:cs="Times New Roman"/>
          <w:b/>
          <w:bCs/>
          <w:sz w:val="24"/>
          <w:szCs w:val="24"/>
          <w:lang w:eastAsia="lv-LV"/>
        </w:rPr>
        <w:t>Ministru kabineta noteikumu projekta “</w:t>
      </w:r>
      <w:sdt>
        <w:sdtPr>
          <w:rPr>
            <w:rFonts w:ascii="Times New Roman" w:eastAsia="Times New Roman" w:hAnsi="Times New Roman" w:cs="Times New Roman"/>
            <w:b/>
            <w:bCs/>
            <w:sz w:val="24"/>
            <w:szCs w:val="24"/>
            <w:lang w:eastAsia="lv-LV"/>
          </w:rPr>
          <w:id w:val="901458559"/>
          <w:placeholder>
            <w:docPart w:val="B2513C7936974E769D1103048039203D"/>
          </w:placeholder>
          <w:richText/>
        </w:sdtPr>
        <w:sdtContent>
          <w:r w:rsidRPr="00F96973" w:rsidR="0088018E">
            <w:rPr>
              <w:rFonts w:ascii="Times New Roman" w:eastAsia="Times New Roman" w:hAnsi="Times New Roman" w:cs="Times New Roman"/>
              <w:b/>
              <w:bCs/>
              <w:sz w:val="24"/>
              <w:szCs w:val="24"/>
              <w:lang w:eastAsia="lv-LV"/>
            </w:rPr>
            <w:t>Grozījumi Ministru kabineta 2014.gada</w:t>
          </w:r>
          <w:r w:rsidRPr="00F96973" w:rsidR="00566C44">
            <w:rPr>
              <w:rFonts w:ascii="Times New Roman" w:eastAsia="Times New Roman" w:hAnsi="Times New Roman" w:cs="Times New Roman"/>
              <w:b/>
              <w:bCs/>
              <w:sz w:val="24"/>
              <w:szCs w:val="24"/>
              <w:lang w:eastAsia="lv-LV"/>
            </w:rPr>
            <w:t xml:space="preserve"> 2.septembra noteikumos Nr. 529 </w:t>
          </w:r>
          <w:r w:rsidRPr="00F96973" w:rsidR="0088018E">
            <w:rPr>
              <w:rFonts w:ascii="Times New Roman" w:eastAsia="Times New Roman" w:hAnsi="Times New Roman" w:cs="Times New Roman"/>
              <w:b/>
              <w:bCs/>
              <w:sz w:val="24"/>
              <w:szCs w:val="24"/>
              <w:lang w:eastAsia="lv-LV"/>
            </w:rPr>
            <w:t>“Ēku būvnoteikumi”</w:t>
          </w:r>
        </w:sdtContent>
      </w:sdt>
      <w:r w:rsidRPr="00F96973">
        <w:rPr>
          <w:rFonts w:ascii="Times New Roman" w:eastAsia="Times New Roman" w:hAnsi="Times New Roman" w:cs="Times New Roman"/>
          <w:b/>
          <w:bCs/>
          <w:sz w:val="24"/>
          <w:szCs w:val="24"/>
          <w:lang w:eastAsia="lv-LV"/>
        </w:rPr>
        <w:t xml:space="preserve"> sākotnējās ietekmes novērtējuma ziņojums (anotācija)</w:t>
      </w:r>
    </w:p>
    <w:p w:rsidR="00E5323B" w:rsidRPr="005F2C9A" w:rsidP="00894C55" w14:paraId="0341B2E5"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578094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0A78C05B"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Tiesību akta projekta anotācijas kopsavilkums</w:t>
            </w:r>
          </w:p>
        </w:tc>
      </w:tr>
      <w:tr w14:paraId="3AEF5BB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96973" w:rsidP="00E5323B" w14:paraId="7908A553"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455D5" w:rsidRPr="00F96973" w:rsidP="00AD6C38" w14:paraId="5BBB4914" w14:textId="5B040111">
            <w:pPr>
              <w:spacing w:after="0" w:line="240" w:lineRule="auto"/>
              <w:jc w:val="both"/>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Ministru kabineta 2014. gada 2. septembra noteikum</w:t>
            </w:r>
            <w:r w:rsidRPr="00F96973" w:rsidR="000B36A7">
              <w:rPr>
                <w:rFonts w:ascii="Times New Roman" w:eastAsia="Times New Roman" w:hAnsi="Times New Roman" w:cs="Times New Roman"/>
                <w:iCs/>
                <w:sz w:val="24"/>
                <w:szCs w:val="24"/>
                <w:lang w:eastAsia="lv-LV"/>
              </w:rPr>
              <w:t>os</w:t>
            </w:r>
            <w:r w:rsidRPr="00F96973">
              <w:rPr>
                <w:rFonts w:ascii="Times New Roman" w:eastAsia="Times New Roman" w:hAnsi="Times New Roman" w:cs="Times New Roman"/>
                <w:iCs/>
                <w:sz w:val="24"/>
                <w:szCs w:val="24"/>
                <w:lang w:eastAsia="lv-LV"/>
              </w:rPr>
              <w:t xml:space="preserve"> Nr. 529 “Ēku būvnoteikumi” </w:t>
            </w:r>
            <w:r w:rsidRPr="00F96973" w:rsidR="000B36A7">
              <w:rPr>
                <w:rFonts w:ascii="Times New Roman" w:eastAsia="Times New Roman" w:hAnsi="Times New Roman" w:cs="Times New Roman"/>
                <w:iCs/>
                <w:sz w:val="24"/>
                <w:szCs w:val="24"/>
                <w:lang w:eastAsia="lv-LV"/>
              </w:rPr>
              <w:t xml:space="preserve">izdarīt grozījumus </w:t>
            </w:r>
            <w:r w:rsidRPr="00F96973">
              <w:rPr>
                <w:rFonts w:ascii="Times New Roman" w:eastAsia="Times New Roman" w:hAnsi="Times New Roman" w:cs="Times New Roman"/>
                <w:iCs/>
                <w:sz w:val="24"/>
                <w:szCs w:val="24"/>
                <w:lang w:eastAsia="lv-LV"/>
              </w:rPr>
              <w:t>50. un 56.punkt</w:t>
            </w:r>
            <w:r w:rsidRPr="00F96973" w:rsidR="000B36A7">
              <w:rPr>
                <w:rFonts w:ascii="Times New Roman" w:eastAsia="Times New Roman" w:hAnsi="Times New Roman" w:cs="Times New Roman"/>
                <w:iCs/>
                <w:sz w:val="24"/>
                <w:szCs w:val="24"/>
                <w:lang w:eastAsia="lv-LV"/>
              </w:rPr>
              <w:t>ā</w:t>
            </w:r>
            <w:r w:rsidRPr="00F96973">
              <w:rPr>
                <w:rFonts w:ascii="Times New Roman" w:eastAsia="Times New Roman" w:hAnsi="Times New Roman" w:cs="Times New Roman"/>
                <w:iCs/>
                <w:sz w:val="24"/>
                <w:szCs w:val="24"/>
                <w:lang w:eastAsia="lv-LV"/>
              </w:rPr>
              <w:t xml:space="preserve">, </w:t>
            </w:r>
            <w:r w:rsidRPr="00F96973" w:rsidR="000B36A7">
              <w:rPr>
                <w:rFonts w:ascii="Times New Roman" w:eastAsia="Times New Roman" w:hAnsi="Times New Roman" w:cs="Times New Roman"/>
                <w:iCs/>
                <w:sz w:val="24"/>
                <w:szCs w:val="24"/>
                <w:lang w:eastAsia="lv-LV"/>
              </w:rPr>
              <w:t xml:space="preserve">pagarinot </w:t>
            </w:r>
            <w:r w:rsidRPr="00F96973" w:rsidR="000B36A7">
              <w:rPr>
                <w:rFonts w:ascii="Times New Roman" w:hAnsi="Times New Roman" w:cs="Times New Roman"/>
                <w:sz w:val="24"/>
                <w:szCs w:val="24"/>
              </w:rPr>
              <w:t>termiņu, kādā realizējama būvniecība pēc būvvaldes atzīmes veikšanas ēkas fasādes apliecinājuma kartē vai būvatļaujā par projektēšanas nosacījumu izpildi</w:t>
            </w:r>
            <w:r w:rsidRPr="00F96973" w:rsidR="00CE6023">
              <w:rPr>
                <w:rFonts w:ascii="Times New Roman" w:hAnsi="Times New Roman" w:cs="Times New Roman"/>
                <w:sz w:val="24"/>
                <w:szCs w:val="24"/>
              </w:rPr>
              <w:t xml:space="preserve">, </w:t>
            </w:r>
            <w:r w:rsidRPr="00F96973" w:rsidR="000B36A7">
              <w:rPr>
                <w:rFonts w:ascii="Times New Roman" w:hAnsi="Times New Roman" w:cs="Times New Roman"/>
                <w:sz w:val="24"/>
                <w:szCs w:val="24"/>
              </w:rPr>
              <w:t>lai mazinātu risku</w:t>
            </w:r>
            <w:r w:rsidRPr="00F96973" w:rsidR="00AD6C38">
              <w:rPr>
                <w:rFonts w:ascii="Times New Roman" w:hAnsi="Times New Roman" w:cs="Times New Roman"/>
                <w:sz w:val="24"/>
                <w:szCs w:val="24"/>
              </w:rPr>
              <w:t xml:space="preserve"> finansējumu </w:t>
            </w:r>
            <w:r w:rsidR="00AD6C38">
              <w:rPr>
                <w:rFonts w:ascii="Times New Roman" w:hAnsi="Times New Roman" w:cs="Times New Roman"/>
                <w:sz w:val="24"/>
                <w:szCs w:val="24"/>
              </w:rPr>
              <w:t>saņē</w:t>
            </w:r>
            <w:r w:rsidRPr="00F96973" w:rsidR="00AD6C38">
              <w:rPr>
                <w:rFonts w:ascii="Times New Roman" w:hAnsi="Times New Roman" w:cs="Times New Roman"/>
                <w:sz w:val="24"/>
                <w:szCs w:val="24"/>
              </w:rPr>
              <w:t>m</w:t>
            </w:r>
            <w:r w:rsidR="00AD6C38">
              <w:rPr>
                <w:rFonts w:ascii="Times New Roman" w:hAnsi="Times New Roman" w:cs="Times New Roman"/>
                <w:sz w:val="24"/>
                <w:szCs w:val="24"/>
              </w:rPr>
              <w:t>ējiem</w:t>
            </w:r>
            <w:r w:rsidRPr="00F96973" w:rsidR="000B36A7">
              <w:rPr>
                <w:rFonts w:ascii="Times New Roman" w:hAnsi="Times New Roman" w:cs="Times New Roman"/>
                <w:sz w:val="24"/>
                <w:szCs w:val="24"/>
              </w:rPr>
              <w:t>,</w:t>
            </w:r>
            <w:r w:rsidRPr="00F96973" w:rsidR="001F176D">
              <w:rPr>
                <w:rFonts w:ascii="Times New Roman" w:hAnsi="Times New Roman" w:cs="Times New Roman"/>
                <w:sz w:val="24"/>
                <w:szCs w:val="24"/>
              </w:rPr>
              <w:t xml:space="preserve"> </w:t>
            </w:r>
            <w:r w:rsidRPr="00F96973" w:rsidR="007B5817">
              <w:rPr>
                <w:rFonts w:ascii="Times New Roman" w:hAnsi="Times New Roman" w:cs="Times New Roman"/>
                <w:sz w:val="24"/>
                <w:szCs w:val="24"/>
              </w:rPr>
              <w:t>Eiropas Savienības struktūrfondu un Kohēzijas fonda 2014.-2020.gada plānošanas period</w:t>
            </w:r>
            <w:r w:rsidR="00F96973">
              <w:rPr>
                <w:rFonts w:ascii="Times New Roman" w:hAnsi="Times New Roman" w:cs="Times New Roman"/>
                <w:sz w:val="24"/>
                <w:szCs w:val="24"/>
              </w:rPr>
              <w:t>ā</w:t>
            </w:r>
            <w:r w:rsidRPr="00F96973" w:rsidR="000B36A7">
              <w:rPr>
                <w:rFonts w:ascii="Times New Roman" w:hAnsi="Times New Roman" w:cs="Times New Roman"/>
                <w:sz w:val="24"/>
                <w:szCs w:val="24"/>
              </w:rPr>
              <w:t xml:space="preserve">, </w:t>
            </w:r>
            <w:r w:rsidRPr="00F96973" w:rsidR="002C1242">
              <w:rPr>
                <w:rFonts w:ascii="Times New Roman" w:hAnsi="Times New Roman" w:cs="Times New Roman"/>
                <w:sz w:val="24"/>
                <w:szCs w:val="24"/>
              </w:rPr>
              <w:t>īstenojot projektus daudzdzīvokļu ēku energoefektivitātes paaugstināšanai</w:t>
            </w:r>
            <w:r w:rsidR="00AD6C38">
              <w:rPr>
                <w:rFonts w:ascii="Times New Roman" w:hAnsi="Times New Roman" w:cs="Times New Roman"/>
                <w:sz w:val="24"/>
                <w:szCs w:val="24"/>
              </w:rPr>
              <w:t xml:space="preserve">. </w:t>
            </w:r>
            <w:r w:rsidRPr="00F96973" w:rsidR="002C1242">
              <w:rPr>
                <w:rFonts w:ascii="Times New Roman" w:hAnsi="Times New Roman" w:cs="Times New Roman"/>
                <w:sz w:val="24"/>
                <w:szCs w:val="24"/>
              </w:rPr>
              <w:t xml:space="preserve"> </w:t>
            </w:r>
            <w:r w:rsidR="00AD6C38">
              <w:rPr>
                <w:rFonts w:ascii="Times New Roman" w:hAnsi="Times New Roman" w:cs="Times New Roman"/>
                <w:sz w:val="24"/>
                <w:szCs w:val="24"/>
              </w:rPr>
              <w:t>N</w:t>
            </w:r>
            <w:r w:rsidRPr="00F96973" w:rsidR="00AD6C38">
              <w:rPr>
                <w:rFonts w:ascii="Times New Roman" w:hAnsi="Times New Roman" w:cs="Times New Roman"/>
                <w:sz w:val="24"/>
                <w:szCs w:val="24"/>
              </w:rPr>
              <w:t>osacījumus attiecin</w:t>
            </w:r>
            <w:r w:rsidR="00AD6C38">
              <w:rPr>
                <w:rFonts w:ascii="Times New Roman" w:hAnsi="Times New Roman" w:cs="Times New Roman"/>
                <w:sz w:val="24"/>
                <w:szCs w:val="24"/>
              </w:rPr>
              <w:t>a</w:t>
            </w:r>
            <w:r w:rsidRPr="00F96973" w:rsidR="00AD6C38">
              <w:rPr>
                <w:rFonts w:ascii="Times New Roman" w:hAnsi="Times New Roman" w:cs="Times New Roman"/>
                <w:sz w:val="24"/>
                <w:szCs w:val="24"/>
              </w:rPr>
              <w:t xml:space="preserve"> uz </w:t>
            </w:r>
            <w:r w:rsidR="00670913">
              <w:rPr>
                <w:rFonts w:ascii="Times New Roman" w:hAnsi="Times New Roman" w:cs="Times New Roman"/>
                <w:sz w:val="24"/>
                <w:szCs w:val="24"/>
              </w:rPr>
              <w:t>atbilstošajām būvniecības iecerēm</w:t>
            </w:r>
            <w:r w:rsidRPr="00F96973" w:rsidR="00AD6C38">
              <w:rPr>
                <w:rFonts w:ascii="Times New Roman" w:hAnsi="Times New Roman" w:cs="Times New Roman"/>
                <w:sz w:val="24"/>
                <w:szCs w:val="24"/>
              </w:rPr>
              <w:t>, kam atzīme ir veikta pēc 2014.gada 1.oktobra</w:t>
            </w:r>
            <w:r w:rsidR="00AD6C38">
              <w:rPr>
                <w:rFonts w:ascii="Times New Roman" w:hAnsi="Times New Roman" w:cs="Times New Roman"/>
                <w:sz w:val="24"/>
                <w:szCs w:val="24"/>
              </w:rPr>
              <w:t>.</w:t>
            </w:r>
          </w:p>
        </w:tc>
      </w:tr>
    </w:tbl>
    <w:p w:rsidR="00E5323B" w:rsidRPr="005F2C9A" w:rsidP="00E5323B" w14:paraId="0B9E079F" w14:textId="77777777">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91623A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48972292"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 Tiesību akta projekta izstrādes nepieciešamība</w:t>
            </w:r>
          </w:p>
        </w:tc>
      </w:tr>
      <w:tr w14:paraId="0C279D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116213F0"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7AA38AFE"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96973" w:rsidP="00E5323B" w14:paraId="6F1823F0"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Būvniecības likuma 5. panta pirmās daļas 2. </w:t>
            </w:r>
            <w:r w:rsidRPr="00F96973" w:rsidR="00566C44">
              <w:rPr>
                <w:rFonts w:ascii="Times New Roman" w:eastAsia="Times New Roman" w:hAnsi="Times New Roman" w:cs="Times New Roman"/>
                <w:iCs/>
                <w:sz w:val="24"/>
                <w:szCs w:val="24"/>
                <w:lang w:eastAsia="lv-LV"/>
              </w:rPr>
              <w:t>punkts un otrās daļas 1</w:t>
            </w:r>
            <w:r w:rsidRPr="00F96973">
              <w:rPr>
                <w:rFonts w:ascii="Times New Roman" w:eastAsia="Times New Roman" w:hAnsi="Times New Roman" w:cs="Times New Roman"/>
                <w:iCs/>
                <w:sz w:val="24"/>
                <w:szCs w:val="24"/>
                <w:lang w:eastAsia="lv-LV"/>
              </w:rPr>
              <w:t>. punkts.</w:t>
            </w:r>
          </w:p>
        </w:tc>
      </w:tr>
      <w:tr w14:paraId="276013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66C4E1D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2A180A69"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w:t>
            </w:r>
            <w:bookmarkStart w:id="0" w:name="_GoBack"/>
            <w:bookmarkEnd w:id="0"/>
            <w:r w:rsidRPr="00F96973">
              <w:rPr>
                <w:rFonts w:ascii="Times New Roman" w:eastAsia="Times New Roman" w:hAnsi="Times New Roman" w:cs="Times New Roman"/>
                <w:iCs/>
                <w:sz w:val="24"/>
                <w:szCs w:val="24"/>
                <w:lang w:eastAsia="lv-LV"/>
              </w:rPr>
              <w:t>is un būtība</w:t>
            </w:r>
          </w:p>
        </w:tc>
        <w:tc>
          <w:tcPr>
            <w:tcW w:w="3000" w:type="pct"/>
            <w:tcBorders>
              <w:top w:val="outset" w:sz="6" w:space="0" w:color="auto"/>
              <w:left w:val="outset" w:sz="6" w:space="0" w:color="auto"/>
              <w:bottom w:val="outset" w:sz="6" w:space="0" w:color="auto"/>
              <w:right w:val="outset" w:sz="6" w:space="0" w:color="auto"/>
            </w:tcBorders>
            <w:hideMark/>
          </w:tcPr>
          <w:p w:rsidR="00151BC8" w:rsidRPr="00F96973" w:rsidP="00CE6023" w14:paraId="64D28F1B" w14:textId="77777777">
            <w:pPr>
              <w:spacing w:after="0" w:line="240" w:lineRule="auto"/>
              <w:jc w:val="both"/>
              <w:rPr>
                <w:rFonts w:ascii="Times New Roman" w:hAnsi="Times New Roman" w:cs="Times New Roman"/>
                <w:sz w:val="24"/>
                <w:szCs w:val="24"/>
              </w:rPr>
            </w:pPr>
            <w:r w:rsidRPr="00F96973">
              <w:rPr>
                <w:rFonts w:ascii="Times New Roman" w:hAnsi="Times New Roman" w:cs="Times New Roman"/>
                <w:sz w:val="24"/>
                <w:szCs w:val="24"/>
              </w:rPr>
              <w:t>Iesniedzot un īstenojot projektus daudzdzīvokļu ēku energoefektivitātes paaugstināšanai darbības programmas “Izaugsme un nodarbinātība” 4.2.1. specifiskā atbalsta mērķa “Veicināt energoefektivitātes paaugstināšanu valsts un dzīvojamās ēkās” 4.2.1.1. specifiskā atbalsta mērķa pasākuma “Veicināt energoefektivitātes paaugstināšanu dzīvojamās ēkās” (turpmāk – 4.2.1.1. pasākums) ietvaros, konstatēts:</w:t>
            </w:r>
          </w:p>
          <w:p w:rsidR="00151BC8" w:rsidRPr="00F96973" w:rsidP="001F176D" w14:paraId="29443723" w14:textId="504E6AE1">
            <w:pPr>
              <w:pStyle w:val="ListParagraph"/>
              <w:numPr>
                <w:ilvl w:val="0"/>
                <w:numId w:val="2"/>
              </w:numPr>
              <w:jc w:val="both"/>
              <w:rPr>
                <w:rFonts w:cs="Times New Roman"/>
                <w:sz w:val="24"/>
                <w:szCs w:val="24"/>
              </w:rPr>
            </w:pPr>
            <w:r w:rsidRPr="00F96973">
              <w:rPr>
                <w:rFonts w:cs="Times New Roman"/>
                <w:sz w:val="24"/>
                <w:szCs w:val="24"/>
              </w:rPr>
              <w:t xml:space="preserve">Ministru kabineta 2014.gada 2.septembra noteikumu Nr.529 “Ēku būvnoteikumi” </w:t>
            </w:r>
            <w:r w:rsidRPr="00F96973">
              <w:rPr>
                <w:rFonts w:cs="Times New Roman"/>
                <w:sz w:val="24"/>
                <w:szCs w:val="24"/>
              </w:rPr>
              <w:br/>
              <w:t>(turpmāk – MK noteikumi Nr.529) 50.punkts nosaka, ka “</w:t>
            </w:r>
            <w:r w:rsidRPr="00F96973">
              <w:rPr>
                <w:rFonts w:cs="Times New Roman"/>
                <w:b/>
                <w:i/>
                <w:sz w:val="24"/>
                <w:szCs w:val="24"/>
              </w:rPr>
              <w:t>pēc būvvaldes atzīmes veikšanas ēkas fasādes apliecinājuma kartē</w:t>
            </w:r>
            <w:r w:rsidRPr="00F96973">
              <w:rPr>
                <w:rFonts w:cs="Times New Roman"/>
                <w:i/>
                <w:sz w:val="24"/>
                <w:szCs w:val="24"/>
              </w:rPr>
              <w:t xml:space="preserve"> būvniecības ierosinātājs iesniedz būvvaldē būvdarbu uzsākšanai nepieciešamos dokumentus. </w:t>
            </w:r>
            <w:r w:rsidRPr="00F96973">
              <w:rPr>
                <w:rFonts w:cs="Times New Roman"/>
                <w:b/>
                <w:i/>
                <w:sz w:val="24"/>
                <w:szCs w:val="24"/>
              </w:rPr>
              <w:t>Būvniecības realizācijas termiņš ir trīs gadi</w:t>
            </w:r>
            <w:r w:rsidRPr="00F96973">
              <w:rPr>
                <w:rFonts w:cs="Times New Roman"/>
                <w:i/>
                <w:sz w:val="24"/>
                <w:szCs w:val="24"/>
              </w:rPr>
              <w:t>, kas skaitāms no lēmuma pieņemšanas par būvniecības ieceres akceptu</w:t>
            </w:r>
            <w:r w:rsidRPr="00F96973">
              <w:rPr>
                <w:rFonts w:cs="Times New Roman"/>
                <w:sz w:val="24"/>
                <w:szCs w:val="24"/>
              </w:rPr>
              <w:t>”, un 56.punkts nosaka, ka “</w:t>
            </w:r>
            <w:r w:rsidRPr="00F96973">
              <w:rPr>
                <w:rFonts w:cs="Times New Roman"/>
                <w:i/>
                <w:sz w:val="24"/>
                <w:szCs w:val="24"/>
              </w:rPr>
              <w:t xml:space="preserve">būvatļaujā iekļautie nosacījumi būvdarbu uzsākšanai jāizpilda </w:t>
            </w:r>
            <w:r w:rsidRPr="00F96973">
              <w:rPr>
                <w:rFonts w:cs="Times New Roman"/>
                <w:b/>
                <w:i/>
                <w:sz w:val="24"/>
                <w:szCs w:val="24"/>
              </w:rPr>
              <w:t>divu gadu laikā no atzīmes veikšanas būvatļaujā par projektēšanas nosacījumu izpildi</w:t>
            </w:r>
            <w:r w:rsidRPr="00F96973">
              <w:rPr>
                <w:rFonts w:cs="Times New Roman"/>
                <w:sz w:val="24"/>
                <w:szCs w:val="24"/>
              </w:rPr>
              <w:t>.”</w:t>
            </w:r>
          </w:p>
          <w:p w:rsidR="001F176D" w:rsidRPr="00F96973" w:rsidP="001F176D" w14:paraId="6B6725B6" w14:textId="0AB1F6B5">
            <w:pPr>
              <w:pStyle w:val="ListParagraph"/>
              <w:numPr>
                <w:ilvl w:val="0"/>
                <w:numId w:val="2"/>
              </w:numPr>
              <w:jc w:val="both"/>
              <w:rPr>
                <w:rFonts w:cs="Times New Roman"/>
                <w:sz w:val="24"/>
                <w:szCs w:val="24"/>
              </w:rPr>
            </w:pPr>
            <w:r w:rsidRPr="00F96973">
              <w:rPr>
                <w:rFonts w:cs="Times New Roman"/>
                <w:sz w:val="24"/>
                <w:szCs w:val="24"/>
              </w:rPr>
              <w:t>Savukārt Ministru kabineta 2014.gada 19.augusta noteikumu Nr.500 “Vispārīgie būvnoteikumi” (turpmāk – MK noteikumi Nr.500) 79.punkts nosaka, ka “</w:t>
            </w:r>
            <w:r w:rsidRPr="00F96973">
              <w:rPr>
                <w:rFonts w:cs="Times New Roman"/>
                <w:i/>
                <w:sz w:val="24"/>
                <w:szCs w:val="24"/>
              </w:rPr>
              <w:t xml:space="preserve">būvatļaujā norādītie </w:t>
            </w:r>
            <w:r w:rsidRPr="00F96973">
              <w:rPr>
                <w:rFonts w:cs="Times New Roman"/>
                <w:b/>
                <w:i/>
                <w:sz w:val="24"/>
                <w:szCs w:val="24"/>
              </w:rPr>
              <w:t xml:space="preserve">būvdarbu uzsākšanas nosacījumi ir </w:t>
            </w:r>
            <w:r w:rsidRPr="00F96973">
              <w:rPr>
                <w:rFonts w:cs="Times New Roman"/>
                <w:b/>
                <w:i/>
                <w:sz w:val="24"/>
                <w:szCs w:val="24"/>
              </w:rPr>
              <w:t>jāizpilda speciālajos būvnoteikumos noteiktajā termiņā</w:t>
            </w:r>
            <w:r w:rsidRPr="00F96973">
              <w:rPr>
                <w:rFonts w:cs="Times New Roman"/>
                <w:i/>
                <w:sz w:val="24"/>
                <w:szCs w:val="24"/>
              </w:rPr>
              <w:t xml:space="preserve">. Ja pasūtītājs minētos nosacījumus norādītajā termiņā neizpilda, </w:t>
            </w:r>
            <w:r w:rsidRPr="00F96973">
              <w:rPr>
                <w:rFonts w:cs="Times New Roman"/>
                <w:b/>
                <w:i/>
                <w:sz w:val="24"/>
                <w:szCs w:val="24"/>
              </w:rPr>
              <w:t>būvatļauja pēc minētā termiņa beigām ir atceļama</w:t>
            </w:r>
            <w:r w:rsidRPr="00F96973">
              <w:rPr>
                <w:rFonts w:cs="Times New Roman"/>
                <w:sz w:val="24"/>
                <w:szCs w:val="24"/>
              </w:rPr>
              <w:t>.”</w:t>
            </w:r>
          </w:p>
          <w:p w:rsidR="00151BC8" w:rsidRPr="00F96973" w:rsidP="001F176D" w14:paraId="604435BC" w14:textId="1996363D">
            <w:pPr>
              <w:pStyle w:val="ListParagraph"/>
              <w:numPr>
                <w:ilvl w:val="0"/>
                <w:numId w:val="2"/>
              </w:numPr>
              <w:jc w:val="both"/>
              <w:rPr>
                <w:rFonts w:cs="Times New Roman"/>
                <w:sz w:val="24"/>
                <w:szCs w:val="24"/>
              </w:rPr>
            </w:pPr>
            <w:r w:rsidRPr="00F96973">
              <w:rPr>
                <w:rFonts w:cs="Times New Roman"/>
                <w:sz w:val="24"/>
                <w:szCs w:val="24"/>
              </w:rPr>
              <w:t>4.2.1.1. pasākuma pamatnosacījum</w:t>
            </w:r>
            <w:r w:rsidRPr="00F96973" w:rsidR="001F176D">
              <w:rPr>
                <w:rFonts w:cs="Times New Roman"/>
                <w:sz w:val="24"/>
                <w:szCs w:val="24"/>
              </w:rPr>
              <w:t>us</w:t>
            </w:r>
            <w:r w:rsidRPr="00F96973">
              <w:rPr>
                <w:rFonts w:cs="Times New Roman"/>
                <w:sz w:val="24"/>
                <w:szCs w:val="24"/>
              </w:rPr>
              <w:t xml:space="preserve"> nosaka Ministru kabineta 2016.gada 15.marta noteikumi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nr.160). Saskaņā ar MK noteikumiem Nr.160 projekta iesniegumus pieņem un izvērtē akciju sabiedrība “Attīstības finanšu institūcija </w:t>
            </w:r>
            <w:r w:rsidRPr="00F96973">
              <w:rPr>
                <w:rFonts w:cs="Times New Roman"/>
                <w:sz w:val="24"/>
                <w:szCs w:val="24"/>
              </w:rPr>
              <w:t>Altum</w:t>
            </w:r>
            <w:r w:rsidRPr="00F96973">
              <w:rPr>
                <w:rFonts w:cs="Times New Roman"/>
                <w:sz w:val="24"/>
                <w:szCs w:val="24"/>
              </w:rPr>
              <w:t>” (turpmāk –</w:t>
            </w:r>
            <w:r w:rsidRPr="00F96973" w:rsidR="001F176D">
              <w:rPr>
                <w:rFonts w:cs="Times New Roman"/>
                <w:sz w:val="24"/>
                <w:szCs w:val="24"/>
              </w:rPr>
              <w:t xml:space="preserve"> </w:t>
            </w:r>
            <w:r w:rsidRPr="00F96973">
              <w:rPr>
                <w:rFonts w:cs="Times New Roman"/>
                <w:sz w:val="24"/>
                <w:szCs w:val="24"/>
              </w:rPr>
              <w:t>Altum</w:t>
            </w:r>
            <w:r w:rsidRPr="00F96973">
              <w:rPr>
                <w:rFonts w:cs="Times New Roman"/>
                <w:sz w:val="24"/>
                <w:szCs w:val="24"/>
              </w:rPr>
              <w:t xml:space="preserve">). 4.2.1.1. pasākuma ietvaros iesniegto projektu vērtēšanu nosaka </w:t>
            </w:r>
            <w:r w:rsidRPr="00F96973">
              <w:rPr>
                <w:rFonts w:cs="Times New Roman"/>
                <w:sz w:val="24"/>
                <w:szCs w:val="24"/>
              </w:rPr>
              <w:t>Altum</w:t>
            </w:r>
            <w:r w:rsidRPr="00F96973">
              <w:rPr>
                <w:rFonts w:cs="Times New Roman"/>
                <w:sz w:val="24"/>
                <w:szCs w:val="24"/>
              </w:rPr>
              <w:t xml:space="preserve"> iekšējās procedūras. Papildus MK noteikumu Nr.160 50.2.apakšpunkts nosaka, ka lēmumu par ēkas energoefektivitātes pasākumu īstenošanu, tai skaitā kopējām energoefektivitātes pasākumu izmaksām pieņem attiecīgās ēkas dzīvokļu īpašnieki.</w:t>
            </w:r>
          </w:p>
          <w:p w:rsidR="00151BC8" w:rsidRPr="00F96973" w:rsidP="001F176D" w14:paraId="5D9DD80F" w14:textId="694E5391">
            <w:pPr>
              <w:spacing w:line="240" w:lineRule="auto"/>
              <w:ind w:firstLine="391"/>
              <w:jc w:val="both"/>
              <w:rPr>
                <w:rFonts w:ascii="Times New Roman" w:hAnsi="Times New Roman" w:cs="Times New Roman"/>
                <w:sz w:val="24"/>
                <w:szCs w:val="24"/>
              </w:rPr>
            </w:pPr>
            <w:r w:rsidRPr="00F96973">
              <w:rPr>
                <w:rFonts w:ascii="Times New Roman" w:hAnsi="Times New Roman" w:cs="Times New Roman"/>
                <w:sz w:val="24"/>
                <w:szCs w:val="24"/>
              </w:rPr>
              <w:t xml:space="preserve">Ņemot vērā projektu iesniedzēju gūto pieredzi projektu īstenošanas ietvaros, </w:t>
            </w:r>
            <w:r w:rsidRPr="00F96973">
              <w:rPr>
                <w:rFonts w:ascii="Times New Roman" w:hAnsi="Times New Roman" w:cs="Times New Roman"/>
                <w:b/>
                <w:sz w:val="24"/>
                <w:szCs w:val="24"/>
              </w:rPr>
              <w:t xml:space="preserve">vidējais laikposms, </w:t>
            </w:r>
            <w:r w:rsidRPr="00F96973">
              <w:rPr>
                <w:rFonts w:ascii="Times New Roman" w:hAnsi="Times New Roman" w:cs="Times New Roman"/>
                <w:sz w:val="24"/>
                <w:szCs w:val="24"/>
              </w:rPr>
              <w:t>kas nepieciešams no brīža, kad tiek izstrādāta ēkas tehniskā dokumentācija, tai skaitā, tiek veikta atzīme ēkas fasādes apliecinājuma kartē vai tiek veikta atzīme būvatļaujā par projektēšanas nosacījumu izpildi, līdz brīdim, kad iespējams uzsākt projekta ietvaros plānotos būvdarbus,</w:t>
            </w:r>
            <w:r w:rsidRPr="00F96973">
              <w:rPr>
                <w:rFonts w:ascii="Times New Roman" w:hAnsi="Times New Roman" w:cs="Times New Roman"/>
                <w:b/>
                <w:sz w:val="24"/>
                <w:szCs w:val="24"/>
              </w:rPr>
              <w:t xml:space="preserve"> </w:t>
            </w:r>
            <w:r w:rsidRPr="00F96973">
              <w:rPr>
                <w:rFonts w:ascii="Times New Roman" w:hAnsi="Times New Roman" w:cs="Times New Roman"/>
                <w:sz w:val="24"/>
                <w:szCs w:val="24"/>
              </w:rPr>
              <w:t>ir</w:t>
            </w:r>
            <w:r w:rsidRPr="00F96973">
              <w:rPr>
                <w:rFonts w:ascii="Times New Roman" w:hAnsi="Times New Roman" w:cs="Times New Roman"/>
                <w:b/>
                <w:sz w:val="24"/>
                <w:szCs w:val="24"/>
              </w:rPr>
              <w:t xml:space="preserve"> 18 – 26 mēneši</w:t>
            </w:r>
            <w:r w:rsidRPr="00F96973">
              <w:rPr>
                <w:rFonts w:ascii="Times New Roman" w:hAnsi="Times New Roman" w:cs="Times New Roman"/>
                <w:sz w:val="24"/>
                <w:szCs w:val="24"/>
              </w:rPr>
              <w:t>. Attiecīgajā laikposmā tiek veikta projekta tehniskās dokumentācijas izvērtēšana, būvdarbu iepirkuma izsludināšana un izvērtēšana, papildu finansējuma piesaistīšana un līguma slēgšana ar kredītiestādi par aizdevuma piešķiršanu attiecīgā projekta īstenošanai, kā arī cita veida ar projektu saistīto dokumentu sagatavošana un izvērtēšana. Ņemo</w:t>
            </w:r>
            <w:r w:rsidR="00C11B60">
              <w:rPr>
                <w:rFonts w:ascii="Times New Roman" w:hAnsi="Times New Roman" w:cs="Times New Roman"/>
                <w:sz w:val="24"/>
                <w:szCs w:val="24"/>
              </w:rPr>
              <w:t>t</w:t>
            </w:r>
            <w:r w:rsidRPr="00F96973">
              <w:rPr>
                <w:rFonts w:ascii="Times New Roman" w:hAnsi="Times New Roman" w:cs="Times New Roman"/>
                <w:sz w:val="24"/>
                <w:szCs w:val="24"/>
              </w:rPr>
              <w:t xml:space="preserve"> vērā gūto pieredzi, attiecīgais laikposms ir atkarīgs gan no projekta sarežģītības, gan ēkas dzīvokļu īpašnieku skaita un viņu spējas vienoties par energoefektivitātes projekta īstenošanu. </w:t>
            </w:r>
            <w:r w:rsidRPr="00F96973">
              <w:rPr>
                <w:rFonts w:ascii="Times New Roman" w:hAnsi="Times New Roman" w:cs="Times New Roman"/>
                <w:b/>
                <w:sz w:val="24"/>
                <w:szCs w:val="24"/>
              </w:rPr>
              <w:t>Pastāv gadījumi</w:t>
            </w:r>
            <w:r w:rsidRPr="00F96973">
              <w:rPr>
                <w:rFonts w:ascii="Times New Roman" w:hAnsi="Times New Roman" w:cs="Times New Roman"/>
                <w:sz w:val="24"/>
                <w:szCs w:val="24"/>
              </w:rPr>
              <w:t xml:space="preserve">, kad 4.2.1.1. pasākuma ietvaros iesniegtā projekta dokumentācijas saskaņošanai nepieciešams </w:t>
            </w:r>
            <w:r w:rsidRPr="00F96973">
              <w:rPr>
                <w:rFonts w:ascii="Times New Roman" w:hAnsi="Times New Roman" w:cs="Times New Roman"/>
                <w:b/>
                <w:sz w:val="24"/>
                <w:szCs w:val="24"/>
              </w:rPr>
              <w:t>vairāk, kā 26 mēnešu</w:t>
            </w:r>
            <w:r w:rsidRPr="00F96973">
              <w:rPr>
                <w:rFonts w:ascii="Times New Roman" w:hAnsi="Times New Roman" w:cs="Times New Roman"/>
                <w:sz w:val="24"/>
                <w:szCs w:val="24"/>
              </w:rPr>
              <w:t xml:space="preserve"> ilgs laikposms. </w:t>
            </w:r>
          </w:p>
          <w:p w:rsidR="00151BC8" w:rsidRPr="00F96973" w:rsidP="00CE6023" w14:paraId="4B8EF6D2" w14:textId="77777777">
            <w:pPr>
              <w:spacing w:line="240" w:lineRule="auto"/>
              <w:ind w:firstLine="709"/>
              <w:jc w:val="both"/>
              <w:rPr>
                <w:rFonts w:ascii="Times New Roman" w:hAnsi="Times New Roman" w:cs="Times New Roman"/>
                <w:sz w:val="24"/>
                <w:szCs w:val="24"/>
              </w:rPr>
            </w:pPr>
            <w:r w:rsidRPr="00F96973">
              <w:rPr>
                <w:rFonts w:ascii="Times New Roman" w:hAnsi="Times New Roman" w:cs="Times New Roman"/>
                <w:sz w:val="24"/>
                <w:szCs w:val="24"/>
              </w:rPr>
              <w:t xml:space="preserve">Līdz ar to secināms, ka </w:t>
            </w:r>
            <w:r w:rsidRPr="00F96973">
              <w:rPr>
                <w:rFonts w:ascii="Times New Roman" w:hAnsi="Times New Roman" w:cs="Times New Roman"/>
                <w:b/>
                <w:sz w:val="24"/>
                <w:szCs w:val="24"/>
              </w:rPr>
              <w:t>4.2.1.1. pasākuma ietvaros</w:t>
            </w:r>
            <w:r w:rsidRPr="00F96973">
              <w:rPr>
                <w:rFonts w:ascii="Times New Roman" w:hAnsi="Times New Roman" w:cs="Times New Roman"/>
                <w:sz w:val="24"/>
                <w:szCs w:val="24"/>
              </w:rPr>
              <w:t xml:space="preserve"> iesniegto projektu </w:t>
            </w:r>
            <w:r w:rsidRPr="00F96973">
              <w:rPr>
                <w:rFonts w:ascii="Times New Roman" w:hAnsi="Times New Roman" w:cs="Times New Roman"/>
                <w:b/>
                <w:sz w:val="24"/>
                <w:szCs w:val="24"/>
              </w:rPr>
              <w:t>būvniecību nereti nav iespējams uzsākt MK noteikumos Nr.529 noteiktajā termiņā</w:t>
            </w:r>
            <w:r w:rsidRPr="00F96973">
              <w:rPr>
                <w:rFonts w:ascii="Times New Roman" w:hAnsi="Times New Roman" w:cs="Times New Roman"/>
                <w:sz w:val="24"/>
                <w:szCs w:val="24"/>
              </w:rPr>
              <w:t xml:space="preserve">. Papildus informējam, ka esam konstatējuši, </w:t>
            </w:r>
            <w:r w:rsidRPr="00F96973">
              <w:rPr>
                <w:rFonts w:ascii="Times New Roman" w:hAnsi="Times New Roman" w:cs="Times New Roman"/>
                <w:sz w:val="24"/>
                <w:szCs w:val="24"/>
              </w:rPr>
              <w:t xml:space="preserve">ka </w:t>
            </w:r>
            <w:r w:rsidRPr="00F96973">
              <w:rPr>
                <w:rFonts w:ascii="Times New Roman" w:hAnsi="Times New Roman" w:cs="Times New Roman"/>
                <w:b/>
                <w:sz w:val="24"/>
                <w:szCs w:val="24"/>
              </w:rPr>
              <w:t>ir apdraudēta vairāku</w:t>
            </w:r>
            <w:r w:rsidRPr="00F96973">
              <w:rPr>
                <w:rFonts w:ascii="Times New Roman" w:hAnsi="Times New Roman" w:cs="Times New Roman"/>
                <w:sz w:val="24"/>
                <w:szCs w:val="24"/>
              </w:rPr>
              <w:t xml:space="preserve"> tādu daudzdzīvokļu ēku energoefektivitātes </w:t>
            </w:r>
            <w:r w:rsidRPr="00F96973">
              <w:rPr>
                <w:rFonts w:ascii="Times New Roman" w:hAnsi="Times New Roman" w:cs="Times New Roman"/>
                <w:b/>
                <w:sz w:val="24"/>
                <w:szCs w:val="24"/>
              </w:rPr>
              <w:t>projektu īstenošana</w:t>
            </w:r>
            <w:r w:rsidRPr="00F96973">
              <w:rPr>
                <w:rFonts w:ascii="Times New Roman" w:hAnsi="Times New Roman" w:cs="Times New Roman"/>
                <w:sz w:val="24"/>
                <w:szCs w:val="24"/>
              </w:rPr>
              <w:t>, kuru ietvaros būvvalde 2016.gadā veikusi atzīmi ēkas fasādes apliecinājuma kartē vai veikusi atzīmi būvatļaujā par projektēšanas nosacījumu izpildi.</w:t>
            </w:r>
          </w:p>
          <w:p w:rsidR="00151BC8" w:rsidRPr="00F96973" w:rsidP="00CE6023" w14:paraId="709854C3" w14:textId="77777777">
            <w:pPr>
              <w:spacing w:line="240" w:lineRule="auto"/>
              <w:ind w:firstLine="709"/>
              <w:jc w:val="both"/>
              <w:rPr>
                <w:rFonts w:ascii="Times New Roman" w:hAnsi="Times New Roman" w:cs="Times New Roman"/>
                <w:b/>
                <w:sz w:val="24"/>
                <w:szCs w:val="24"/>
              </w:rPr>
            </w:pPr>
            <w:r w:rsidRPr="00F96973">
              <w:rPr>
                <w:rFonts w:ascii="Times New Roman" w:hAnsi="Times New Roman" w:cs="Times New Roman"/>
                <w:b/>
                <w:sz w:val="24"/>
                <w:szCs w:val="24"/>
              </w:rPr>
              <w:t>Ja netiks rasta iespēja pagarināt MK noteikumos Nr.529 noteikto termiņu, kādā realizējama būvniecība:</w:t>
            </w:r>
          </w:p>
          <w:p w:rsidR="00151BC8" w:rsidRPr="00F96973" w:rsidP="00CE6023" w14:paraId="1EF8A06C" w14:textId="7AA1E436">
            <w:pPr>
              <w:pStyle w:val="ListParagraph"/>
              <w:numPr>
                <w:ilvl w:val="0"/>
                <w:numId w:val="1"/>
              </w:numPr>
              <w:ind w:left="249" w:hanging="249"/>
              <w:jc w:val="both"/>
              <w:rPr>
                <w:rFonts w:cs="Times New Roman"/>
                <w:sz w:val="24"/>
                <w:szCs w:val="24"/>
              </w:rPr>
            </w:pPr>
            <w:r w:rsidRPr="00F96973">
              <w:rPr>
                <w:rFonts w:cs="Times New Roman"/>
                <w:sz w:val="24"/>
                <w:szCs w:val="24"/>
              </w:rPr>
              <w:t xml:space="preserve">tiks </w:t>
            </w:r>
            <w:r w:rsidRPr="00F96973">
              <w:rPr>
                <w:rFonts w:cs="Times New Roman"/>
                <w:b/>
                <w:sz w:val="24"/>
                <w:szCs w:val="24"/>
              </w:rPr>
              <w:t xml:space="preserve">apdraudēta vismaz </w:t>
            </w:r>
            <w:r w:rsidR="00C11B60">
              <w:rPr>
                <w:rFonts w:cs="Times New Roman"/>
                <w:b/>
                <w:sz w:val="24"/>
                <w:szCs w:val="24"/>
              </w:rPr>
              <w:t>30</w:t>
            </w:r>
            <w:r w:rsidRPr="00F96973">
              <w:rPr>
                <w:rFonts w:cs="Times New Roman"/>
                <w:b/>
                <w:sz w:val="24"/>
                <w:szCs w:val="24"/>
              </w:rPr>
              <w:t xml:space="preserve"> projektu</w:t>
            </w:r>
            <w:r w:rsidR="00D874B9">
              <w:rPr>
                <w:rFonts w:cs="Times New Roman"/>
                <w:b/>
                <w:sz w:val="24"/>
                <w:szCs w:val="24"/>
              </w:rPr>
              <w:t xml:space="preserve"> </w:t>
            </w:r>
            <w:r w:rsidRPr="00F96973">
              <w:rPr>
                <w:rFonts w:cs="Times New Roman"/>
                <w:b/>
                <w:sz w:val="24"/>
                <w:szCs w:val="24"/>
              </w:rPr>
              <w:t>īstenošana</w:t>
            </w:r>
            <w:r w:rsidRPr="00F96973">
              <w:rPr>
                <w:rFonts w:cs="Times New Roman"/>
                <w:sz w:val="24"/>
                <w:szCs w:val="24"/>
              </w:rPr>
              <w:t xml:space="preserve"> 4.2.1.1. pasākuma ietvaros;</w:t>
            </w:r>
          </w:p>
          <w:p w:rsidR="00151BC8" w:rsidRPr="00F96973" w:rsidP="00CE6023" w14:paraId="432F1225" w14:textId="43514495">
            <w:pPr>
              <w:pStyle w:val="ListParagraph"/>
              <w:numPr>
                <w:ilvl w:val="0"/>
                <w:numId w:val="1"/>
              </w:numPr>
              <w:ind w:left="249" w:hanging="249"/>
              <w:jc w:val="both"/>
              <w:rPr>
                <w:rFonts w:cs="Times New Roman"/>
                <w:sz w:val="24"/>
                <w:szCs w:val="24"/>
              </w:rPr>
            </w:pPr>
            <w:r w:rsidRPr="00F96973">
              <w:rPr>
                <w:rFonts w:cs="Times New Roman"/>
                <w:sz w:val="24"/>
                <w:szCs w:val="24"/>
              </w:rPr>
              <w:t xml:space="preserve">tiks </w:t>
            </w:r>
            <w:r w:rsidRPr="00F96973">
              <w:rPr>
                <w:rFonts w:cs="Times New Roman"/>
                <w:b/>
                <w:sz w:val="24"/>
                <w:szCs w:val="24"/>
              </w:rPr>
              <w:t>apdraudēta</w:t>
            </w:r>
            <w:r w:rsidRPr="00F96973">
              <w:rPr>
                <w:rFonts w:cs="Times New Roman"/>
                <w:sz w:val="24"/>
                <w:szCs w:val="24"/>
              </w:rPr>
              <w:t xml:space="preserve"> līdz 2018.gada 31.decembrim 4.2.1.1. pasākuma ietvaros noteikt</w:t>
            </w:r>
            <w:r w:rsidR="00194231">
              <w:rPr>
                <w:rFonts w:cs="Times New Roman"/>
                <w:sz w:val="24"/>
                <w:szCs w:val="24"/>
              </w:rPr>
              <w:t>o</w:t>
            </w:r>
            <w:r w:rsidRPr="00F96973">
              <w:rPr>
                <w:rFonts w:cs="Times New Roman"/>
                <w:sz w:val="24"/>
                <w:szCs w:val="24"/>
              </w:rPr>
              <w:t xml:space="preserve"> </w:t>
            </w:r>
            <w:r w:rsidRPr="00F96973">
              <w:rPr>
                <w:rFonts w:cs="Times New Roman"/>
                <w:b/>
                <w:sz w:val="24"/>
                <w:szCs w:val="24"/>
              </w:rPr>
              <w:t>rādītāj</w:t>
            </w:r>
            <w:r w:rsidR="00194231">
              <w:rPr>
                <w:rFonts w:cs="Times New Roman"/>
                <w:b/>
                <w:sz w:val="24"/>
                <w:szCs w:val="24"/>
              </w:rPr>
              <w:t>u</w:t>
            </w:r>
            <w:r w:rsidRPr="00F96973">
              <w:rPr>
                <w:rFonts w:cs="Times New Roman"/>
                <w:b/>
                <w:sz w:val="24"/>
                <w:szCs w:val="24"/>
              </w:rPr>
              <w:t xml:space="preserve"> sasniegšana</w:t>
            </w:r>
            <w:r w:rsidR="00D153EC">
              <w:rPr>
                <w:rFonts w:cs="Times New Roman"/>
                <w:sz w:val="24"/>
                <w:szCs w:val="24"/>
              </w:rPr>
              <w:t xml:space="preserve">. Darbības programmā “Izaugsme un nodarbinātība” noteikts, ka līdz 2018. 31. decembrim 4.2.1.1. pasākuma ietvaros </w:t>
            </w:r>
            <w:r w:rsidR="00D874B9">
              <w:rPr>
                <w:rFonts w:cs="Times New Roman"/>
                <w:sz w:val="24"/>
                <w:szCs w:val="24"/>
              </w:rPr>
              <w:t>noslēgto līgumu skaits par daudzdzīvokļu ēku energoefektivitātes paaugstināšanu ir 70 līgumi</w:t>
            </w:r>
            <w:r w:rsidRPr="00F96973">
              <w:rPr>
                <w:rFonts w:cs="Times New Roman"/>
                <w:sz w:val="24"/>
                <w:szCs w:val="24"/>
              </w:rPr>
              <w:t>;</w:t>
            </w:r>
          </w:p>
          <w:p w:rsidR="00151BC8" w:rsidP="006F2166" w14:paraId="7FD7F725" w14:textId="646AF864">
            <w:pPr>
              <w:pStyle w:val="ListParagraph"/>
              <w:numPr>
                <w:ilvl w:val="0"/>
                <w:numId w:val="1"/>
              </w:numPr>
              <w:ind w:left="249" w:hanging="249"/>
              <w:jc w:val="both"/>
              <w:rPr>
                <w:rFonts w:cs="Times New Roman"/>
                <w:sz w:val="24"/>
                <w:szCs w:val="24"/>
              </w:rPr>
            </w:pPr>
            <w:r w:rsidRPr="006F2166">
              <w:rPr>
                <w:rFonts w:cs="Times New Roman"/>
                <w:sz w:val="24"/>
                <w:szCs w:val="24"/>
              </w:rPr>
              <w:t xml:space="preserve">pastāv risks, ka pēc </w:t>
            </w:r>
            <w:r w:rsidRPr="006F2166" w:rsidR="007B5817">
              <w:rPr>
                <w:rFonts w:cs="Times New Roman"/>
                <w:sz w:val="24"/>
                <w:szCs w:val="24"/>
              </w:rPr>
              <w:t xml:space="preserve">Eiropas Savienības struktūrfondu un Kohēzijas fonda 2014.-2020.gada plānošanas perioda </w:t>
            </w:r>
            <w:r w:rsidRPr="006F2166">
              <w:rPr>
                <w:rFonts w:cs="Times New Roman"/>
                <w:sz w:val="24"/>
                <w:szCs w:val="24"/>
              </w:rPr>
              <w:t xml:space="preserve">rādītāju </w:t>
            </w:r>
            <w:r w:rsidRPr="006F2166" w:rsidR="007B5817">
              <w:rPr>
                <w:rFonts w:cs="Times New Roman"/>
                <w:sz w:val="24"/>
                <w:szCs w:val="24"/>
              </w:rPr>
              <w:t>izvērtēj</w:t>
            </w:r>
            <w:r w:rsidRPr="006F2166" w:rsidR="00C11B60">
              <w:rPr>
                <w:rFonts w:cs="Times New Roman"/>
                <w:sz w:val="24"/>
                <w:szCs w:val="24"/>
              </w:rPr>
              <w:t>u</w:t>
            </w:r>
            <w:r w:rsidRPr="006F2166" w:rsidR="007B5817">
              <w:rPr>
                <w:rFonts w:cs="Times New Roman"/>
                <w:sz w:val="24"/>
                <w:szCs w:val="24"/>
              </w:rPr>
              <w:t>ma</w:t>
            </w:r>
            <w:r w:rsidRPr="006F2166" w:rsidR="007B5817">
              <w:rPr>
                <w:rFonts w:cs="Times New Roman"/>
                <w:sz w:val="24"/>
                <w:szCs w:val="24"/>
              </w:rPr>
              <w:t>,</w:t>
            </w:r>
            <w:r w:rsidRPr="006F2166">
              <w:rPr>
                <w:rFonts w:cs="Times New Roman"/>
                <w:sz w:val="24"/>
                <w:szCs w:val="24"/>
              </w:rPr>
              <w:t xml:space="preserve"> par rādītājiem, kas sasniegti līdz 2018.gada 31.decembrim, tai skaitā</w:t>
            </w:r>
            <w:r w:rsidRPr="006F2166" w:rsidR="00885C51">
              <w:rPr>
                <w:rFonts w:cs="Times New Roman"/>
                <w:sz w:val="24"/>
                <w:szCs w:val="24"/>
              </w:rPr>
              <w:t xml:space="preserve"> </w:t>
            </w:r>
            <w:r w:rsidRPr="006F2166">
              <w:rPr>
                <w:rFonts w:cs="Times New Roman"/>
                <w:sz w:val="24"/>
                <w:szCs w:val="24"/>
              </w:rPr>
              <w:t xml:space="preserve"> </w:t>
            </w:r>
            <w:r w:rsidRPr="006F2166" w:rsidR="00D874B9">
              <w:rPr>
                <w:rFonts w:cs="Times New Roman"/>
                <w:sz w:val="24"/>
                <w:szCs w:val="24"/>
              </w:rPr>
              <w:t>4.2.1.1. pasākuma ietvaros noslēgtie līgumi</w:t>
            </w:r>
            <w:r w:rsidRPr="00EA3E94">
              <w:rPr>
                <w:rFonts w:cs="Times New Roman"/>
                <w:sz w:val="24"/>
                <w:szCs w:val="24"/>
              </w:rPr>
              <w:t xml:space="preserve">, 4.2.1.1. pasākumam </w:t>
            </w:r>
            <w:r w:rsidRPr="00EA3E94">
              <w:rPr>
                <w:rFonts w:cs="Times New Roman"/>
                <w:b/>
                <w:sz w:val="24"/>
                <w:szCs w:val="24"/>
              </w:rPr>
              <w:t xml:space="preserve">netiks piešķirta snieguma rezerve </w:t>
            </w:r>
            <w:r w:rsidRPr="00EA3E94" w:rsidR="002331DD">
              <w:rPr>
                <w:sz w:val="24"/>
                <w:szCs w:val="24"/>
              </w:rPr>
              <w:t xml:space="preserve">10 672 493 </w:t>
            </w:r>
            <w:r w:rsidRPr="00EA3E94" w:rsidR="002331DD">
              <w:rPr>
                <w:i/>
                <w:iCs/>
                <w:sz w:val="24"/>
                <w:szCs w:val="24"/>
              </w:rPr>
              <w:t>euro</w:t>
            </w:r>
            <w:r w:rsidRPr="00EA3E94" w:rsidR="002331DD">
              <w:rPr>
                <w:sz w:val="24"/>
                <w:szCs w:val="24"/>
              </w:rPr>
              <w:t xml:space="preserve"> apmērā</w:t>
            </w:r>
            <w:r w:rsidRPr="006F2166">
              <w:rPr>
                <w:rFonts w:cs="Times New Roman"/>
                <w:sz w:val="24"/>
                <w:szCs w:val="24"/>
              </w:rPr>
              <w:t xml:space="preserve">. Ņemot vērā vidējās daudzdzīvokļu ēkas energoefektivitātes paaugstināšanas projekta izmaksas, ar attiecīgā finansējuma palīdzību 4.2.1.1. pasākuma ietvaros iespējams piešķirt </w:t>
            </w:r>
            <w:r w:rsidRPr="006F2166">
              <w:rPr>
                <w:rFonts w:cs="Times New Roman"/>
                <w:sz w:val="24"/>
                <w:szCs w:val="24"/>
              </w:rPr>
              <w:t>grantu</w:t>
            </w:r>
            <w:r w:rsidRPr="006F2166">
              <w:rPr>
                <w:rFonts w:cs="Times New Roman"/>
                <w:sz w:val="24"/>
                <w:szCs w:val="24"/>
              </w:rPr>
              <w:t xml:space="preserve"> aptuveni </w:t>
            </w:r>
            <w:r w:rsidRPr="006F2166">
              <w:rPr>
                <w:rFonts w:cs="Times New Roman"/>
                <w:b/>
                <w:sz w:val="24"/>
                <w:szCs w:val="24"/>
              </w:rPr>
              <w:t>80 vidēja izmēra daudzdzīvokļu ēku energoefektivitātes paaugstināšanas projektu īstenošanai</w:t>
            </w:r>
            <w:r w:rsidRPr="006F2166">
              <w:rPr>
                <w:rFonts w:cs="Times New Roman"/>
                <w:sz w:val="24"/>
                <w:szCs w:val="24"/>
              </w:rPr>
              <w:t>, kas ir nozīmīgs ieguldījums dzīvojamā fonda atjaunošanā.</w:t>
            </w:r>
          </w:p>
          <w:p w:rsidR="00E5323B" w:rsidP="00820CC1" w14:paraId="1C59312B" w14:textId="77777777">
            <w:pPr>
              <w:pStyle w:val="NormalWeb"/>
              <w:spacing w:before="0" w:after="0"/>
              <w:ind w:right="13" w:firstLine="720"/>
              <w:jc w:val="both"/>
            </w:pPr>
            <w:r w:rsidRPr="00F96973">
              <w:t>Līdz ar to,</w:t>
            </w:r>
            <w:r w:rsidRPr="00F96973" w:rsidR="00CE6023">
              <w:rPr>
                <w:iCs/>
              </w:rPr>
              <w:t xml:space="preserve"> Ministru kabineta 2014. gada 2. septembra noteikum</w:t>
            </w:r>
            <w:r w:rsidRPr="00F96973">
              <w:rPr>
                <w:iCs/>
              </w:rPr>
              <w:t>os</w:t>
            </w:r>
            <w:r w:rsidRPr="00F96973" w:rsidR="00CE6023">
              <w:rPr>
                <w:iCs/>
              </w:rPr>
              <w:t xml:space="preserve"> Nr. 529 “Ēku būvnoteikumi” 50. un 56.punkt</w:t>
            </w:r>
            <w:r w:rsidRPr="00F96973">
              <w:rPr>
                <w:iCs/>
              </w:rPr>
              <w:t>os</w:t>
            </w:r>
            <w:r w:rsidRPr="00F96973" w:rsidR="00CE6023">
              <w:rPr>
                <w:iCs/>
              </w:rPr>
              <w:t xml:space="preserve">, </w:t>
            </w:r>
            <w:r w:rsidRPr="00F96973">
              <w:rPr>
                <w:iCs/>
              </w:rPr>
              <w:t xml:space="preserve">tiek </w:t>
            </w:r>
            <w:r w:rsidRPr="00F96973" w:rsidR="00CE6023">
              <w:rPr>
                <w:iCs/>
              </w:rPr>
              <w:t>pagarin</w:t>
            </w:r>
            <w:r w:rsidRPr="00F96973">
              <w:rPr>
                <w:iCs/>
              </w:rPr>
              <w:t>āts</w:t>
            </w:r>
            <w:r w:rsidRPr="00F96973" w:rsidR="00CE6023">
              <w:rPr>
                <w:iCs/>
              </w:rPr>
              <w:t xml:space="preserve"> </w:t>
            </w:r>
            <w:r w:rsidRPr="00F96973" w:rsidR="00CE6023">
              <w:t>termiņ</w:t>
            </w:r>
            <w:r w:rsidRPr="00F96973">
              <w:t>š</w:t>
            </w:r>
            <w:r w:rsidRPr="00F96973" w:rsidR="00CE6023">
              <w:t>, kādā realizējama būvniecība pēc būvvaldes atzīmes veikšanas ēkas fasādes apliecinājuma kartē vai atzīmes veikšanas būvatļaujā par projektēšanas nosacījumu izpildi un nosakot to pieci gadi. Noteikumi tiek papildināti ar jaunu 228.</w:t>
            </w:r>
            <w:r w:rsidR="00B87772">
              <w:t xml:space="preserve"> un 229.</w:t>
            </w:r>
            <w:r w:rsidRPr="00F96973" w:rsidR="00CE6023">
              <w:t>punktu, kurā nosacījum</w:t>
            </w:r>
            <w:r w:rsidRPr="00F96973">
              <w:t xml:space="preserve">i tiek </w:t>
            </w:r>
            <w:r w:rsidRPr="00F96973" w:rsidR="00CE6023">
              <w:t>attiecin</w:t>
            </w:r>
            <w:r w:rsidRPr="00F96973">
              <w:t>āti</w:t>
            </w:r>
            <w:r w:rsidRPr="00F96973" w:rsidR="00CE6023">
              <w:t xml:space="preserve"> uz ēku </w:t>
            </w:r>
            <w:r w:rsidR="00B87772">
              <w:t>būvniecības iecerēm</w:t>
            </w:r>
            <w:r w:rsidRPr="00F96973" w:rsidR="00CE6023">
              <w:t xml:space="preserve">, kam atzīme ēkas fasādes apliecinājuma kartē </w:t>
            </w:r>
            <w:r w:rsidR="00B87772">
              <w:t xml:space="preserve">par </w:t>
            </w:r>
            <w:r w:rsidRPr="00B90880" w:rsidR="00B87772">
              <w:t xml:space="preserve">akceptu veikta </w:t>
            </w:r>
            <w:r w:rsidRPr="00B90880" w:rsidR="00CE6023">
              <w:t xml:space="preserve">vai būvatļaujā </w:t>
            </w:r>
            <w:r w:rsidRPr="00B90880" w:rsidR="00B87772">
              <w:t xml:space="preserve">izdota </w:t>
            </w:r>
            <w:r w:rsidRPr="00B90880" w:rsidR="00CE6023">
              <w:t>pēc 2014.gada 1.oktobra</w:t>
            </w:r>
            <w:r w:rsidRPr="00B90880" w:rsidR="00B87772">
              <w:t>.</w:t>
            </w:r>
            <w:r w:rsidRPr="00B90880" w:rsidR="006F2166">
              <w:t xml:space="preserve"> Šis </w:t>
            </w:r>
            <w:r w:rsidRPr="00B90880" w:rsidR="00820CC1">
              <w:t xml:space="preserve">atskaites </w:t>
            </w:r>
            <w:r w:rsidRPr="00B90880" w:rsidR="006F2166">
              <w:t>datums noteikts</w:t>
            </w:r>
            <w:r w:rsidRPr="00B90880" w:rsidR="00EA3E94">
              <w:t xml:space="preserve"> saistībā ar būtiskām normatīvā regulējuma izmaiņām, kas saistītas ar </w:t>
            </w:r>
            <w:r w:rsidRPr="00B90880" w:rsidR="006F2166">
              <w:t>2014.gada 1.oktobrī</w:t>
            </w:r>
            <w:r w:rsidRPr="00B90880" w:rsidR="00EA3E94">
              <w:t xml:space="preserve"> spēkā</w:t>
            </w:r>
            <w:r w:rsidRPr="00B90880" w:rsidR="006F2166">
              <w:t xml:space="preserve"> stāj</w:t>
            </w:r>
            <w:r w:rsidRPr="00B90880" w:rsidR="00EA3E94">
              <w:t xml:space="preserve">ušos </w:t>
            </w:r>
            <w:r w:rsidRPr="00B90880" w:rsidR="006F2166">
              <w:t>jaun</w:t>
            </w:r>
            <w:r w:rsidRPr="00B90880" w:rsidR="00EA3E94">
              <w:t>o</w:t>
            </w:r>
            <w:r w:rsidRPr="00B90880" w:rsidR="006F2166">
              <w:t xml:space="preserve"> Būvniecības likum</w:t>
            </w:r>
            <w:r w:rsidRPr="00B90880" w:rsidR="00EA3E94">
              <w:t>u.</w:t>
            </w:r>
          </w:p>
          <w:p w:rsidR="00042E07" w:rsidRPr="00820CC1" w:rsidP="00042E07" w14:paraId="35916F1A" w14:textId="4DFD090B">
            <w:pPr>
              <w:pStyle w:val="NormalWeb"/>
              <w:spacing w:before="0" w:after="0"/>
              <w:ind w:right="13" w:firstLine="720"/>
              <w:jc w:val="both"/>
            </w:pPr>
            <w:bookmarkStart w:id="1" w:name="_Hlk510794371"/>
            <w:r>
              <w:t>Papildus informējam, ka, izstrādājot attiecīgos grozījumus</w:t>
            </w:r>
            <w:r w:rsidR="00492739">
              <w:t xml:space="preserve"> ar atpakaļejošu spēku,</w:t>
            </w:r>
            <w:r>
              <w:t xml:space="preserve"> Ekonomikas ministrija ir secinājusi, ka tie nerada negatīvu ietekmi </w:t>
            </w:r>
            <w:r>
              <w:t xml:space="preserve">uz nevienu sabiedrības grupu vai personu, kura izstrādājusi, izsniegusi vai ieguvusi būvatļauju </w:t>
            </w:r>
            <w:r w:rsidRPr="00F96973" w:rsidR="00492739">
              <w:t>par projektēšanas nosacījumu izpildi</w:t>
            </w:r>
            <w:r w:rsidR="00492739">
              <w:t xml:space="preserve"> </w:t>
            </w:r>
            <w:r>
              <w:t xml:space="preserve">vai apliecinājuma karti, kā arī attiecīgie grozījumi nerada risku, ka kāda no iepriekš minētajām personām vai sabiedrības grupām varētu tikt diskriminēta. </w:t>
            </w:r>
            <w:r w:rsidR="00492739">
              <w:t xml:space="preserve">Ekonomikas ministrija, konsultējoties ar sadarbības partneriem, nav saņēmusi negatīvus iebildumus par plānotajiem grozījumiem. </w:t>
            </w:r>
            <w:r>
              <w:t xml:space="preserve">Papildus informējam, ka būvniecības sektora provizoriskās noslodzes dēļ, kas radusies </w:t>
            </w:r>
            <w:r w:rsidR="00492739">
              <w:t>intensīvās</w:t>
            </w:r>
            <w:r>
              <w:t xml:space="preserve"> ES struktūrfondu līdzfinansēto atbalsta programmu ieviešanas dēļ, veiktie grozījumi provizoriski samazinās risku būvdarbu veicēju trūkuma dēļ neīstenot tādus būvniecības projektus, par kuriem būvatļaujas</w:t>
            </w:r>
            <w:r w:rsidR="00492739">
              <w:t xml:space="preserve"> </w:t>
            </w:r>
            <w:r w:rsidRPr="00F96973" w:rsidR="00492739">
              <w:t>par projektēšanas nosacījumu izpildi</w:t>
            </w:r>
            <w:r w:rsidR="00492739">
              <w:t xml:space="preserve"> </w:t>
            </w:r>
            <w:r>
              <w:t>vai apliecinājumu kartes ir saņemtas 2017. un 2018.gadā.</w:t>
            </w:r>
            <w:bookmarkEnd w:id="1"/>
          </w:p>
        </w:tc>
      </w:tr>
      <w:tr w14:paraId="750704F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2BC70AE6"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0DF9F01A"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FE6333" w:rsidRPr="00F96973" w:rsidP="00E5323B" w14:paraId="3716C6F6" w14:textId="66D572F3">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Ekonomikas ministrija</w:t>
            </w:r>
          </w:p>
          <w:p w:rsidR="00FE6333" w:rsidRPr="00F96973" w:rsidP="00E5323B" w14:paraId="76CCE41F"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Latvijas pašvaldību savienība</w:t>
            </w:r>
          </w:p>
          <w:p w:rsidR="00E5323B" w:rsidRPr="00F96973" w:rsidP="00E5323B" w14:paraId="0FD003A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Latvijas lielo pilsētu asociācija</w:t>
            </w:r>
          </w:p>
          <w:p w:rsidR="00FE6333" w:rsidRPr="00F96973" w:rsidP="00FE6333" w14:paraId="487CC10E" w14:textId="47ADC3BA">
            <w:pPr>
              <w:spacing w:after="0" w:line="240" w:lineRule="auto"/>
              <w:jc w:val="both"/>
              <w:rPr>
                <w:rFonts w:ascii="Times New Roman" w:eastAsia="Times New Roman" w:hAnsi="Times New Roman" w:cs="Times New Roman"/>
                <w:iCs/>
                <w:sz w:val="24"/>
                <w:szCs w:val="24"/>
                <w:lang w:eastAsia="lv-LV"/>
              </w:rPr>
            </w:pPr>
            <w:r w:rsidRPr="00F96973">
              <w:rPr>
                <w:rFonts w:ascii="Times New Roman" w:hAnsi="Times New Roman" w:cs="Times New Roman"/>
                <w:sz w:val="24"/>
                <w:szCs w:val="24"/>
              </w:rPr>
              <w:t xml:space="preserve">Akciju sabiedrība “Attīstības finanšu institūcija </w:t>
            </w:r>
            <w:r w:rsidRPr="00F96973">
              <w:rPr>
                <w:rFonts w:ascii="Times New Roman" w:hAnsi="Times New Roman" w:cs="Times New Roman"/>
                <w:sz w:val="24"/>
                <w:szCs w:val="24"/>
              </w:rPr>
              <w:t>Altum</w:t>
            </w:r>
            <w:r w:rsidRPr="00F96973">
              <w:rPr>
                <w:rFonts w:ascii="Times New Roman" w:hAnsi="Times New Roman" w:cs="Times New Roman"/>
                <w:sz w:val="24"/>
                <w:szCs w:val="24"/>
              </w:rPr>
              <w:t>”</w:t>
            </w:r>
          </w:p>
        </w:tc>
      </w:tr>
      <w:tr w14:paraId="66E5D65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29571BA7"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0DCCA2EC"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6973" w:rsidP="00E5323B" w14:paraId="7E92F59F"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rsidR="00E5323B" w:rsidRPr="00F96973" w:rsidP="00E5323B" w14:paraId="1A5B9727"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81"/>
        <w:gridCol w:w="3068"/>
        <w:gridCol w:w="5406"/>
      </w:tblGrid>
      <w:tr w14:paraId="2C4469F7" w14:textId="77777777" w:rsidTr="00B00576">
        <w:tblPrEx>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Ex>
        <w:trPr>
          <w:tblCellSpacing w:w="15" w:type="dxa"/>
        </w:trPr>
        <w:tc>
          <w:tcPr>
            <w:tcW w:w="0" w:type="auto"/>
            <w:gridSpan w:val="3"/>
            <w:vAlign w:val="center"/>
            <w:hideMark/>
          </w:tcPr>
          <w:p w:rsidR="00655F2C" w:rsidRPr="00F96973" w:rsidP="00E5323B" w14:paraId="46C26FB6"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0431C771"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57A20232"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hideMark/>
          </w:tcPr>
          <w:p w:rsidR="00E5323B" w:rsidRPr="00F96973" w:rsidP="00E5323B" w14:paraId="7D3B0D5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Sabiedrības </w:t>
            </w:r>
            <w:r w:rsidRPr="00F96973">
              <w:rPr>
                <w:rFonts w:ascii="Times New Roman" w:eastAsia="Times New Roman" w:hAnsi="Times New Roman" w:cs="Times New Roman"/>
                <w:iCs/>
                <w:sz w:val="24"/>
                <w:szCs w:val="24"/>
                <w:lang w:eastAsia="lv-LV"/>
              </w:rPr>
              <w:t>mērķgrupas</w:t>
            </w:r>
            <w:r w:rsidRPr="00F96973">
              <w:rPr>
                <w:rFonts w:ascii="Times New Roman" w:eastAsia="Times New Roman" w:hAnsi="Times New Roman" w:cs="Times New Roman"/>
                <w:iCs/>
                <w:sz w:val="24"/>
                <w:szCs w:val="24"/>
                <w:lang w:eastAsia="lv-LV"/>
              </w:rPr>
              <w:t>, kuras tiesiskais regulējums ietekmē vai varētu ietekmēt</w:t>
            </w:r>
          </w:p>
        </w:tc>
        <w:tc>
          <w:tcPr>
            <w:tcW w:w="3000" w:type="pct"/>
            <w:hideMark/>
          </w:tcPr>
          <w:p w:rsidR="00E5323B" w:rsidRPr="00F96973" w:rsidP="00810A55" w14:paraId="5D7C4A0D" w14:textId="5F46F320">
            <w:pPr>
              <w:spacing w:after="0" w:line="240" w:lineRule="auto"/>
              <w:jc w:val="both"/>
              <w:rPr>
                <w:rFonts w:ascii="Times New Roman" w:hAnsi="Times New Roman" w:cs="Times New Roman"/>
                <w:sz w:val="24"/>
                <w:szCs w:val="24"/>
              </w:rPr>
            </w:pPr>
            <w:r w:rsidRPr="00F96973">
              <w:rPr>
                <w:rFonts w:ascii="Times New Roman" w:eastAsia="Times New Roman" w:hAnsi="Times New Roman" w:cs="Times New Roman"/>
                <w:iCs/>
                <w:sz w:val="24"/>
                <w:szCs w:val="24"/>
                <w:lang w:eastAsia="lv-LV"/>
              </w:rPr>
              <w:t xml:space="preserve">Noteikumu projekta regulējums ietekmē personas, kuras ierosinās un veiks būvniecību, kā arī institūcijas, kuras iesaistītas būvniecības procesā attiecībā uz </w:t>
            </w:r>
            <w:r w:rsidRPr="00F96973" w:rsidR="00267B5C">
              <w:rPr>
                <w:rFonts w:ascii="Times New Roman" w:hAnsi="Times New Roman" w:cs="Times New Roman"/>
                <w:sz w:val="24"/>
                <w:szCs w:val="24"/>
              </w:rPr>
              <w:t xml:space="preserve">Eiropas Savienības struktūrfondu un Kohēzijas fonda 2014.-2020.gada plānošanas perioda </w:t>
            </w:r>
            <w:r w:rsidRPr="00F96973" w:rsidR="007B5817">
              <w:rPr>
                <w:rFonts w:ascii="Times New Roman" w:hAnsi="Times New Roman" w:cs="Times New Roman"/>
                <w:sz w:val="24"/>
                <w:szCs w:val="24"/>
              </w:rPr>
              <w:t xml:space="preserve">finansējuma </w:t>
            </w:r>
            <w:r w:rsidRPr="00F96973" w:rsidR="00FE6333">
              <w:rPr>
                <w:rFonts w:ascii="Times New Roman" w:hAnsi="Times New Roman" w:cs="Times New Roman"/>
                <w:sz w:val="24"/>
                <w:szCs w:val="24"/>
              </w:rPr>
              <w:t>apguv</w:t>
            </w:r>
            <w:r w:rsidRPr="00F96973" w:rsidR="007B5817">
              <w:rPr>
                <w:rFonts w:ascii="Times New Roman" w:hAnsi="Times New Roman" w:cs="Times New Roman"/>
                <w:sz w:val="24"/>
                <w:szCs w:val="24"/>
              </w:rPr>
              <w:t>i.</w:t>
            </w:r>
          </w:p>
        </w:tc>
      </w:tr>
      <w:tr w14:paraId="3CB710C4"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04BCF10D"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hideMark/>
          </w:tcPr>
          <w:p w:rsidR="00E5323B" w:rsidRPr="00F96973" w:rsidP="00E5323B" w14:paraId="5F783FA3"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rsidR="00E5323B" w:rsidRPr="00F96973" w:rsidP="00810A55" w14:paraId="232E27BC" w14:textId="6F174A8B">
            <w:pPr>
              <w:spacing w:after="0" w:line="240" w:lineRule="auto"/>
              <w:jc w:val="both"/>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Personām, kuras ierosinās un veiks būvniecību tiesības </w:t>
            </w:r>
            <w:r w:rsidRPr="00F96973" w:rsidR="001F176D">
              <w:rPr>
                <w:rFonts w:ascii="Times New Roman" w:eastAsia="Times New Roman" w:hAnsi="Times New Roman" w:cs="Times New Roman"/>
                <w:iCs/>
                <w:sz w:val="24"/>
                <w:szCs w:val="24"/>
                <w:lang w:eastAsia="lv-LV"/>
              </w:rPr>
              <w:t xml:space="preserve">tiek paplašinātas, </w:t>
            </w:r>
            <w:r w:rsidRPr="00F96973" w:rsidR="005B4235">
              <w:rPr>
                <w:rFonts w:ascii="Times New Roman" w:eastAsia="Times New Roman" w:hAnsi="Times New Roman" w:cs="Times New Roman"/>
                <w:iCs/>
                <w:sz w:val="24"/>
                <w:szCs w:val="24"/>
                <w:lang w:eastAsia="lv-LV"/>
              </w:rPr>
              <w:t xml:space="preserve">tiks mazināts administratīvais slogs, nebūs vajadzīga jauna būvniecības dokumentācija. </w:t>
            </w:r>
          </w:p>
        </w:tc>
      </w:tr>
      <w:tr w14:paraId="351D11DF"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560B154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hideMark/>
          </w:tcPr>
          <w:p w:rsidR="00E5323B" w:rsidRPr="00F96973" w:rsidP="00E5323B" w14:paraId="023B4798"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Administratīvo izmaksu monetārs novērtējums</w:t>
            </w:r>
          </w:p>
        </w:tc>
        <w:tc>
          <w:tcPr>
            <w:tcW w:w="3000" w:type="pct"/>
            <w:hideMark/>
          </w:tcPr>
          <w:p w:rsidR="00E5323B" w:rsidRPr="00F96973" w:rsidP="00E5323B" w14:paraId="373631B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w:t>
            </w:r>
            <w:r w:rsidRPr="00F96973" w:rsidR="00FA0E66">
              <w:rPr>
                <w:rFonts w:ascii="Times New Roman" w:eastAsia="Times New Roman" w:hAnsi="Times New Roman" w:cs="Times New Roman"/>
                <w:iCs/>
                <w:sz w:val="24"/>
                <w:szCs w:val="24"/>
                <w:lang w:eastAsia="lv-LV"/>
              </w:rPr>
              <w:t>rojekts šo jomu neskar</w:t>
            </w:r>
          </w:p>
        </w:tc>
      </w:tr>
      <w:tr w14:paraId="58A19906"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374355D4"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hideMark/>
          </w:tcPr>
          <w:p w:rsidR="00E5323B" w:rsidRPr="00F96973" w:rsidP="00E5323B" w14:paraId="2D407A3D"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Atbilstības izmaksu monetārs novērtējums</w:t>
            </w:r>
          </w:p>
        </w:tc>
        <w:tc>
          <w:tcPr>
            <w:tcW w:w="3000" w:type="pct"/>
            <w:hideMark/>
          </w:tcPr>
          <w:p w:rsidR="00E5323B" w:rsidRPr="00F96973" w:rsidP="00E5323B" w14:paraId="1D9E2FEF"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r w14:paraId="60B4290C" w14:textId="77777777" w:rsidTr="00B00576">
        <w:tblPrEx>
          <w:tblW w:w="5000" w:type="pct"/>
          <w:tblCellSpacing w:w="15" w:type="dxa"/>
          <w:tblCellMar>
            <w:top w:w="30" w:type="dxa"/>
            <w:left w:w="30" w:type="dxa"/>
            <w:bottom w:w="30" w:type="dxa"/>
            <w:right w:w="30" w:type="dxa"/>
          </w:tblCellMar>
          <w:tblLook w:val="04A0"/>
        </w:tblPrEx>
        <w:trPr>
          <w:tblCellSpacing w:w="15" w:type="dxa"/>
        </w:trPr>
        <w:tc>
          <w:tcPr>
            <w:tcW w:w="300" w:type="pct"/>
            <w:hideMark/>
          </w:tcPr>
          <w:p w:rsidR="00655F2C" w:rsidRPr="00F96973" w:rsidP="00E5323B" w14:paraId="4A7853A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5.</w:t>
            </w:r>
          </w:p>
        </w:tc>
        <w:tc>
          <w:tcPr>
            <w:tcW w:w="1700" w:type="pct"/>
            <w:hideMark/>
          </w:tcPr>
          <w:p w:rsidR="00E5323B" w:rsidRPr="00F96973" w:rsidP="00E5323B" w14:paraId="052EB4D2"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hideMark/>
          </w:tcPr>
          <w:p w:rsidR="00E5323B" w:rsidRPr="00F96973" w:rsidP="00E5323B" w14:paraId="6BDB8CC4"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rsidR="00E5323B" w:rsidP="00E5323B" w14:paraId="7A979649" w14:textId="31E25E54">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2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66"/>
        <w:gridCol w:w="1000"/>
        <w:gridCol w:w="1147"/>
        <w:gridCol w:w="1316"/>
        <w:gridCol w:w="1140"/>
        <w:gridCol w:w="2433"/>
      </w:tblGrid>
      <w:tr w14:paraId="057C53C8" w14:textId="77777777" w:rsidTr="008374B9">
        <w:tblPrEx>
          <w:tblW w:w="502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94300" w:rsidRPr="00F94300" w:rsidP="00F94300" w14:paraId="26E049CF" w14:textId="77777777">
            <w:pPr>
              <w:spacing w:after="0" w:line="240" w:lineRule="auto"/>
              <w:rPr>
                <w:rFonts w:ascii="Times New Roman" w:eastAsia="Times New Roman" w:hAnsi="Times New Roman" w:cs="Times New Roman"/>
                <w:b/>
                <w:bCs/>
                <w:iCs/>
                <w:sz w:val="24"/>
                <w:szCs w:val="24"/>
                <w:lang w:eastAsia="lv-LV"/>
              </w:rPr>
            </w:pPr>
            <w:r w:rsidRPr="00F94300">
              <w:rPr>
                <w:rFonts w:ascii="Times New Roman" w:eastAsia="Times New Roman" w:hAnsi="Times New Roman" w:cs="Times New Roman"/>
                <w:b/>
                <w:bCs/>
                <w:iCs/>
                <w:sz w:val="24"/>
                <w:szCs w:val="24"/>
                <w:lang w:eastAsia="lv-LV"/>
              </w:rPr>
              <w:t>III. Tiesību akta projekta ietekme uz valsts budžetu un pašvaldību budžetiem</w:t>
            </w:r>
          </w:p>
        </w:tc>
      </w:tr>
      <w:tr w14:paraId="40DBC63A"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vMerge w:val="restart"/>
            <w:tcBorders>
              <w:top w:val="outset" w:sz="6" w:space="0" w:color="auto"/>
              <w:left w:val="outset" w:sz="6" w:space="0" w:color="auto"/>
              <w:right w:val="outset" w:sz="6" w:space="0" w:color="auto"/>
            </w:tcBorders>
            <w:shd w:val="clear" w:color="auto" w:fill="FFFFFF"/>
            <w:vAlign w:val="center"/>
          </w:tcPr>
          <w:p w:rsidR="00B00576" w:rsidRPr="00F94300" w:rsidP="00B00576" w14:paraId="70EE9934" w14:textId="212511CD">
            <w:pPr>
              <w:spacing w:after="0" w:line="240" w:lineRule="auto"/>
              <w:rPr>
                <w:rFonts w:ascii="Times New Roman" w:eastAsia="Times New Roman" w:hAnsi="Times New Roman" w:cs="Times New Roman"/>
                <w:b/>
                <w:bCs/>
                <w:iCs/>
                <w:sz w:val="24"/>
                <w:szCs w:val="24"/>
                <w:lang w:eastAsia="lv-LV"/>
              </w:rPr>
            </w:pPr>
            <w:r w:rsidRPr="00B00576">
              <w:rPr>
                <w:rFonts w:ascii="Times New Roman" w:eastAsia="Times New Roman" w:hAnsi="Times New Roman" w:cs="Times New Roman"/>
                <w:iCs/>
                <w:sz w:val="24"/>
                <w:szCs w:val="24"/>
                <w:lang w:eastAsia="lv-LV"/>
              </w:rPr>
              <w:t>Rādītāji</w:t>
            </w:r>
          </w:p>
        </w:tc>
        <w:tc>
          <w:tcPr>
            <w:tcW w:w="116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F94300" w:rsidP="00B00576" w14:paraId="7DF7ADE6" w14:textId="624EB207">
            <w:pPr>
              <w:spacing w:after="0" w:line="240" w:lineRule="auto"/>
              <w:jc w:val="center"/>
              <w:rPr>
                <w:rFonts w:ascii="Times New Roman" w:eastAsia="Times New Roman" w:hAnsi="Times New Roman" w:cs="Times New Roman"/>
                <w:b/>
                <w:bCs/>
                <w:iCs/>
                <w:sz w:val="24"/>
                <w:szCs w:val="24"/>
                <w:lang w:eastAsia="lv-LV"/>
              </w:rPr>
            </w:pPr>
            <w:r w:rsidRPr="00B00576">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8</w:t>
            </w:r>
          </w:p>
        </w:tc>
        <w:tc>
          <w:tcPr>
            <w:tcW w:w="2655"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F94300" w:rsidP="00F94300" w14:paraId="776A3763" w14:textId="038F852A">
            <w:pPr>
              <w:spacing w:after="0" w:line="240" w:lineRule="auto"/>
              <w:rPr>
                <w:rFonts w:ascii="Times New Roman" w:eastAsia="Times New Roman" w:hAnsi="Times New Roman" w:cs="Times New Roman"/>
                <w:b/>
                <w:bCs/>
                <w:iCs/>
                <w:sz w:val="24"/>
                <w:szCs w:val="24"/>
                <w:lang w:eastAsia="lv-LV"/>
              </w:rPr>
            </w:pPr>
            <w:r w:rsidRPr="00B00576">
              <w:rPr>
                <w:rFonts w:ascii="Times New Roman" w:eastAsia="Times New Roman" w:hAnsi="Times New Roman" w:cs="Times New Roman"/>
                <w:iCs/>
                <w:sz w:val="24"/>
                <w:szCs w:val="24"/>
                <w:lang w:eastAsia="lv-LV"/>
              </w:rPr>
              <w:t>Turpmākie trīs gadi (</w:t>
            </w:r>
            <w:r w:rsidRPr="00B00576">
              <w:rPr>
                <w:rFonts w:ascii="Times New Roman" w:eastAsia="Times New Roman" w:hAnsi="Times New Roman" w:cs="Times New Roman"/>
                <w:iCs/>
                <w:sz w:val="24"/>
                <w:szCs w:val="24"/>
                <w:lang w:eastAsia="lv-LV"/>
              </w:rPr>
              <w:t>euro</w:t>
            </w:r>
            <w:r w:rsidRPr="00B00576">
              <w:rPr>
                <w:rFonts w:ascii="Times New Roman" w:eastAsia="Times New Roman" w:hAnsi="Times New Roman" w:cs="Times New Roman"/>
                <w:iCs/>
                <w:sz w:val="24"/>
                <w:szCs w:val="24"/>
                <w:lang w:eastAsia="lv-LV"/>
              </w:rPr>
              <w:t>)</w:t>
            </w:r>
          </w:p>
        </w:tc>
      </w:tr>
      <w:tr w14:paraId="33D2829C"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vMerge/>
            <w:tcBorders>
              <w:left w:val="outset" w:sz="6" w:space="0" w:color="auto"/>
              <w:right w:val="outset" w:sz="6" w:space="0" w:color="auto"/>
            </w:tcBorders>
            <w:shd w:val="clear" w:color="auto" w:fill="FFFFFF"/>
            <w:vAlign w:val="center"/>
          </w:tcPr>
          <w:p w:rsidR="00B00576" w:rsidRPr="00B00576" w:rsidP="00F94300" w14:paraId="00C51ED4" w14:textId="77777777">
            <w:pPr>
              <w:spacing w:after="0" w:line="240" w:lineRule="auto"/>
              <w:rPr>
                <w:rFonts w:ascii="Times New Roman" w:eastAsia="Times New Roman" w:hAnsi="Times New Roman" w:cs="Times New Roman"/>
                <w:iCs/>
                <w:sz w:val="24"/>
                <w:szCs w:val="24"/>
                <w:lang w:eastAsia="lv-LV"/>
              </w:rPr>
            </w:pPr>
          </w:p>
        </w:tc>
        <w:tc>
          <w:tcPr>
            <w:tcW w:w="542" w:type="pct"/>
            <w:vMerge w:val="restart"/>
            <w:tcBorders>
              <w:top w:val="outset" w:sz="6" w:space="0" w:color="auto"/>
              <w:left w:val="outset" w:sz="6" w:space="0" w:color="auto"/>
              <w:right w:val="outset" w:sz="6" w:space="0" w:color="auto"/>
            </w:tcBorders>
            <w:shd w:val="clear" w:color="auto" w:fill="FFFFFF"/>
            <w:vAlign w:val="center"/>
          </w:tcPr>
          <w:p w:rsidR="00B00576" w:rsidRPr="00B00576" w:rsidP="00B00576" w14:paraId="253C6EAE" w14:textId="596D38BF">
            <w:pPr>
              <w:spacing w:after="0" w:line="240" w:lineRule="auto"/>
              <w:jc w:val="center"/>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saskaņā ar valsts budžetu kārtējam gadam</w:t>
            </w:r>
          </w:p>
        </w:tc>
        <w:tc>
          <w:tcPr>
            <w:tcW w:w="608" w:type="pct"/>
            <w:vMerge w:val="restart"/>
            <w:tcBorders>
              <w:top w:val="outset" w:sz="6" w:space="0" w:color="auto"/>
              <w:left w:val="outset" w:sz="6" w:space="0" w:color="auto"/>
              <w:right w:val="outset" w:sz="6" w:space="0" w:color="auto"/>
            </w:tcBorders>
            <w:shd w:val="clear" w:color="auto" w:fill="FFFFFF"/>
            <w:vAlign w:val="center"/>
          </w:tcPr>
          <w:p w:rsidR="00B00576" w:rsidRPr="00B00576" w:rsidP="00B00576" w14:paraId="1A6EBD84" w14:textId="4686FF04">
            <w:pPr>
              <w:spacing w:after="0" w:line="240" w:lineRule="auto"/>
              <w:jc w:val="center"/>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 xml:space="preserve">izmaiņas kārtējā gadā, salīdzinot ar valsts </w:t>
            </w:r>
            <w:r w:rsidRPr="00B00576">
              <w:rPr>
                <w:rFonts w:ascii="Times New Roman" w:eastAsia="Times New Roman" w:hAnsi="Times New Roman" w:cs="Times New Roman"/>
                <w:iCs/>
                <w:sz w:val="24"/>
                <w:szCs w:val="24"/>
                <w:lang w:eastAsia="lv-LV"/>
              </w:rPr>
              <w:t>budžetu kārtējam gadam</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B00576" w:rsidP="00B00576" w14:paraId="256927B1" w14:textId="4E72E8AC">
            <w:pPr>
              <w:spacing w:after="0" w:line="240" w:lineRule="auto"/>
              <w:jc w:val="center"/>
              <w:rPr>
                <w:rFonts w:ascii="Times New Roman" w:eastAsia="Times New Roman" w:hAnsi="Times New Roman" w:cs="Times New Roman"/>
                <w:bCs/>
                <w:iCs/>
                <w:sz w:val="24"/>
                <w:szCs w:val="24"/>
                <w:lang w:eastAsia="lv-LV"/>
              </w:rPr>
            </w:pPr>
            <w:r w:rsidRPr="00B00576">
              <w:rPr>
                <w:rFonts w:ascii="Times New Roman" w:eastAsia="Times New Roman" w:hAnsi="Times New Roman" w:cs="Times New Roman"/>
                <w:bCs/>
                <w:iCs/>
                <w:sz w:val="24"/>
                <w:szCs w:val="24"/>
                <w:lang w:eastAsia="lv-LV"/>
              </w:rPr>
              <w:t>2019</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B00576" w:rsidP="00B00576" w14:paraId="4E246C02" w14:textId="0A013737">
            <w:pPr>
              <w:spacing w:after="0" w:line="240" w:lineRule="auto"/>
              <w:jc w:val="center"/>
              <w:rPr>
                <w:rFonts w:ascii="Times New Roman" w:eastAsia="Times New Roman" w:hAnsi="Times New Roman" w:cs="Times New Roman"/>
                <w:bCs/>
                <w:iCs/>
                <w:sz w:val="24"/>
                <w:szCs w:val="24"/>
                <w:lang w:eastAsia="lv-LV"/>
              </w:rPr>
            </w:pPr>
            <w:r w:rsidRPr="00B00576">
              <w:rPr>
                <w:rFonts w:ascii="Times New Roman" w:eastAsia="Times New Roman" w:hAnsi="Times New Roman" w:cs="Times New Roman"/>
                <w:bCs/>
                <w:iCs/>
                <w:sz w:val="24"/>
                <w:szCs w:val="24"/>
                <w:lang w:eastAsia="lv-LV"/>
              </w:rPr>
              <w:t>2020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B00576" w:rsidP="00B00576" w14:paraId="66505B7C" w14:textId="419C0939">
            <w:pPr>
              <w:spacing w:after="0" w:line="240" w:lineRule="auto"/>
              <w:jc w:val="center"/>
              <w:rPr>
                <w:rFonts w:ascii="Times New Roman" w:eastAsia="Times New Roman" w:hAnsi="Times New Roman" w:cs="Times New Roman"/>
                <w:bCs/>
                <w:iCs/>
                <w:sz w:val="24"/>
                <w:szCs w:val="24"/>
                <w:lang w:eastAsia="lv-LV"/>
              </w:rPr>
            </w:pPr>
            <w:r w:rsidRPr="00B00576">
              <w:rPr>
                <w:rFonts w:ascii="Times New Roman" w:eastAsia="Times New Roman" w:hAnsi="Times New Roman" w:cs="Times New Roman"/>
                <w:bCs/>
                <w:iCs/>
                <w:sz w:val="24"/>
                <w:szCs w:val="24"/>
                <w:lang w:eastAsia="lv-LV"/>
              </w:rPr>
              <w:t>2021</w:t>
            </w:r>
          </w:p>
        </w:tc>
      </w:tr>
      <w:tr w14:paraId="6247F101"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vMerge/>
            <w:tcBorders>
              <w:left w:val="outset" w:sz="6" w:space="0" w:color="auto"/>
              <w:bottom w:val="outset" w:sz="6" w:space="0" w:color="auto"/>
              <w:right w:val="outset" w:sz="6" w:space="0" w:color="auto"/>
            </w:tcBorders>
            <w:shd w:val="clear" w:color="auto" w:fill="FFFFFF"/>
            <w:vAlign w:val="center"/>
          </w:tcPr>
          <w:p w:rsidR="00B00576" w:rsidRPr="00F94300" w:rsidP="00F94300" w14:paraId="7C5B034B" w14:textId="3B6A749B">
            <w:pPr>
              <w:spacing w:after="0" w:line="240" w:lineRule="auto"/>
              <w:rPr>
                <w:rFonts w:ascii="Times New Roman" w:eastAsia="Times New Roman" w:hAnsi="Times New Roman" w:cs="Times New Roman"/>
                <w:b/>
                <w:bCs/>
                <w:iCs/>
                <w:sz w:val="24"/>
                <w:szCs w:val="24"/>
                <w:lang w:eastAsia="lv-LV"/>
              </w:rPr>
            </w:pPr>
          </w:p>
        </w:tc>
        <w:tc>
          <w:tcPr>
            <w:tcW w:w="542" w:type="pct"/>
            <w:vMerge/>
            <w:tcBorders>
              <w:left w:val="outset" w:sz="6" w:space="0" w:color="auto"/>
              <w:bottom w:val="outset" w:sz="6" w:space="0" w:color="auto"/>
              <w:right w:val="outset" w:sz="6" w:space="0" w:color="auto"/>
            </w:tcBorders>
            <w:shd w:val="clear" w:color="auto" w:fill="FFFFFF"/>
            <w:vAlign w:val="center"/>
          </w:tcPr>
          <w:p w:rsidR="00B00576" w:rsidRPr="00F94300" w:rsidP="00F94300" w14:paraId="4A9A3F18" w14:textId="44FA8280">
            <w:pPr>
              <w:spacing w:after="0" w:line="240" w:lineRule="auto"/>
              <w:rPr>
                <w:rFonts w:ascii="Times New Roman" w:eastAsia="Times New Roman" w:hAnsi="Times New Roman" w:cs="Times New Roman"/>
                <w:b/>
                <w:bCs/>
                <w:iCs/>
                <w:sz w:val="24"/>
                <w:szCs w:val="24"/>
                <w:lang w:eastAsia="lv-LV"/>
              </w:rPr>
            </w:pPr>
          </w:p>
        </w:tc>
        <w:tc>
          <w:tcPr>
            <w:tcW w:w="608" w:type="pct"/>
            <w:vMerge/>
            <w:tcBorders>
              <w:left w:val="outset" w:sz="6" w:space="0" w:color="auto"/>
              <w:bottom w:val="outset" w:sz="6" w:space="0" w:color="auto"/>
              <w:right w:val="outset" w:sz="6" w:space="0" w:color="auto"/>
            </w:tcBorders>
            <w:shd w:val="clear" w:color="auto" w:fill="FFFFFF"/>
            <w:vAlign w:val="center"/>
          </w:tcPr>
          <w:p w:rsidR="00B00576" w:rsidRPr="00F94300" w:rsidP="00F94300" w14:paraId="1A735676" w14:textId="7A090162">
            <w:pPr>
              <w:spacing w:after="0" w:line="240" w:lineRule="auto"/>
              <w:rPr>
                <w:rFonts w:ascii="Times New Roman" w:eastAsia="Times New Roman" w:hAnsi="Times New Roman" w:cs="Times New Roman"/>
                <w:b/>
                <w:bCs/>
                <w:iCs/>
                <w:sz w:val="24"/>
                <w:szCs w:val="24"/>
                <w:lang w:eastAsia="lv-LV"/>
              </w:rPr>
            </w:pP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F94300" w:rsidP="00B00576" w14:paraId="55C89F11" w14:textId="71C7F5C6">
            <w:pPr>
              <w:spacing w:after="0" w:line="240" w:lineRule="auto"/>
              <w:jc w:val="center"/>
              <w:rPr>
                <w:rFonts w:ascii="Times New Roman" w:eastAsia="Times New Roman" w:hAnsi="Times New Roman" w:cs="Times New Roman"/>
                <w:b/>
                <w:bCs/>
                <w:iCs/>
                <w:sz w:val="24"/>
                <w:szCs w:val="24"/>
                <w:lang w:eastAsia="lv-LV"/>
              </w:rPr>
            </w:pPr>
            <w:r w:rsidRPr="00B00576">
              <w:rPr>
                <w:rFonts w:ascii="Times New Roman" w:eastAsia="Times New Roman" w:hAnsi="Times New Roman" w:cs="Times New Roman"/>
                <w:iCs/>
                <w:sz w:val="24"/>
                <w:szCs w:val="24"/>
                <w:lang w:eastAsia="lv-LV"/>
              </w:rPr>
              <w:t xml:space="preserve">izmaiņas, salīdzinot ar </w:t>
            </w:r>
            <w:r w:rsidRPr="00B00576">
              <w:rPr>
                <w:rFonts w:ascii="Times New Roman" w:eastAsia="Times New Roman" w:hAnsi="Times New Roman" w:cs="Times New Roman"/>
                <w:iCs/>
                <w:sz w:val="24"/>
                <w:szCs w:val="24"/>
                <w:lang w:eastAsia="lv-LV"/>
              </w:rPr>
              <w:t>kārtējo (201</w:t>
            </w:r>
            <w:r>
              <w:rPr>
                <w:rFonts w:ascii="Times New Roman" w:eastAsia="Times New Roman" w:hAnsi="Times New Roman" w:cs="Times New Roman"/>
                <w:iCs/>
                <w:sz w:val="24"/>
                <w:szCs w:val="24"/>
                <w:lang w:eastAsia="lv-LV"/>
              </w:rPr>
              <w:t>8</w:t>
            </w:r>
            <w:r w:rsidRPr="00B00576">
              <w:rPr>
                <w:rFonts w:ascii="Times New Roman" w:eastAsia="Times New Roman" w:hAnsi="Times New Roman" w:cs="Times New Roman"/>
                <w:iCs/>
                <w:sz w:val="24"/>
                <w:szCs w:val="24"/>
                <w:lang w:eastAsia="lv-LV"/>
              </w:rPr>
              <w:t>) gadu</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F94300" w:rsidP="00F94300" w14:paraId="0C8B43D8" w14:textId="16B21E0F">
            <w:pPr>
              <w:spacing w:after="0" w:line="240" w:lineRule="auto"/>
              <w:rPr>
                <w:rFonts w:ascii="Times New Roman" w:eastAsia="Times New Roman" w:hAnsi="Times New Roman" w:cs="Times New Roman"/>
                <w:b/>
                <w:bCs/>
                <w:iCs/>
                <w:sz w:val="24"/>
                <w:szCs w:val="24"/>
                <w:lang w:eastAsia="lv-LV"/>
              </w:rPr>
            </w:pPr>
            <w:r w:rsidRPr="00B00576">
              <w:rPr>
                <w:rFonts w:ascii="Times New Roman" w:eastAsia="Times New Roman" w:hAnsi="Times New Roman" w:cs="Times New Roman"/>
                <w:iCs/>
                <w:sz w:val="24"/>
                <w:szCs w:val="24"/>
                <w:lang w:eastAsia="lv-LV"/>
              </w:rPr>
              <w:t xml:space="preserve">izmaiņas, salīdzinot ar kārtējo </w:t>
            </w:r>
            <w:r w:rsidRPr="00B00576">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8</w:t>
            </w:r>
            <w:r w:rsidRPr="00B00576">
              <w:rPr>
                <w:rFonts w:ascii="Times New Roman" w:eastAsia="Times New Roman" w:hAnsi="Times New Roman" w:cs="Times New Roman"/>
                <w:iCs/>
                <w:sz w:val="24"/>
                <w:szCs w:val="24"/>
                <w:lang w:eastAsia="lv-LV"/>
              </w:rPr>
              <w:t>) gadu</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B00576" w:rsidRPr="00F94300" w:rsidP="00F94300" w14:paraId="227E4C75" w14:textId="4A37EB5B">
            <w:pPr>
              <w:spacing w:after="0" w:line="240" w:lineRule="auto"/>
              <w:rPr>
                <w:rFonts w:ascii="Times New Roman" w:eastAsia="Times New Roman" w:hAnsi="Times New Roman" w:cs="Times New Roman"/>
                <w:b/>
                <w:bCs/>
                <w:iCs/>
                <w:sz w:val="24"/>
                <w:szCs w:val="24"/>
                <w:lang w:eastAsia="lv-LV"/>
              </w:rPr>
            </w:pPr>
            <w:r w:rsidRPr="00B00576">
              <w:rPr>
                <w:rFonts w:ascii="Times New Roman" w:eastAsia="Times New Roman" w:hAnsi="Times New Roman" w:cs="Times New Roman"/>
                <w:iCs/>
                <w:sz w:val="24"/>
                <w:szCs w:val="24"/>
                <w:lang w:eastAsia="lv-LV"/>
              </w:rPr>
              <w:t>izmaiņas, salīdzinot ar kārtējo (201</w:t>
            </w:r>
            <w:r>
              <w:rPr>
                <w:rFonts w:ascii="Times New Roman" w:eastAsia="Times New Roman" w:hAnsi="Times New Roman" w:cs="Times New Roman"/>
                <w:iCs/>
                <w:sz w:val="24"/>
                <w:szCs w:val="24"/>
                <w:lang w:eastAsia="lv-LV"/>
              </w:rPr>
              <w:t>8</w:t>
            </w:r>
            <w:r w:rsidRPr="00B00576">
              <w:rPr>
                <w:rFonts w:ascii="Times New Roman" w:eastAsia="Times New Roman" w:hAnsi="Times New Roman" w:cs="Times New Roman"/>
                <w:iCs/>
                <w:sz w:val="24"/>
                <w:szCs w:val="24"/>
                <w:lang w:eastAsia="lv-LV"/>
              </w:rPr>
              <w:t>) gadu</w:t>
            </w:r>
          </w:p>
        </w:tc>
      </w:tr>
      <w:tr w14:paraId="546D8D9F"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10DAE40A" w14:textId="6A1A5B6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86B0995" w14:textId="1030A90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7D5B6A93" w14:textId="35D03C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37147440" w14:textId="10A0147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6BC95FD" w14:textId="5861D3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BD2E37A" w14:textId="3C0C9D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p>
        </w:tc>
      </w:tr>
      <w:tr w14:paraId="17435EB0"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09DEDF7C" w14:textId="7302B11E">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1. Budžeta ieņēmumi:</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46305FE7" w14:textId="3FCD3C6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48DC022D" w14:textId="3F94253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B00576" w14:paraId="3B4C4959" w14:textId="3165C13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8A69C5E" w14:textId="27B176C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AC9B577" w14:textId="5E2775E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6DEF676"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0E945238" w14:textId="7EBD9E06">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1.1.valsts pamatbudžets, tai skaitā ieņēmumi no maksas pakalpojumiem un citi pašu ieņēmumi</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6B22DE5F" w14:textId="2AE4150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3B9CCE9" w14:textId="0B07D17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B00576" w14:paraId="79F6DDC8" w14:textId="45FC6C5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EA74B61" w14:textId="7FD648A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43037652" w14:textId="5AAF490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3DAF9F3"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13B7796" w14:textId="54C396A1">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1.2.valsts speciālais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61677661" w14:textId="11924BB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59354C9E" w14:textId="346F9D1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6CC9257C" w14:textId="38E9A3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BAFE8F3" w14:textId="7630E39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688A97D" w14:textId="4C98367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B6A39B6"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01030C7" w14:textId="66314B0F">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1.3.pašvaldību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282BF984" w14:textId="066ED4B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A1011C6" w14:textId="64E253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586A416" w14:textId="599C081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69519A95" w14:textId="51EFDBF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AA447FA" w14:textId="79D6324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9AAB690"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3C6C5D97" w14:textId="546BEAC2">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2. Budžeta izdevumi:</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244F35D6" w14:textId="0A5BE7D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0DD118BB" w14:textId="4E7F2BE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9AE6413" w14:textId="02DAA4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241F1D7" w14:textId="18D3C13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6E77CC7" w14:textId="0EA739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B49BD47"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49D91A18" w14:textId="321E4B41">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2.1.valsts pamatbudžets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28CADD71" w14:textId="4044F78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099DFFE9" w14:textId="2E2626D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D6F488B" w14:textId="634F340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13EA722" w14:textId="708D062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B9E8463" w14:textId="6D31024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201667A"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3DE2581" w14:textId="0C3B97CF">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2.2.valsts speciālais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0C51B55C" w14:textId="0C31DD1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5A748B0" w14:textId="6FFAF60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6D9C5F9A" w14:textId="09BE038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30C84B8" w14:textId="599A0B8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324C3E5E" w14:textId="05B886A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56CB771"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2DAF580" w14:textId="6450C8F6">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2.3.pašvaldību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2508D32B" w14:textId="13122A8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5E99DDC8" w14:textId="3AF74F6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4FDE253C" w14:textId="3CAEA0C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8475800" w14:textId="125BA5A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407AC61" w14:textId="60EEAE9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4651FED"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4E3596C" w14:textId="18BA9780">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3. Finansiālā ietekme:</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0EA7108" w14:textId="7494A06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2CFF0FDB" w14:textId="5D28583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3267</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0101721" w14:textId="6FCCED9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4542D46" w14:textId="23C318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C599990" w14:textId="0E7EFAC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287B442D"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35DC341F" w14:textId="544D2B5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3.1.valsts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5BC858D6" w14:textId="38684DE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004F6D7" w14:textId="220ED8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3267</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497E5B90" w14:textId="2E9B6E0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F8B8BC4" w14:textId="1BD965E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77D999E" w14:textId="7E261FF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9C26051"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698D96B8" w14:textId="2EEFFB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3.2.valsts speciālais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77DC073A" w14:textId="17A4F53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4F0E3BF9" w14:textId="2E5EFD9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01F9BB1" w14:textId="0D336AD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7A4C626" w14:textId="0895890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7524232" w14:textId="6BB7893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C04E158"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3DB435D" w14:textId="034745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3.3.pašvaldību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0DB40607" w14:textId="7B19015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4E57F9B5" w14:textId="09553D2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0137351" w14:textId="2617ACD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53BA6BF" w14:textId="754EFD0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C78A953" w14:textId="724F2EC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1180580"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4D4ECD03" w14:textId="3310F9FB">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631BD36A" w14:textId="62C315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D8A75DB" w14:textId="37FC6CE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3267</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3D81F10" w14:textId="3BDB794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52C6DC0" w14:textId="6DC7666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647B166B" w14:textId="15AFD18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8C62233"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325F606A" w14:textId="595B6008">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5. Precizēta finansiālā ietekme:</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10028D5E" w14:textId="150557A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4CF5F95F" w14:textId="0900329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36C85C6" w14:textId="67A219B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4554A70A" w14:textId="50C2085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B99079E" w14:textId="3EC65FD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4B1812A"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34BF084A" w14:textId="72400D0B">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5.1.valsts pamatbudžets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1FADD654" w14:textId="5B57DF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6B040704" w14:textId="5531786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48E0EA1" w14:textId="65E461A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8D3F8CD" w14:textId="05832EE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66FCA0CB" w14:textId="14AAB7E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8BD563D"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7212E9B2" w14:textId="00647119">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5.2.speciālais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5A9C52B0" w14:textId="745DA89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3A1D220C" w14:textId="48190E2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0AB006B9" w14:textId="0441E17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DFE8AF3" w14:textId="6E7260A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49255867" w14:textId="34F2ADC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14F3417"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23368EA2" w14:textId="25941871">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5.3.pašvaldību budžets</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7F0A9F9C" w14:textId="5D016D4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8374B9" w:rsidP="008374B9" w14:paraId="559A1DCE" w14:textId="1ACB242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47644AD" w14:textId="7E36A55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18355659" w14:textId="1171C4C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84" w:type="pct"/>
            <w:tcBorders>
              <w:top w:val="outset" w:sz="6" w:space="0" w:color="auto"/>
              <w:left w:val="outset" w:sz="6" w:space="0" w:color="auto"/>
              <w:bottom w:val="outset" w:sz="6" w:space="0" w:color="auto"/>
              <w:right w:val="outset" w:sz="6" w:space="0" w:color="auto"/>
            </w:tcBorders>
            <w:shd w:val="clear" w:color="auto" w:fill="FFFFFF"/>
            <w:vAlign w:val="center"/>
          </w:tcPr>
          <w:p w:rsidR="008374B9" w:rsidRPr="00B00576" w:rsidP="008374B9" w14:paraId="513E6255" w14:textId="5497264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3D1F93B"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71A7" w:rsidRPr="00B00576" w:rsidP="008374B9" w14:paraId="5E790C8C" w14:textId="01BBCD05">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38" w:type="pct"/>
            <w:gridSpan w:val="5"/>
            <w:vMerge w:val="restart"/>
            <w:tcBorders>
              <w:top w:val="outset" w:sz="6" w:space="0" w:color="auto"/>
              <w:left w:val="outset" w:sz="6" w:space="0" w:color="auto"/>
              <w:right w:val="outset" w:sz="6" w:space="0" w:color="auto"/>
            </w:tcBorders>
            <w:shd w:val="clear" w:color="auto" w:fill="FFFFFF"/>
            <w:vAlign w:val="center"/>
          </w:tcPr>
          <w:p w:rsidR="001071A7" w:rsidP="009241D9" w14:paraId="515EEECF" w14:textId="1E868A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Veicot grozījumus </w:t>
            </w:r>
            <w:r w:rsidR="009241D9">
              <w:rPr>
                <w:rFonts w:ascii="Times New Roman" w:eastAsia="Times New Roman" w:hAnsi="Times New Roman" w:cs="Times New Roman"/>
                <w:iCs/>
                <w:sz w:val="24"/>
                <w:szCs w:val="24"/>
                <w:lang w:eastAsia="lv-LV"/>
              </w:rPr>
              <w:t>MK noteikumos Nr.529, būs nepieciešams veikt izmaiņas Būvniecības informācijas sistēmā (turpmāk – BIS), konfigurējot sistēmā esošos būvatļauju un apliecinājumu karšu derīgumu termiņus. BIS izstrādātājs informējis Ekonomikas ministriju un Būvniecības valsts kontroles biroju (turpmāk – BVKB), ka attiecīgo izmaiņu veikšanai nepieciešamais laiks ir 5,5 cilvēkdienas.</w:t>
            </w:r>
          </w:p>
          <w:p w:rsidR="009241D9" w:rsidP="009241D9" w14:paraId="1EE34173" w14:textId="6BDF29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BIS būs nepieciešams veikt esošo dokumentu datu migrāciju, attiecīgo izmaiņu veikšanai nepieciešamais laiks ir 3,5 cilvēkdienas.</w:t>
            </w:r>
          </w:p>
          <w:p w:rsidR="009241D9" w:rsidP="009241D9" w14:paraId="6B473CCE" w14:textId="009DE9E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BIS izstrādātāju noteiktās izmaksas par vienu cilvēkdienu ir 636 </w:t>
            </w:r>
            <w:r w:rsidRPr="00B90880" w:rsidR="00B90880">
              <w:rPr>
                <w:rFonts w:ascii="Times New Roman" w:eastAsia="Times New Roman" w:hAnsi="Times New Roman" w:cs="Times New Roman"/>
                <w:i/>
                <w:iCs/>
                <w:sz w:val="24"/>
                <w:szCs w:val="24"/>
                <w:lang w:eastAsia="lv-LV"/>
              </w:rPr>
              <w:t>euro</w:t>
            </w:r>
            <w:r w:rsidRPr="00B9088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ieskaitot pievienotās vērtības nodokli.</w:t>
            </w:r>
          </w:p>
          <w:p w:rsidR="009241D9" w:rsidP="009241D9" w14:paraId="59B071D3" w14:textId="0DC757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to aprēķinātais nepieciešamais finansējums attiecīgo izmaiņu veikšanai ir  3267 </w:t>
            </w:r>
            <w:r w:rsidRPr="00B90880" w:rsidR="00B90880">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ieskaitot pievienotās vērtības nodokli.</w:t>
            </w:r>
          </w:p>
          <w:p w:rsidR="009241D9" w:rsidP="009241D9" w14:paraId="123DE240" w14:textId="2A85A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Attiecīgais izmaiņu realizācijas termiņš saskaņā ar BIS izstrādātājiem ir 2 nedēļas.</w:t>
            </w:r>
          </w:p>
          <w:p w:rsidR="009241D9" w:rsidRPr="00B00576" w:rsidP="009241D9" w14:paraId="3F921F92" w14:textId="4018C8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Attiecīgie izdevumi tiks segti no BVKB esošajiem (piešķirtajiem) finanšu līdzekļiem, un papildu finansējums no valsts budžeta netiks pieprasīts.</w:t>
            </w:r>
          </w:p>
        </w:tc>
      </w:tr>
      <w:tr w14:paraId="3B126E18"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71A7" w:rsidRPr="00B00576" w:rsidP="008374B9" w14:paraId="32C9F6FC" w14:textId="4E6F34FA">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6.1. detalizēts ieņēmumu aprēķins</w:t>
            </w:r>
          </w:p>
        </w:tc>
        <w:tc>
          <w:tcPr>
            <w:tcW w:w="3838" w:type="pct"/>
            <w:gridSpan w:val="5"/>
            <w:vMerge/>
            <w:tcBorders>
              <w:left w:val="outset" w:sz="6" w:space="0" w:color="auto"/>
              <w:right w:val="outset" w:sz="6" w:space="0" w:color="auto"/>
            </w:tcBorders>
            <w:shd w:val="clear" w:color="auto" w:fill="FFFFFF"/>
            <w:vAlign w:val="center"/>
          </w:tcPr>
          <w:p w:rsidR="001071A7" w:rsidRPr="00B00576" w:rsidP="00F94300" w14:paraId="33616953" w14:textId="77777777">
            <w:pPr>
              <w:spacing w:after="0" w:line="240" w:lineRule="auto"/>
              <w:rPr>
                <w:rFonts w:ascii="Times New Roman" w:eastAsia="Times New Roman" w:hAnsi="Times New Roman" w:cs="Times New Roman"/>
                <w:iCs/>
                <w:sz w:val="24"/>
                <w:szCs w:val="24"/>
                <w:lang w:eastAsia="lv-LV"/>
              </w:rPr>
            </w:pPr>
          </w:p>
        </w:tc>
      </w:tr>
      <w:tr w14:paraId="147C961E"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71A7" w:rsidRPr="00B00576" w:rsidP="008374B9" w14:paraId="3AC90A02" w14:textId="2315E704">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6.2. detalizēts izdevumu aprēķins</w:t>
            </w:r>
          </w:p>
        </w:tc>
        <w:tc>
          <w:tcPr>
            <w:tcW w:w="3838" w:type="pct"/>
            <w:gridSpan w:val="5"/>
            <w:vMerge/>
            <w:tcBorders>
              <w:left w:val="outset" w:sz="6" w:space="0" w:color="auto"/>
              <w:bottom w:val="outset" w:sz="6" w:space="0" w:color="auto"/>
              <w:right w:val="outset" w:sz="6" w:space="0" w:color="auto"/>
            </w:tcBorders>
            <w:shd w:val="clear" w:color="auto" w:fill="FFFFFF"/>
            <w:vAlign w:val="center"/>
          </w:tcPr>
          <w:p w:rsidR="001071A7" w:rsidRPr="00B00576" w:rsidP="00F94300" w14:paraId="778A6CCB" w14:textId="77777777">
            <w:pPr>
              <w:spacing w:after="0" w:line="240" w:lineRule="auto"/>
              <w:rPr>
                <w:rFonts w:ascii="Times New Roman" w:eastAsia="Times New Roman" w:hAnsi="Times New Roman" w:cs="Times New Roman"/>
                <w:iCs/>
                <w:sz w:val="24"/>
                <w:szCs w:val="24"/>
                <w:lang w:eastAsia="lv-LV"/>
              </w:rPr>
            </w:pPr>
          </w:p>
        </w:tc>
      </w:tr>
      <w:tr w14:paraId="0BDBC6C7" w14:textId="77777777" w:rsidTr="001071A7">
        <w:tblPrEx>
          <w:tblW w:w="5026"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71A7" w:rsidRPr="00B00576" w:rsidP="008374B9" w14:paraId="4628F405" w14:textId="741717C6">
            <w:pPr>
              <w:spacing w:after="0" w:line="240" w:lineRule="auto"/>
              <w:rPr>
                <w:rFonts w:ascii="Times New Roman" w:eastAsia="Times New Roman" w:hAnsi="Times New Roman" w:cs="Times New Roman"/>
                <w:iCs/>
                <w:sz w:val="24"/>
                <w:szCs w:val="24"/>
                <w:lang w:eastAsia="lv-LV"/>
              </w:rPr>
            </w:pPr>
            <w:r w:rsidRPr="00B00576">
              <w:rPr>
                <w:rFonts w:ascii="Times New Roman" w:eastAsia="Times New Roman" w:hAnsi="Times New Roman" w:cs="Times New Roman"/>
                <w:iCs/>
                <w:sz w:val="24"/>
                <w:szCs w:val="24"/>
                <w:lang w:eastAsia="lv-LV"/>
              </w:rPr>
              <w:t>7. Cita informācija</w:t>
            </w:r>
          </w:p>
        </w:tc>
        <w:tc>
          <w:tcPr>
            <w:tcW w:w="3838"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rsidR="001071A7" w:rsidRPr="00B00576" w:rsidP="00F94300" w14:paraId="642C2030" w14:textId="759C1AE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Ietekme uz budžetu ir vienreizēja, un izmaiņas BIS tiks veiktas tiklīdz MK noteikumu Nr.529 grozījumi stāsies spēkā.</w:t>
            </w:r>
          </w:p>
        </w:tc>
      </w:tr>
    </w:tbl>
    <w:p w:rsidR="00E5323B" w:rsidRPr="00F96973" w:rsidP="00E5323B" w14:paraId="174295C8"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6AFD40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7078D5D2"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IV. Tiesību akta projekta ietekme uz spēkā esošo tiesību normu sistēmu</w:t>
            </w:r>
          </w:p>
        </w:tc>
      </w:tr>
      <w:tr w14:paraId="126BE4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F96973" w:rsidP="00810A55" w14:paraId="0265B20A" w14:textId="77777777">
            <w:pPr>
              <w:spacing w:after="0" w:line="240" w:lineRule="auto"/>
              <w:jc w:val="center"/>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bl>
    <w:p w:rsidR="00E5323B" w:rsidRPr="00F96973" w:rsidP="00E5323B" w14:paraId="502AE00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F0FE98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17E1DE0A"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7AB045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F96973" w:rsidP="00810A55" w14:paraId="307E5C86" w14:textId="77777777">
            <w:pPr>
              <w:spacing w:after="0" w:line="240" w:lineRule="auto"/>
              <w:jc w:val="center"/>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bl>
    <w:p w:rsidR="00E5323B" w:rsidRPr="005F2C9A" w:rsidP="00E5323B" w14:paraId="5776F58D" w14:textId="77777777">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EFEA04F" w14:textId="77777777" w:rsidTr="00953D6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332A5" w:rsidRPr="00953D60" w:rsidP="00953D60" w14:paraId="09B71072" w14:textId="6203AC2A">
            <w:pPr>
              <w:spacing w:after="0" w:line="240" w:lineRule="auto"/>
              <w:rPr>
                <w:rFonts w:ascii="Times New Roman" w:eastAsia="Times New Roman" w:hAnsi="Times New Roman" w:cs="Times New Roman"/>
                <w:b/>
                <w:bCs/>
                <w:iCs/>
                <w:sz w:val="24"/>
                <w:szCs w:val="24"/>
                <w:lang w:eastAsia="lv-LV"/>
              </w:rPr>
            </w:pPr>
            <w:r w:rsidRPr="00953D60">
              <w:rPr>
                <w:rFonts w:ascii="Times New Roman" w:eastAsia="Times New Roman" w:hAnsi="Times New Roman" w:cs="Times New Roman"/>
                <w:b/>
                <w:bCs/>
                <w:iCs/>
                <w:sz w:val="24"/>
                <w:szCs w:val="24"/>
                <w:lang w:eastAsia="lv-LV"/>
              </w:rPr>
              <w:t>VI. Sabiedrības līdzdalība un komunikācijas aktivitātes</w:t>
            </w:r>
          </w:p>
        </w:tc>
      </w:tr>
      <w:tr w14:paraId="0C66267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1958C7B3"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7DF1DF10"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96973" w:rsidP="00790341" w14:paraId="43075C21" w14:textId="4CE1FED1">
            <w:pPr>
              <w:shd w:val="clear" w:color="auto" w:fill="FFFFFF"/>
              <w:spacing w:after="120"/>
              <w:ind w:left="57" w:right="113"/>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Sabiedrības līdzdalības ietvaros par M</w:t>
            </w:r>
            <w:r w:rsidRPr="00953D60">
              <w:rPr>
                <w:rFonts w:ascii="Times New Roman" w:eastAsia="Times New Roman" w:hAnsi="Times New Roman" w:cs="Times New Roman"/>
                <w:bCs/>
                <w:sz w:val="24"/>
                <w:szCs w:val="24"/>
                <w:lang w:eastAsia="lv-LV"/>
              </w:rPr>
              <w:t>inistru kabineta noteikumu projekt</w:t>
            </w:r>
            <w:r>
              <w:rPr>
                <w:rFonts w:ascii="Times New Roman" w:eastAsia="Times New Roman" w:hAnsi="Times New Roman" w:cs="Times New Roman"/>
                <w:bCs/>
                <w:sz w:val="24"/>
                <w:szCs w:val="24"/>
                <w:lang w:eastAsia="lv-LV"/>
              </w:rPr>
              <w:t>u</w:t>
            </w:r>
            <w:r w:rsidRPr="00953D60">
              <w:rPr>
                <w:rFonts w:ascii="Times New Roman" w:eastAsia="Times New Roman" w:hAnsi="Times New Roman" w:cs="Times New Roman"/>
                <w:bCs/>
                <w:sz w:val="24"/>
                <w:szCs w:val="24"/>
                <w:lang w:eastAsia="lv-LV"/>
              </w:rPr>
              <w:t xml:space="preserve"> “Grozījumi Ministru kabineta 2014.gada 2.septembra noteikumos Nr. 529 “Ēku būvnoteikumi”’ tika informēta Latvijas</w:t>
            </w:r>
            <w:r>
              <w:rPr>
                <w:rFonts w:ascii="Times New Roman" w:eastAsia="Times New Roman" w:hAnsi="Times New Roman" w:cs="Times New Roman"/>
                <w:bCs/>
                <w:sz w:val="24"/>
                <w:szCs w:val="24"/>
                <w:lang w:eastAsia="lv-LV"/>
              </w:rPr>
              <w:t xml:space="preserve"> </w:t>
            </w:r>
            <w:r w:rsidRPr="00953D60">
              <w:rPr>
                <w:rFonts w:ascii="Times New Roman" w:eastAsia="Times New Roman" w:hAnsi="Times New Roman" w:cs="Times New Roman"/>
                <w:bCs/>
                <w:sz w:val="24"/>
                <w:szCs w:val="24"/>
                <w:lang w:eastAsia="lv-LV"/>
              </w:rPr>
              <w:t>Būvniecības padome, kurā pārstāvētas 15 ar būvniecības nozari saistītās nevalstiskās organizācijas, kā arī</w:t>
            </w:r>
            <w:r>
              <w:rPr>
                <w:rFonts w:ascii="Times New Roman" w:eastAsia="Times New Roman" w:hAnsi="Times New Roman" w:cs="Times New Roman"/>
                <w:bCs/>
                <w:sz w:val="24"/>
                <w:szCs w:val="24"/>
                <w:lang w:eastAsia="lv-LV"/>
              </w:rPr>
              <w:t xml:space="preserve"> Latvijas pašvaldību savienība. No attiecīgajā organizācijām iebildumi nav saņemti.</w:t>
            </w:r>
          </w:p>
        </w:tc>
      </w:tr>
      <w:tr w14:paraId="22FB01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45DDAFB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64A9EFB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953D60" w:rsidP="005E342B" w14:paraId="665D43B2" w14:textId="65786B3F">
            <w:pPr>
              <w:jc w:val="both"/>
              <w:rPr>
                <w:rFonts w:ascii="Times New Roman" w:eastAsia="Calibri" w:hAnsi="Times New Roman" w:cs="Times New Roman"/>
                <w:sz w:val="24"/>
                <w:szCs w:val="24"/>
              </w:rPr>
            </w:pPr>
            <w:r w:rsidRPr="00953D60">
              <w:rPr>
                <w:rFonts w:ascii="Times New Roman" w:hAnsi="Times New Roman" w:cs="Times New Roman"/>
                <w:iCs/>
                <w:sz w:val="24"/>
                <w:szCs w:val="24"/>
              </w:rPr>
              <w:t>Latvijas lielo pilsētu asociācija un Latvijas pašvaldību savien</w:t>
            </w:r>
            <w:r w:rsidRPr="00953D60" w:rsidR="00DD7C6A">
              <w:rPr>
                <w:rFonts w:ascii="Times New Roman" w:hAnsi="Times New Roman" w:cs="Times New Roman"/>
                <w:iCs/>
                <w:sz w:val="24"/>
                <w:szCs w:val="24"/>
              </w:rPr>
              <w:t xml:space="preserve">ība ir lūgušas Ekonomikas ministriju </w:t>
            </w:r>
            <w:r w:rsidR="00DD7C6A">
              <w:rPr>
                <w:rFonts w:ascii="Times New Roman" w:hAnsi="Times New Roman" w:cs="Times New Roman"/>
                <w:iCs/>
                <w:sz w:val="24"/>
                <w:szCs w:val="24"/>
              </w:rPr>
              <w:t xml:space="preserve">izdarīt grozījumus </w:t>
            </w:r>
            <w:r w:rsidRPr="00953D60" w:rsidR="00DD7C6A">
              <w:rPr>
                <w:rFonts w:ascii="Times New Roman" w:hAnsi="Times New Roman" w:cs="Times New Roman"/>
                <w:iCs/>
                <w:sz w:val="24"/>
                <w:szCs w:val="24"/>
              </w:rPr>
              <w:t xml:space="preserve">normatīvajā regulējumā, jo ir </w:t>
            </w:r>
            <w:r w:rsidRPr="00953D60" w:rsidR="00DD7C6A">
              <w:rPr>
                <w:rFonts w:ascii="Times New Roman" w:eastAsia="Calibri" w:hAnsi="Times New Roman" w:cs="Times New Roman"/>
                <w:sz w:val="24"/>
                <w:szCs w:val="24"/>
              </w:rPr>
              <w:t xml:space="preserve">saņemti vairāku pašvaldību priekšlikumi, kurā tiek lūgts pagarināt būvdarbu nosacījumu izpildes termiņus </w:t>
            </w:r>
            <w:r w:rsidRPr="00953D60" w:rsidR="00DD7C6A">
              <w:rPr>
                <w:rFonts w:ascii="Times New Roman" w:eastAsia="Calibri" w:hAnsi="Times New Roman" w:cs="Times New Roman"/>
                <w:sz w:val="24"/>
                <w:szCs w:val="24"/>
              </w:rPr>
              <w:t>saistībā ar projektu daudzdzīvokļu ēku energoefektivitātes paaugstināšanai darbības programmas “Izaugsme un nodarbinātība” 4.2.1. specifiskā atbalsta mērķa “Veicināt energoefektivitātes paaugstināšanu valsts un dzīvojamās ēkās” 4.2.1.1. specifiskā atbalsta mērķa pasākuma “Veicināt energoefektivitātes paaugstināšanu dzīvojamās ēkās” (turpmāk – 4.2.1.1. pasākums) realizāciju. Vairākas pašvaldības uzsver, ka ir apdraudēta vairāku tādu daudzdzīvokļu ēku energoefektivitātes projektu īstenošana, kuru ietvaros būvvaldes 2016.gadā veikušas atzīmi ēkas fasādes apliecinājuma kartē vai būvatļaujā par p</w:t>
            </w:r>
            <w:r w:rsidRPr="00953D60" w:rsidR="00D87E66">
              <w:rPr>
                <w:rFonts w:ascii="Times New Roman" w:eastAsia="Calibri" w:hAnsi="Times New Roman" w:cs="Times New Roman"/>
                <w:sz w:val="24"/>
                <w:szCs w:val="24"/>
              </w:rPr>
              <w:t>rojektēšanas nosacījumu izpildi,</w:t>
            </w:r>
            <w:r w:rsidR="00D87E66">
              <w:rPr>
                <w:rFonts w:ascii="Times New Roman" w:eastAsia="Calibri" w:hAnsi="Times New Roman" w:cs="Times New Roman"/>
                <w:sz w:val="24"/>
                <w:szCs w:val="24"/>
              </w:rPr>
              <w:t xml:space="preserve"> kuru derīguma termiņš, ilgā saskaņošanas procesa dēļ, var tikt pārsniegts, </w:t>
            </w:r>
            <w:r w:rsidRPr="00D87E66" w:rsidR="00D87E66">
              <w:rPr>
                <w:rFonts w:ascii="Times New Roman" w:eastAsia="Calibri" w:hAnsi="Times New Roman" w:cs="Times New Roman"/>
                <w:sz w:val="24"/>
                <w:szCs w:val="24"/>
              </w:rPr>
              <w:t>k</w:t>
            </w:r>
            <w:r w:rsidR="00D87E66">
              <w:rPr>
                <w:rFonts w:ascii="Times New Roman" w:eastAsia="Calibri" w:hAnsi="Times New Roman" w:cs="Times New Roman"/>
                <w:sz w:val="24"/>
                <w:szCs w:val="24"/>
              </w:rPr>
              <w:t>ā rezultātā var tikt zaudēts Eiropas Savienības Fondu līdzfinansējums.</w:t>
            </w:r>
          </w:p>
        </w:tc>
      </w:tr>
      <w:tr w14:paraId="79F27FA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1268B1FB"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5580981D"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DD7C6A" w:rsidP="00E447AE" w14:paraId="266E42EF" w14:textId="5407B43B">
            <w:pPr>
              <w:pStyle w:val="tv213"/>
              <w:spacing w:before="0" w:beforeAutospacing="0" w:after="0" w:afterAutospacing="0" w:line="293" w:lineRule="atLeast"/>
              <w:jc w:val="both"/>
              <w:rPr>
                <w:iCs/>
              </w:rPr>
            </w:pPr>
            <w:r>
              <w:rPr>
                <w:iCs/>
              </w:rPr>
              <w:t>Latvijas pašvaldību savienības un Latvijas lielo pilsētu asociācijas priekšlikum</w:t>
            </w:r>
            <w:r w:rsidR="00670913">
              <w:rPr>
                <w:iCs/>
              </w:rPr>
              <w:t>i</w:t>
            </w:r>
            <w:r>
              <w:rPr>
                <w:iCs/>
              </w:rPr>
              <w:t xml:space="preserve"> ir ņemt</w:t>
            </w:r>
            <w:r w:rsidR="00670913">
              <w:rPr>
                <w:iCs/>
              </w:rPr>
              <w:t>i</w:t>
            </w:r>
            <w:r>
              <w:rPr>
                <w:iCs/>
              </w:rPr>
              <w:t xml:space="preserve"> vērā.</w:t>
            </w:r>
          </w:p>
          <w:p w:rsidR="00E5323B" w:rsidRPr="00F96973" w:rsidP="00E447AE" w14:paraId="415877A3" w14:textId="79D90FF5">
            <w:pPr>
              <w:pStyle w:val="tv213"/>
              <w:spacing w:before="0" w:beforeAutospacing="0" w:after="0" w:afterAutospacing="0" w:line="293" w:lineRule="atLeast"/>
              <w:ind w:left="600"/>
              <w:jc w:val="both"/>
              <w:rPr>
                <w:iCs/>
              </w:rPr>
            </w:pPr>
          </w:p>
        </w:tc>
      </w:tr>
      <w:tr w14:paraId="62D606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6973" w:rsidP="00E5323B" w14:paraId="671828E5"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6973" w:rsidP="00E5323B" w14:paraId="24E5C384"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6973" w:rsidP="00E5323B" w14:paraId="1D8A6F21" w14:textId="77777777">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rsidR="00E5323B" w:rsidRPr="005F2C9A" w:rsidP="00E5323B" w14:paraId="47B4E75D" w14:textId="77777777">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4CE12D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96973" w:rsidP="00E5323B" w14:paraId="021CC56A" w14:textId="77777777">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080072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82"/>
              <w:gridCol w:w="4111"/>
              <w:gridCol w:w="4302"/>
            </w:tblGrid>
            <w:tr w14:paraId="5FE75F61" w14:textId="77777777" w:rsidTr="00790341">
              <w:tblPrEx>
                <w:tblW w:w="0" w:type="auto"/>
                <w:tblBorders>
                  <w:top w:val="none" w:sz="0" w:space="0" w:color="auto"/>
                  <w:left w:val="none" w:sz="0" w:space="0" w:color="auto"/>
                  <w:bottom w:val="none" w:sz="0" w:space="0" w:color="auto"/>
                  <w:right w:val="none" w:sz="0" w:space="0" w:color="auto"/>
                </w:tblBorders>
                <w:tblLook w:val="04A0"/>
              </w:tblPrEx>
              <w:tc>
                <w:tcPr>
                  <w:tcW w:w="482" w:type="dxa"/>
                </w:tcPr>
                <w:p w:rsidR="005B4235" w:rsidRPr="008374B9" w:rsidP="008374B9" w14:paraId="372495A2" w14:textId="76413F8C">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1.</w:t>
                  </w:r>
                </w:p>
              </w:tc>
              <w:tc>
                <w:tcPr>
                  <w:tcW w:w="4111" w:type="dxa"/>
                </w:tcPr>
                <w:p w:rsidR="005B4235" w:rsidRPr="008374B9" w:rsidP="008374B9" w14:paraId="118D2958" w14:textId="7C3310DB">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Projekta izpildē iesaistītās institūcijas</w:t>
                  </w:r>
                </w:p>
              </w:tc>
              <w:tc>
                <w:tcPr>
                  <w:tcW w:w="4302" w:type="dxa"/>
                </w:tcPr>
                <w:p w:rsidR="005B4235" w:rsidRPr="008374B9" w:rsidP="008374B9" w14:paraId="6F77BF00" w14:textId="5CC27A8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Būvvaldes </w:t>
                  </w:r>
                  <w:r w:rsidRPr="008374B9" w:rsidR="00E26686">
                    <w:rPr>
                      <w:rFonts w:ascii="Times New Roman" w:eastAsia="Times New Roman" w:hAnsi="Times New Roman" w:cs="Times New Roman"/>
                      <w:iCs/>
                      <w:sz w:val="24"/>
                      <w:szCs w:val="24"/>
                      <w:lang w:eastAsia="lv-LV"/>
                    </w:rPr>
                    <w:t>un institūcijas, kas veic būvvaldes funkcijas</w:t>
                  </w:r>
                </w:p>
              </w:tc>
            </w:tr>
            <w:tr w14:paraId="139B5056" w14:textId="77777777" w:rsidTr="00790341">
              <w:tblPrEx>
                <w:tblW w:w="0" w:type="auto"/>
                <w:tblLook w:val="04A0"/>
              </w:tblPrEx>
              <w:tc>
                <w:tcPr>
                  <w:tcW w:w="482" w:type="dxa"/>
                </w:tcPr>
                <w:p w:rsidR="005F2C9A" w:rsidRPr="008374B9" w:rsidP="008374B9" w14:paraId="4A42FA28" w14:textId="51BD2D4F">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2.</w:t>
                  </w:r>
                </w:p>
              </w:tc>
              <w:tc>
                <w:tcPr>
                  <w:tcW w:w="4111" w:type="dxa"/>
                </w:tcPr>
                <w:p w:rsidR="005F2C9A" w:rsidRPr="008374B9" w:rsidP="008374B9" w14:paraId="21D38DD2" w14:textId="77777777">
                  <w:pPr>
                    <w:ind w:left="57" w:right="57"/>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 xml:space="preserve">Projekta izpildes ietekme uz pārvaldes funkcijām un institucionālo struktūru. </w:t>
                  </w:r>
                </w:p>
                <w:p w:rsidR="005F2C9A" w:rsidRPr="008374B9" w:rsidP="008374B9" w14:paraId="0683BC48" w14:textId="0EBBCB2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4302" w:type="dxa"/>
                </w:tcPr>
                <w:p w:rsidR="005F2C9A" w:rsidRPr="008374B9" w:rsidP="008374B9" w14:paraId="06DAD147" w14:textId="044B52CD">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Jaunas institūcijas netiks veidotas, esošās institūcijas netiks likvidētas vai reorganizētas</w:t>
                  </w:r>
                  <w:r w:rsidR="00471B14">
                    <w:rPr>
                      <w:rFonts w:ascii="Times New Roman" w:eastAsia="Times New Roman" w:hAnsi="Times New Roman" w:cs="Times New Roman"/>
                      <w:iCs/>
                      <w:sz w:val="24"/>
                      <w:szCs w:val="24"/>
                      <w:lang w:eastAsia="lv-LV"/>
                    </w:rPr>
                    <w:t>.</w:t>
                  </w:r>
                </w:p>
              </w:tc>
            </w:tr>
            <w:tr w14:paraId="7B5EE142" w14:textId="77777777" w:rsidTr="00790341">
              <w:tblPrEx>
                <w:tblW w:w="0" w:type="auto"/>
                <w:tblLook w:val="04A0"/>
              </w:tblPrEx>
              <w:tc>
                <w:tcPr>
                  <w:tcW w:w="482" w:type="dxa"/>
                </w:tcPr>
                <w:p w:rsidR="005F2C9A" w:rsidRPr="008374B9" w:rsidP="008374B9" w14:paraId="229B225A" w14:textId="60002680">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3.</w:t>
                  </w:r>
                </w:p>
              </w:tc>
              <w:tc>
                <w:tcPr>
                  <w:tcW w:w="4111" w:type="dxa"/>
                </w:tcPr>
                <w:p w:rsidR="005F2C9A" w:rsidRPr="008374B9" w:rsidP="008374B9" w14:paraId="3481A452" w14:textId="7C14EA7D">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Cita informācija</w:t>
                  </w:r>
                </w:p>
              </w:tc>
              <w:tc>
                <w:tcPr>
                  <w:tcW w:w="4302" w:type="dxa"/>
                </w:tcPr>
                <w:p w:rsidR="005F2C9A" w:rsidRPr="008374B9" w:rsidP="008374B9" w14:paraId="6C89BE85" w14:textId="0E51578F">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Nav</w:t>
                  </w:r>
                </w:p>
              </w:tc>
            </w:tr>
          </w:tbl>
          <w:p w:rsidR="00810A55" w:rsidRPr="00F96973" w:rsidP="00810A55" w14:paraId="10B52603" w14:textId="3490ECC7">
            <w:pPr>
              <w:spacing w:after="0" w:line="240" w:lineRule="auto"/>
              <w:jc w:val="center"/>
              <w:rPr>
                <w:rFonts w:ascii="Times New Roman" w:eastAsia="Times New Roman" w:hAnsi="Times New Roman" w:cs="Times New Roman"/>
                <w:b/>
                <w:bCs/>
                <w:iCs/>
                <w:sz w:val="24"/>
                <w:szCs w:val="24"/>
                <w:lang w:eastAsia="lv-LV"/>
              </w:rPr>
            </w:pPr>
          </w:p>
        </w:tc>
      </w:tr>
    </w:tbl>
    <w:p w:rsidR="00C25B49" w:rsidRPr="005F2C9A" w:rsidP="00894C55" w14:paraId="1A9F1047" w14:textId="77777777">
      <w:pPr>
        <w:spacing w:after="0" w:line="240" w:lineRule="auto"/>
        <w:rPr>
          <w:rFonts w:ascii="Times New Roman" w:hAnsi="Times New Roman" w:cs="Times New Roman"/>
          <w:sz w:val="28"/>
          <w:szCs w:val="28"/>
        </w:rPr>
      </w:pPr>
    </w:p>
    <w:p w:rsidR="00566C44" w:rsidRPr="0088585F" w:rsidP="00894C55" w14:paraId="6340349B" w14:textId="77777777">
      <w:pPr>
        <w:spacing w:after="0" w:line="240" w:lineRule="auto"/>
        <w:rPr>
          <w:rFonts w:ascii="Times New Roman" w:hAnsi="Times New Roman" w:cs="Times New Roman"/>
          <w:sz w:val="28"/>
          <w:szCs w:val="28"/>
        </w:rPr>
      </w:pPr>
    </w:p>
    <w:p w:rsidR="00A45989" w:rsidRPr="00013932" w:rsidP="00013932" w14:paraId="073A3716" w14:textId="77777777">
      <w:pPr>
        <w:tabs>
          <w:tab w:val="left" w:pos="6804"/>
        </w:tabs>
        <w:spacing w:after="0" w:line="240" w:lineRule="auto"/>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Ministru prezidenta biedrs,</w:t>
      </w:r>
    </w:p>
    <w:p w:rsidR="00A45989" w:rsidRPr="00013932" w:rsidP="00013932" w14:paraId="5F5FE962" w14:textId="76285281">
      <w:pPr>
        <w:tabs>
          <w:tab w:val="left" w:pos="6804"/>
        </w:tabs>
        <w:spacing w:after="0" w:line="240" w:lineRule="auto"/>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ekonomikas ministrs</w:t>
      </w:r>
      <w:r w:rsidRPr="00013932">
        <w:rPr>
          <w:rFonts w:ascii="Times New Roman" w:eastAsia="Times New Roman" w:hAnsi="Times New Roman" w:cs="Times New Roman"/>
          <w:sz w:val="24"/>
          <w:szCs w:val="24"/>
          <w:lang w:eastAsia="lv-LV"/>
        </w:rPr>
        <w:tab/>
      </w:r>
      <w:r w:rsidR="00013932">
        <w:rPr>
          <w:rFonts w:ascii="Times New Roman" w:eastAsia="Times New Roman" w:hAnsi="Times New Roman" w:cs="Times New Roman"/>
          <w:sz w:val="24"/>
          <w:szCs w:val="24"/>
          <w:lang w:eastAsia="lv-LV"/>
        </w:rPr>
        <w:t xml:space="preserve">            </w:t>
      </w:r>
      <w:r w:rsidRPr="00013932">
        <w:rPr>
          <w:rFonts w:ascii="Times New Roman" w:eastAsia="Times New Roman" w:hAnsi="Times New Roman" w:cs="Times New Roman"/>
          <w:sz w:val="24"/>
          <w:szCs w:val="24"/>
          <w:lang w:eastAsia="lv-LV"/>
        </w:rPr>
        <w:t>A.Ašeradens</w:t>
      </w:r>
    </w:p>
    <w:p w:rsidR="00A45989" w:rsidRPr="00013932" w:rsidP="00A45989" w14:paraId="14EC7E06" w14:textId="77777777">
      <w:pPr>
        <w:rPr>
          <w:rFonts w:ascii="Times New Roman" w:eastAsia="Times New Roman" w:hAnsi="Times New Roman" w:cs="Times New Roman"/>
          <w:sz w:val="24"/>
          <w:szCs w:val="24"/>
          <w:lang w:eastAsia="lv-LV"/>
        </w:rPr>
      </w:pPr>
    </w:p>
    <w:p w:rsidR="00A45989" w:rsidRPr="00013932" w:rsidP="00013932" w14:paraId="4FAB71CA" w14:textId="77777777">
      <w:pPr>
        <w:spacing w:after="0"/>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 xml:space="preserve">Vīza: </w:t>
      </w:r>
    </w:p>
    <w:p w:rsidR="00A45989" w:rsidP="00013932" w14:paraId="4DE9C952" w14:textId="7E761EE8">
      <w:pPr>
        <w:spacing w:after="0"/>
        <w:rPr>
          <w:rFonts w:eastAsia="Times New Roman" w:cs="Times New Roman"/>
          <w:szCs w:val="28"/>
          <w:lang w:eastAsia="lv-LV"/>
        </w:rPr>
      </w:pPr>
      <w:r w:rsidRPr="00013932">
        <w:rPr>
          <w:rFonts w:ascii="Times New Roman" w:hAnsi="Times New Roman" w:cs="Times New Roman"/>
          <w:sz w:val="24"/>
          <w:szCs w:val="24"/>
        </w:rPr>
        <w:t>Valsts sekretārs</w:t>
      </w:r>
      <w:r w:rsidRPr="00013932">
        <w:rPr>
          <w:rFonts w:ascii="Times New Roman" w:eastAsia="Times New Roman" w:hAnsi="Times New Roman" w:cs="Times New Roman"/>
          <w:sz w:val="24"/>
          <w:szCs w:val="24"/>
        </w:rPr>
        <w:tab/>
        <w:t xml:space="preserve">   </w:t>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t xml:space="preserve">       </w:t>
      </w:r>
      <w:r w:rsidR="009663ED">
        <w:rPr>
          <w:rFonts w:ascii="Times New Roman" w:hAnsi="Times New Roman" w:cs="Times New Roman"/>
          <w:sz w:val="24"/>
          <w:szCs w:val="24"/>
        </w:rPr>
        <w:t>Ē</w:t>
      </w:r>
      <w:r w:rsidRPr="00013932">
        <w:rPr>
          <w:rFonts w:ascii="Times New Roman" w:hAnsi="Times New Roman" w:cs="Times New Roman"/>
          <w:sz w:val="24"/>
          <w:szCs w:val="24"/>
        </w:rPr>
        <w:t>.</w:t>
      </w:r>
      <w:r w:rsidR="009663ED">
        <w:rPr>
          <w:rFonts w:ascii="Times New Roman" w:hAnsi="Times New Roman" w:cs="Times New Roman"/>
          <w:sz w:val="24"/>
          <w:szCs w:val="24"/>
        </w:rPr>
        <w:t>Eglītis</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t>   </w:t>
      </w:r>
      <w:r>
        <w:rPr>
          <w:rFonts w:eastAsia="Times New Roman" w:cs="Times New Roman"/>
          <w:szCs w:val="28"/>
          <w:lang w:eastAsia="lv-LV"/>
        </w:rPr>
        <w:tab/>
      </w:r>
      <w:r>
        <w:rPr>
          <w:rFonts w:eastAsia="Times New Roman" w:cs="Times New Roman"/>
          <w:szCs w:val="28"/>
          <w:lang w:eastAsia="lv-LV"/>
        </w:rPr>
        <w:tab/>
        <w:t>    </w:t>
      </w:r>
      <w:r>
        <w:rPr>
          <w:rFonts w:eastAsia="Times New Roman" w:cs="Times New Roman"/>
          <w:szCs w:val="28"/>
          <w:lang w:eastAsia="lv-LV"/>
        </w:rPr>
        <w:tab/>
      </w:r>
      <w:r>
        <w:rPr>
          <w:rFonts w:eastAsia="Times New Roman" w:cs="Times New Roman"/>
          <w:szCs w:val="28"/>
          <w:lang w:eastAsia="lv-LV"/>
        </w:rPr>
        <w:tab/>
      </w:r>
    </w:p>
    <w:p w:rsidR="00013932" w:rsidRPr="00B80ED2" w:rsidP="00B47014" w14:paraId="3BC35DB7" w14:textId="77777777">
      <w:pPr>
        <w:spacing w:after="0" w:line="240" w:lineRule="auto"/>
        <w:rPr>
          <w:rFonts w:ascii="Times New Roman" w:hAnsi="Times New Roman" w:cs="Times New Roman"/>
          <w:sz w:val="28"/>
          <w:szCs w:val="28"/>
        </w:rPr>
      </w:pPr>
    </w:p>
    <w:p w:rsidR="00566C44" w:rsidRPr="00B80ED2" w:rsidP="00894C55" w14:paraId="72993C22" w14:textId="77777777">
      <w:pPr>
        <w:spacing w:after="0" w:line="240" w:lineRule="auto"/>
        <w:ind w:firstLine="720"/>
        <w:rPr>
          <w:rFonts w:ascii="Times New Roman" w:hAnsi="Times New Roman" w:cs="Times New Roman"/>
          <w:sz w:val="20"/>
          <w:szCs w:val="20"/>
        </w:rPr>
      </w:pPr>
    </w:p>
    <w:p w:rsidR="004F46C1" w:rsidRPr="004F46C1" w:rsidP="004F46C1" w14:paraId="05181387" w14:textId="77777777">
      <w:pPr>
        <w:spacing w:after="0" w:line="240" w:lineRule="auto"/>
        <w:rPr>
          <w:rFonts w:ascii="Times New Roman" w:hAnsi="Times New Roman" w:cs="Times New Roman"/>
          <w:sz w:val="20"/>
          <w:szCs w:val="20"/>
        </w:rPr>
      </w:pPr>
      <w:r w:rsidRPr="004F46C1">
        <w:rPr>
          <w:rFonts w:ascii="Times New Roman" w:hAnsi="Times New Roman" w:cs="Times New Roman"/>
          <w:sz w:val="20"/>
          <w:szCs w:val="20"/>
        </w:rPr>
        <w:t>Rostoka, 67013276</w:t>
      </w:r>
      <w:r w:rsidRPr="004F46C1">
        <w:rPr>
          <w:rFonts w:ascii="Times New Roman" w:hAnsi="Times New Roman" w:cs="Times New Roman"/>
          <w:sz w:val="20"/>
          <w:szCs w:val="20"/>
        </w:rPr>
        <w:br/>
      </w:r>
      <w:r>
        <w:fldChar w:fldCharType="begin"/>
      </w:r>
      <w:r>
        <w:instrText xml:space="preserve"> HYPERLINK "mailto:Inese.Rostoka@em.gov.lv" </w:instrText>
      </w:r>
      <w:r>
        <w:fldChar w:fldCharType="separate"/>
      </w:r>
      <w:r w:rsidRPr="004F46C1">
        <w:rPr>
          <w:rStyle w:val="Hyperlink"/>
          <w:rFonts w:ascii="Times New Roman" w:hAnsi="Times New Roman" w:cs="Times New Roman"/>
          <w:sz w:val="20"/>
          <w:szCs w:val="20"/>
        </w:rPr>
        <w:t>Inese.Rostoka@em.gov.lv</w:t>
      </w:r>
      <w:r>
        <w:fldChar w:fldCharType="end"/>
      </w:r>
      <w:r w:rsidRPr="004F46C1">
        <w:rPr>
          <w:rFonts w:ascii="Times New Roman" w:hAnsi="Times New Roman" w:cs="Times New Roman"/>
          <w:sz w:val="20"/>
          <w:szCs w:val="20"/>
        </w:rPr>
        <w:t xml:space="preserve"> </w:t>
      </w:r>
    </w:p>
    <w:p w:rsidR="004F46C1" w:rsidRPr="004F46C1" w:rsidP="004F46C1" w14:paraId="07B1C4E3" w14:textId="77777777">
      <w:pPr>
        <w:spacing w:after="0" w:line="240" w:lineRule="auto"/>
        <w:rPr>
          <w:rFonts w:ascii="Times New Roman" w:hAnsi="Times New Roman" w:cs="Times New Roman"/>
          <w:sz w:val="20"/>
          <w:szCs w:val="20"/>
        </w:rPr>
      </w:pPr>
    </w:p>
    <w:p w:rsidR="004F46C1" w:rsidRPr="004F46C1" w:rsidP="004F46C1" w14:paraId="49DAFDB3" w14:textId="77777777">
      <w:pPr>
        <w:spacing w:after="0" w:line="240" w:lineRule="auto"/>
        <w:rPr>
          <w:rFonts w:ascii="Times New Roman" w:hAnsi="Times New Roman" w:cs="Times New Roman"/>
          <w:sz w:val="20"/>
          <w:szCs w:val="20"/>
        </w:rPr>
      </w:pPr>
      <w:r w:rsidRPr="004F46C1">
        <w:rPr>
          <w:rFonts w:ascii="Times New Roman" w:hAnsi="Times New Roman" w:cs="Times New Roman"/>
          <w:sz w:val="20"/>
          <w:szCs w:val="20"/>
        </w:rPr>
        <w:t>Immermane, 67013131</w:t>
      </w:r>
    </w:p>
    <w:p w:rsidR="00894C55" w:rsidRPr="00B80ED2" w:rsidP="009663ED" w14:paraId="003A0967" w14:textId="2BE7E73E">
      <w:pPr>
        <w:spacing w:after="0" w:line="240" w:lineRule="auto"/>
        <w:rPr>
          <w:rFonts w:ascii="Times New Roman" w:hAnsi="Times New Roman" w:cs="Times New Roman"/>
          <w:sz w:val="20"/>
          <w:szCs w:val="20"/>
        </w:rPr>
      </w:pPr>
      <w:r>
        <w:fldChar w:fldCharType="begin"/>
      </w:r>
      <w:r>
        <w:instrText xml:space="preserve"> HYPERLINK "mailto:Liva.Immermane@em.gov.lv" </w:instrText>
      </w:r>
      <w:r>
        <w:fldChar w:fldCharType="separate"/>
      </w:r>
      <w:r w:rsidRPr="004F46C1" w:rsidR="00E26686">
        <w:rPr>
          <w:rStyle w:val="Hyperlink"/>
          <w:rFonts w:ascii="Times New Roman" w:hAnsi="Times New Roman" w:cs="Times New Roman"/>
          <w:sz w:val="20"/>
          <w:szCs w:val="20"/>
        </w:rPr>
        <w:t>Liva.Immermane@em.gov.lv</w:t>
      </w:r>
      <w:r>
        <w:fldChar w:fldCharType="end"/>
      </w:r>
      <w:r w:rsidRPr="004F46C1" w:rsidR="00E26686">
        <w:rPr>
          <w:rFonts w:ascii="Times New Roman" w:hAnsi="Times New Roman" w:cs="Times New Roman"/>
          <w:sz w:val="20"/>
          <w:szCs w:val="20"/>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0A624D2B" w14:textId="3315C1A9">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8B22E4">
      <w:rPr>
        <w:rFonts w:ascii="Times New Roman" w:hAnsi="Times New Roman" w:cs="Times New Roman"/>
        <w:sz w:val="20"/>
        <w:szCs w:val="20"/>
      </w:rPr>
      <w:t>1004</w:t>
    </w:r>
    <w:r w:rsidR="00FE4267">
      <w:rPr>
        <w:rFonts w:ascii="Times New Roman" w:hAnsi="Times New Roman" w:cs="Times New Roman"/>
        <w:sz w:val="20"/>
        <w:szCs w:val="20"/>
      </w:rPr>
      <w:t>18</w:t>
    </w:r>
    <w:r w:rsidR="009A2654">
      <w:rPr>
        <w:rFonts w:ascii="Times New Roman" w:hAnsi="Times New Roman" w:cs="Times New Roman"/>
        <w:sz w:val="20"/>
        <w:szCs w:val="20"/>
      </w:rPr>
      <w:t>_</w:t>
    </w:r>
    <w:r w:rsidR="00566C44">
      <w:rPr>
        <w:rFonts w:ascii="Times New Roman" w:hAnsi="Times New Roman" w:cs="Times New Roman"/>
        <w:sz w:val="20"/>
        <w:szCs w:val="20"/>
      </w:rPr>
      <w:t>Ē</w:t>
    </w:r>
    <w:r>
      <w:rPr>
        <w:rFonts w:ascii="Times New Roman" w:hAnsi="Times New Roman" w:cs="Times New Roman"/>
        <w:sz w:val="20"/>
        <w:szCs w:val="20"/>
      </w:rPr>
      <w:t>BN</w:t>
    </w:r>
    <w:r w:rsidR="00FE4267">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267" w:rsidRPr="00894C55" w:rsidP="00FE4267" w14:paraId="6C9A997E" w14:textId="62A39168">
    <w:pPr>
      <w:pStyle w:val="Footer"/>
      <w:rPr>
        <w:rFonts w:ascii="Times New Roman" w:hAnsi="Times New Roman" w:cs="Times New Roman"/>
        <w:sz w:val="20"/>
        <w:szCs w:val="20"/>
      </w:rPr>
    </w:pPr>
    <w:r>
      <w:rPr>
        <w:rFonts w:ascii="Times New Roman" w:hAnsi="Times New Roman" w:cs="Times New Roman"/>
        <w:sz w:val="20"/>
        <w:szCs w:val="20"/>
      </w:rPr>
      <w:t>EManot_</w:t>
    </w:r>
    <w:r w:rsidR="008B22E4">
      <w:rPr>
        <w:rFonts w:ascii="Times New Roman" w:hAnsi="Times New Roman" w:cs="Times New Roman"/>
        <w:sz w:val="20"/>
        <w:szCs w:val="20"/>
      </w:rPr>
      <w:t>1004</w:t>
    </w:r>
    <w:r>
      <w:rPr>
        <w:rFonts w:ascii="Times New Roman" w:hAnsi="Times New Roman" w:cs="Times New Roman"/>
        <w:sz w:val="20"/>
        <w:szCs w:val="20"/>
      </w:rPr>
      <w:t>18_ĒBN.docx</w:t>
    </w:r>
  </w:p>
  <w:p w:rsidR="009A2654" w:rsidRPr="009A2654" w14:paraId="735FAFB6" w14:textId="4A74A1BE">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0231347"/>
      <w:docPartObj>
        <w:docPartGallery w:val="Page Numbers (Top of Page)"/>
        <w:docPartUnique/>
      </w:docPartObj>
    </w:sdtPr>
    <w:sdtEndPr>
      <w:rPr>
        <w:noProof/>
      </w:rPr>
    </w:sdtEndPr>
    <w:sdtContent>
      <w:p w:rsidR="00AC03D1" w14:paraId="2FDAABE4" w14:textId="4219AE00">
        <w:pPr>
          <w:pStyle w:val="Header"/>
          <w:jc w:val="center"/>
        </w:pPr>
        <w:r>
          <w:fldChar w:fldCharType="begin"/>
        </w:r>
        <w:r>
          <w:instrText xml:space="preserve"> PAGE   \* MERGEFORMAT </w:instrText>
        </w:r>
        <w:r>
          <w:fldChar w:fldCharType="separate"/>
        </w:r>
        <w:r w:rsidR="008B22E4">
          <w:rPr>
            <w:noProof/>
          </w:rPr>
          <w:t>7</w:t>
        </w:r>
        <w:r>
          <w:rPr>
            <w:noProof/>
          </w:rPr>
          <w:fldChar w:fldCharType="end"/>
        </w:r>
      </w:p>
    </w:sdtContent>
  </w:sdt>
  <w:p w:rsidR="00894C55" w:rsidRPr="00C25B49" w14:paraId="73011B6C" w14:textId="77777777">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BE4549D"/>
    <w:multiLevelType w:val="hybridMultilevel"/>
    <w:tmpl w:val="DC8EF2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7FE013D8"/>
    <w:multiLevelType w:val="hybridMultilevel"/>
    <w:tmpl w:val="671C1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2DD"/>
    <w:rsid w:val="00013932"/>
    <w:rsid w:val="000332A5"/>
    <w:rsid w:val="00042E07"/>
    <w:rsid w:val="00076676"/>
    <w:rsid w:val="000B36A7"/>
    <w:rsid w:val="001071A7"/>
    <w:rsid w:val="00123BB9"/>
    <w:rsid w:val="00141735"/>
    <w:rsid w:val="00151BC8"/>
    <w:rsid w:val="00194231"/>
    <w:rsid w:val="001A5C88"/>
    <w:rsid w:val="001B4864"/>
    <w:rsid w:val="001F176D"/>
    <w:rsid w:val="002331DD"/>
    <w:rsid w:val="00243426"/>
    <w:rsid w:val="00257ABB"/>
    <w:rsid w:val="00264F44"/>
    <w:rsid w:val="00267B5C"/>
    <w:rsid w:val="002C0A04"/>
    <w:rsid w:val="002C1242"/>
    <w:rsid w:val="002E1C05"/>
    <w:rsid w:val="00311657"/>
    <w:rsid w:val="00345534"/>
    <w:rsid w:val="00373A6F"/>
    <w:rsid w:val="00374752"/>
    <w:rsid w:val="003B0BF9"/>
    <w:rsid w:val="003E0791"/>
    <w:rsid w:val="003F28AC"/>
    <w:rsid w:val="00406BD9"/>
    <w:rsid w:val="00415092"/>
    <w:rsid w:val="004454FE"/>
    <w:rsid w:val="00456E40"/>
    <w:rsid w:val="00471B14"/>
    <w:rsid w:val="00471F27"/>
    <w:rsid w:val="00492739"/>
    <w:rsid w:val="004E5789"/>
    <w:rsid w:val="004F46C1"/>
    <w:rsid w:val="0050178F"/>
    <w:rsid w:val="00503122"/>
    <w:rsid w:val="005242BC"/>
    <w:rsid w:val="0053218B"/>
    <w:rsid w:val="00566C44"/>
    <w:rsid w:val="005A73C6"/>
    <w:rsid w:val="005B4235"/>
    <w:rsid w:val="005E342B"/>
    <w:rsid w:val="005F2C9A"/>
    <w:rsid w:val="00611533"/>
    <w:rsid w:val="00620742"/>
    <w:rsid w:val="00626462"/>
    <w:rsid w:val="00655F2C"/>
    <w:rsid w:val="00670913"/>
    <w:rsid w:val="006E1081"/>
    <w:rsid w:val="006F2166"/>
    <w:rsid w:val="00702B3A"/>
    <w:rsid w:val="00720585"/>
    <w:rsid w:val="00743FC8"/>
    <w:rsid w:val="007557B5"/>
    <w:rsid w:val="00773AF6"/>
    <w:rsid w:val="00790341"/>
    <w:rsid w:val="00795F71"/>
    <w:rsid w:val="007B5817"/>
    <w:rsid w:val="007E5F7A"/>
    <w:rsid w:val="007E73AB"/>
    <w:rsid w:val="00810A55"/>
    <w:rsid w:val="00816C11"/>
    <w:rsid w:val="00820CC1"/>
    <w:rsid w:val="0083307F"/>
    <w:rsid w:val="008374B9"/>
    <w:rsid w:val="00847DA4"/>
    <w:rsid w:val="0088018E"/>
    <w:rsid w:val="0088585F"/>
    <w:rsid w:val="00885C51"/>
    <w:rsid w:val="00894C55"/>
    <w:rsid w:val="008B22E4"/>
    <w:rsid w:val="008D716B"/>
    <w:rsid w:val="008F610A"/>
    <w:rsid w:val="009241D9"/>
    <w:rsid w:val="00953D60"/>
    <w:rsid w:val="009663ED"/>
    <w:rsid w:val="00972488"/>
    <w:rsid w:val="009A2654"/>
    <w:rsid w:val="00A10FC3"/>
    <w:rsid w:val="00A455D5"/>
    <w:rsid w:val="00A45989"/>
    <w:rsid w:val="00A6073E"/>
    <w:rsid w:val="00A73634"/>
    <w:rsid w:val="00AA4777"/>
    <w:rsid w:val="00AC03D1"/>
    <w:rsid w:val="00AC15AF"/>
    <w:rsid w:val="00AD6C38"/>
    <w:rsid w:val="00AE5567"/>
    <w:rsid w:val="00AF1239"/>
    <w:rsid w:val="00AF2028"/>
    <w:rsid w:val="00B00576"/>
    <w:rsid w:val="00B0332F"/>
    <w:rsid w:val="00B16480"/>
    <w:rsid w:val="00B2165C"/>
    <w:rsid w:val="00B47014"/>
    <w:rsid w:val="00B80ED2"/>
    <w:rsid w:val="00B87772"/>
    <w:rsid w:val="00B90880"/>
    <w:rsid w:val="00BA20AA"/>
    <w:rsid w:val="00BC6651"/>
    <w:rsid w:val="00BD4425"/>
    <w:rsid w:val="00C11B60"/>
    <w:rsid w:val="00C15B3C"/>
    <w:rsid w:val="00C25B49"/>
    <w:rsid w:val="00C3628A"/>
    <w:rsid w:val="00C43754"/>
    <w:rsid w:val="00C610A1"/>
    <w:rsid w:val="00CC0D2D"/>
    <w:rsid w:val="00CE5657"/>
    <w:rsid w:val="00CE6023"/>
    <w:rsid w:val="00D133F8"/>
    <w:rsid w:val="00D14A3E"/>
    <w:rsid w:val="00D153EC"/>
    <w:rsid w:val="00D17CC8"/>
    <w:rsid w:val="00D8250A"/>
    <w:rsid w:val="00D874B9"/>
    <w:rsid w:val="00D87E66"/>
    <w:rsid w:val="00D91EA9"/>
    <w:rsid w:val="00D94317"/>
    <w:rsid w:val="00DD7C6A"/>
    <w:rsid w:val="00E15990"/>
    <w:rsid w:val="00E26686"/>
    <w:rsid w:val="00E3716B"/>
    <w:rsid w:val="00E447AE"/>
    <w:rsid w:val="00E5323B"/>
    <w:rsid w:val="00E8749E"/>
    <w:rsid w:val="00E90C01"/>
    <w:rsid w:val="00EA13F9"/>
    <w:rsid w:val="00EA3E94"/>
    <w:rsid w:val="00EA486E"/>
    <w:rsid w:val="00F57B0C"/>
    <w:rsid w:val="00F81F0C"/>
    <w:rsid w:val="00F94300"/>
    <w:rsid w:val="00F96973"/>
    <w:rsid w:val="00FA0E66"/>
    <w:rsid w:val="00FA3840"/>
    <w:rsid w:val="00FE4267"/>
    <w:rsid w:val="00FE5060"/>
    <w:rsid w:val="00FE6333"/>
    <w:rsid w:val="00FE64F0"/>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151BC8"/>
    <w:pPr>
      <w:spacing w:after="0" w:line="240"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FE6333"/>
    <w:rPr>
      <w:rFonts w:ascii="Times New Roman" w:hAnsi="Times New Roman"/>
      <w:sz w:val="28"/>
    </w:rPr>
  </w:style>
  <w:style w:type="table" w:styleId="TableGrid">
    <w:name w:val="Table Grid"/>
    <w:basedOn w:val="TableNormal"/>
    <w:uiPriority w:val="39"/>
    <w:rsid w:val="005B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6973"/>
    <w:rPr>
      <w:color w:val="808080"/>
      <w:shd w:val="clear" w:color="auto" w:fill="E6E6E6"/>
    </w:rPr>
  </w:style>
  <w:style w:type="paragraph" w:styleId="NormalWeb">
    <w:name w:val="Normal (Web)"/>
    <w:basedOn w:val="Normal"/>
    <w:uiPriority w:val="99"/>
    <w:rsid w:val="000332A5"/>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32A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179BA"/>
    <w:rsid w:val="0004528F"/>
    <w:rsid w:val="00057C8B"/>
    <w:rsid w:val="00084514"/>
    <w:rsid w:val="00104CD1"/>
    <w:rsid w:val="00165787"/>
    <w:rsid w:val="00253E7C"/>
    <w:rsid w:val="00270100"/>
    <w:rsid w:val="00297F8C"/>
    <w:rsid w:val="00301FDD"/>
    <w:rsid w:val="00344186"/>
    <w:rsid w:val="00360808"/>
    <w:rsid w:val="00391B0A"/>
    <w:rsid w:val="004146CA"/>
    <w:rsid w:val="00472F39"/>
    <w:rsid w:val="00523A63"/>
    <w:rsid w:val="00527710"/>
    <w:rsid w:val="005F2CBB"/>
    <w:rsid w:val="00635A98"/>
    <w:rsid w:val="006F6FA0"/>
    <w:rsid w:val="008B01C0"/>
    <w:rsid w:val="008B623B"/>
    <w:rsid w:val="008C4DD6"/>
    <w:rsid w:val="008D39C9"/>
    <w:rsid w:val="00917F16"/>
    <w:rsid w:val="00923B8D"/>
    <w:rsid w:val="009605FC"/>
    <w:rsid w:val="009C1B4C"/>
    <w:rsid w:val="00AD4A2F"/>
    <w:rsid w:val="00B221F9"/>
    <w:rsid w:val="00B3767C"/>
    <w:rsid w:val="00B80A79"/>
    <w:rsid w:val="00C00671"/>
    <w:rsid w:val="00CE618E"/>
    <w:rsid w:val="00D929CB"/>
    <w:rsid w:val="00DB0A5A"/>
    <w:rsid w:val="00E46E8B"/>
    <w:rsid w:val="00F07342"/>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CA"/>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929708D565174B0FBB2239E030BF88D4">
    <w:name w:val="929708D565174B0FBB2239E030BF88D4"/>
    <w:rsid w:val="004146C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9009</Words>
  <Characters>5136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Lazarevs</cp:lastModifiedBy>
  <cp:revision>3</cp:revision>
  <cp:lastPrinted>2018-03-06T14:03:00Z</cp:lastPrinted>
  <dcterms:created xsi:type="dcterms:W3CDTF">2018-04-10T05:57:00Z</dcterms:created>
  <dcterms:modified xsi:type="dcterms:W3CDTF">2018-04-10T05:57:00Z</dcterms:modified>
</cp:coreProperties>
</file>